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1D55E" w14:textId="120031E9" w:rsidR="00F21F08" w:rsidRPr="003A6E5A" w:rsidRDefault="00F21F08" w:rsidP="001608EA">
      <w:pPr>
        <w:spacing w:after="0" w:line="240" w:lineRule="auto"/>
        <w:jc w:val="center"/>
        <w:rPr>
          <w:rFonts w:ascii="Times New Roman" w:hAnsi="Times New Roman" w:cs="Times New Roman"/>
          <w:bCs/>
          <w:sz w:val="28"/>
          <w:szCs w:val="28"/>
          <w:lang w:val="kk-KZ"/>
        </w:rPr>
      </w:pPr>
      <w:r w:rsidRPr="003A6E5A">
        <w:rPr>
          <w:rFonts w:ascii="Times New Roman" w:hAnsi="Times New Roman" w:cs="Times New Roman"/>
          <w:bCs/>
          <w:sz w:val="28"/>
          <w:szCs w:val="28"/>
          <w:lang w:val="kk-KZ"/>
        </w:rPr>
        <w:t>Министерство науки и высшего образования Республики Казахстан</w:t>
      </w:r>
    </w:p>
    <w:p w14:paraId="2C876C3F" w14:textId="625073FE" w:rsidR="00F21F08" w:rsidRPr="003A6E5A" w:rsidRDefault="00F21F08" w:rsidP="001608EA">
      <w:pPr>
        <w:spacing w:after="0" w:line="240" w:lineRule="auto"/>
        <w:jc w:val="center"/>
        <w:rPr>
          <w:rFonts w:ascii="Times New Roman" w:hAnsi="Times New Roman" w:cs="Times New Roman"/>
          <w:bCs/>
          <w:sz w:val="28"/>
          <w:szCs w:val="28"/>
          <w:lang w:val="kk-KZ"/>
        </w:rPr>
      </w:pPr>
    </w:p>
    <w:p w14:paraId="437EBF93" w14:textId="63600493" w:rsidR="00F21F08" w:rsidRPr="003A6E5A" w:rsidRDefault="00F21F08" w:rsidP="001608EA">
      <w:pPr>
        <w:spacing w:after="0" w:line="240" w:lineRule="auto"/>
        <w:jc w:val="center"/>
        <w:rPr>
          <w:rFonts w:ascii="Times New Roman" w:hAnsi="Times New Roman" w:cs="Times New Roman"/>
          <w:bCs/>
          <w:sz w:val="28"/>
          <w:szCs w:val="28"/>
        </w:rPr>
      </w:pPr>
      <w:r w:rsidRPr="003A6E5A">
        <w:rPr>
          <w:rFonts w:ascii="Times New Roman" w:hAnsi="Times New Roman" w:cs="Times New Roman"/>
          <w:bCs/>
          <w:sz w:val="28"/>
          <w:szCs w:val="28"/>
          <w:lang w:val="kk-KZ"/>
        </w:rPr>
        <w:t>Казахский национальный университет имени аль</w:t>
      </w:r>
      <w:r w:rsidRPr="003A6E5A">
        <w:rPr>
          <w:rFonts w:ascii="Times New Roman" w:hAnsi="Times New Roman" w:cs="Times New Roman"/>
          <w:bCs/>
          <w:sz w:val="28"/>
          <w:szCs w:val="28"/>
        </w:rPr>
        <w:t>-Фараби</w:t>
      </w:r>
    </w:p>
    <w:p w14:paraId="759C6B1E" w14:textId="0CC65770" w:rsidR="00F21F08" w:rsidRPr="003A6E5A" w:rsidRDefault="00F21F08" w:rsidP="001608EA">
      <w:pPr>
        <w:spacing w:after="0" w:line="240" w:lineRule="auto"/>
        <w:jc w:val="center"/>
        <w:rPr>
          <w:rFonts w:ascii="Times New Roman" w:hAnsi="Times New Roman" w:cs="Times New Roman"/>
          <w:bCs/>
          <w:sz w:val="28"/>
          <w:szCs w:val="28"/>
        </w:rPr>
      </w:pPr>
    </w:p>
    <w:p w14:paraId="301508C7" w14:textId="31FE90C3" w:rsidR="00F21F08" w:rsidRPr="003A6E5A" w:rsidRDefault="00F21F08" w:rsidP="001608EA">
      <w:pPr>
        <w:spacing w:after="0" w:line="240" w:lineRule="auto"/>
        <w:jc w:val="center"/>
        <w:rPr>
          <w:rFonts w:ascii="Times New Roman" w:hAnsi="Times New Roman" w:cs="Times New Roman"/>
          <w:bCs/>
          <w:sz w:val="28"/>
          <w:szCs w:val="28"/>
        </w:rPr>
      </w:pPr>
    </w:p>
    <w:p w14:paraId="0E0453D9" w14:textId="0EAECC7A" w:rsidR="00F21F08" w:rsidRPr="003A6E5A" w:rsidRDefault="00F21F08" w:rsidP="00F21F08">
      <w:pPr>
        <w:spacing w:after="0" w:line="240" w:lineRule="auto"/>
        <w:jc w:val="both"/>
        <w:rPr>
          <w:rFonts w:ascii="Times New Roman" w:hAnsi="Times New Roman" w:cs="Times New Roman"/>
          <w:bCs/>
          <w:sz w:val="28"/>
          <w:szCs w:val="28"/>
        </w:rPr>
      </w:pPr>
      <w:r w:rsidRPr="003A6E5A">
        <w:rPr>
          <w:rFonts w:ascii="Times New Roman" w:hAnsi="Times New Roman" w:cs="Times New Roman"/>
          <w:bCs/>
          <w:sz w:val="28"/>
          <w:szCs w:val="28"/>
        </w:rPr>
        <w:t xml:space="preserve">УДК </w:t>
      </w:r>
      <w:r w:rsidR="004767D8" w:rsidRPr="003A6E5A">
        <w:rPr>
          <w:rFonts w:ascii="Times New Roman" w:hAnsi="Times New Roman" w:cs="Times New Roman"/>
          <w:bCs/>
          <w:sz w:val="28"/>
          <w:szCs w:val="28"/>
        </w:rPr>
        <w:t>339.9 (043.3)</w:t>
      </w:r>
      <w:r w:rsidRPr="003A6E5A">
        <w:rPr>
          <w:rFonts w:ascii="Times New Roman" w:hAnsi="Times New Roman" w:cs="Times New Roman"/>
          <w:bCs/>
          <w:sz w:val="28"/>
          <w:szCs w:val="28"/>
        </w:rPr>
        <w:t xml:space="preserve">                                     </w:t>
      </w:r>
      <w:r w:rsidR="000E57C1" w:rsidRPr="003A6E5A">
        <w:rPr>
          <w:rFonts w:ascii="Times New Roman" w:hAnsi="Times New Roman" w:cs="Times New Roman"/>
          <w:bCs/>
          <w:sz w:val="28"/>
          <w:szCs w:val="28"/>
        </w:rPr>
        <w:t xml:space="preserve"> </w:t>
      </w:r>
      <w:r w:rsidRPr="003A6E5A">
        <w:rPr>
          <w:rFonts w:ascii="Times New Roman" w:hAnsi="Times New Roman" w:cs="Times New Roman"/>
          <w:bCs/>
          <w:sz w:val="28"/>
          <w:szCs w:val="28"/>
        </w:rPr>
        <w:t xml:space="preserve">                                     На правах рукописи</w:t>
      </w:r>
    </w:p>
    <w:p w14:paraId="0103C27E" w14:textId="084916E5" w:rsidR="00F21F08" w:rsidRPr="003A6E5A" w:rsidRDefault="00F21F08" w:rsidP="00F21F08">
      <w:pPr>
        <w:spacing w:after="0" w:line="240" w:lineRule="auto"/>
        <w:jc w:val="both"/>
        <w:rPr>
          <w:rFonts w:ascii="Times New Roman" w:hAnsi="Times New Roman" w:cs="Times New Roman"/>
          <w:b/>
          <w:bCs/>
          <w:sz w:val="28"/>
          <w:szCs w:val="28"/>
        </w:rPr>
      </w:pPr>
    </w:p>
    <w:p w14:paraId="77000EBB" w14:textId="58420279" w:rsidR="00F21F08" w:rsidRPr="003A6E5A" w:rsidRDefault="00F21F08" w:rsidP="00F21F08">
      <w:pPr>
        <w:spacing w:after="0" w:line="240" w:lineRule="auto"/>
        <w:jc w:val="both"/>
        <w:rPr>
          <w:rFonts w:ascii="Times New Roman" w:hAnsi="Times New Roman" w:cs="Times New Roman"/>
          <w:b/>
          <w:bCs/>
          <w:sz w:val="28"/>
          <w:szCs w:val="28"/>
        </w:rPr>
      </w:pPr>
    </w:p>
    <w:p w14:paraId="7765B8CA" w14:textId="146F1F9C" w:rsidR="00F21F08" w:rsidRPr="003A6E5A" w:rsidRDefault="00F21F08" w:rsidP="00F21F08">
      <w:pPr>
        <w:spacing w:after="0" w:line="240" w:lineRule="auto"/>
        <w:jc w:val="both"/>
        <w:rPr>
          <w:rFonts w:ascii="Times New Roman" w:hAnsi="Times New Roman" w:cs="Times New Roman"/>
          <w:b/>
          <w:bCs/>
          <w:sz w:val="28"/>
          <w:szCs w:val="28"/>
        </w:rPr>
      </w:pPr>
    </w:p>
    <w:p w14:paraId="061C71D3" w14:textId="0C477071" w:rsidR="00F21F08" w:rsidRPr="003A6E5A" w:rsidRDefault="00F21F08" w:rsidP="00F21F08">
      <w:pPr>
        <w:spacing w:after="0" w:line="240" w:lineRule="auto"/>
        <w:jc w:val="both"/>
        <w:rPr>
          <w:rFonts w:ascii="Times New Roman" w:hAnsi="Times New Roman" w:cs="Times New Roman"/>
          <w:b/>
          <w:bCs/>
          <w:sz w:val="28"/>
          <w:szCs w:val="28"/>
        </w:rPr>
      </w:pPr>
    </w:p>
    <w:p w14:paraId="2BB148CA" w14:textId="3F6969B8" w:rsidR="00F21F08" w:rsidRPr="003A6E5A" w:rsidRDefault="00F21F08" w:rsidP="000E57C1">
      <w:pPr>
        <w:spacing w:after="0" w:line="240" w:lineRule="auto"/>
        <w:jc w:val="center"/>
        <w:rPr>
          <w:rFonts w:ascii="Times New Roman" w:hAnsi="Times New Roman" w:cs="Times New Roman"/>
          <w:b/>
          <w:bCs/>
          <w:sz w:val="28"/>
          <w:szCs w:val="28"/>
        </w:rPr>
      </w:pPr>
      <w:r w:rsidRPr="003A6E5A">
        <w:rPr>
          <w:rFonts w:ascii="Times New Roman" w:hAnsi="Times New Roman" w:cs="Times New Roman"/>
          <w:b/>
          <w:bCs/>
          <w:sz w:val="28"/>
          <w:szCs w:val="28"/>
        </w:rPr>
        <w:t>ОТАРБАЕВА АЙНА БОЛАТОВНА</w:t>
      </w:r>
    </w:p>
    <w:p w14:paraId="665C06CB" w14:textId="4A097F8D" w:rsidR="00F21F08" w:rsidRPr="003A6E5A" w:rsidRDefault="00F21F08" w:rsidP="00F21F08">
      <w:pPr>
        <w:spacing w:after="0" w:line="240" w:lineRule="auto"/>
        <w:jc w:val="both"/>
        <w:rPr>
          <w:rFonts w:ascii="Times New Roman" w:hAnsi="Times New Roman" w:cs="Times New Roman"/>
          <w:b/>
          <w:bCs/>
          <w:sz w:val="28"/>
          <w:szCs w:val="28"/>
        </w:rPr>
      </w:pPr>
    </w:p>
    <w:p w14:paraId="696F178A" w14:textId="65E708BC" w:rsidR="000E57C1" w:rsidRPr="003A6E5A" w:rsidRDefault="000E57C1" w:rsidP="00F21F08">
      <w:pPr>
        <w:spacing w:after="0" w:line="240" w:lineRule="auto"/>
        <w:jc w:val="both"/>
        <w:rPr>
          <w:rFonts w:ascii="Times New Roman" w:hAnsi="Times New Roman" w:cs="Times New Roman"/>
          <w:b/>
          <w:bCs/>
          <w:sz w:val="28"/>
          <w:szCs w:val="28"/>
        </w:rPr>
      </w:pPr>
    </w:p>
    <w:p w14:paraId="6B46FAF2" w14:textId="77777777" w:rsidR="000E57C1" w:rsidRPr="003A6E5A" w:rsidRDefault="000E57C1" w:rsidP="00F21F08">
      <w:pPr>
        <w:spacing w:after="0" w:line="240" w:lineRule="auto"/>
        <w:jc w:val="both"/>
        <w:rPr>
          <w:rFonts w:ascii="Times New Roman" w:hAnsi="Times New Roman" w:cs="Times New Roman"/>
          <w:b/>
          <w:bCs/>
          <w:sz w:val="28"/>
          <w:szCs w:val="28"/>
        </w:rPr>
      </w:pPr>
    </w:p>
    <w:p w14:paraId="2E7F7437" w14:textId="1D161046" w:rsidR="0003217D" w:rsidRPr="003A6E5A" w:rsidRDefault="00F21F08" w:rsidP="001608EA">
      <w:pPr>
        <w:spacing w:after="0" w:line="240" w:lineRule="auto"/>
        <w:jc w:val="center"/>
        <w:rPr>
          <w:rFonts w:ascii="Times New Roman" w:hAnsi="Times New Roman" w:cs="Times New Roman"/>
          <w:b/>
          <w:bCs/>
          <w:sz w:val="28"/>
          <w:szCs w:val="28"/>
        </w:rPr>
      </w:pPr>
      <w:r w:rsidRPr="003A6E5A">
        <w:rPr>
          <w:rFonts w:ascii="Times New Roman" w:hAnsi="Times New Roman" w:cs="Times New Roman"/>
          <w:b/>
          <w:bCs/>
          <w:sz w:val="28"/>
          <w:szCs w:val="28"/>
        </w:rPr>
        <w:t>Приоритеты инвестиционного сотрудничества Казахстана со странами</w:t>
      </w:r>
      <w:r w:rsidR="00FC275D" w:rsidRPr="003A6E5A">
        <w:rPr>
          <w:rFonts w:ascii="Times New Roman" w:hAnsi="Times New Roman" w:cs="Times New Roman"/>
          <w:b/>
          <w:bCs/>
          <w:sz w:val="28"/>
          <w:szCs w:val="28"/>
        </w:rPr>
        <w:t xml:space="preserve"> ЕС</w:t>
      </w:r>
    </w:p>
    <w:p w14:paraId="727B18BB" w14:textId="7770ACD3" w:rsidR="000E57C1" w:rsidRPr="003A6E5A" w:rsidRDefault="000E57C1" w:rsidP="001608EA">
      <w:pPr>
        <w:spacing w:after="0" w:line="240" w:lineRule="auto"/>
        <w:jc w:val="center"/>
        <w:rPr>
          <w:rFonts w:ascii="Times New Roman" w:hAnsi="Times New Roman" w:cs="Times New Roman"/>
          <w:b/>
          <w:bCs/>
          <w:sz w:val="28"/>
          <w:szCs w:val="28"/>
        </w:rPr>
      </w:pPr>
    </w:p>
    <w:p w14:paraId="38A31443" w14:textId="6CB3D881" w:rsidR="000E57C1" w:rsidRDefault="000E57C1" w:rsidP="001608EA">
      <w:pPr>
        <w:spacing w:after="0" w:line="240" w:lineRule="auto"/>
        <w:jc w:val="center"/>
        <w:rPr>
          <w:rFonts w:ascii="Times New Roman" w:hAnsi="Times New Roman" w:cs="Times New Roman"/>
          <w:b/>
          <w:bCs/>
          <w:sz w:val="28"/>
          <w:szCs w:val="28"/>
        </w:rPr>
      </w:pPr>
    </w:p>
    <w:p w14:paraId="4A85BEE7" w14:textId="77777777" w:rsidR="002452E6" w:rsidRPr="003A6E5A" w:rsidRDefault="002452E6" w:rsidP="001608EA">
      <w:pPr>
        <w:spacing w:after="0" w:line="240" w:lineRule="auto"/>
        <w:jc w:val="center"/>
        <w:rPr>
          <w:rFonts w:ascii="Times New Roman" w:hAnsi="Times New Roman" w:cs="Times New Roman"/>
          <w:b/>
          <w:bCs/>
          <w:sz w:val="28"/>
          <w:szCs w:val="28"/>
        </w:rPr>
      </w:pPr>
    </w:p>
    <w:p w14:paraId="0A2DA03A" w14:textId="13687D5B" w:rsidR="000E57C1" w:rsidRPr="003A6E5A" w:rsidRDefault="000E57C1" w:rsidP="001608EA">
      <w:pPr>
        <w:spacing w:after="0" w:line="240" w:lineRule="auto"/>
        <w:jc w:val="center"/>
        <w:rPr>
          <w:rFonts w:ascii="Times New Roman" w:hAnsi="Times New Roman" w:cs="Times New Roman"/>
          <w:b/>
          <w:bCs/>
          <w:sz w:val="28"/>
          <w:szCs w:val="28"/>
        </w:rPr>
      </w:pPr>
    </w:p>
    <w:p w14:paraId="2A9DCCF3" w14:textId="02CC454C" w:rsidR="000E57C1" w:rsidRPr="003A6E5A" w:rsidRDefault="000E57C1" w:rsidP="001608EA">
      <w:pPr>
        <w:spacing w:after="0" w:line="240" w:lineRule="auto"/>
        <w:jc w:val="center"/>
        <w:rPr>
          <w:rFonts w:ascii="Times New Roman" w:hAnsi="Times New Roman" w:cs="Times New Roman"/>
          <w:bCs/>
          <w:sz w:val="28"/>
          <w:szCs w:val="28"/>
        </w:rPr>
      </w:pPr>
    </w:p>
    <w:p w14:paraId="718B1EDE" w14:textId="5CCC19BB" w:rsidR="000E57C1" w:rsidRPr="003A6E5A" w:rsidRDefault="000E57C1" w:rsidP="001608EA">
      <w:pPr>
        <w:spacing w:after="0" w:line="240" w:lineRule="auto"/>
        <w:jc w:val="center"/>
        <w:rPr>
          <w:rFonts w:ascii="Times New Roman" w:hAnsi="Times New Roman" w:cs="Times New Roman"/>
          <w:bCs/>
          <w:sz w:val="28"/>
          <w:szCs w:val="28"/>
        </w:rPr>
      </w:pPr>
      <w:r w:rsidRPr="003A6E5A">
        <w:rPr>
          <w:rFonts w:ascii="Times New Roman" w:hAnsi="Times New Roman" w:cs="Times New Roman"/>
          <w:bCs/>
          <w:sz w:val="28"/>
          <w:szCs w:val="28"/>
        </w:rPr>
        <w:t>6D051300</w:t>
      </w:r>
      <w:r w:rsidR="009810F0" w:rsidRPr="003A6E5A">
        <w:rPr>
          <w:rFonts w:ascii="Times New Roman" w:hAnsi="Times New Roman" w:cs="Times New Roman"/>
          <w:bCs/>
          <w:sz w:val="28"/>
          <w:szCs w:val="28"/>
        </w:rPr>
        <w:t xml:space="preserve"> –</w:t>
      </w:r>
      <w:r w:rsidRPr="003A6E5A">
        <w:rPr>
          <w:rFonts w:ascii="Times New Roman" w:hAnsi="Times New Roman" w:cs="Times New Roman"/>
          <w:bCs/>
          <w:sz w:val="28"/>
          <w:szCs w:val="28"/>
        </w:rPr>
        <w:t xml:space="preserve"> Мировая экономика</w:t>
      </w:r>
    </w:p>
    <w:p w14:paraId="77521780" w14:textId="235C8C54" w:rsidR="000E57C1" w:rsidRPr="003A6E5A" w:rsidRDefault="000E57C1" w:rsidP="001608EA">
      <w:pPr>
        <w:spacing w:after="0" w:line="240" w:lineRule="auto"/>
        <w:jc w:val="center"/>
        <w:rPr>
          <w:rFonts w:ascii="Times New Roman" w:hAnsi="Times New Roman" w:cs="Times New Roman"/>
          <w:bCs/>
          <w:sz w:val="28"/>
          <w:szCs w:val="28"/>
        </w:rPr>
      </w:pPr>
    </w:p>
    <w:p w14:paraId="30802BB0" w14:textId="4018C91E" w:rsidR="000E57C1" w:rsidRPr="003A6E5A" w:rsidRDefault="000E57C1" w:rsidP="001608EA">
      <w:pPr>
        <w:spacing w:after="0" w:line="240" w:lineRule="auto"/>
        <w:jc w:val="center"/>
        <w:rPr>
          <w:rFonts w:ascii="Times New Roman" w:hAnsi="Times New Roman" w:cs="Times New Roman"/>
          <w:bCs/>
          <w:sz w:val="28"/>
          <w:szCs w:val="28"/>
        </w:rPr>
      </w:pPr>
    </w:p>
    <w:p w14:paraId="11E856FF" w14:textId="54A115BA" w:rsidR="000E57C1" w:rsidRPr="003A6E5A" w:rsidRDefault="000E57C1" w:rsidP="001608EA">
      <w:pPr>
        <w:spacing w:after="0" w:line="240" w:lineRule="auto"/>
        <w:jc w:val="center"/>
        <w:rPr>
          <w:rFonts w:ascii="Times New Roman" w:hAnsi="Times New Roman" w:cs="Times New Roman"/>
          <w:bCs/>
          <w:sz w:val="28"/>
          <w:szCs w:val="28"/>
        </w:rPr>
      </w:pPr>
      <w:r w:rsidRPr="003A6E5A">
        <w:rPr>
          <w:rFonts w:ascii="Times New Roman" w:hAnsi="Times New Roman" w:cs="Times New Roman"/>
          <w:bCs/>
          <w:sz w:val="28"/>
          <w:szCs w:val="28"/>
        </w:rPr>
        <w:t>Диссертация на соискание степени</w:t>
      </w:r>
    </w:p>
    <w:p w14:paraId="42CB5863" w14:textId="5080E925" w:rsidR="000E57C1" w:rsidRPr="003A6E5A" w:rsidRDefault="000E57C1" w:rsidP="001608EA">
      <w:pPr>
        <w:spacing w:after="0" w:line="240" w:lineRule="auto"/>
        <w:jc w:val="center"/>
        <w:rPr>
          <w:rFonts w:ascii="Times New Roman" w:hAnsi="Times New Roman" w:cs="Times New Roman"/>
          <w:bCs/>
          <w:sz w:val="28"/>
          <w:szCs w:val="28"/>
        </w:rPr>
      </w:pPr>
      <w:r w:rsidRPr="003A6E5A">
        <w:rPr>
          <w:rFonts w:ascii="Times New Roman" w:hAnsi="Times New Roman" w:cs="Times New Roman"/>
          <w:bCs/>
          <w:sz w:val="28"/>
          <w:szCs w:val="28"/>
        </w:rPr>
        <w:t>Доктора философии (</w:t>
      </w:r>
      <w:r w:rsidRPr="003A6E5A">
        <w:rPr>
          <w:rFonts w:ascii="Times New Roman" w:hAnsi="Times New Roman" w:cs="Times New Roman"/>
          <w:bCs/>
          <w:sz w:val="28"/>
          <w:szCs w:val="28"/>
          <w:lang w:val="en-US"/>
        </w:rPr>
        <w:t>PhD</w:t>
      </w:r>
      <w:r w:rsidRPr="003A6E5A">
        <w:rPr>
          <w:rFonts w:ascii="Times New Roman" w:hAnsi="Times New Roman" w:cs="Times New Roman"/>
          <w:bCs/>
          <w:sz w:val="28"/>
          <w:szCs w:val="28"/>
        </w:rPr>
        <w:t>)</w:t>
      </w:r>
    </w:p>
    <w:p w14:paraId="7C7D0CD3" w14:textId="6461F96E" w:rsidR="000E57C1" w:rsidRPr="003A6E5A" w:rsidRDefault="000E57C1" w:rsidP="001608EA">
      <w:pPr>
        <w:spacing w:after="0" w:line="240" w:lineRule="auto"/>
        <w:jc w:val="center"/>
        <w:rPr>
          <w:rFonts w:ascii="Times New Roman" w:hAnsi="Times New Roman" w:cs="Times New Roman"/>
          <w:bCs/>
          <w:sz w:val="28"/>
          <w:szCs w:val="28"/>
        </w:rPr>
      </w:pPr>
    </w:p>
    <w:p w14:paraId="1DAAD7B1" w14:textId="3E2155E7" w:rsidR="000E57C1" w:rsidRPr="003A6E5A" w:rsidRDefault="000E57C1" w:rsidP="001608EA">
      <w:pPr>
        <w:spacing w:after="0" w:line="240" w:lineRule="auto"/>
        <w:jc w:val="center"/>
        <w:rPr>
          <w:rFonts w:ascii="Times New Roman" w:hAnsi="Times New Roman" w:cs="Times New Roman"/>
          <w:bCs/>
          <w:sz w:val="28"/>
          <w:szCs w:val="28"/>
        </w:rPr>
      </w:pPr>
    </w:p>
    <w:p w14:paraId="1FE94607" w14:textId="53303C7B" w:rsidR="000E57C1" w:rsidRPr="003A6E5A" w:rsidRDefault="000E57C1" w:rsidP="001608EA">
      <w:pPr>
        <w:spacing w:after="0" w:line="240" w:lineRule="auto"/>
        <w:jc w:val="center"/>
        <w:rPr>
          <w:rFonts w:ascii="Times New Roman" w:hAnsi="Times New Roman" w:cs="Times New Roman"/>
          <w:bCs/>
          <w:sz w:val="28"/>
          <w:szCs w:val="28"/>
        </w:rPr>
      </w:pPr>
    </w:p>
    <w:p w14:paraId="7C8D0E86" w14:textId="4A7334B3" w:rsidR="000E57C1" w:rsidRPr="003A6E5A" w:rsidRDefault="000E57C1" w:rsidP="001608EA">
      <w:pPr>
        <w:spacing w:after="0" w:line="240" w:lineRule="auto"/>
        <w:jc w:val="center"/>
        <w:rPr>
          <w:rFonts w:ascii="Times New Roman" w:hAnsi="Times New Roman" w:cs="Times New Roman"/>
          <w:bCs/>
          <w:sz w:val="28"/>
          <w:szCs w:val="28"/>
        </w:rPr>
      </w:pPr>
    </w:p>
    <w:p w14:paraId="40B980FB" w14:textId="279601BD" w:rsidR="000E57C1" w:rsidRPr="003A6E5A" w:rsidRDefault="000E57C1" w:rsidP="001608EA">
      <w:pPr>
        <w:spacing w:after="0" w:line="240" w:lineRule="auto"/>
        <w:jc w:val="center"/>
        <w:rPr>
          <w:rFonts w:ascii="Times New Roman" w:hAnsi="Times New Roman" w:cs="Times New Roman"/>
          <w:bCs/>
          <w:sz w:val="28"/>
          <w:szCs w:val="28"/>
        </w:rPr>
      </w:pPr>
    </w:p>
    <w:p w14:paraId="40CD805C" w14:textId="26C214F4" w:rsidR="000E57C1" w:rsidRPr="003A6E5A" w:rsidRDefault="000E57C1" w:rsidP="001608EA">
      <w:pPr>
        <w:spacing w:after="0" w:line="240" w:lineRule="auto"/>
        <w:jc w:val="center"/>
        <w:rPr>
          <w:rFonts w:ascii="Times New Roman" w:hAnsi="Times New Roman" w:cs="Times New Roman"/>
          <w:bCs/>
          <w:sz w:val="28"/>
          <w:szCs w:val="28"/>
        </w:rPr>
      </w:pPr>
    </w:p>
    <w:p w14:paraId="3310B70E" w14:textId="62E8D6FA" w:rsidR="000E57C1" w:rsidRPr="003A6E5A" w:rsidRDefault="000E57C1" w:rsidP="000E57C1">
      <w:pPr>
        <w:spacing w:after="0" w:line="240" w:lineRule="auto"/>
        <w:ind w:left="4956" w:firstLine="708"/>
        <w:jc w:val="both"/>
        <w:rPr>
          <w:rFonts w:ascii="Times New Roman" w:hAnsi="Times New Roman" w:cs="Times New Roman"/>
          <w:bCs/>
          <w:sz w:val="28"/>
          <w:szCs w:val="28"/>
        </w:rPr>
      </w:pPr>
      <w:r w:rsidRPr="003A6E5A">
        <w:rPr>
          <w:rFonts w:ascii="Times New Roman" w:hAnsi="Times New Roman" w:cs="Times New Roman"/>
          <w:bCs/>
          <w:sz w:val="28"/>
          <w:szCs w:val="28"/>
        </w:rPr>
        <w:t>Научные консультанты</w:t>
      </w:r>
    </w:p>
    <w:p w14:paraId="70A96153" w14:textId="77BFBCB1" w:rsidR="000E57C1" w:rsidRPr="003A6E5A" w:rsidRDefault="000E57C1" w:rsidP="000E57C1">
      <w:pPr>
        <w:spacing w:after="0" w:line="240" w:lineRule="auto"/>
        <w:ind w:left="4956" w:firstLine="708"/>
        <w:jc w:val="both"/>
        <w:rPr>
          <w:rFonts w:ascii="Times New Roman" w:hAnsi="Times New Roman" w:cs="Times New Roman"/>
          <w:bCs/>
          <w:sz w:val="28"/>
          <w:szCs w:val="28"/>
        </w:rPr>
      </w:pPr>
      <w:r w:rsidRPr="003A6E5A">
        <w:rPr>
          <w:rFonts w:ascii="Times New Roman" w:hAnsi="Times New Roman" w:cs="Times New Roman"/>
          <w:bCs/>
          <w:sz w:val="28"/>
          <w:szCs w:val="28"/>
        </w:rPr>
        <w:t>доктор экономических наук,</w:t>
      </w:r>
    </w:p>
    <w:p w14:paraId="11B6C9E4" w14:textId="1F33E616" w:rsidR="000E57C1" w:rsidRPr="003A6E5A" w:rsidRDefault="000E57C1" w:rsidP="000E57C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t>профессор Арупов А.К.</w:t>
      </w:r>
    </w:p>
    <w:p w14:paraId="2A67C6A2" w14:textId="77777777" w:rsidR="000E57C1" w:rsidRPr="003A6E5A" w:rsidRDefault="000E57C1" w:rsidP="000E57C1">
      <w:pPr>
        <w:spacing w:after="0" w:line="240" w:lineRule="auto"/>
        <w:ind w:left="4956" w:firstLine="708"/>
        <w:jc w:val="both"/>
        <w:rPr>
          <w:rFonts w:ascii="Times New Roman" w:hAnsi="Times New Roman" w:cs="Times New Roman"/>
          <w:bCs/>
          <w:sz w:val="28"/>
          <w:szCs w:val="28"/>
        </w:rPr>
      </w:pPr>
      <w:r w:rsidRPr="003A6E5A">
        <w:rPr>
          <w:rFonts w:ascii="Times New Roman" w:hAnsi="Times New Roman" w:cs="Times New Roman"/>
          <w:bCs/>
          <w:sz w:val="28"/>
          <w:szCs w:val="28"/>
        </w:rPr>
        <w:t>доктор экономических наук,</w:t>
      </w:r>
    </w:p>
    <w:p w14:paraId="0B6952AF" w14:textId="2E47B6E1" w:rsidR="000E57C1" w:rsidRPr="003A6E5A" w:rsidRDefault="000E57C1" w:rsidP="000E57C1">
      <w:pPr>
        <w:spacing w:after="0" w:line="240" w:lineRule="auto"/>
        <w:rPr>
          <w:rFonts w:ascii="Times New Roman" w:hAnsi="Times New Roman" w:cs="Times New Roman"/>
          <w:bCs/>
          <w:sz w:val="28"/>
          <w:szCs w:val="28"/>
          <w:lang w:val="kk-KZ"/>
        </w:rPr>
      </w:pP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r>
      <w:r w:rsidRPr="003A6E5A">
        <w:rPr>
          <w:rFonts w:ascii="Times New Roman" w:hAnsi="Times New Roman" w:cs="Times New Roman"/>
          <w:bCs/>
          <w:sz w:val="28"/>
          <w:szCs w:val="28"/>
        </w:rPr>
        <w:tab/>
        <w:t>профессор</w:t>
      </w:r>
      <w:r w:rsidRPr="003A6E5A">
        <w:rPr>
          <w:rFonts w:ascii="Times New Roman" w:hAnsi="Times New Roman" w:cs="Times New Roman"/>
          <w:bCs/>
          <w:sz w:val="28"/>
          <w:szCs w:val="28"/>
          <w:lang w:val="kk-KZ"/>
        </w:rPr>
        <w:t xml:space="preserve"> </w:t>
      </w:r>
      <w:r w:rsidR="00B92192" w:rsidRPr="00B92192">
        <w:rPr>
          <w:rFonts w:ascii="Times New Roman" w:eastAsia="Times New Roman" w:hAnsi="Times New Roman" w:cs="Times New Roman"/>
          <w:sz w:val="28"/>
          <w:szCs w:val="28"/>
        </w:rPr>
        <w:t>Бучиуни</w:t>
      </w:r>
      <w:bookmarkStart w:id="0" w:name="_GoBack"/>
      <w:bookmarkEnd w:id="0"/>
      <w:r w:rsidRPr="003A6E5A">
        <w:rPr>
          <w:rFonts w:ascii="Times New Roman" w:hAnsi="Times New Roman" w:cs="Times New Roman"/>
          <w:bCs/>
          <w:sz w:val="28"/>
          <w:szCs w:val="28"/>
          <w:lang w:val="kk-KZ"/>
        </w:rPr>
        <w:t xml:space="preserve"> Дж.</w:t>
      </w:r>
    </w:p>
    <w:p w14:paraId="431A8F97" w14:textId="6D0375A2" w:rsidR="000E57C1" w:rsidRPr="003A6E5A" w:rsidRDefault="000E57C1" w:rsidP="000E57C1">
      <w:pPr>
        <w:spacing w:after="0" w:line="240" w:lineRule="auto"/>
        <w:rPr>
          <w:rFonts w:ascii="Times New Roman" w:hAnsi="Times New Roman" w:cs="Times New Roman"/>
          <w:b/>
          <w:bCs/>
          <w:sz w:val="28"/>
          <w:szCs w:val="28"/>
          <w:lang w:val="kk-KZ"/>
        </w:rPr>
      </w:pPr>
    </w:p>
    <w:p w14:paraId="38C4C9A1" w14:textId="7077F00A" w:rsidR="000E57C1" w:rsidRPr="003A6E5A" w:rsidRDefault="000E57C1" w:rsidP="000E57C1">
      <w:pPr>
        <w:spacing w:after="0" w:line="240" w:lineRule="auto"/>
        <w:rPr>
          <w:rFonts w:ascii="Times New Roman" w:hAnsi="Times New Roman" w:cs="Times New Roman"/>
          <w:b/>
          <w:bCs/>
          <w:sz w:val="28"/>
          <w:szCs w:val="28"/>
          <w:lang w:val="kk-KZ"/>
        </w:rPr>
      </w:pPr>
    </w:p>
    <w:p w14:paraId="4440A592" w14:textId="50707297" w:rsidR="000E57C1" w:rsidRPr="003A6E5A" w:rsidRDefault="000E57C1" w:rsidP="000E57C1">
      <w:pPr>
        <w:spacing w:after="0" w:line="240" w:lineRule="auto"/>
        <w:rPr>
          <w:rFonts w:ascii="Times New Roman" w:hAnsi="Times New Roman" w:cs="Times New Roman"/>
          <w:b/>
          <w:bCs/>
          <w:sz w:val="28"/>
          <w:szCs w:val="28"/>
          <w:lang w:val="kk-KZ"/>
        </w:rPr>
      </w:pPr>
    </w:p>
    <w:p w14:paraId="04E8F781" w14:textId="786BD1DF" w:rsidR="00EB06E9" w:rsidRPr="003A6E5A" w:rsidRDefault="00EB06E9" w:rsidP="000E57C1">
      <w:pPr>
        <w:spacing w:after="0" w:line="240" w:lineRule="auto"/>
        <w:rPr>
          <w:rFonts w:ascii="Times New Roman" w:hAnsi="Times New Roman" w:cs="Times New Roman"/>
          <w:b/>
          <w:bCs/>
          <w:sz w:val="28"/>
          <w:szCs w:val="28"/>
          <w:lang w:val="kk-KZ"/>
        </w:rPr>
      </w:pPr>
    </w:p>
    <w:p w14:paraId="5B5F5930" w14:textId="77777777" w:rsidR="00EB06E9" w:rsidRPr="003A6E5A" w:rsidRDefault="00EB06E9" w:rsidP="000E57C1">
      <w:pPr>
        <w:spacing w:after="0" w:line="240" w:lineRule="auto"/>
        <w:rPr>
          <w:rFonts w:ascii="Times New Roman" w:hAnsi="Times New Roman" w:cs="Times New Roman"/>
          <w:b/>
          <w:bCs/>
          <w:sz w:val="28"/>
          <w:szCs w:val="28"/>
          <w:lang w:val="kk-KZ"/>
        </w:rPr>
      </w:pPr>
    </w:p>
    <w:p w14:paraId="0970AE9F" w14:textId="42E7C2EF" w:rsidR="000E57C1" w:rsidRPr="003A6E5A" w:rsidRDefault="000E57C1" w:rsidP="000E57C1">
      <w:pPr>
        <w:spacing w:after="0" w:line="240" w:lineRule="auto"/>
        <w:rPr>
          <w:rFonts w:ascii="Times New Roman" w:hAnsi="Times New Roman" w:cs="Times New Roman"/>
          <w:b/>
          <w:bCs/>
          <w:sz w:val="28"/>
          <w:szCs w:val="28"/>
          <w:lang w:val="kk-KZ"/>
        </w:rPr>
      </w:pPr>
    </w:p>
    <w:p w14:paraId="502E1501" w14:textId="12E89A76" w:rsidR="000E57C1" w:rsidRPr="003A6E5A" w:rsidRDefault="000E57C1" w:rsidP="000E57C1">
      <w:pPr>
        <w:spacing w:after="0" w:line="240" w:lineRule="auto"/>
        <w:rPr>
          <w:rFonts w:ascii="Times New Roman" w:hAnsi="Times New Roman" w:cs="Times New Roman"/>
          <w:b/>
          <w:bCs/>
          <w:sz w:val="28"/>
          <w:szCs w:val="28"/>
          <w:lang w:val="kk-KZ"/>
        </w:rPr>
      </w:pPr>
    </w:p>
    <w:p w14:paraId="007A6535" w14:textId="4EA5C657" w:rsidR="000E57C1" w:rsidRPr="003A6E5A" w:rsidRDefault="000E57C1" w:rsidP="000E57C1">
      <w:pPr>
        <w:spacing w:after="0" w:line="240" w:lineRule="auto"/>
        <w:jc w:val="center"/>
        <w:rPr>
          <w:rFonts w:ascii="Times New Roman" w:hAnsi="Times New Roman" w:cs="Times New Roman"/>
          <w:bCs/>
          <w:sz w:val="28"/>
          <w:szCs w:val="28"/>
          <w:lang w:val="kk-KZ"/>
        </w:rPr>
      </w:pPr>
      <w:r w:rsidRPr="003A6E5A">
        <w:rPr>
          <w:rFonts w:ascii="Times New Roman" w:hAnsi="Times New Roman" w:cs="Times New Roman"/>
          <w:bCs/>
          <w:sz w:val="28"/>
          <w:szCs w:val="28"/>
          <w:lang w:val="kk-KZ"/>
        </w:rPr>
        <w:t>Республика Казахстан</w:t>
      </w:r>
    </w:p>
    <w:p w14:paraId="6A9A3872" w14:textId="73ED65F8" w:rsidR="008A0719" w:rsidRPr="003A6E5A" w:rsidRDefault="000E57C1" w:rsidP="00EB06E9">
      <w:pPr>
        <w:spacing w:after="0" w:line="240" w:lineRule="auto"/>
        <w:jc w:val="center"/>
        <w:rPr>
          <w:rFonts w:ascii="Times New Roman" w:hAnsi="Times New Roman" w:cs="Times New Roman"/>
          <w:b/>
          <w:bCs/>
          <w:sz w:val="28"/>
          <w:szCs w:val="28"/>
          <w:lang w:val="kk-KZ"/>
        </w:rPr>
      </w:pPr>
      <w:r w:rsidRPr="003A6E5A">
        <w:rPr>
          <w:rFonts w:ascii="Times New Roman" w:hAnsi="Times New Roman" w:cs="Times New Roman"/>
          <w:bCs/>
          <w:sz w:val="28"/>
          <w:szCs w:val="28"/>
          <w:lang w:val="kk-KZ"/>
        </w:rPr>
        <w:t>Алматы, 2025</w:t>
      </w:r>
      <w:r w:rsidR="008A0719" w:rsidRPr="003A6E5A">
        <w:rPr>
          <w:rFonts w:ascii="Times New Roman" w:hAnsi="Times New Roman" w:cs="Times New Roman"/>
          <w:b/>
          <w:bCs/>
          <w:sz w:val="28"/>
          <w:szCs w:val="28"/>
          <w:lang w:val="kk-KZ"/>
        </w:rPr>
        <w:br w:type="page"/>
      </w:r>
    </w:p>
    <w:p w14:paraId="5CE18581" w14:textId="214AC3E1" w:rsidR="0003217D" w:rsidRPr="003A6E5A" w:rsidRDefault="008A0719" w:rsidP="001608EA">
      <w:pPr>
        <w:spacing w:after="0" w:line="240" w:lineRule="auto"/>
        <w:jc w:val="center"/>
        <w:rPr>
          <w:rFonts w:ascii="Times New Roman" w:hAnsi="Times New Roman" w:cs="Times New Roman"/>
          <w:b/>
          <w:bCs/>
          <w:sz w:val="28"/>
          <w:szCs w:val="28"/>
          <w:lang w:val="kk-KZ"/>
        </w:rPr>
      </w:pPr>
      <w:r w:rsidRPr="003A6E5A">
        <w:rPr>
          <w:rFonts w:ascii="Times New Roman" w:hAnsi="Times New Roman" w:cs="Times New Roman"/>
          <w:b/>
          <w:bCs/>
          <w:sz w:val="28"/>
          <w:szCs w:val="28"/>
          <w:lang w:val="kk-KZ"/>
        </w:rPr>
        <w:lastRenderedPageBreak/>
        <w:t>СОДЕРЖАНИЕ</w:t>
      </w:r>
    </w:p>
    <w:p w14:paraId="63BB3063" w14:textId="77777777" w:rsidR="008A0719" w:rsidRPr="003A6E5A" w:rsidRDefault="008A0719" w:rsidP="001608EA">
      <w:pPr>
        <w:spacing w:after="0" w:line="240" w:lineRule="auto"/>
        <w:jc w:val="center"/>
        <w:rPr>
          <w:rFonts w:ascii="Times New Roman" w:hAnsi="Times New Roman" w:cs="Times New Roman"/>
          <w:b/>
          <w:bCs/>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8218"/>
        <w:gridCol w:w="674"/>
      </w:tblGrid>
      <w:tr w:rsidR="00B02CF8" w:rsidRPr="003A6E5A" w14:paraId="1F4AC78A" w14:textId="77777777" w:rsidTr="00D22C8B">
        <w:tc>
          <w:tcPr>
            <w:tcW w:w="8918" w:type="dxa"/>
            <w:gridSpan w:val="2"/>
          </w:tcPr>
          <w:p w14:paraId="4064F1AD" w14:textId="30553412" w:rsidR="008A0719" w:rsidRPr="003A6E5A" w:rsidRDefault="008A0719" w:rsidP="001608EA">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rPr>
              <w:t>ОБОЗНАЧЕНИЯ И СОКРАЩЕНИЯ</w:t>
            </w:r>
            <w:r w:rsidR="009A15D4" w:rsidRPr="003A6E5A">
              <w:rPr>
                <w:rFonts w:ascii="Times New Roman" w:hAnsi="Times New Roman" w:cs="Times New Roman"/>
                <w:b/>
                <w:bCs/>
                <w:sz w:val="28"/>
                <w:szCs w:val="28"/>
              </w:rPr>
              <w:t xml:space="preserve"> ……………………………………</w:t>
            </w:r>
          </w:p>
        </w:tc>
        <w:tc>
          <w:tcPr>
            <w:tcW w:w="674" w:type="dxa"/>
          </w:tcPr>
          <w:p w14:paraId="7B985D93" w14:textId="0BCF090D" w:rsidR="008A0719" w:rsidRPr="003A6E5A" w:rsidRDefault="009A15D4" w:rsidP="001608EA">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lang w:val="kk-KZ"/>
              </w:rPr>
              <w:t>3</w:t>
            </w:r>
          </w:p>
        </w:tc>
      </w:tr>
      <w:tr w:rsidR="00B02CF8" w:rsidRPr="003A6E5A" w14:paraId="13C9CF00" w14:textId="77777777" w:rsidTr="00D22C8B">
        <w:tc>
          <w:tcPr>
            <w:tcW w:w="8918" w:type="dxa"/>
            <w:gridSpan w:val="2"/>
          </w:tcPr>
          <w:p w14:paraId="2EF7788C" w14:textId="5403B481" w:rsidR="008A0719" w:rsidRPr="003A6E5A" w:rsidRDefault="008A0719" w:rsidP="001608EA">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lang w:val="kk-KZ"/>
              </w:rPr>
              <w:t>ВВЕДЕНИЕ</w:t>
            </w:r>
            <w:r w:rsidR="009A15D4" w:rsidRPr="003A6E5A">
              <w:rPr>
                <w:rFonts w:ascii="Times New Roman" w:hAnsi="Times New Roman" w:cs="Times New Roman"/>
                <w:b/>
                <w:bCs/>
                <w:sz w:val="28"/>
                <w:szCs w:val="28"/>
                <w:lang w:val="kk-KZ"/>
              </w:rPr>
              <w:t xml:space="preserve"> .....................................................................................................</w:t>
            </w:r>
          </w:p>
        </w:tc>
        <w:tc>
          <w:tcPr>
            <w:tcW w:w="674" w:type="dxa"/>
          </w:tcPr>
          <w:p w14:paraId="66D851DF" w14:textId="319888F8" w:rsidR="008A0719" w:rsidRPr="003A6E5A" w:rsidRDefault="00D760C9" w:rsidP="001608EA">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lang w:val="kk-KZ"/>
              </w:rPr>
              <w:t>5</w:t>
            </w:r>
          </w:p>
        </w:tc>
      </w:tr>
      <w:tr w:rsidR="00B02CF8" w:rsidRPr="003A6E5A" w14:paraId="19347A37" w14:textId="77777777" w:rsidTr="00D22C8B">
        <w:tc>
          <w:tcPr>
            <w:tcW w:w="8918" w:type="dxa"/>
            <w:gridSpan w:val="2"/>
          </w:tcPr>
          <w:p w14:paraId="4C240A81" w14:textId="0B8DDEE1" w:rsidR="008A0719" w:rsidRPr="003A6E5A" w:rsidRDefault="008A0719" w:rsidP="008A0719">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rPr>
              <w:t>1</w:t>
            </w:r>
            <w:r w:rsidRPr="003A6E5A">
              <w:rPr>
                <w:rFonts w:ascii="Times New Roman" w:hAnsi="Times New Roman" w:cs="Times New Roman"/>
                <w:b/>
                <w:bCs/>
                <w:sz w:val="28"/>
                <w:szCs w:val="28"/>
                <w:lang w:val="kk-KZ"/>
              </w:rPr>
              <w:t xml:space="preserve"> ТЕОРЕТИКО-МЕТОДОЛОГИЧЕСКИЕ ОСНОВЫ ИНВЕСТИЦИОННОГО СОТРУДНИЧЕСТВА И ПРОСТРАНСТВЕННОГО АНАЛИЗА</w:t>
            </w:r>
            <w:r w:rsidR="009A15D4" w:rsidRPr="003A6E5A">
              <w:rPr>
                <w:rFonts w:ascii="Times New Roman" w:hAnsi="Times New Roman" w:cs="Times New Roman"/>
                <w:b/>
                <w:bCs/>
                <w:sz w:val="28"/>
                <w:szCs w:val="28"/>
                <w:lang w:val="kk-KZ"/>
              </w:rPr>
              <w:t xml:space="preserve"> ......................................................</w:t>
            </w:r>
          </w:p>
        </w:tc>
        <w:tc>
          <w:tcPr>
            <w:tcW w:w="674" w:type="dxa"/>
          </w:tcPr>
          <w:p w14:paraId="5BF7D93F" w14:textId="77777777" w:rsidR="008A0719" w:rsidRPr="003A6E5A" w:rsidRDefault="008A0719" w:rsidP="001608EA">
            <w:pPr>
              <w:spacing w:after="0" w:line="240" w:lineRule="auto"/>
              <w:rPr>
                <w:rFonts w:ascii="Times New Roman" w:hAnsi="Times New Roman" w:cs="Times New Roman"/>
                <w:b/>
                <w:bCs/>
                <w:sz w:val="28"/>
                <w:szCs w:val="28"/>
                <w:lang w:val="kk-KZ"/>
              </w:rPr>
            </w:pPr>
          </w:p>
          <w:p w14:paraId="5A2B674F" w14:textId="77777777" w:rsidR="00BC56E5" w:rsidRPr="003A6E5A" w:rsidRDefault="00BC56E5" w:rsidP="001608EA">
            <w:pPr>
              <w:spacing w:after="0" w:line="240" w:lineRule="auto"/>
              <w:rPr>
                <w:rFonts w:ascii="Times New Roman" w:hAnsi="Times New Roman" w:cs="Times New Roman"/>
                <w:b/>
                <w:bCs/>
                <w:sz w:val="28"/>
                <w:szCs w:val="28"/>
                <w:lang w:val="kk-KZ"/>
              </w:rPr>
            </w:pPr>
          </w:p>
          <w:p w14:paraId="1DB3E3BD" w14:textId="28EC21BC" w:rsidR="00BC56E5" w:rsidRPr="003A6E5A" w:rsidRDefault="00BC56E5" w:rsidP="001608EA">
            <w:pPr>
              <w:spacing w:after="0" w:line="240" w:lineRule="auto"/>
              <w:rPr>
                <w:rFonts w:ascii="Times New Roman" w:hAnsi="Times New Roman" w:cs="Times New Roman"/>
                <w:b/>
                <w:bCs/>
                <w:sz w:val="28"/>
                <w:szCs w:val="28"/>
                <w:lang w:val="en-US"/>
              </w:rPr>
            </w:pPr>
            <w:r w:rsidRPr="003A6E5A">
              <w:rPr>
                <w:rFonts w:ascii="Times New Roman" w:hAnsi="Times New Roman" w:cs="Times New Roman"/>
                <w:b/>
                <w:bCs/>
                <w:sz w:val="28"/>
                <w:szCs w:val="28"/>
              </w:rPr>
              <w:t>1</w:t>
            </w:r>
            <w:r w:rsidR="00766208" w:rsidRPr="003A6E5A">
              <w:rPr>
                <w:rFonts w:ascii="Times New Roman" w:hAnsi="Times New Roman" w:cs="Times New Roman"/>
                <w:b/>
                <w:bCs/>
                <w:sz w:val="28"/>
                <w:szCs w:val="28"/>
                <w:lang w:val="en-US"/>
              </w:rPr>
              <w:t>7</w:t>
            </w:r>
          </w:p>
        </w:tc>
      </w:tr>
      <w:tr w:rsidR="00B02CF8" w:rsidRPr="003A6E5A" w14:paraId="4DE6BDE1" w14:textId="77777777" w:rsidTr="00D22C8B">
        <w:tc>
          <w:tcPr>
            <w:tcW w:w="700" w:type="dxa"/>
          </w:tcPr>
          <w:p w14:paraId="0D415E6F" w14:textId="77777777" w:rsidR="0003217D" w:rsidRPr="003A6E5A" w:rsidRDefault="00FC275D" w:rsidP="001608EA">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1.1</w:t>
            </w:r>
          </w:p>
        </w:tc>
        <w:tc>
          <w:tcPr>
            <w:tcW w:w="8218" w:type="dxa"/>
          </w:tcPr>
          <w:p w14:paraId="1FD0829F" w14:textId="2B4832EA"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kk-KZ"/>
              </w:rPr>
              <w:t>Понятие и формы инвестицонного сотрудничества в условиях глобализации</w:t>
            </w:r>
            <w:r w:rsidR="00BC56E5" w:rsidRPr="003A6E5A">
              <w:rPr>
                <w:rFonts w:ascii="Times New Roman" w:hAnsi="Times New Roman" w:cs="Times New Roman"/>
                <w:sz w:val="28"/>
                <w:szCs w:val="28"/>
                <w:lang w:val="kk-KZ"/>
              </w:rPr>
              <w:t xml:space="preserve"> ..........................................................................................</w:t>
            </w:r>
          </w:p>
        </w:tc>
        <w:tc>
          <w:tcPr>
            <w:tcW w:w="674" w:type="dxa"/>
          </w:tcPr>
          <w:p w14:paraId="46331AB4" w14:textId="77777777" w:rsidR="0003217D" w:rsidRPr="003A6E5A" w:rsidRDefault="0003217D" w:rsidP="001608EA">
            <w:pPr>
              <w:spacing w:after="0" w:line="240" w:lineRule="auto"/>
              <w:rPr>
                <w:rFonts w:ascii="Times New Roman" w:hAnsi="Times New Roman" w:cs="Times New Roman"/>
                <w:sz w:val="28"/>
                <w:szCs w:val="28"/>
                <w:lang w:val="kk-KZ"/>
              </w:rPr>
            </w:pPr>
          </w:p>
          <w:p w14:paraId="1D2FCD61" w14:textId="231C18D9" w:rsidR="00BC56E5" w:rsidRPr="003A6E5A" w:rsidRDefault="00BC56E5"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kk-KZ"/>
              </w:rPr>
              <w:t>1</w:t>
            </w:r>
            <w:r w:rsidR="00766208" w:rsidRPr="003A6E5A">
              <w:rPr>
                <w:rFonts w:ascii="Times New Roman" w:hAnsi="Times New Roman" w:cs="Times New Roman"/>
                <w:sz w:val="28"/>
                <w:szCs w:val="28"/>
                <w:lang w:val="en-US"/>
              </w:rPr>
              <w:t>7</w:t>
            </w:r>
          </w:p>
        </w:tc>
      </w:tr>
      <w:tr w:rsidR="00B02CF8" w:rsidRPr="003A6E5A" w14:paraId="514323D9" w14:textId="77777777" w:rsidTr="00D22C8B">
        <w:tc>
          <w:tcPr>
            <w:tcW w:w="700" w:type="dxa"/>
          </w:tcPr>
          <w:p w14:paraId="3653F019" w14:textId="0184F4DE"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1.</w:t>
            </w:r>
            <w:r w:rsidR="008C20E1" w:rsidRPr="003A6E5A">
              <w:rPr>
                <w:rFonts w:ascii="Times New Roman" w:hAnsi="Times New Roman" w:cs="Times New Roman"/>
                <w:sz w:val="28"/>
                <w:szCs w:val="28"/>
                <w:lang w:val="en-US"/>
              </w:rPr>
              <w:t>2</w:t>
            </w:r>
          </w:p>
        </w:tc>
        <w:tc>
          <w:tcPr>
            <w:tcW w:w="8218" w:type="dxa"/>
          </w:tcPr>
          <w:p w14:paraId="4D2EB1D8" w14:textId="283A9DBA"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Методологи</w:t>
            </w:r>
            <w:r w:rsidRPr="003A6E5A">
              <w:rPr>
                <w:rFonts w:ascii="Times New Roman" w:hAnsi="Times New Roman" w:cs="Times New Roman"/>
                <w:sz w:val="28"/>
                <w:szCs w:val="28"/>
                <w:lang w:val="kk-KZ"/>
              </w:rPr>
              <w:t>ческие подходы к оценке инвестиционного потенциала</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и разработке интегральных показателей</w:t>
            </w:r>
            <w:r w:rsidR="00BC56E5" w:rsidRPr="003A6E5A">
              <w:rPr>
                <w:rFonts w:ascii="Times New Roman" w:hAnsi="Times New Roman" w:cs="Times New Roman"/>
                <w:sz w:val="28"/>
                <w:szCs w:val="28"/>
                <w:lang w:val="kk-KZ"/>
              </w:rPr>
              <w:t xml:space="preserve"> ..............................................</w:t>
            </w:r>
          </w:p>
        </w:tc>
        <w:tc>
          <w:tcPr>
            <w:tcW w:w="674" w:type="dxa"/>
          </w:tcPr>
          <w:p w14:paraId="4EB4AEF2" w14:textId="77777777" w:rsidR="0003217D" w:rsidRPr="003A6E5A" w:rsidRDefault="0003217D" w:rsidP="001608EA">
            <w:pPr>
              <w:spacing w:after="0" w:line="240" w:lineRule="auto"/>
              <w:rPr>
                <w:rFonts w:ascii="Times New Roman" w:hAnsi="Times New Roman" w:cs="Times New Roman"/>
                <w:sz w:val="28"/>
                <w:szCs w:val="28"/>
                <w:lang w:val="kk-KZ"/>
              </w:rPr>
            </w:pPr>
          </w:p>
          <w:p w14:paraId="13697F3E" w14:textId="6A6E57E8" w:rsidR="00E3602F" w:rsidRPr="003A6E5A" w:rsidRDefault="00D760C9"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kk-KZ"/>
              </w:rPr>
              <w:t>3</w:t>
            </w:r>
            <w:r w:rsidR="00766208" w:rsidRPr="003A6E5A">
              <w:rPr>
                <w:rFonts w:ascii="Times New Roman" w:hAnsi="Times New Roman" w:cs="Times New Roman"/>
                <w:sz w:val="28"/>
                <w:szCs w:val="28"/>
                <w:lang w:val="en-US"/>
              </w:rPr>
              <w:t>3</w:t>
            </w:r>
          </w:p>
        </w:tc>
      </w:tr>
      <w:tr w:rsidR="00B02CF8" w:rsidRPr="003A6E5A" w14:paraId="164937B9" w14:textId="77777777" w:rsidTr="00D22C8B">
        <w:tc>
          <w:tcPr>
            <w:tcW w:w="700" w:type="dxa"/>
          </w:tcPr>
          <w:p w14:paraId="17C309C3" w14:textId="3372856B" w:rsidR="0003217D" w:rsidRPr="003A6E5A" w:rsidRDefault="00FC275D" w:rsidP="001608EA">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en-US"/>
              </w:rPr>
              <w:t>1.</w:t>
            </w:r>
            <w:r w:rsidR="008C20E1" w:rsidRPr="003A6E5A">
              <w:rPr>
                <w:rFonts w:ascii="Times New Roman" w:hAnsi="Times New Roman" w:cs="Times New Roman"/>
                <w:sz w:val="28"/>
                <w:szCs w:val="28"/>
                <w:lang w:val="en-US"/>
              </w:rPr>
              <w:t>3</w:t>
            </w:r>
          </w:p>
        </w:tc>
        <w:tc>
          <w:tcPr>
            <w:tcW w:w="8218" w:type="dxa"/>
          </w:tcPr>
          <w:p w14:paraId="305A2DB8" w14:textId="1CCB54C2"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kk-KZ"/>
              </w:rPr>
              <w:t>Простр</w:t>
            </w:r>
            <w:r w:rsidRPr="003A6E5A">
              <w:rPr>
                <w:rFonts w:ascii="Times New Roman" w:hAnsi="Times New Roman" w:cs="Times New Roman"/>
                <w:sz w:val="28"/>
                <w:szCs w:val="28"/>
              </w:rPr>
              <w:t>а</w:t>
            </w:r>
            <w:r w:rsidRPr="003A6E5A">
              <w:rPr>
                <w:rFonts w:ascii="Times New Roman" w:hAnsi="Times New Roman" w:cs="Times New Roman"/>
                <w:sz w:val="28"/>
                <w:szCs w:val="28"/>
                <w:lang w:val="kk-KZ"/>
              </w:rPr>
              <w:t>нственные авторегрессионные модели: сущность, типы и возможности применения в инвестивицонных исследованиях</w:t>
            </w:r>
            <w:r w:rsidR="00BC56E5" w:rsidRPr="003A6E5A">
              <w:rPr>
                <w:rFonts w:ascii="Times New Roman" w:hAnsi="Times New Roman" w:cs="Times New Roman"/>
                <w:sz w:val="28"/>
                <w:szCs w:val="28"/>
                <w:lang w:val="kk-KZ"/>
              </w:rPr>
              <w:t xml:space="preserve"> .........</w:t>
            </w:r>
          </w:p>
        </w:tc>
        <w:tc>
          <w:tcPr>
            <w:tcW w:w="674" w:type="dxa"/>
          </w:tcPr>
          <w:p w14:paraId="13AC3213" w14:textId="77777777" w:rsidR="0003217D" w:rsidRPr="003A6E5A" w:rsidRDefault="0003217D" w:rsidP="001608EA">
            <w:pPr>
              <w:spacing w:after="0" w:line="240" w:lineRule="auto"/>
              <w:rPr>
                <w:rFonts w:ascii="Times New Roman" w:hAnsi="Times New Roman" w:cs="Times New Roman"/>
                <w:sz w:val="28"/>
                <w:szCs w:val="28"/>
                <w:lang w:val="kk-KZ"/>
              </w:rPr>
            </w:pPr>
          </w:p>
          <w:p w14:paraId="0E98C84F" w14:textId="0294480B" w:rsidR="00E3602F" w:rsidRPr="003A6E5A" w:rsidRDefault="00D44C58"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rPr>
              <w:t>4</w:t>
            </w:r>
            <w:r w:rsidR="00766208" w:rsidRPr="003A6E5A">
              <w:rPr>
                <w:rFonts w:ascii="Times New Roman" w:hAnsi="Times New Roman" w:cs="Times New Roman"/>
                <w:sz w:val="28"/>
                <w:szCs w:val="28"/>
                <w:lang w:val="en-US"/>
              </w:rPr>
              <w:t>7</w:t>
            </w:r>
          </w:p>
        </w:tc>
      </w:tr>
      <w:tr w:rsidR="00B02CF8" w:rsidRPr="003A6E5A" w14:paraId="43E4A1BE" w14:textId="77777777" w:rsidTr="00D22C8B">
        <w:tc>
          <w:tcPr>
            <w:tcW w:w="8918" w:type="dxa"/>
            <w:gridSpan w:val="2"/>
          </w:tcPr>
          <w:p w14:paraId="1045C71E" w14:textId="2D5BCB33" w:rsidR="008A0719" w:rsidRPr="003A6E5A" w:rsidRDefault="008A0719" w:rsidP="008A0719">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rPr>
              <w:t>2</w:t>
            </w:r>
            <w:r w:rsidRPr="003A6E5A">
              <w:rPr>
                <w:rFonts w:ascii="Times New Roman" w:hAnsi="Times New Roman" w:cs="Times New Roman"/>
                <w:b/>
                <w:bCs/>
                <w:sz w:val="28"/>
                <w:szCs w:val="28"/>
                <w:lang w:val="kk-KZ"/>
              </w:rPr>
              <w:t xml:space="preserve"> </w:t>
            </w:r>
            <w:r w:rsidR="008C20E1" w:rsidRPr="003A6E5A">
              <w:rPr>
                <w:rFonts w:ascii="Times New Roman" w:hAnsi="Times New Roman" w:cs="Times New Roman"/>
                <w:b/>
                <w:bCs/>
                <w:sz w:val="28"/>
                <w:szCs w:val="28"/>
                <w:lang w:val="kk-KZ"/>
              </w:rPr>
              <w:t xml:space="preserve">ОЦЕНКА ИНВЕСТИЦИОННОГО ПОТЕНЦИАЛА И ФАКТОРОВ РАЗВИТИЯ ЕВРОПЕЙСКИХ ИНВЕСТИЦИЙ В КАЗАХСТАНЕ </w:t>
            </w:r>
            <w:r w:rsidR="00BC56E5" w:rsidRPr="003A6E5A">
              <w:rPr>
                <w:rFonts w:ascii="Times New Roman" w:hAnsi="Times New Roman" w:cs="Times New Roman"/>
                <w:b/>
                <w:bCs/>
                <w:sz w:val="28"/>
                <w:szCs w:val="28"/>
                <w:lang w:val="kk-KZ"/>
              </w:rPr>
              <w:t>......</w:t>
            </w:r>
          </w:p>
        </w:tc>
        <w:tc>
          <w:tcPr>
            <w:tcW w:w="674" w:type="dxa"/>
          </w:tcPr>
          <w:p w14:paraId="538F3C73" w14:textId="77777777" w:rsidR="008A0719" w:rsidRPr="003A6E5A" w:rsidRDefault="008A0719" w:rsidP="001608EA">
            <w:pPr>
              <w:spacing w:after="0" w:line="240" w:lineRule="auto"/>
              <w:rPr>
                <w:rFonts w:ascii="Times New Roman" w:hAnsi="Times New Roman" w:cs="Times New Roman"/>
                <w:b/>
                <w:bCs/>
                <w:sz w:val="28"/>
                <w:szCs w:val="28"/>
                <w:lang w:val="kk-KZ"/>
              </w:rPr>
            </w:pPr>
          </w:p>
          <w:p w14:paraId="5FF48D7B" w14:textId="45C70BA9" w:rsidR="00E3602F" w:rsidRPr="003A6E5A" w:rsidRDefault="00D44C58" w:rsidP="001608EA">
            <w:pPr>
              <w:spacing w:after="0" w:line="240" w:lineRule="auto"/>
              <w:rPr>
                <w:rFonts w:ascii="Times New Roman" w:hAnsi="Times New Roman" w:cs="Times New Roman"/>
                <w:b/>
                <w:bCs/>
                <w:sz w:val="28"/>
                <w:szCs w:val="28"/>
                <w:lang w:val="en-US"/>
              </w:rPr>
            </w:pPr>
            <w:r w:rsidRPr="003A6E5A">
              <w:rPr>
                <w:rFonts w:ascii="Times New Roman" w:hAnsi="Times New Roman" w:cs="Times New Roman"/>
                <w:b/>
                <w:bCs/>
                <w:sz w:val="28"/>
                <w:szCs w:val="28"/>
              </w:rPr>
              <w:t>5</w:t>
            </w:r>
            <w:r w:rsidR="00766208" w:rsidRPr="003A6E5A">
              <w:rPr>
                <w:rFonts w:ascii="Times New Roman" w:hAnsi="Times New Roman" w:cs="Times New Roman"/>
                <w:b/>
                <w:bCs/>
                <w:sz w:val="28"/>
                <w:szCs w:val="28"/>
                <w:lang w:val="en-US"/>
              </w:rPr>
              <w:t>9</w:t>
            </w:r>
          </w:p>
        </w:tc>
      </w:tr>
      <w:tr w:rsidR="00B02CF8" w:rsidRPr="003A6E5A" w14:paraId="23E8B7C4" w14:textId="77777777" w:rsidTr="00D22C8B">
        <w:tc>
          <w:tcPr>
            <w:tcW w:w="700" w:type="dxa"/>
          </w:tcPr>
          <w:p w14:paraId="351DCBBE" w14:textId="22C9012E" w:rsidR="008C20E1" w:rsidRPr="003A6E5A" w:rsidRDefault="008C20E1" w:rsidP="008C20E1">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2.1</w:t>
            </w:r>
          </w:p>
        </w:tc>
        <w:tc>
          <w:tcPr>
            <w:tcW w:w="8218" w:type="dxa"/>
          </w:tcPr>
          <w:p w14:paraId="531E0A12" w14:textId="54030A4E"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rPr>
              <w:t>Особенности инвестиционного взаимодействия между странами Центральной Азии и государствами Европейского Союза</w:t>
            </w:r>
            <w:r w:rsidRPr="003A6E5A">
              <w:rPr>
                <w:rFonts w:ascii="Times New Roman" w:hAnsi="Times New Roman" w:cs="Times New Roman"/>
                <w:sz w:val="28"/>
                <w:szCs w:val="28"/>
                <w:lang w:val="kk-KZ"/>
              </w:rPr>
              <w:t xml:space="preserve"> ................</w:t>
            </w:r>
          </w:p>
        </w:tc>
        <w:tc>
          <w:tcPr>
            <w:tcW w:w="674" w:type="dxa"/>
          </w:tcPr>
          <w:p w14:paraId="1ACF2586" w14:textId="77777777" w:rsidR="008C20E1" w:rsidRPr="003A6E5A" w:rsidRDefault="008C20E1" w:rsidP="008C20E1">
            <w:pPr>
              <w:spacing w:after="0" w:line="240" w:lineRule="auto"/>
              <w:rPr>
                <w:rFonts w:ascii="Times New Roman" w:hAnsi="Times New Roman" w:cs="Times New Roman"/>
                <w:sz w:val="28"/>
                <w:szCs w:val="28"/>
              </w:rPr>
            </w:pPr>
          </w:p>
          <w:p w14:paraId="42752A68" w14:textId="144248E3" w:rsidR="00D44C58" w:rsidRPr="003A6E5A" w:rsidRDefault="00D44C58" w:rsidP="008C20E1">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rPr>
              <w:t>5</w:t>
            </w:r>
            <w:r w:rsidR="00766208" w:rsidRPr="003A6E5A">
              <w:rPr>
                <w:rFonts w:ascii="Times New Roman" w:hAnsi="Times New Roman" w:cs="Times New Roman"/>
                <w:sz w:val="28"/>
                <w:szCs w:val="28"/>
                <w:lang w:val="en-US"/>
              </w:rPr>
              <w:t>9</w:t>
            </w:r>
          </w:p>
        </w:tc>
      </w:tr>
      <w:tr w:rsidR="00B02CF8" w:rsidRPr="003A6E5A" w14:paraId="28493CD8" w14:textId="77777777" w:rsidTr="00D22C8B">
        <w:tc>
          <w:tcPr>
            <w:tcW w:w="700" w:type="dxa"/>
          </w:tcPr>
          <w:p w14:paraId="480C9788" w14:textId="3E08E6E4" w:rsidR="008C20E1" w:rsidRPr="003A6E5A" w:rsidRDefault="008C20E1" w:rsidP="008C20E1">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kk-KZ"/>
              </w:rPr>
              <w:t>2.</w:t>
            </w:r>
            <w:r w:rsidRPr="003A6E5A">
              <w:rPr>
                <w:rFonts w:ascii="Times New Roman" w:hAnsi="Times New Roman" w:cs="Times New Roman"/>
                <w:sz w:val="28"/>
                <w:szCs w:val="28"/>
              </w:rPr>
              <w:t>2</w:t>
            </w:r>
          </w:p>
        </w:tc>
        <w:tc>
          <w:tcPr>
            <w:tcW w:w="8218" w:type="dxa"/>
          </w:tcPr>
          <w:p w14:paraId="261E1D71" w14:textId="3840F576"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rPr>
              <w:t>Оценка влияния пространственной автокорреляции на инвестиционный потенциал и фактический поток инвестиций ……</w:t>
            </w:r>
          </w:p>
        </w:tc>
        <w:tc>
          <w:tcPr>
            <w:tcW w:w="674" w:type="dxa"/>
          </w:tcPr>
          <w:p w14:paraId="2C6F9B67" w14:textId="77777777" w:rsidR="008C20E1" w:rsidRPr="003A6E5A" w:rsidRDefault="008C20E1" w:rsidP="008C20E1">
            <w:pPr>
              <w:spacing w:after="0" w:line="240" w:lineRule="auto"/>
              <w:rPr>
                <w:rFonts w:ascii="Times New Roman" w:hAnsi="Times New Roman" w:cs="Times New Roman"/>
                <w:sz w:val="28"/>
                <w:szCs w:val="28"/>
                <w:lang w:val="kk-KZ"/>
              </w:rPr>
            </w:pPr>
          </w:p>
          <w:p w14:paraId="6C5C3424" w14:textId="789A4A7B" w:rsidR="008C20E1" w:rsidRPr="003A6E5A" w:rsidRDefault="0080309D" w:rsidP="008C20E1">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rPr>
              <w:t>7</w:t>
            </w:r>
            <w:r w:rsidR="00766208" w:rsidRPr="003A6E5A">
              <w:rPr>
                <w:rFonts w:ascii="Times New Roman" w:hAnsi="Times New Roman" w:cs="Times New Roman"/>
                <w:sz w:val="28"/>
                <w:szCs w:val="28"/>
                <w:lang w:val="en-US"/>
              </w:rPr>
              <w:t>2</w:t>
            </w:r>
          </w:p>
        </w:tc>
      </w:tr>
      <w:tr w:rsidR="00B02CF8" w:rsidRPr="003A6E5A" w14:paraId="44A5C36E" w14:textId="77777777" w:rsidTr="00D22C8B">
        <w:tc>
          <w:tcPr>
            <w:tcW w:w="700" w:type="dxa"/>
          </w:tcPr>
          <w:p w14:paraId="1CAFF660" w14:textId="49D8731F"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2.3</w:t>
            </w:r>
          </w:p>
        </w:tc>
        <w:tc>
          <w:tcPr>
            <w:tcW w:w="8218" w:type="dxa"/>
          </w:tcPr>
          <w:p w14:paraId="258B746D" w14:textId="053AC4D2"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rPr>
              <w:t>Оценка пространственных авторегрессионных моделей на основе региональных данных Республики Казахстан ……………………….</w:t>
            </w:r>
          </w:p>
        </w:tc>
        <w:tc>
          <w:tcPr>
            <w:tcW w:w="674" w:type="dxa"/>
          </w:tcPr>
          <w:p w14:paraId="34A96DCA" w14:textId="77777777" w:rsidR="008C20E1" w:rsidRPr="003A6E5A" w:rsidRDefault="008C20E1" w:rsidP="008C20E1">
            <w:pPr>
              <w:spacing w:after="0" w:line="240" w:lineRule="auto"/>
              <w:rPr>
                <w:rFonts w:ascii="Times New Roman" w:hAnsi="Times New Roman" w:cs="Times New Roman"/>
                <w:sz w:val="28"/>
                <w:szCs w:val="28"/>
                <w:lang w:val="kk-KZ"/>
              </w:rPr>
            </w:pPr>
          </w:p>
          <w:p w14:paraId="71FE523C" w14:textId="6DB15D49" w:rsidR="008C20E1" w:rsidRPr="003A6E5A" w:rsidRDefault="00D44C58" w:rsidP="008C20E1">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rPr>
              <w:t>8</w:t>
            </w:r>
            <w:r w:rsidR="00766208" w:rsidRPr="003A6E5A">
              <w:rPr>
                <w:rFonts w:ascii="Times New Roman" w:hAnsi="Times New Roman" w:cs="Times New Roman"/>
                <w:sz w:val="28"/>
                <w:szCs w:val="28"/>
                <w:lang w:val="en-US"/>
              </w:rPr>
              <w:t>7</w:t>
            </w:r>
          </w:p>
        </w:tc>
      </w:tr>
      <w:tr w:rsidR="00B02CF8" w:rsidRPr="003A6E5A" w14:paraId="5169E598" w14:textId="77777777" w:rsidTr="00D22C8B">
        <w:tc>
          <w:tcPr>
            <w:tcW w:w="8918" w:type="dxa"/>
            <w:gridSpan w:val="2"/>
          </w:tcPr>
          <w:p w14:paraId="11E5194A" w14:textId="15D29AC1" w:rsidR="008C20E1" w:rsidRPr="003A6E5A" w:rsidRDefault="008C20E1" w:rsidP="008C20E1">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rPr>
              <w:t>3</w:t>
            </w:r>
            <w:r w:rsidRPr="003A6E5A">
              <w:rPr>
                <w:rFonts w:ascii="Times New Roman" w:hAnsi="Times New Roman" w:cs="Times New Roman"/>
                <w:b/>
                <w:bCs/>
                <w:sz w:val="28"/>
                <w:szCs w:val="28"/>
                <w:lang w:val="kk-KZ"/>
              </w:rPr>
              <w:t xml:space="preserve"> </w:t>
            </w:r>
            <w:r w:rsidRPr="003A6E5A">
              <w:rPr>
                <w:rFonts w:ascii="Times New Roman" w:hAnsi="Times New Roman" w:cs="Times New Roman"/>
                <w:b/>
                <w:bCs/>
                <w:sz w:val="28"/>
                <w:szCs w:val="28"/>
              </w:rPr>
              <w:t>ПРИОРИТЕТЫ И МЕХАНИЗМЫ АКТИВИЗАЦИИ ИНВЕСТИЦИОННОГО СОТРУДНИЧЕСТВА КАЗАХСТАНА И ЕВРОПЕЙСКОГО СОЮЗА</w:t>
            </w:r>
            <w:r w:rsidRPr="003A6E5A">
              <w:rPr>
                <w:rFonts w:ascii="Times New Roman" w:hAnsi="Times New Roman" w:cs="Times New Roman"/>
                <w:b/>
                <w:bCs/>
                <w:sz w:val="28"/>
                <w:szCs w:val="28"/>
                <w:lang w:val="kk-KZ"/>
              </w:rPr>
              <w:t xml:space="preserve"> ........................................................................</w:t>
            </w:r>
          </w:p>
        </w:tc>
        <w:tc>
          <w:tcPr>
            <w:tcW w:w="674" w:type="dxa"/>
          </w:tcPr>
          <w:p w14:paraId="2C72AD3E" w14:textId="77777777" w:rsidR="008C20E1" w:rsidRPr="003A6E5A" w:rsidRDefault="008C20E1" w:rsidP="008C20E1">
            <w:pPr>
              <w:spacing w:after="0" w:line="240" w:lineRule="auto"/>
              <w:rPr>
                <w:rFonts w:ascii="Times New Roman" w:hAnsi="Times New Roman" w:cs="Times New Roman"/>
                <w:b/>
                <w:bCs/>
                <w:sz w:val="28"/>
                <w:szCs w:val="28"/>
                <w:lang w:val="kk-KZ"/>
              </w:rPr>
            </w:pPr>
          </w:p>
          <w:p w14:paraId="59E27CC3" w14:textId="77777777" w:rsidR="008C20E1" w:rsidRPr="003A6E5A" w:rsidRDefault="008C20E1" w:rsidP="008C20E1">
            <w:pPr>
              <w:spacing w:after="0" w:line="240" w:lineRule="auto"/>
              <w:rPr>
                <w:rFonts w:ascii="Times New Roman" w:hAnsi="Times New Roman" w:cs="Times New Roman"/>
                <w:b/>
                <w:bCs/>
                <w:sz w:val="28"/>
                <w:szCs w:val="28"/>
                <w:lang w:val="kk-KZ"/>
              </w:rPr>
            </w:pPr>
          </w:p>
          <w:p w14:paraId="1D07DB04" w14:textId="626B96D5" w:rsidR="008C20E1" w:rsidRPr="003A6E5A" w:rsidRDefault="00766208" w:rsidP="008C20E1">
            <w:pPr>
              <w:spacing w:after="0" w:line="240" w:lineRule="auto"/>
              <w:rPr>
                <w:rFonts w:ascii="Times New Roman" w:hAnsi="Times New Roman" w:cs="Times New Roman"/>
                <w:b/>
                <w:bCs/>
                <w:sz w:val="28"/>
                <w:szCs w:val="28"/>
                <w:lang w:val="en-US"/>
              </w:rPr>
            </w:pPr>
            <w:r w:rsidRPr="003A6E5A">
              <w:rPr>
                <w:rFonts w:ascii="Times New Roman" w:hAnsi="Times New Roman" w:cs="Times New Roman"/>
                <w:b/>
                <w:bCs/>
                <w:sz w:val="28"/>
                <w:szCs w:val="28"/>
                <w:lang w:val="en-US"/>
              </w:rPr>
              <w:t>100</w:t>
            </w:r>
          </w:p>
        </w:tc>
      </w:tr>
      <w:tr w:rsidR="00B02CF8" w:rsidRPr="003A6E5A" w14:paraId="4B0A249A" w14:textId="77777777" w:rsidTr="00D22C8B">
        <w:tc>
          <w:tcPr>
            <w:tcW w:w="700" w:type="dxa"/>
          </w:tcPr>
          <w:p w14:paraId="6699DA73" w14:textId="2E2026BE"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3.1</w:t>
            </w:r>
          </w:p>
        </w:tc>
        <w:tc>
          <w:tcPr>
            <w:tcW w:w="8218" w:type="dxa"/>
          </w:tcPr>
          <w:p w14:paraId="375E4CA3" w14:textId="3EE073DE" w:rsidR="008C20E1" w:rsidRPr="003A6E5A" w:rsidRDefault="008C20E1" w:rsidP="008C20E1">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kk-KZ"/>
              </w:rPr>
              <w:t>Прямые иностранные инвестиции из Европейского Союза: динамика, секторальная и региональная структура ............................</w:t>
            </w:r>
          </w:p>
        </w:tc>
        <w:tc>
          <w:tcPr>
            <w:tcW w:w="674" w:type="dxa"/>
          </w:tcPr>
          <w:p w14:paraId="43C9ED35" w14:textId="77777777" w:rsidR="008C20E1" w:rsidRPr="003A6E5A" w:rsidRDefault="008C20E1" w:rsidP="008C20E1">
            <w:pPr>
              <w:spacing w:after="0" w:line="240" w:lineRule="auto"/>
              <w:rPr>
                <w:rFonts w:ascii="Times New Roman" w:hAnsi="Times New Roman" w:cs="Times New Roman"/>
                <w:sz w:val="28"/>
                <w:szCs w:val="28"/>
                <w:lang w:val="kk-KZ"/>
              </w:rPr>
            </w:pPr>
          </w:p>
          <w:p w14:paraId="37AEE168" w14:textId="5B90D176" w:rsidR="008C20E1" w:rsidRPr="003A6E5A" w:rsidRDefault="00766208" w:rsidP="008C20E1">
            <w:pPr>
              <w:spacing w:after="0" w:line="240" w:lineRule="auto"/>
              <w:rPr>
                <w:rFonts w:ascii="Times New Roman" w:hAnsi="Times New Roman" w:cs="Times New Roman"/>
                <w:bCs/>
                <w:sz w:val="28"/>
                <w:szCs w:val="28"/>
                <w:lang w:val="en-US"/>
              </w:rPr>
            </w:pPr>
            <w:r w:rsidRPr="003A6E5A">
              <w:rPr>
                <w:rFonts w:ascii="Times New Roman" w:hAnsi="Times New Roman" w:cs="Times New Roman"/>
                <w:bCs/>
                <w:sz w:val="28"/>
                <w:szCs w:val="28"/>
                <w:lang w:val="en-US"/>
              </w:rPr>
              <w:t>101</w:t>
            </w:r>
          </w:p>
        </w:tc>
      </w:tr>
      <w:tr w:rsidR="00B02CF8" w:rsidRPr="003A6E5A" w14:paraId="3B0ABBFF" w14:textId="77777777" w:rsidTr="00D22C8B">
        <w:tc>
          <w:tcPr>
            <w:tcW w:w="700" w:type="dxa"/>
          </w:tcPr>
          <w:p w14:paraId="5CFC33D2" w14:textId="37827D70"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3.1</w:t>
            </w:r>
          </w:p>
        </w:tc>
        <w:tc>
          <w:tcPr>
            <w:tcW w:w="8218" w:type="dxa"/>
          </w:tcPr>
          <w:p w14:paraId="525CEB7C" w14:textId="24131545"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Формирование интегрального показателя “Индекс инвестиционного потенциала” регионов Казахстана .........................</w:t>
            </w:r>
          </w:p>
        </w:tc>
        <w:tc>
          <w:tcPr>
            <w:tcW w:w="674" w:type="dxa"/>
          </w:tcPr>
          <w:p w14:paraId="0B23BAE8" w14:textId="77777777" w:rsidR="008C20E1" w:rsidRPr="003A6E5A" w:rsidRDefault="008C20E1" w:rsidP="008C20E1">
            <w:pPr>
              <w:spacing w:after="0" w:line="240" w:lineRule="auto"/>
              <w:rPr>
                <w:rFonts w:ascii="Times New Roman" w:hAnsi="Times New Roman" w:cs="Times New Roman"/>
                <w:bCs/>
                <w:sz w:val="28"/>
                <w:szCs w:val="28"/>
                <w:lang w:val="kk-KZ"/>
              </w:rPr>
            </w:pPr>
          </w:p>
          <w:p w14:paraId="51C2D8F9" w14:textId="400DDD46" w:rsidR="008C20E1" w:rsidRPr="003A6E5A" w:rsidRDefault="008C20E1" w:rsidP="008C20E1">
            <w:pPr>
              <w:spacing w:after="0" w:line="240" w:lineRule="auto"/>
              <w:rPr>
                <w:rFonts w:ascii="Times New Roman" w:hAnsi="Times New Roman" w:cs="Times New Roman"/>
                <w:bCs/>
                <w:sz w:val="28"/>
                <w:szCs w:val="28"/>
                <w:lang w:val="en-US"/>
              </w:rPr>
            </w:pPr>
            <w:r w:rsidRPr="003A6E5A">
              <w:rPr>
                <w:rFonts w:ascii="Times New Roman" w:hAnsi="Times New Roman" w:cs="Times New Roman"/>
                <w:bCs/>
                <w:sz w:val="28"/>
                <w:szCs w:val="28"/>
                <w:lang w:val="en-US"/>
              </w:rPr>
              <w:t>1</w:t>
            </w:r>
            <w:r w:rsidR="00D44C58" w:rsidRPr="003A6E5A">
              <w:rPr>
                <w:rFonts w:ascii="Times New Roman" w:hAnsi="Times New Roman" w:cs="Times New Roman"/>
                <w:bCs/>
                <w:sz w:val="28"/>
                <w:szCs w:val="28"/>
              </w:rPr>
              <w:t>1</w:t>
            </w:r>
            <w:r w:rsidR="00766208" w:rsidRPr="003A6E5A">
              <w:rPr>
                <w:rFonts w:ascii="Times New Roman" w:hAnsi="Times New Roman" w:cs="Times New Roman"/>
                <w:bCs/>
                <w:sz w:val="28"/>
                <w:szCs w:val="28"/>
                <w:lang w:val="en-US"/>
              </w:rPr>
              <w:t>6</w:t>
            </w:r>
          </w:p>
        </w:tc>
      </w:tr>
      <w:tr w:rsidR="00B02CF8" w:rsidRPr="003A6E5A" w14:paraId="01BCB107" w14:textId="77777777" w:rsidTr="00D22C8B">
        <w:tc>
          <w:tcPr>
            <w:tcW w:w="700" w:type="dxa"/>
          </w:tcPr>
          <w:p w14:paraId="5F2B0F45" w14:textId="77777777"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rPr>
              <w:t>3.</w:t>
            </w:r>
            <w:r w:rsidRPr="003A6E5A">
              <w:rPr>
                <w:rFonts w:ascii="Times New Roman" w:hAnsi="Times New Roman" w:cs="Times New Roman"/>
                <w:sz w:val="28"/>
                <w:szCs w:val="28"/>
                <w:lang w:val="kk-KZ"/>
              </w:rPr>
              <w:t>2</w:t>
            </w:r>
          </w:p>
        </w:tc>
        <w:tc>
          <w:tcPr>
            <w:tcW w:w="8218" w:type="dxa"/>
          </w:tcPr>
          <w:p w14:paraId="11F5B66A" w14:textId="2C87005A" w:rsidR="008C20E1" w:rsidRPr="003A6E5A" w:rsidRDefault="008C20E1" w:rsidP="008C20E1">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rPr>
              <w:t>Приоритеты и механизмы активизации инвестиционной привлекательности регионов Казахстана</w:t>
            </w:r>
            <w:r w:rsidRPr="003A6E5A">
              <w:rPr>
                <w:rFonts w:ascii="Times New Roman" w:hAnsi="Times New Roman" w:cs="Times New Roman"/>
                <w:sz w:val="28"/>
                <w:szCs w:val="28"/>
                <w:lang w:val="kk-KZ"/>
              </w:rPr>
              <w:t xml:space="preserve"> ............................................</w:t>
            </w:r>
          </w:p>
        </w:tc>
        <w:tc>
          <w:tcPr>
            <w:tcW w:w="674" w:type="dxa"/>
          </w:tcPr>
          <w:p w14:paraId="589BBB19" w14:textId="77777777" w:rsidR="008C20E1" w:rsidRPr="003A6E5A" w:rsidRDefault="008C20E1" w:rsidP="008C20E1">
            <w:pPr>
              <w:spacing w:after="0" w:line="240" w:lineRule="auto"/>
              <w:rPr>
                <w:rFonts w:ascii="Times New Roman" w:hAnsi="Times New Roman" w:cs="Times New Roman"/>
                <w:sz w:val="28"/>
                <w:szCs w:val="28"/>
                <w:lang w:val="kk-KZ"/>
              </w:rPr>
            </w:pPr>
          </w:p>
          <w:p w14:paraId="1A63CD03" w14:textId="5298B379" w:rsidR="008C20E1" w:rsidRPr="003A6E5A" w:rsidRDefault="008C20E1" w:rsidP="008C20E1">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kk-KZ"/>
              </w:rPr>
              <w:t>1</w:t>
            </w:r>
            <w:r w:rsidR="00D44C58" w:rsidRPr="003A6E5A">
              <w:rPr>
                <w:rFonts w:ascii="Times New Roman" w:hAnsi="Times New Roman" w:cs="Times New Roman"/>
                <w:sz w:val="28"/>
                <w:szCs w:val="28"/>
              </w:rPr>
              <w:t>2</w:t>
            </w:r>
            <w:r w:rsidR="00766208" w:rsidRPr="003A6E5A">
              <w:rPr>
                <w:rFonts w:ascii="Times New Roman" w:hAnsi="Times New Roman" w:cs="Times New Roman"/>
                <w:sz w:val="28"/>
                <w:szCs w:val="28"/>
                <w:lang w:val="en-US"/>
              </w:rPr>
              <w:t>5</w:t>
            </w:r>
          </w:p>
        </w:tc>
      </w:tr>
      <w:tr w:rsidR="00B02CF8" w:rsidRPr="003A6E5A" w14:paraId="15D813FF" w14:textId="77777777" w:rsidTr="00D22C8B">
        <w:tc>
          <w:tcPr>
            <w:tcW w:w="8918" w:type="dxa"/>
            <w:gridSpan w:val="2"/>
          </w:tcPr>
          <w:p w14:paraId="351AA201" w14:textId="40FB60DC" w:rsidR="008C20E1" w:rsidRPr="003A6E5A" w:rsidRDefault="008C20E1" w:rsidP="008C20E1">
            <w:pPr>
              <w:spacing w:after="0" w:line="240" w:lineRule="auto"/>
              <w:rPr>
                <w:rFonts w:ascii="Times New Roman" w:hAnsi="Times New Roman" w:cs="Times New Roman"/>
                <w:b/>
                <w:bCs/>
                <w:sz w:val="28"/>
                <w:szCs w:val="28"/>
              </w:rPr>
            </w:pPr>
            <w:r w:rsidRPr="003A6E5A">
              <w:rPr>
                <w:rFonts w:ascii="Times New Roman" w:hAnsi="Times New Roman" w:cs="Times New Roman"/>
                <w:b/>
                <w:bCs/>
                <w:sz w:val="28"/>
                <w:szCs w:val="28"/>
              </w:rPr>
              <w:t>ЗАКЛЮЧЕНИЕ …………………………………………………………….</w:t>
            </w:r>
          </w:p>
        </w:tc>
        <w:tc>
          <w:tcPr>
            <w:tcW w:w="674" w:type="dxa"/>
          </w:tcPr>
          <w:p w14:paraId="59C5D70E" w14:textId="25344AA5" w:rsidR="008C20E1" w:rsidRPr="003A6E5A" w:rsidRDefault="008C20E1" w:rsidP="008C20E1">
            <w:pPr>
              <w:spacing w:after="0" w:line="240" w:lineRule="auto"/>
              <w:rPr>
                <w:rFonts w:ascii="Times New Roman" w:hAnsi="Times New Roman" w:cs="Times New Roman"/>
                <w:b/>
                <w:bCs/>
                <w:sz w:val="28"/>
                <w:szCs w:val="28"/>
                <w:lang w:val="en-US"/>
              </w:rPr>
            </w:pPr>
            <w:r w:rsidRPr="003A6E5A">
              <w:rPr>
                <w:rFonts w:ascii="Times New Roman" w:hAnsi="Times New Roman" w:cs="Times New Roman"/>
                <w:b/>
                <w:bCs/>
                <w:sz w:val="28"/>
                <w:szCs w:val="28"/>
              </w:rPr>
              <w:t>1</w:t>
            </w:r>
            <w:r w:rsidR="00EB7C31">
              <w:rPr>
                <w:rFonts w:ascii="Times New Roman" w:hAnsi="Times New Roman" w:cs="Times New Roman"/>
                <w:b/>
                <w:bCs/>
                <w:sz w:val="28"/>
                <w:szCs w:val="28"/>
              </w:rPr>
              <w:t>40</w:t>
            </w:r>
          </w:p>
        </w:tc>
      </w:tr>
      <w:tr w:rsidR="00B02CF8" w:rsidRPr="003A6E5A" w14:paraId="2F580C95" w14:textId="77777777" w:rsidTr="00D22C8B">
        <w:tc>
          <w:tcPr>
            <w:tcW w:w="8918" w:type="dxa"/>
            <w:gridSpan w:val="2"/>
          </w:tcPr>
          <w:p w14:paraId="45EF1E86" w14:textId="7B364E8D" w:rsidR="008C20E1" w:rsidRPr="003A6E5A" w:rsidRDefault="008C20E1" w:rsidP="008C20E1">
            <w:pPr>
              <w:spacing w:after="0" w:line="240" w:lineRule="auto"/>
              <w:rPr>
                <w:rFonts w:ascii="Times New Roman" w:hAnsi="Times New Roman" w:cs="Times New Roman"/>
                <w:b/>
                <w:bCs/>
                <w:sz w:val="28"/>
                <w:szCs w:val="28"/>
                <w:lang w:val="kk-KZ"/>
              </w:rPr>
            </w:pPr>
            <w:r w:rsidRPr="003A6E5A">
              <w:rPr>
                <w:rFonts w:ascii="Times New Roman" w:hAnsi="Times New Roman" w:cs="Times New Roman"/>
                <w:b/>
                <w:bCs/>
                <w:sz w:val="28"/>
                <w:szCs w:val="28"/>
                <w:lang w:val="kk-KZ"/>
              </w:rPr>
              <w:t>СПИСОК ИСПОЛЬЗОВАННЫХ ИСТОЧНИКОВ ................................</w:t>
            </w:r>
          </w:p>
        </w:tc>
        <w:tc>
          <w:tcPr>
            <w:tcW w:w="674" w:type="dxa"/>
          </w:tcPr>
          <w:p w14:paraId="0172E216" w14:textId="0D4E6524" w:rsidR="008C20E1" w:rsidRPr="00EB7C31" w:rsidRDefault="008C20E1" w:rsidP="008C20E1">
            <w:pPr>
              <w:spacing w:after="0" w:line="240" w:lineRule="auto"/>
              <w:rPr>
                <w:rFonts w:ascii="Times New Roman" w:hAnsi="Times New Roman" w:cs="Times New Roman"/>
                <w:b/>
                <w:bCs/>
                <w:sz w:val="28"/>
                <w:szCs w:val="28"/>
              </w:rPr>
            </w:pPr>
            <w:r w:rsidRPr="003A6E5A">
              <w:rPr>
                <w:rFonts w:ascii="Times New Roman" w:hAnsi="Times New Roman" w:cs="Times New Roman"/>
                <w:b/>
                <w:bCs/>
                <w:sz w:val="28"/>
                <w:szCs w:val="28"/>
              </w:rPr>
              <w:t>1</w:t>
            </w:r>
            <w:r w:rsidR="00D44C58" w:rsidRPr="003A6E5A">
              <w:rPr>
                <w:rFonts w:ascii="Times New Roman" w:hAnsi="Times New Roman" w:cs="Times New Roman"/>
                <w:b/>
                <w:bCs/>
                <w:sz w:val="28"/>
                <w:szCs w:val="28"/>
              </w:rPr>
              <w:t>4</w:t>
            </w:r>
            <w:r w:rsidR="00EB7C31">
              <w:rPr>
                <w:rFonts w:ascii="Times New Roman" w:hAnsi="Times New Roman" w:cs="Times New Roman"/>
                <w:b/>
                <w:bCs/>
                <w:sz w:val="28"/>
                <w:szCs w:val="28"/>
              </w:rPr>
              <w:t>6</w:t>
            </w:r>
          </w:p>
        </w:tc>
      </w:tr>
      <w:tr w:rsidR="00B02CF8" w:rsidRPr="003A6E5A" w14:paraId="68562D13" w14:textId="77777777" w:rsidTr="00D22C8B">
        <w:tc>
          <w:tcPr>
            <w:tcW w:w="8918" w:type="dxa"/>
            <w:gridSpan w:val="2"/>
          </w:tcPr>
          <w:p w14:paraId="67D9F619" w14:textId="7EF53759" w:rsidR="008C20E1" w:rsidRPr="003A6E5A" w:rsidRDefault="008C20E1" w:rsidP="008C20E1">
            <w:pPr>
              <w:spacing w:after="0" w:line="240" w:lineRule="auto"/>
              <w:rPr>
                <w:rFonts w:ascii="Times New Roman" w:hAnsi="Times New Roman" w:cs="Times New Roman"/>
                <w:b/>
                <w:bCs/>
                <w:sz w:val="28"/>
                <w:szCs w:val="28"/>
              </w:rPr>
            </w:pPr>
            <w:r w:rsidRPr="003A6E5A">
              <w:rPr>
                <w:rFonts w:ascii="Times New Roman" w:hAnsi="Times New Roman" w:cs="Times New Roman"/>
                <w:b/>
                <w:bCs/>
                <w:sz w:val="28"/>
                <w:szCs w:val="28"/>
              </w:rPr>
              <w:t>ПРИЛОЖЕНИЕ …………………………………………………………….</w:t>
            </w:r>
          </w:p>
        </w:tc>
        <w:tc>
          <w:tcPr>
            <w:tcW w:w="674" w:type="dxa"/>
          </w:tcPr>
          <w:p w14:paraId="2FC309A8" w14:textId="4E6BBDDF" w:rsidR="008C20E1" w:rsidRPr="00EB7C31" w:rsidRDefault="008C20E1" w:rsidP="008C20E1">
            <w:pPr>
              <w:spacing w:after="0" w:line="240" w:lineRule="auto"/>
              <w:rPr>
                <w:rFonts w:ascii="Times New Roman" w:hAnsi="Times New Roman" w:cs="Times New Roman"/>
                <w:b/>
                <w:bCs/>
                <w:sz w:val="28"/>
                <w:szCs w:val="28"/>
              </w:rPr>
            </w:pPr>
            <w:r w:rsidRPr="003A6E5A">
              <w:rPr>
                <w:rFonts w:ascii="Times New Roman" w:hAnsi="Times New Roman" w:cs="Times New Roman"/>
                <w:b/>
                <w:bCs/>
                <w:sz w:val="28"/>
                <w:szCs w:val="28"/>
              </w:rPr>
              <w:t>1</w:t>
            </w:r>
            <w:r w:rsidR="00D44C58" w:rsidRPr="003A6E5A">
              <w:rPr>
                <w:rFonts w:ascii="Times New Roman" w:hAnsi="Times New Roman" w:cs="Times New Roman"/>
                <w:b/>
                <w:bCs/>
                <w:sz w:val="28"/>
                <w:szCs w:val="28"/>
              </w:rPr>
              <w:t>5</w:t>
            </w:r>
            <w:r w:rsidR="00EB7C31">
              <w:rPr>
                <w:rFonts w:ascii="Times New Roman" w:hAnsi="Times New Roman" w:cs="Times New Roman"/>
                <w:b/>
                <w:bCs/>
                <w:sz w:val="28"/>
                <w:szCs w:val="28"/>
              </w:rPr>
              <w:t>9</w:t>
            </w:r>
          </w:p>
        </w:tc>
      </w:tr>
      <w:tr w:rsidR="00B02CF8" w:rsidRPr="003A6E5A" w14:paraId="238E5BEF" w14:textId="77777777" w:rsidTr="00D22C8B">
        <w:tc>
          <w:tcPr>
            <w:tcW w:w="8918" w:type="dxa"/>
            <w:gridSpan w:val="2"/>
          </w:tcPr>
          <w:p w14:paraId="5B10ADF1" w14:textId="5F5A277B" w:rsidR="008C20E1" w:rsidRPr="003A6E5A" w:rsidRDefault="008C20E1"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Приложение А. Команды в пакете STATA для определения спецификации моделей пространственной авторегрессии ………………..</w:t>
            </w:r>
          </w:p>
        </w:tc>
        <w:tc>
          <w:tcPr>
            <w:tcW w:w="674" w:type="dxa"/>
          </w:tcPr>
          <w:p w14:paraId="0F74808A" w14:textId="77777777" w:rsidR="008C20E1" w:rsidRPr="003A6E5A" w:rsidRDefault="008C20E1" w:rsidP="008C20E1">
            <w:pPr>
              <w:spacing w:after="0" w:line="240" w:lineRule="auto"/>
              <w:rPr>
                <w:rFonts w:ascii="Times New Roman" w:hAnsi="Times New Roman" w:cs="Times New Roman"/>
                <w:bCs/>
                <w:sz w:val="28"/>
                <w:szCs w:val="28"/>
              </w:rPr>
            </w:pPr>
          </w:p>
          <w:p w14:paraId="29EDD197" w14:textId="77490BFB" w:rsidR="008C20E1" w:rsidRPr="00EB7C31" w:rsidRDefault="008C20E1"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1</w:t>
            </w:r>
            <w:r w:rsidR="00D44C58" w:rsidRPr="003A6E5A">
              <w:rPr>
                <w:rFonts w:ascii="Times New Roman" w:hAnsi="Times New Roman" w:cs="Times New Roman"/>
                <w:bCs/>
                <w:sz w:val="28"/>
                <w:szCs w:val="28"/>
              </w:rPr>
              <w:t>5</w:t>
            </w:r>
            <w:r w:rsidR="00EB7C31">
              <w:rPr>
                <w:rFonts w:ascii="Times New Roman" w:hAnsi="Times New Roman" w:cs="Times New Roman"/>
                <w:bCs/>
                <w:sz w:val="28"/>
                <w:szCs w:val="28"/>
              </w:rPr>
              <w:t>9</w:t>
            </w:r>
          </w:p>
        </w:tc>
      </w:tr>
      <w:tr w:rsidR="00B02CF8" w:rsidRPr="003A6E5A" w14:paraId="33866015" w14:textId="77777777" w:rsidTr="00D22C8B">
        <w:tc>
          <w:tcPr>
            <w:tcW w:w="8918" w:type="dxa"/>
            <w:gridSpan w:val="2"/>
          </w:tcPr>
          <w:p w14:paraId="7D168A9D" w14:textId="2B106AFA" w:rsidR="008C20E1" w:rsidRPr="003A6E5A" w:rsidRDefault="008C20E1" w:rsidP="008C20E1">
            <w:pPr>
              <w:spacing w:after="0" w:line="240" w:lineRule="auto"/>
              <w:rPr>
                <w:rFonts w:ascii="Times New Roman" w:hAnsi="Times New Roman" w:cs="Times New Roman"/>
                <w:bCs/>
                <w:sz w:val="28"/>
                <w:szCs w:val="28"/>
                <w:lang w:val="kk-KZ"/>
              </w:rPr>
            </w:pPr>
            <w:r w:rsidRPr="003A6E5A">
              <w:rPr>
                <w:rFonts w:ascii="Times New Roman" w:hAnsi="Times New Roman" w:cs="Times New Roman"/>
                <w:bCs/>
                <w:sz w:val="28"/>
                <w:szCs w:val="28"/>
              </w:rPr>
              <w:t>Приложение Б. Команды в пакете STATA для расчета весовых коэффициентов методом главных компонент</w:t>
            </w:r>
            <w:r w:rsidRPr="003A6E5A">
              <w:rPr>
                <w:rFonts w:ascii="Times New Roman" w:hAnsi="Times New Roman" w:cs="Times New Roman"/>
                <w:bCs/>
                <w:sz w:val="28"/>
                <w:szCs w:val="28"/>
                <w:lang w:val="kk-KZ"/>
              </w:rPr>
              <w:t xml:space="preserve"> ...............................................</w:t>
            </w:r>
          </w:p>
        </w:tc>
        <w:tc>
          <w:tcPr>
            <w:tcW w:w="674" w:type="dxa"/>
          </w:tcPr>
          <w:p w14:paraId="1B3658B7" w14:textId="77777777" w:rsidR="008C20E1" w:rsidRPr="003A6E5A" w:rsidRDefault="008C20E1" w:rsidP="008C20E1">
            <w:pPr>
              <w:spacing w:after="0" w:line="240" w:lineRule="auto"/>
              <w:rPr>
                <w:rFonts w:ascii="Times New Roman" w:hAnsi="Times New Roman" w:cs="Times New Roman"/>
                <w:bCs/>
                <w:sz w:val="28"/>
                <w:szCs w:val="28"/>
              </w:rPr>
            </w:pPr>
          </w:p>
          <w:p w14:paraId="64D0A63D" w14:textId="46939E56" w:rsidR="008C20E1" w:rsidRPr="00EB7C31" w:rsidRDefault="008C20E1"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1</w:t>
            </w:r>
            <w:r w:rsidR="0015252B" w:rsidRPr="003A6E5A">
              <w:rPr>
                <w:rFonts w:ascii="Times New Roman" w:hAnsi="Times New Roman" w:cs="Times New Roman"/>
                <w:bCs/>
                <w:sz w:val="28"/>
                <w:szCs w:val="28"/>
              </w:rPr>
              <w:t>6</w:t>
            </w:r>
            <w:r w:rsidR="00EB7C31">
              <w:rPr>
                <w:rFonts w:ascii="Times New Roman" w:hAnsi="Times New Roman" w:cs="Times New Roman"/>
                <w:bCs/>
                <w:sz w:val="28"/>
                <w:szCs w:val="28"/>
              </w:rPr>
              <w:t>3</w:t>
            </w:r>
          </w:p>
        </w:tc>
      </w:tr>
      <w:tr w:rsidR="00B02CF8" w:rsidRPr="003A6E5A" w14:paraId="684D1D48" w14:textId="77777777" w:rsidTr="00D22C8B">
        <w:tc>
          <w:tcPr>
            <w:tcW w:w="8918" w:type="dxa"/>
            <w:gridSpan w:val="2"/>
          </w:tcPr>
          <w:p w14:paraId="092B6864" w14:textId="25F835CE" w:rsidR="008C20E1" w:rsidRPr="003A6E5A" w:rsidRDefault="008C20E1"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 xml:space="preserve">Приложение B. </w:t>
            </w:r>
            <w:r w:rsidRPr="003A6E5A">
              <w:rPr>
                <w:rFonts w:ascii="Times New Roman" w:hAnsi="Times New Roman" w:cs="Times New Roman"/>
                <w:sz w:val="28"/>
                <w:szCs w:val="28"/>
                <w:lang w:val="kk-KZ"/>
              </w:rPr>
              <w:t>Результаты диагностики мультиколлинеарности и корреляционного анализа переменных регрессионной модели инвестиций в основной капитал регионов Казахстана .................................</w:t>
            </w:r>
          </w:p>
        </w:tc>
        <w:tc>
          <w:tcPr>
            <w:tcW w:w="674" w:type="dxa"/>
          </w:tcPr>
          <w:p w14:paraId="16930B47" w14:textId="77777777" w:rsidR="008C20E1" w:rsidRPr="003A6E5A" w:rsidRDefault="008C20E1" w:rsidP="008C20E1">
            <w:pPr>
              <w:spacing w:after="0" w:line="240" w:lineRule="auto"/>
              <w:rPr>
                <w:rFonts w:ascii="Times New Roman" w:hAnsi="Times New Roman" w:cs="Times New Roman"/>
                <w:bCs/>
                <w:sz w:val="28"/>
                <w:szCs w:val="28"/>
              </w:rPr>
            </w:pPr>
          </w:p>
          <w:p w14:paraId="66C689F8" w14:textId="77777777" w:rsidR="008C20E1" w:rsidRPr="003A6E5A" w:rsidRDefault="008C20E1" w:rsidP="008C20E1">
            <w:pPr>
              <w:spacing w:after="0" w:line="240" w:lineRule="auto"/>
              <w:rPr>
                <w:rFonts w:ascii="Times New Roman" w:hAnsi="Times New Roman" w:cs="Times New Roman"/>
                <w:bCs/>
                <w:sz w:val="28"/>
                <w:szCs w:val="28"/>
              </w:rPr>
            </w:pPr>
          </w:p>
          <w:p w14:paraId="6150800B" w14:textId="0B41629C" w:rsidR="008C20E1" w:rsidRPr="00EB7C31" w:rsidRDefault="008C20E1"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1</w:t>
            </w:r>
            <w:r w:rsidR="00FF57E8" w:rsidRPr="003A6E5A">
              <w:rPr>
                <w:rFonts w:ascii="Times New Roman" w:hAnsi="Times New Roman" w:cs="Times New Roman"/>
                <w:bCs/>
                <w:sz w:val="28"/>
                <w:szCs w:val="28"/>
              </w:rPr>
              <w:t>6</w:t>
            </w:r>
            <w:r w:rsidR="00EB7C31">
              <w:rPr>
                <w:rFonts w:ascii="Times New Roman" w:hAnsi="Times New Roman" w:cs="Times New Roman"/>
                <w:bCs/>
                <w:sz w:val="28"/>
                <w:szCs w:val="28"/>
              </w:rPr>
              <w:t>5</w:t>
            </w:r>
          </w:p>
        </w:tc>
      </w:tr>
      <w:tr w:rsidR="00B02CF8" w:rsidRPr="003A6E5A" w14:paraId="4BE261F2" w14:textId="77777777" w:rsidTr="00D22C8B">
        <w:tc>
          <w:tcPr>
            <w:tcW w:w="8918" w:type="dxa"/>
            <w:gridSpan w:val="2"/>
          </w:tcPr>
          <w:p w14:paraId="16118AA6" w14:textId="28F7C94F" w:rsidR="008C20E1" w:rsidRPr="003A6E5A" w:rsidRDefault="008C20E1" w:rsidP="008C20E1">
            <w:pPr>
              <w:spacing w:after="0" w:line="240" w:lineRule="auto"/>
              <w:rPr>
                <w:rFonts w:ascii="Times New Roman" w:hAnsi="Times New Roman" w:cs="Times New Roman"/>
                <w:b/>
                <w:bCs/>
                <w:sz w:val="28"/>
                <w:szCs w:val="28"/>
              </w:rPr>
            </w:pPr>
            <w:r w:rsidRPr="003A6E5A">
              <w:rPr>
                <w:rFonts w:ascii="Times New Roman" w:hAnsi="Times New Roman" w:cs="Times New Roman"/>
                <w:bCs/>
                <w:sz w:val="28"/>
                <w:szCs w:val="28"/>
              </w:rPr>
              <w:t xml:space="preserve">Приложение </w:t>
            </w:r>
            <w:r w:rsidRPr="003A6E5A">
              <w:rPr>
                <w:rFonts w:ascii="Times New Roman" w:hAnsi="Times New Roman" w:cs="Times New Roman"/>
                <w:bCs/>
                <w:sz w:val="28"/>
                <w:szCs w:val="28"/>
                <w:lang w:val="kk-KZ"/>
              </w:rPr>
              <w:t>Г</w:t>
            </w:r>
            <w:r w:rsidRPr="003A6E5A">
              <w:rPr>
                <w:rFonts w:ascii="Times New Roman" w:hAnsi="Times New Roman" w:cs="Times New Roman"/>
                <w:bCs/>
                <w:sz w:val="28"/>
                <w:szCs w:val="28"/>
              </w:rPr>
              <w:t>.</w:t>
            </w:r>
            <w:r w:rsidRPr="003A6E5A">
              <w:rPr>
                <w:rFonts w:ascii="Times New Roman" w:hAnsi="Times New Roman" w:cs="Times New Roman"/>
                <w:b/>
                <w:bCs/>
                <w:sz w:val="28"/>
                <w:szCs w:val="28"/>
              </w:rPr>
              <w:t xml:space="preserve"> </w:t>
            </w:r>
            <w:r w:rsidRPr="003A6E5A">
              <w:rPr>
                <w:rFonts w:ascii="Times New Roman" w:hAnsi="Times New Roman" w:cs="Times New Roman"/>
                <w:bCs/>
                <w:sz w:val="28"/>
                <w:szCs w:val="28"/>
                <w:lang w:val="kk-KZ"/>
              </w:rPr>
              <w:t>Схема взаимосвязи факторов и институтов в механизме формирования инвестиционной активности .................................................</w:t>
            </w:r>
          </w:p>
        </w:tc>
        <w:tc>
          <w:tcPr>
            <w:tcW w:w="674" w:type="dxa"/>
          </w:tcPr>
          <w:p w14:paraId="0429CBF0" w14:textId="77777777" w:rsidR="008C20E1" w:rsidRPr="003A6E5A" w:rsidRDefault="008C20E1" w:rsidP="008C20E1">
            <w:pPr>
              <w:spacing w:after="0" w:line="240" w:lineRule="auto"/>
              <w:rPr>
                <w:rFonts w:ascii="Times New Roman" w:hAnsi="Times New Roman" w:cs="Times New Roman"/>
                <w:bCs/>
                <w:sz w:val="28"/>
                <w:szCs w:val="28"/>
              </w:rPr>
            </w:pPr>
          </w:p>
          <w:p w14:paraId="3A00CDC2" w14:textId="0AFE232E" w:rsidR="008C20E1" w:rsidRPr="00EB7C31" w:rsidRDefault="008C20E1"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1</w:t>
            </w:r>
            <w:r w:rsidR="00D44C58" w:rsidRPr="003A6E5A">
              <w:rPr>
                <w:rFonts w:ascii="Times New Roman" w:hAnsi="Times New Roman" w:cs="Times New Roman"/>
                <w:bCs/>
                <w:sz w:val="28"/>
                <w:szCs w:val="28"/>
              </w:rPr>
              <w:t>6</w:t>
            </w:r>
            <w:r w:rsidR="00EB7C31">
              <w:rPr>
                <w:rFonts w:ascii="Times New Roman" w:hAnsi="Times New Roman" w:cs="Times New Roman"/>
                <w:bCs/>
                <w:sz w:val="28"/>
                <w:szCs w:val="28"/>
              </w:rPr>
              <w:t>6</w:t>
            </w:r>
          </w:p>
        </w:tc>
      </w:tr>
      <w:tr w:rsidR="00B02CF8" w:rsidRPr="003A6E5A" w14:paraId="4F6ADD2F" w14:textId="77777777" w:rsidTr="00D22C8B">
        <w:tc>
          <w:tcPr>
            <w:tcW w:w="8918" w:type="dxa"/>
            <w:gridSpan w:val="2"/>
          </w:tcPr>
          <w:p w14:paraId="55199C3C" w14:textId="0FB0DBC1" w:rsidR="00D44C58" w:rsidRPr="003A6E5A" w:rsidRDefault="00D44C58"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 xml:space="preserve">Приложение </w:t>
            </w:r>
            <w:r w:rsidRPr="003A6E5A">
              <w:rPr>
                <w:rFonts w:ascii="Times New Roman" w:hAnsi="Times New Roman" w:cs="Times New Roman"/>
                <w:bCs/>
                <w:sz w:val="28"/>
                <w:szCs w:val="28"/>
                <w:lang w:val="kk-KZ"/>
              </w:rPr>
              <w:t>Д</w:t>
            </w:r>
            <w:r w:rsidRPr="003A6E5A">
              <w:rPr>
                <w:rFonts w:ascii="Times New Roman" w:hAnsi="Times New Roman" w:cs="Times New Roman"/>
                <w:bCs/>
                <w:sz w:val="28"/>
                <w:szCs w:val="28"/>
              </w:rPr>
              <w:t xml:space="preserve">. </w:t>
            </w:r>
            <w:r w:rsidRPr="003A6E5A">
              <w:rPr>
                <w:rFonts w:ascii="Times New Roman" w:hAnsi="Times New Roman" w:cs="Times New Roman"/>
                <w:bCs/>
                <w:sz w:val="28"/>
                <w:szCs w:val="28"/>
                <w:lang w:val="kk-KZ"/>
              </w:rPr>
              <w:t>Список переменных, использованных в моделях ..............</w:t>
            </w:r>
          </w:p>
        </w:tc>
        <w:tc>
          <w:tcPr>
            <w:tcW w:w="674" w:type="dxa"/>
          </w:tcPr>
          <w:p w14:paraId="528B91F2" w14:textId="3864D323" w:rsidR="00D44C58" w:rsidRPr="00EB7C31" w:rsidRDefault="00D44C58" w:rsidP="008C20E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16</w:t>
            </w:r>
            <w:r w:rsidR="00EB7C31">
              <w:rPr>
                <w:rFonts w:ascii="Times New Roman" w:hAnsi="Times New Roman" w:cs="Times New Roman"/>
                <w:bCs/>
                <w:sz w:val="28"/>
                <w:szCs w:val="28"/>
              </w:rPr>
              <w:t>7</w:t>
            </w:r>
          </w:p>
        </w:tc>
      </w:tr>
    </w:tbl>
    <w:p w14:paraId="416866F9" w14:textId="77777777" w:rsidR="00024CDA" w:rsidRPr="003A6E5A" w:rsidRDefault="00024CDA">
      <w:pPr>
        <w:spacing w:after="0" w:line="240" w:lineRule="auto"/>
        <w:rPr>
          <w:rFonts w:ascii="Times New Roman" w:eastAsia="SimSun" w:hAnsi="Times New Roman" w:cs="Times New Roman"/>
          <w:b/>
          <w:kern w:val="44"/>
          <w:sz w:val="28"/>
          <w:szCs w:val="28"/>
          <w:lang w:val="en-US" w:eastAsia="zh-CN"/>
        </w:rPr>
      </w:pPr>
      <w:bookmarkStart w:id="1" w:name="_Toc209538972"/>
      <w:r w:rsidRPr="003A6E5A">
        <w:rPr>
          <w:rFonts w:ascii="Times New Roman" w:hAnsi="Times New Roman"/>
          <w:bCs/>
          <w:sz w:val="28"/>
          <w:szCs w:val="28"/>
        </w:rPr>
        <w:br w:type="page"/>
      </w:r>
    </w:p>
    <w:p w14:paraId="62EEC0E6" w14:textId="65D898BD" w:rsidR="0003217D" w:rsidRPr="003A6E5A" w:rsidRDefault="00FC275D" w:rsidP="001608EA">
      <w:pPr>
        <w:pStyle w:val="1-"/>
        <w:spacing w:beforeAutospacing="0" w:after="0" w:afterAutospacing="0" w:line="240" w:lineRule="auto"/>
        <w:jc w:val="center"/>
        <w:rPr>
          <w:rFonts w:ascii="Times New Roman" w:hAnsi="Times New Roman" w:hint="default"/>
          <w:bCs w:val="0"/>
          <w:sz w:val="28"/>
          <w:szCs w:val="28"/>
        </w:rPr>
      </w:pPr>
      <w:r w:rsidRPr="003A6E5A">
        <w:rPr>
          <w:rFonts w:ascii="Times New Roman" w:hAnsi="Times New Roman" w:hint="default"/>
          <w:bCs w:val="0"/>
          <w:sz w:val="28"/>
          <w:szCs w:val="28"/>
        </w:rPr>
        <w:lastRenderedPageBreak/>
        <w:t>КРАТКИЕ ОБОЗНАЧЕНИЯ И СОКРАЩЕНИЯ</w:t>
      </w:r>
      <w:bookmarkEnd w:id="1"/>
    </w:p>
    <w:p w14:paraId="7C6B2B9E" w14:textId="77777777" w:rsidR="0003217D" w:rsidRPr="003A6E5A" w:rsidRDefault="0003217D" w:rsidP="001608EA">
      <w:pPr>
        <w:spacing w:after="0" w:line="240" w:lineRule="auto"/>
        <w:jc w:val="center"/>
        <w:rPr>
          <w:rFonts w:ascii="Times New Roman" w:hAnsi="Times New Roman" w:cs="Times New Roman"/>
          <w:sz w:val="28"/>
          <w:szCs w:val="28"/>
        </w:rPr>
      </w:pPr>
    </w:p>
    <w:tbl>
      <w:tblPr>
        <w:tblStyle w:val="ac"/>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56"/>
        <w:gridCol w:w="6887"/>
      </w:tblGrid>
      <w:tr w:rsidR="00B02CF8" w:rsidRPr="003A6E5A" w14:paraId="30CE5E6F" w14:textId="77777777" w:rsidTr="00662565">
        <w:trPr>
          <w:trHeight w:val="90"/>
          <w:jc w:val="center"/>
        </w:trPr>
        <w:tc>
          <w:tcPr>
            <w:tcW w:w="2250" w:type="dxa"/>
            <w:vAlign w:val="center"/>
          </w:tcPr>
          <w:p w14:paraId="3976D749"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AMNW</w:t>
            </w:r>
          </w:p>
        </w:tc>
        <w:tc>
          <w:tcPr>
            <w:tcW w:w="356" w:type="dxa"/>
            <w:vAlign w:val="center"/>
          </w:tcPr>
          <w:p w14:paraId="1F2DDB8C"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3D4C3D09"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с</w:t>
            </w:r>
            <w:r w:rsidRPr="003A6E5A">
              <w:rPr>
                <w:rFonts w:ascii="Times New Roman" w:hAnsi="Times New Roman" w:cs="Times New Roman"/>
                <w:sz w:val="28"/>
                <w:szCs w:val="28"/>
                <w:lang w:val="en-US"/>
              </w:rPr>
              <w:t>реднемесячная заработная плата</w:t>
            </w:r>
          </w:p>
        </w:tc>
      </w:tr>
      <w:tr w:rsidR="00B02CF8" w:rsidRPr="003A6E5A" w14:paraId="7ED6D9FE" w14:textId="77777777" w:rsidTr="00662565">
        <w:trPr>
          <w:trHeight w:val="90"/>
          <w:jc w:val="center"/>
        </w:trPr>
        <w:tc>
          <w:tcPr>
            <w:tcW w:w="2250" w:type="dxa"/>
            <w:vAlign w:val="center"/>
          </w:tcPr>
          <w:p w14:paraId="78098BD5"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AVIP</w:t>
            </w:r>
          </w:p>
        </w:tc>
        <w:tc>
          <w:tcPr>
            <w:tcW w:w="356" w:type="dxa"/>
            <w:vAlign w:val="center"/>
          </w:tcPr>
          <w:p w14:paraId="21465D79"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237C9E6F"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о</w:t>
            </w:r>
            <w:r w:rsidRPr="003A6E5A">
              <w:rPr>
                <w:rFonts w:ascii="Times New Roman" w:hAnsi="Times New Roman" w:cs="Times New Roman"/>
                <w:sz w:val="28"/>
                <w:szCs w:val="28"/>
                <w:lang w:val="en-US"/>
              </w:rPr>
              <w:t>бъем инновационной продукции</w:t>
            </w:r>
          </w:p>
        </w:tc>
      </w:tr>
      <w:tr w:rsidR="00B02CF8" w:rsidRPr="003A6E5A" w14:paraId="08CC8FA9" w14:textId="77777777" w:rsidTr="00662565">
        <w:trPr>
          <w:trHeight w:val="90"/>
          <w:jc w:val="center"/>
        </w:trPr>
        <w:tc>
          <w:tcPr>
            <w:tcW w:w="2250" w:type="dxa"/>
            <w:vAlign w:val="center"/>
          </w:tcPr>
          <w:p w14:paraId="1375E507"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en-US"/>
              </w:rPr>
              <w:t>FE</w:t>
            </w:r>
          </w:p>
        </w:tc>
        <w:tc>
          <w:tcPr>
            <w:tcW w:w="356" w:type="dxa"/>
            <w:vAlign w:val="center"/>
          </w:tcPr>
          <w:p w14:paraId="2CE00BD8"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2A333031" w14:textId="688B51A5"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фиксированны</w:t>
            </w:r>
            <w:r w:rsidR="000F3ABA" w:rsidRPr="003A6E5A">
              <w:rPr>
                <w:rFonts w:ascii="Times New Roman" w:hAnsi="Times New Roman" w:cs="Times New Roman"/>
                <w:sz w:val="28"/>
                <w:szCs w:val="28"/>
              </w:rPr>
              <w:t>е</w:t>
            </w:r>
            <w:r w:rsidRPr="003A6E5A">
              <w:rPr>
                <w:rFonts w:ascii="Times New Roman" w:hAnsi="Times New Roman" w:cs="Times New Roman"/>
                <w:sz w:val="28"/>
                <w:szCs w:val="28"/>
              </w:rPr>
              <w:t xml:space="preserve"> эффекты</w:t>
            </w:r>
          </w:p>
        </w:tc>
      </w:tr>
      <w:tr w:rsidR="00B02CF8" w:rsidRPr="003A6E5A" w14:paraId="54235907" w14:textId="77777777" w:rsidTr="00662565">
        <w:trPr>
          <w:trHeight w:val="90"/>
          <w:jc w:val="center"/>
        </w:trPr>
        <w:tc>
          <w:tcPr>
            <w:tcW w:w="2250" w:type="dxa"/>
            <w:vAlign w:val="center"/>
          </w:tcPr>
          <w:p w14:paraId="2AB0014A"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GRP</w:t>
            </w:r>
          </w:p>
        </w:tc>
        <w:tc>
          <w:tcPr>
            <w:tcW w:w="356" w:type="dxa"/>
            <w:vAlign w:val="center"/>
          </w:tcPr>
          <w:p w14:paraId="3D2E44E1"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33155324"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в</w:t>
            </w:r>
            <w:r w:rsidRPr="003A6E5A">
              <w:rPr>
                <w:rFonts w:ascii="Times New Roman" w:hAnsi="Times New Roman" w:cs="Times New Roman"/>
                <w:sz w:val="28"/>
                <w:szCs w:val="28"/>
                <w:lang w:val="en-US"/>
              </w:rPr>
              <w:t>аловый региональный продукт</w:t>
            </w:r>
          </w:p>
        </w:tc>
      </w:tr>
      <w:tr w:rsidR="00B02CF8" w:rsidRPr="003A6E5A" w14:paraId="560E3CF5" w14:textId="77777777" w:rsidTr="00662565">
        <w:trPr>
          <w:trHeight w:val="90"/>
          <w:jc w:val="center"/>
        </w:trPr>
        <w:tc>
          <w:tcPr>
            <w:tcW w:w="2250" w:type="dxa"/>
            <w:vAlign w:val="center"/>
          </w:tcPr>
          <w:p w14:paraId="6B1B5049"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GRPPC</w:t>
            </w:r>
          </w:p>
        </w:tc>
        <w:tc>
          <w:tcPr>
            <w:tcW w:w="356" w:type="dxa"/>
            <w:vAlign w:val="center"/>
          </w:tcPr>
          <w:p w14:paraId="11E3EC32"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6FE8EE63" w14:textId="77777777" w:rsidR="00BB27D3" w:rsidRPr="003A6E5A" w:rsidRDefault="00BB27D3" w:rsidP="00662565">
            <w:pPr>
              <w:spacing w:after="0" w:line="240" w:lineRule="auto"/>
              <w:jc w:val="left"/>
              <w:rPr>
                <w:rFonts w:ascii="Times New Roman" w:hAnsi="Times New Roman" w:cs="Times New Roman"/>
                <w:sz w:val="28"/>
                <w:szCs w:val="28"/>
                <w:lang w:val="kk-KZ"/>
              </w:rPr>
            </w:pPr>
            <w:r w:rsidRPr="003A6E5A">
              <w:rPr>
                <w:rFonts w:ascii="Times New Roman" w:hAnsi="Times New Roman" w:cs="Times New Roman"/>
                <w:sz w:val="28"/>
                <w:szCs w:val="28"/>
              </w:rPr>
              <w:t>валовый региональный продукт</w:t>
            </w:r>
            <w:r w:rsidRPr="003A6E5A">
              <w:rPr>
                <w:rFonts w:ascii="Times New Roman" w:hAnsi="Times New Roman" w:cs="Times New Roman"/>
                <w:sz w:val="28"/>
                <w:szCs w:val="28"/>
                <w:lang w:val="kk-KZ"/>
              </w:rPr>
              <w:t xml:space="preserve"> на душу населения</w:t>
            </w:r>
          </w:p>
        </w:tc>
      </w:tr>
      <w:tr w:rsidR="00B02CF8" w:rsidRPr="003A6E5A" w14:paraId="0400C2A4" w14:textId="77777777" w:rsidTr="00662565">
        <w:trPr>
          <w:trHeight w:val="90"/>
          <w:jc w:val="center"/>
        </w:trPr>
        <w:tc>
          <w:tcPr>
            <w:tcW w:w="2250" w:type="dxa"/>
            <w:vAlign w:val="center"/>
          </w:tcPr>
          <w:p w14:paraId="7B45598B"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IAE</w:t>
            </w:r>
          </w:p>
        </w:tc>
        <w:tc>
          <w:tcPr>
            <w:tcW w:w="356" w:type="dxa"/>
            <w:vAlign w:val="center"/>
          </w:tcPr>
          <w:p w14:paraId="2E8921D5"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5DE3B76D"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rPr>
              <w:t>инновационную активность предприятий</w:t>
            </w:r>
          </w:p>
        </w:tc>
      </w:tr>
      <w:tr w:rsidR="00B02CF8" w:rsidRPr="003A6E5A" w14:paraId="0C624066" w14:textId="77777777" w:rsidTr="00662565">
        <w:trPr>
          <w:trHeight w:val="90"/>
          <w:jc w:val="center"/>
        </w:trPr>
        <w:tc>
          <w:tcPr>
            <w:tcW w:w="2250" w:type="dxa"/>
            <w:vAlign w:val="center"/>
          </w:tcPr>
          <w:p w14:paraId="2C37D297"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IFC</w:t>
            </w:r>
          </w:p>
        </w:tc>
        <w:tc>
          <w:tcPr>
            <w:tcW w:w="356" w:type="dxa"/>
            <w:vAlign w:val="center"/>
          </w:tcPr>
          <w:p w14:paraId="7496A97E"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52F14148"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и</w:t>
            </w:r>
            <w:r w:rsidRPr="003A6E5A">
              <w:rPr>
                <w:rFonts w:ascii="Times New Roman" w:hAnsi="Times New Roman" w:cs="Times New Roman"/>
                <w:sz w:val="28"/>
                <w:szCs w:val="28"/>
                <w:lang w:val="en-US"/>
              </w:rPr>
              <w:t>нвестиции в основной капитал</w:t>
            </w:r>
          </w:p>
        </w:tc>
      </w:tr>
      <w:tr w:rsidR="00B02CF8" w:rsidRPr="003A6E5A" w14:paraId="170B3CEF" w14:textId="77777777" w:rsidTr="00662565">
        <w:trPr>
          <w:trHeight w:val="90"/>
          <w:jc w:val="center"/>
        </w:trPr>
        <w:tc>
          <w:tcPr>
            <w:tcW w:w="2250" w:type="dxa"/>
            <w:vAlign w:val="center"/>
          </w:tcPr>
          <w:p w14:paraId="304D4958"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IRDC</w:t>
            </w:r>
          </w:p>
        </w:tc>
        <w:tc>
          <w:tcPr>
            <w:tcW w:w="356" w:type="dxa"/>
            <w:vAlign w:val="center"/>
          </w:tcPr>
          <w:p w14:paraId="200388F7"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42AA36F5"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в</w:t>
            </w:r>
            <w:r w:rsidRPr="003A6E5A">
              <w:rPr>
                <w:rFonts w:ascii="Times New Roman" w:hAnsi="Times New Roman" w:cs="Times New Roman"/>
                <w:sz w:val="28"/>
                <w:szCs w:val="28"/>
                <w:lang w:val="en-US"/>
              </w:rPr>
              <w:t>нутренние затраты на НИОКР</w:t>
            </w:r>
          </w:p>
        </w:tc>
      </w:tr>
      <w:tr w:rsidR="00B02CF8" w:rsidRPr="003A6E5A" w14:paraId="556C9E69" w14:textId="77777777" w:rsidTr="00662565">
        <w:trPr>
          <w:trHeight w:val="90"/>
          <w:jc w:val="center"/>
        </w:trPr>
        <w:tc>
          <w:tcPr>
            <w:tcW w:w="2250" w:type="dxa"/>
            <w:vAlign w:val="center"/>
          </w:tcPr>
          <w:p w14:paraId="252D4DD4"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en-US"/>
              </w:rPr>
              <w:t>MLE</w:t>
            </w:r>
          </w:p>
        </w:tc>
        <w:tc>
          <w:tcPr>
            <w:tcW w:w="356" w:type="dxa"/>
            <w:vAlign w:val="center"/>
          </w:tcPr>
          <w:p w14:paraId="560F8FE9"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2E10CBF1"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метод максимального правдоподобия</w:t>
            </w:r>
          </w:p>
        </w:tc>
      </w:tr>
      <w:tr w:rsidR="00B02CF8" w:rsidRPr="003A6E5A" w14:paraId="71F29A02" w14:textId="77777777" w:rsidTr="00662565">
        <w:trPr>
          <w:trHeight w:val="90"/>
          <w:jc w:val="center"/>
        </w:trPr>
        <w:tc>
          <w:tcPr>
            <w:tcW w:w="2250" w:type="dxa"/>
            <w:vAlign w:val="center"/>
          </w:tcPr>
          <w:p w14:paraId="25169D86"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NECORD</w:t>
            </w:r>
          </w:p>
        </w:tc>
        <w:tc>
          <w:tcPr>
            <w:tcW w:w="356" w:type="dxa"/>
            <w:vAlign w:val="center"/>
          </w:tcPr>
          <w:p w14:paraId="6FA5E695"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4A8BD837"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rPr>
              <w:t>к</w:t>
            </w:r>
            <w:r w:rsidRPr="003A6E5A">
              <w:rPr>
                <w:rFonts w:ascii="Times New Roman" w:hAnsi="Times New Roman" w:cs="Times New Roman"/>
                <w:sz w:val="28"/>
                <w:szCs w:val="28"/>
                <w:lang w:val="en-US"/>
              </w:rPr>
              <w:t>оличество предприятий, осуществлявших НИОКР</w:t>
            </w:r>
          </w:p>
        </w:tc>
      </w:tr>
      <w:tr w:rsidR="00B02CF8" w:rsidRPr="003A6E5A" w14:paraId="34788C1D" w14:textId="77777777" w:rsidTr="00662565">
        <w:trPr>
          <w:trHeight w:val="90"/>
          <w:jc w:val="center"/>
        </w:trPr>
        <w:tc>
          <w:tcPr>
            <w:tcW w:w="2250" w:type="dxa"/>
            <w:vAlign w:val="center"/>
          </w:tcPr>
          <w:p w14:paraId="030B2B60"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NS</w:t>
            </w:r>
          </w:p>
        </w:tc>
        <w:tc>
          <w:tcPr>
            <w:tcW w:w="356" w:type="dxa"/>
            <w:vAlign w:val="center"/>
          </w:tcPr>
          <w:p w14:paraId="5E8BC409"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32EC7606" w14:textId="77777777" w:rsidR="00BB27D3" w:rsidRPr="003A6E5A" w:rsidRDefault="00BB27D3" w:rsidP="00662565">
            <w:pPr>
              <w:spacing w:after="0" w:line="240" w:lineRule="auto"/>
              <w:jc w:val="left"/>
              <w:rPr>
                <w:rFonts w:ascii="Times New Roman" w:hAnsi="Times New Roman" w:cs="Times New Roman"/>
                <w:sz w:val="28"/>
                <w:szCs w:val="28"/>
                <w:lang w:val="kk-KZ"/>
              </w:rPr>
            </w:pPr>
            <w:r w:rsidRPr="003A6E5A">
              <w:rPr>
                <w:rFonts w:ascii="Times New Roman" w:hAnsi="Times New Roman" w:cs="Times New Roman"/>
                <w:sz w:val="28"/>
                <w:szCs w:val="28"/>
                <w:lang w:val="kk-KZ"/>
              </w:rPr>
              <w:t>численность студентов</w:t>
            </w:r>
          </w:p>
        </w:tc>
      </w:tr>
      <w:tr w:rsidR="00B02CF8" w:rsidRPr="003A6E5A" w14:paraId="09584298" w14:textId="77777777" w:rsidTr="00662565">
        <w:trPr>
          <w:trHeight w:val="90"/>
          <w:jc w:val="center"/>
        </w:trPr>
        <w:tc>
          <w:tcPr>
            <w:tcW w:w="2250" w:type="dxa"/>
            <w:vAlign w:val="center"/>
          </w:tcPr>
          <w:p w14:paraId="0FA3F667" w14:textId="77777777" w:rsidR="00BB27D3" w:rsidRPr="003A6E5A" w:rsidRDefault="00BB27D3" w:rsidP="00662565">
            <w:pPr>
              <w:spacing w:after="0" w:line="240" w:lineRule="auto"/>
              <w:jc w:val="left"/>
              <w:rPr>
                <w:rFonts w:ascii="Times New Roman" w:eastAsia="Calibri" w:hAnsi="Times New Roman" w:cs="Times New Roman"/>
                <w:sz w:val="28"/>
                <w:szCs w:val="28"/>
              </w:rPr>
            </w:pPr>
            <w:r w:rsidRPr="003A6E5A">
              <w:rPr>
                <w:rFonts w:ascii="Times New Roman" w:hAnsi="Times New Roman" w:cs="Times New Roman"/>
                <w:sz w:val="28"/>
                <w:szCs w:val="28"/>
                <w:lang w:val="en-US"/>
              </w:rPr>
              <w:t>OLS</w:t>
            </w:r>
          </w:p>
        </w:tc>
        <w:tc>
          <w:tcPr>
            <w:tcW w:w="356" w:type="dxa"/>
            <w:vAlign w:val="center"/>
          </w:tcPr>
          <w:p w14:paraId="203073EF"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en-US"/>
              </w:rPr>
              <w:t>–</w:t>
            </w:r>
          </w:p>
        </w:tc>
        <w:tc>
          <w:tcPr>
            <w:tcW w:w="6887" w:type="dxa"/>
            <w:vAlign w:val="center"/>
          </w:tcPr>
          <w:p w14:paraId="7DDC593C" w14:textId="77777777" w:rsidR="00BB27D3" w:rsidRPr="003A6E5A" w:rsidRDefault="00BB27D3" w:rsidP="00662565">
            <w:pPr>
              <w:spacing w:after="0" w:line="240" w:lineRule="auto"/>
              <w:jc w:val="left"/>
              <w:rPr>
                <w:rFonts w:ascii="Times New Roman" w:eastAsia="Calibri" w:hAnsi="Times New Roman" w:cs="Times New Roman"/>
                <w:sz w:val="28"/>
                <w:szCs w:val="28"/>
                <w:lang w:bidi="ar"/>
              </w:rPr>
            </w:pPr>
            <w:r w:rsidRPr="003A6E5A">
              <w:rPr>
                <w:rFonts w:ascii="Times New Roman" w:hAnsi="Times New Roman" w:cs="Times New Roman"/>
                <w:sz w:val="28"/>
                <w:szCs w:val="28"/>
              </w:rPr>
              <w:t>метод наименьших квадратов</w:t>
            </w:r>
          </w:p>
        </w:tc>
      </w:tr>
      <w:tr w:rsidR="00B02CF8" w:rsidRPr="003A6E5A" w14:paraId="7F3CD3F6" w14:textId="77777777" w:rsidTr="00662565">
        <w:trPr>
          <w:trHeight w:val="90"/>
          <w:jc w:val="center"/>
        </w:trPr>
        <w:tc>
          <w:tcPr>
            <w:tcW w:w="2250" w:type="dxa"/>
            <w:vAlign w:val="center"/>
          </w:tcPr>
          <w:p w14:paraId="19FF74FF"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PERD</w:t>
            </w:r>
          </w:p>
        </w:tc>
        <w:tc>
          <w:tcPr>
            <w:tcW w:w="356" w:type="dxa"/>
            <w:vAlign w:val="center"/>
          </w:tcPr>
          <w:p w14:paraId="783821D1"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1C763E32"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ч</w:t>
            </w:r>
            <w:r w:rsidRPr="003A6E5A">
              <w:rPr>
                <w:rFonts w:ascii="Times New Roman" w:hAnsi="Times New Roman" w:cs="Times New Roman"/>
                <w:sz w:val="28"/>
                <w:szCs w:val="28"/>
                <w:lang w:val="en-US"/>
              </w:rPr>
              <w:t>исленность персонала занятого НИОКР</w:t>
            </w:r>
          </w:p>
        </w:tc>
      </w:tr>
      <w:tr w:rsidR="00B02CF8" w:rsidRPr="003A6E5A" w14:paraId="5EC73911" w14:textId="77777777" w:rsidTr="00662565">
        <w:trPr>
          <w:trHeight w:val="90"/>
          <w:jc w:val="center"/>
        </w:trPr>
        <w:tc>
          <w:tcPr>
            <w:tcW w:w="2250" w:type="dxa"/>
            <w:vAlign w:val="center"/>
          </w:tcPr>
          <w:p w14:paraId="5B9C6F5D" w14:textId="77777777" w:rsidR="00BB27D3" w:rsidRPr="003A6E5A" w:rsidRDefault="00BB27D3" w:rsidP="00662565">
            <w:pPr>
              <w:spacing w:after="0" w:line="240" w:lineRule="auto"/>
              <w:jc w:val="left"/>
              <w:rPr>
                <w:rFonts w:ascii="Times New Roman" w:eastAsia="Calibri" w:hAnsi="Times New Roman" w:cs="Times New Roman"/>
                <w:sz w:val="28"/>
                <w:szCs w:val="28"/>
              </w:rPr>
            </w:pPr>
            <w:r w:rsidRPr="003A6E5A">
              <w:rPr>
                <w:rFonts w:ascii="Times New Roman" w:hAnsi="Times New Roman" w:cs="Times New Roman"/>
                <w:sz w:val="28"/>
                <w:szCs w:val="28"/>
                <w:lang w:val="en-US"/>
              </w:rPr>
              <w:t>RE</w:t>
            </w:r>
          </w:p>
        </w:tc>
        <w:tc>
          <w:tcPr>
            <w:tcW w:w="356" w:type="dxa"/>
            <w:vAlign w:val="center"/>
          </w:tcPr>
          <w:p w14:paraId="1B692B50"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2CAF5E73" w14:textId="77777777" w:rsidR="00BB27D3" w:rsidRPr="003A6E5A" w:rsidRDefault="00BB27D3" w:rsidP="00662565">
            <w:pPr>
              <w:spacing w:after="0" w:line="240" w:lineRule="auto"/>
              <w:jc w:val="left"/>
              <w:rPr>
                <w:rFonts w:ascii="Times New Roman" w:eastAsia="Calibri" w:hAnsi="Times New Roman" w:cs="Times New Roman"/>
                <w:sz w:val="28"/>
                <w:szCs w:val="28"/>
                <w:lang w:bidi="ar"/>
              </w:rPr>
            </w:pPr>
            <w:r w:rsidRPr="003A6E5A">
              <w:rPr>
                <w:rFonts w:ascii="Times New Roman" w:hAnsi="Times New Roman" w:cs="Times New Roman"/>
                <w:sz w:val="28"/>
                <w:szCs w:val="28"/>
              </w:rPr>
              <w:t>модель со случайными эффектами</w:t>
            </w:r>
          </w:p>
        </w:tc>
      </w:tr>
      <w:tr w:rsidR="00B02CF8" w:rsidRPr="003A6E5A" w14:paraId="5B5BF225" w14:textId="77777777" w:rsidTr="00662565">
        <w:trPr>
          <w:trHeight w:val="90"/>
          <w:jc w:val="center"/>
        </w:trPr>
        <w:tc>
          <w:tcPr>
            <w:tcW w:w="2250" w:type="dxa"/>
            <w:vAlign w:val="center"/>
          </w:tcPr>
          <w:p w14:paraId="1BE53278"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eastAsia="Calibri" w:hAnsi="Times New Roman" w:cs="Times New Roman"/>
                <w:sz w:val="28"/>
                <w:szCs w:val="28"/>
              </w:rPr>
              <w:t>SAR</w:t>
            </w:r>
          </w:p>
        </w:tc>
        <w:tc>
          <w:tcPr>
            <w:tcW w:w="356" w:type="dxa"/>
            <w:vAlign w:val="center"/>
          </w:tcPr>
          <w:p w14:paraId="42CDF1A5"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71BC2ECA"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eastAsia="Calibri" w:hAnsi="Times New Roman" w:cs="Times New Roman"/>
                <w:sz w:val="28"/>
                <w:szCs w:val="28"/>
                <w:lang w:bidi="ar"/>
              </w:rPr>
              <w:t xml:space="preserve">модель пространственной авторегрессии </w:t>
            </w:r>
          </w:p>
        </w:tc>
      </w:tr>
      <w:tr w:rsidR="00B02CF8" w:rsidRPr="003A6E5A" w14:paraId="46885DDE" w14:textId="77777777" w:rsidTr="00662565">
        <w:trPr>
          <w:trHeight w:val="90"/>
          <w:jc w:val="center"/>
        </w:trPr>
        <w:tc>
          <w:tcPr>
            <w:tcW w:w="2250" w:type="dxa"/>
            <w:vAlign w:val="center"/>
          </w:tcPr>
          <w:p w14:paraId="71654B88"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SDM</w:t>
            </w:r>
          </w:p>
        </w:tc>
        <w:tc>
          <w:tcPr>
            <w:tcW w:w="356" w:type="dxa"/>
            <w:vAlign w:val="center"/>
          </w:tcPr>
          <w:p w14:paraId="560F954B"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en-US"/>
              </w:rPr>
              <w:t>–</w:t>
            </w:r>
          </w:p>
        </w:tc>
        <w:tc>
          <w:tcPr>
            <w:tcW w:w="6887" w:type="dxa"/>
            <w:vAlign w:val="center"/>
          </w:tcPr>
          <w:p w14:paraId="2EDF45E0"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обобщённый модель Дарбина</w:t>
            </w:r>
          </w:p>
        </w:tc>
      </w:tr>
      <w:tr w:rsidR="00B02CF8" w:rsidRPr="003A6E5A" w14:paraId="6DA72028" w14:textId="77777777" w:rsidTr="00662565">
        <w:trPr>
          <w:trHeight w:val="90"/>
          <w:jc w:val="center"/>
        </w:trPr>
        <w:tc>
          <w:tcPr>
            <w:tcW w:w="2250" w:type="dxa"/>
            <w:vAlign w:val="center"/>
          </w:tcPr>
          <w:p w14:paraId="7885F007"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SEM</w:t>
            </w:r>
          </w:p>
        </w:tc>
        <w:tc>
          <w:tcPr>
            <w:tcW w:w="356" w:type="dxa"/>
            <w:vAlign w:val="center"/>
          </w:tcPr>
          <w:p w14:paraId="45562957"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157CBE8F"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 xml:space="preserve">модель пространственных ошибок </w:t>
            </w:r>
          </w:p>
        </w:tc>
      </w:tr>
      <w:tr w:rsidR="00B02CF8" w:rsidRPr="003A6E5A" w14:paraId="64FEB40B" w14:textId="77777777" w:rsidTr="00662565">
        <w:trPr>
          <w:trHeight w:val="90"/>
          <w:jc w:val="center"/>
        </w:trPr>
        <w:tc>
          <w:tcPr>
            <w:tcW w:w="2250" w:type="dxa"/>
            <w:vAlign w:val="center"/>
          </w:tcPr>
          <w:p w14:paraId="08AAD798" w14:textId="0E7E5D87" w:rsidR="00190A9F" w:rsidRPr="003A6E5A" w:rsidRDefault="00190A9F"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UNCTAD</w:t>
            </w:r>
          </w:p>
        </w:tc>
        <w:tc>
          <w:tcPr>
            <w:tcW w:w="356" w:type="dxa"/>
            <w:vAlign w:val="center"/>
          </w:tcPr>
          <w:p w14:paraId="1D1D8656" w14:textId="17885C4D" w:rsidR="00190A9F" w:rsidRPr="003A6E5A" w:rsidRDefault="00190A9F"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10B759DA" w14:textId="227F737E" w:rsidR="00190A9F" w:rsidRPr="003A6E5A" w:rsidRDefault="00190A9F"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Конференция ООН по торговле и развитию</w:t>
            </w:r>
          </w:p>
        </w:tc>
      </w:tr>
      <w:tr w:rsidR="00B02CF8" w:rsidRPr="003A6E5A" w14:paraId="2E1D28C9" w14:textId="77777777" w:rsidTr="00662565">
        <w:trPr>
          <w:trHeight w:val="90"/>
          <w:jc w:val="center"/>
        </w:trPr>
        <w:tc>
          <w:tcPr>
            <w:tcW w:w="2250" w:type="dxa"/>
            <w:vAlign w:val="center"/>
          </w:tcPr>
          <w:p w14:paraId="3F897ED1" w14:textId="237D2A8A" w:rsidR="00BB27D3" w:rsidRPr="003A6E5A" w:rsidRDefault="004A5B30"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М</w:t>
            </w:r>
            <w:r w:rsidR="00BB27D3" w:rsidRPr="003A6E5A">
              <w:rPr>
                <w:rFonts w:ascii="Times New Roman" w:hAnsi="Times New Roman" w:cs="Times New Roman"/>
                <w:sz w:val="28"/>
                <w:szCs w:val="28"/>
              </w:rPr>
              <w:t>ГП</w:t>
            </w:r>
          </w:p>
        </w:tc>
        <w:tc>
          <w:tcPr>
            <w:tcW w:w="356" w:type="dxa"/>
            <w:vAlign w:val="center"/>
          </w:tcPr>
          <w:p w14:paraId="18D2DB24"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6C2DA4EE" w14:textId="585575BB" w:rsidR="00BB27D3" w:rsidRPr="003A6E5A" w:rsidRDefault="004A5B30"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метод</w:t>
            </w:r>
            <w:r w:rsidR="00BB27D3" w:rsidRPr="003A6E5A">
              <w:rPr>
                <w:rFonts w:ascii="Times New Roman" w:hAnsi="Times New Roman" w:cs="Times New Roman"/>
                <w:sz w:val="28"/>
                <w:szCs w:val="28"/>
              </w:rPr>
              <w:t xml:space="preserve"> главных компонент</w:t>
            </w:r>
          </w:p>
        </w:tc>
      </w:tr>
      <w:tr w:rsidR="00B02CF8" w:rsidRPr="003A6E5A" w14:paraId="18818605" w14:textId="77777777" w:rsidTr="00662565">
        <w:trPr>
          <w:jc w:val="center"/>
        </w:trPr>
        <w:tc>
          <w:tcPr>
            <w:tcW w:w="2250" w:type="dxa"/>
            <w:vAlign w:val="center"/>
          </w:tcPr>
          <w:p w14:paraId="2FB27745"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ВВП</w:t>
            </w:r>
          </w:p>
        </w:tc>
        <w:tc>
          <w:tcPr>
            <w:tcW w:w="356" w:type="dxa"/>
            <w:vAlign w:val="center"/>
          </w:tcPr>
          <w:p w14:paraId="6C965A25"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5F0D339A" w14:textId="5A3BB92E" w:rsidR="00BB27D3" w:rsidRPr="003A6E5A" w:rsidRDefault="00146830"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в</w:t>
            </w:r>
            <w:r w:rsidR="00BB27D3" w:rsidRPr="003A6E5A">
              <w:rPr>
                <w:rFonts w:ascii="Times New Roman" w:hAnsi="Times New Roman" w:cs="Times New Roman"/>
                <w:sz w:val="28"/>
                <w:szCs w:val="28"/>
              </w:rPr>
              <w:t>аловый региональный продукт</w:t>
            </w:r>
          </w:p>
        </w:tc>
      </w:tr>
      <w:tr w:rsidR="00F66F29" w:rsidRPr="003A6E5A" w14:paraId="567810E0" w14:textId="77777777" w:rsidTr="00662565">
        <w:trPr>
          <w:jc w:val="center"/>
        </w:trPr>
        <w:tc>
          <w:tcPr>
            <w:tcW w:w="2250" w:type="dxa"/>
            <w:vAlign w:val="center"/>
          </w:tcPr>
          <w:p w14:paraId="3EFD69B8" w14:textId="73EFBAC3" w:rsidR="00F66F29" w:rsidRPr="003A6E5A" w:rsidRDefault="00F66F29"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ВИЭ</w:t>
            </w:r>
          </w:p>
        </w:tc>
        <w:tc>
          <w:tcPr>
            <w:tcW w:w="356" w:type="dxa"/>
            <w:vAlign w:val="center"/>
          </w:tcPr>
          <w:p w14:paraId="1ACD80D4" w14:textId="13269359" w:rsidR="00F66F29" w:rsidRPr="003A6E5A" w:rsidRDefault="00F66F29" w:rsidP="00662565">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58D3F558" w14:textId="5F8B0946" w:rsidR="00F66F29" w:rsidRPr="003A6E5A" w:rsidRDefault="00F66F29"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возобновляемых источников энергии</w:t>
            </w:r>
          </w:p>
        </w:tc>
      </w:tr>
      <w:tr w:rsidR="00B02CF8" w:rsidRPr="003A6E5A" w14:paraId="022304AB" w14:textId="77777777" w:rsidTr="00662565">
        <w:trPr>
          <w:trHeight w:val="90"/>
          <w:jc w:val="center"/>
        </w:trPr>
        <w:tc>
          <w:tcPr>
            <w:tcW w:w="2250" w:type="dxa"/>
            <w:vAlign w:val="center"/>
          </w:tcPr>
          <w:p w14:paraId="3BFF36F2"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ГИС</w:t>
            </w:r>
          </w:p>
        </w:tc>
        <w:tc>
          <w:tcPr>
            <w:tcW w:w="356" w:type="dxa"/>
            <w:vAlign w:val="center"/>
          </w:tcPr>
          <w:p w14:paraId="48EBC68B"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182C9A2A"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rPr>
              <w:t>географические информационные системы</w:t>
            </w:r>
          </w:p>
        </w:tc>
      </w:tr>
      <w:tr w:rsidR="009A5EAF" w:rsidRPr="003A6E5A" w14:paraId="60391A94" w14:textId="77777777" w:rsidTr="00662565">
        <w:trPr>
          <w:trHeight w:val="90"/>
          <w:jc w:val="center"/>
        </w:trPr>
        <w:tc>
          <w:tcPr>
            <w:tcW w:w="2250" w:type="dxa"/>
            <w:vAlign w:val="center"/>
          </w:tcPr>
          <w:p w14:paraId="02777A29" w14:textId="66FFA06B" w:rsidR="009A5EAF" w:rsidRPr="003A6E5A" w:rsidRDefault="009A5EAF"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ДИС</w:t>
            </w:r>
          </w:p>
        </w:tc>
        <w:tc>
          <w:tcPr>
            <w:tcW w:w="356" w:type="dxa"/>
            <w:vAlign w:val="center"/>
          </w:tcPr>
          <w:p w14:paraId="3C962F17" w14:textId="06DCB6D1" w:rsidR="009A5EAF" w:rsidRPr="003A6E5A" w:rsidRDefault="009A5EAF" w:rsidP="00662565">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68996809" w14:textId="4B3262A8" w:rsidR="009A5EAF" w:rsidRPr="003A6E5A" w:rsidRDefault="009A5EAF"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 xml:space="preserve">двусторонние инвестиционные соглашения </w:t>
            </w:r>
          </w:p>
        </w:tc>
      </w:tr>
      <w:tr w:rsidR="00B02CF8" w:rsidRPr="003A6E5A" w14:paraId="69C8BCA1" w14:textId="77777777" w:rsidTr="00662565">
        <w:trPr>
          <w:jc w:val="center"/>
        </w:trPr>
        <w:tc>
          <w:tcPr>
            <w:tcW w:w="2250" w:type="dxa"/>
            <w:vAlign w:val="center"/>
          </w:tcPr>
          <w:p w14:paraId="1476CB92"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ЕС</w:t>
            </w:r>
          </w:p>
        </w:tc>
        <w:tc>
          <w:tcPr>
            <w:tcW w:w="356" w:type="dxa"/>
            <w:vAlign w:val="center"/>
          </w:tcPr>
          <w:p w14:paraId="2C6C6367"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552E3C36" w14:textId="77777777" w:rsidR="00BB27D3" w:rsidRPr="003A6E5A" w:rsidRDefault="00BB27D3" w:rsidP="00662565">
            <w:pPr>
              <w:spacing w:after="0" w:line="240" w:lineRule="auto"/>
              <w:jc w:val="left"/>
              <w:rPr>
                <w:rFonts w:ascii="Times New Roman" w:hAnsi="Times New Roman" w:cs="Times New Roman"/>
                <w:sz w:val="28"/>
                <w:szCs w:val="28"/>
                <w:lang w:val="kk-KZ"/>
              </w:rPr>
            </w:pPr>
            <w:r w:rsidRPr="003A6E5A">
              <w:rPr>
                <w:rFonts w:ascii="Times New Roman" w:hAnsi="Times New Roman" w:cs="Times New Roman"/>
                <w:sz w:val="28"/>
                <w:szCs w:val="28"/>
                <w:lang w:val="kk-KZ"/>
              </w:rPr>
              <w:t>Европейский Союз</w:t>
            </w:r>
          </w:p>
        </w:tc>
      </w:tr>
      <w:tr w:rsidR="008734EB" w:rsidRPr="003A6E5A" w14:paraId="35DC4178" w14:textId="77777777" w:rsidTr="00662565">
        <w:trPr>
          <w:jc w:val="center"/>
        </w:trPr>
        <w:tc>
          <w:tcPr>
            <w:tcW w:w="2250" w:type="dxa"/>
            <w:vAlign w:val="center"/>
          </w:tcPr>
          <w:p w14:paraId="0525811F" w14:textId="1A154DF0" w:rsidR="008734EB" w:rsidRPr="003A6E5A" w:rsidRDefault="008734EB"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kk-KZ"/>
              </w:rPr>
              <w:t>ЕБРР</w:t>
            </w:r>
          </w:p>
        </w:tc>
        <w:tc>
          <w:tcPr>
            <w:tcW w:w="356" w:type="dxa"/>
            <w:vAlign w:val="center"/>
          </w:tcPr>
          <w:p w14:paraId="0AD7301F" w14:textId="6B525AFD" w:rsidR="008734EB" w:rsidRPr="003A6E5A" w:rsidRDefault="008734EB" w:rsidP="00662565">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7C5DCF07" w14:textId="19CE4AB9" w:rsidR="008734EB" w:rsidRPr="003A6E5A" w:rsidRDefault="008734EB" w:rsidP="00662565">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Европейский банк реконструкции и развития</w:t>
            </w:r>
          </w:p>
        </w:tc>
      </w:tr>
      <w:tr w:rsidR="00B02CF8" w:rsidRPr="003A6E5A" w14:paraId="59A7CD3B" w14:textId="77777777" w:rsidTr="00662565">
        <w:trPr>
          <w:jc w:val="center"/>
        </w:trPr>
        <w:tc>
          <w:tcPr>
            <w:tcW w:w="2250" w:type="dxa"/>
            <w:vAlign w:val="center"/>
          </w:tcPr>
          <w:p w14:paraId="54F96499"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ИИП</w:t>
            </w:r>
          </w:p>
        </w:tc>
        <w:tc>
          <w:tcPr>
            <w:tcW w:w="356" w:type="dxa"/>
            <w:vAlign w:val="center"/>
          </w:tcPr>
          <w:p w14:paraId="7E9521F0"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3A43E4A8"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kk-KZ"/>
              </w:rPr>
              <w:t>индекс инвестиционного потенциала</w:t>
            </w:r>
          </w:p>
        </w:tc>
      </w:tr>
      <w:tr w:rsidR="00B02CF8" w:rsidRPr="003A6E5A" w14:paraId="4DF9AEC7" w14:textId="77777777" w:rsidTr="00662565">
        <w:trPr>
          <w:jc w:val="center"/>
        </w:trPr>
        <w:tc>
          <w:tcPr>
            <w:tcW w:w="2250" w:type="dxa"/>
            <w:vAlign w:val="center"/>
          </w:tcPr>
          <w:p w14:paraId="293BFC81" w14:textId="503B4E81" w:rsidR="00D35890" w:rsidRPr="003A6E5A" w:rsidRDefault="00D35890"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kk-KZ"/>
              </w:rPr>
              <w:t>ИПР</w:t>
            </w:r>
          </w:p>
        </w:tc>
        <w:tc>
          <w:tcPr>
            <w:tcW w:w="356" w:type="dxa"/>
            <w:vAlign w:val="center"/>
          </w:tcPr>
          <w:p w14:paraId="7D529C34" w14:textId="067005B3" w:rsidR="00D35890" w:rsidRPr="003A6E5A" w:rsidRDefault="00D35890"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653F71B2" w14:textId="4CCD888D" w:rsidR="00D35890" w:rsidRPr="003A6E5A" w:rsidRDefault="009613B5" w:rsidP="00662565">
            <w:pPr>
              <w:spacing w:after="0" w:line="240" w:lineRule="auto"/>
              <w:jc w:val="left"/>
              <w:rPr>
                <w:rFonts w:ascii="Times New Roman" w:hAnsi="Times New Roman" w:cs="Times New Roman"/>
                <w:sz w:val="28"/>
                <w:szCs w:val="28"/>
                <w:lang w:val="kk-KZ"/>
              </w:rPr>
            </w:pPr>
            <w:r w:rsidRPr="003A6E5A">
              <w:rPr>
                <w:rFonts w:ascii="Times New Roman" w:hAnsi="Times New Roman" w:cs="Times New Roman"/>
                <w:sz w:val="28"/>
                <w:szCs w:val="28"/>
                <w:lang w:val="kk-KZ"/>
              </w:rPr>
              <w:t>и</w:t>
            </w:r>
            <w:r w:rsidR="00D35890" w:rsidRPr="003A6E5A">
              <w:rPr>
                <w:rFonts w:ascii="Times New Roman" w:hAnsi="Times New Roman" w:cs="Times New Roman"/>
                <w:sz w:val="28"/>
                <w:szCs w:val="28"/>
                <w:lang w:val="kk-KZ"/>
              </w:rPr>
              <w:t>нвестиционные программы регионов</w:t>
            </w:r>
          </w:p>
        </w:tc>
      </w:tr>
      <w:tr w:rsidR="00B02CF8" w:rsidRPr="003A6E5A" w14:paraId="58749A99" w14:textId="77777777" w:rsidTr="00662565">
        <w:trPr>
          <w:trHeight w:val="90"/>
          <w:jc w:val="center"/>
        </w:trPr>
        <w:tc>
          <w:tcPr>
            <w:tcW w:w="2250" w:type="dxa"/>
            <w:vAlign w:val="center"/>
          </w:tcPr>
          <w:p w14:paraId="15794639"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Style w:val="markedcontent"/>
                <w:rFonts w:ascii="Times New Roman" w:eastAsia="SimSun" w:hAnsi="Times New Roman" w:cs="Times New Roman"/>
                <w:sz w:val="28"/>
                <w:szCs w:val="28"/>
                <w:lang w:val="kk-KZ" w:eastAsia="zh-CN"/>
              </w:rPr>
              <w:t>КНР</w:t>
            </w:r>
          </w:p>
        </w:tc>
        <w:tc>
          <w:tcPr>
            <w:tcW w:w="356" w:type="dxa"/>
            <w:vAlign w:val="center"/>
          </w:tcPr>
          <w:p w14:paraId="6887C0DC"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3AFEB50E"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Китайская Народная Республика</w:t>
            </w:r>
          </w:p>
        </w:tc>
      </w:tr>
      <w:tr w:rsidR="00B02CF8" w:rsidRPr="003A6E5A" w14:paraId="37C33377" w14:textId="77777777" w:rsidTr="00662565">
        <w:trPr>
          <w:trHeight w:val="90"/>
          <w:jc w:val="center"/>
        </w:trPr>
        <w:tc>
          <w:tcPr>
            <w:tcW w:w="2250" w:type="dxa"/>
            <w:vAlign w:val="center"/>
          </w:tcPr>
          <w:p w14:paraId="0C5BC87C"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МКА</w:t>
            </w:r>
          </w:p>
        </w:tc>
        <w:tc>
          <w:tcPr>
            <w:tcW w:w="356" w:type="dxa"/>
            <w:vAlign w:val="center"/>
          </w:tcPr>
          <w:p w14:paraId="3826FBEA"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4A9B02B2"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 xml:space="preserve">метод многокритериального анализа </w:t>
            </w:r>
          </w:p>
        </w:tc>
      </w:tr>
      <w:tr w:rsidR="00B02CF8" w:rsidRPr="003A6E5A" w14:paraId="1CFD7CF6" w14:textId="77777777" w:rsidTr="00662565">
        <w:trPr>
          <w:jc w:val="center"/>
        </w:trPr>
        <w:tc>
          <w:tcPr>
            <w:tcW w:w="2250" w:type="dxa"/>
            <w:vAlign w:val="center"/>
          </w:tcPr>
          <w:p w14:paraId="569A3D09" w14:textId="77777777" w:rsidR="00BB27D3" w:rsidRPr="003A6E5A" w:rsidRDefault="00BB27D3"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МРП</w:t>
            </w:r>
          </w:p>
        </w:tc>
        <w:tc>
          <w:tcPr>
            <w:tcW w:w="356" w:type="dxa"/>
            <w:vAlign w:val="center"/>
          </w:tcPr>
          <w:p w14:paraId="7624762E"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6FD6C2D6" w14:textId="0617BB7A" w:rsidR="00BB27D3" w:rsidRPr="003A6E5A" w:rsidRDefault="009613B5" w:rsidP="00662565">
            <w:pPr>
              <w:spacing w:after="0" w:line="240" w:lineRule="auto"/>
              <w:jc w:val="left"/>
              <w:rPr>
                <w:rFonts w:ascii="Times New Roman" w:hAnsi="Times New Roman" w:cs="Times New Roman"/>
                <w:sz w:val="28"/>
                <w:szCs w:val="28"/>
                <w:lang w:val="kk-KZ"/>
              </w:rPr>
            </w:pPr>
            <w:r w:rsidRPr="003A6E5A">
              <w:rPr>
                <w:rFonts w:ascii="Times New Roman" w:hAnsi="Times New Roman" w:cs="Times New Roman"/>
                <w:sz w:val="28"/>
                <w:szCs w:val="28"/>
                <w:lang w:val="kk-KZ"/>
              </w:rPr>
              <w:t>м</w:t>
            </w:r>
            <w:r w:rsidR="00BB27D3" w:rsidRPr="003A6E5A">
              <w:rPr>
                <w:rFonts w:ascii="Times New Roman" w:hAnsi="Times New Roman" w:cs="Times New Roman"/>
                <w:sz w:val="28"/>
                <w:szCs w:val="28"/>
                <w:lang w:val="kk-KZ"/>
              </w:rPr>
              <w:t>есячный расчетный показатель</w:t>
            </w:r>
          </w:p>
        </w:tc>
      </w:tr>
      <w:tr w:rsidR="00B02CF8" w:rsidRPr="003A6E5A" w14:paraId="4B85FBAC" w14:textId="77777777" w:rsidTr="00662565">
        <w:trPr>
          <w:jc w:val="center"/>
        </w:trPr>
        <w:tc>
          <w:tcPr>
            <w:tcW w:w="2250" w:type="dxa"/>
            <w:vAlign w:val="center"/>
          </w:tcPr>
          <w:p w14:paraId="43AFAE87"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eastAsia="Times New Roman" w:hAnsi="Times New Roman" w:cs="Times New Roman"/>
                <w:sz w:val="28"/>
                <w:szCs w:val="28"/>
                <w:lang w:eastAsia="ru-RU"/>
              </w:rPr>
              <w:t>МФЦА</w:t>
            </w:r>
          </w:p>
        </w:tc>
        <w:tc>
          <w:tcPr>
            <w:tcW w:w="356" w:type="dxa"/>
            <w:vAlign w:val="center"/>
          </w:tcPr>
          <w:p w14:paraId="45C73D9F"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0793C8AB" w14:textId="77777777" w:rsidR="00BB27D3" w:rsidRPr="003A6E5A" w:rsidRDefault="00BB27D3"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Международный финансовый центр «Астана»</w:t>
            </w:r>
          </w:p>
        </w:tc>
      </w:tr>
      <w:tr w:rsidR="00B02CF8" w:rsidRPr="003A6E5A" w14:paraId="19957787" w14:textId="77777777" w:rsidTr="00662565">
        <w:trPr>
          <w:jc w:val="center"/>
        </w:trPr>
        <w:tc>
          <w:tcPr>
            <w:tcW w:w="2250" w:type="dxa"/>
            <w:vAlign w:val="center"/>
          </w:tcPr>
          <w:p w14:paraId="0F344F82" w14:textId="7401DC77" w:rsidR="00662565" w:rsidRPr="003A6E5A" w:rsidRDefault="00662565" w:rsidP="00662565">
            <w:pPr>
              <w:spacing w:after="0" w:line="240" w:lineRule="auto"/>
              <w:jc w:val="left"/>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БНС АСПиР РК</w:t>
            </w:r>
          </w:p>
        </w:tc>
        <w:tc>
          <w:tcPr>
            <w:tcW w:w="356" w:type="dxa"/>
            <w:vAlign w:val="center"/>
          </w:tcPr>
          <w:p w14:paraId="64DAD7E3" w14:textId="5364C184"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3A98F901" w14:textId="2CFC9B9A" w:rsidR="00662565" w:rsidRPr="003A6E5A" w:rsidRDefault="0035488C"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Бюро национальной статистики Агентства по стратегическому планированию и реформам Республики Казахстан</w:t>
            </w:r>
          </w:p>
        </w:tc>
      </w:tr>
      <w:tr w:rsidR="00B02CF8" w:rsidRPr="003A6E5A" w14:paraId="0B8B9F0C" w14:textId="77777777" w:rsidTr="00662565">
        <w:trPr>
          <w:jc w:val="center"/>
        </w:trPr>
        <w:tc>
          <w:tcPr>
            <w:tcW w:w="2250" w:type="dxa"/>
            <w:vAlign w:val="center"/>
          </w:tcPr>
          <w:p w14:paraId="7CEAC510" w14:textId="59C01158" w:rsidR="00662565" w:rsidRPr="003A6E5A" w:rsidRDefault="00662565" w:rsidP="00662565">
            <w:pPr>
              <w:spacing w:after="0" w:line="240" w:lineRule="auto"/>
              <w:jc w:val="left"/>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НБ РК</w:t>
            </w:r>
          </w:p>
        </w:tc>
        <w:tc>
          <w:tcPr>
            <w:tcW w:w="356" w:type="dxa"/>
            <w:vAlign w:val="center"/>
          </w:tcPr>
          <w:p w14:paraId="5596E242" w14:textId="11C29DB4"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1872EA1A" w14:textId="6281B8B8" w:rsidR="00662565" w:rsidRPr="003A6E5A" w:rsidRDefault="0035488C"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 xml:space="preserve">Национальный </w:t>
            </w:r>
            <w:r w:rsidR="009613B5" w:rsidRPr="003A6E5A">
              <w:rPr>
                <w:rFonts w:ascii="Times New Roman" w:hAnsi="Times New Roman" w:cs="Times New Roman"/>
                <w:sz w:val="28"/>
                <w:szCs w:val="28"/>
              </w:rPr>
              <w:t>Б</w:t>
            </w:r>
            <w:r w:rsidRPr="003A6E5A">
              <w:rPr>
                <w:rFonts w:ascii="Times New Roman" w:hAnsi="Times New Roman" w:cs="Times New Roman"/>
                <w:sz w:val="28"/>
                <w:szCs w:val="28"/>
              </w:rPr>
              <w:t>анк Республики Казахстан</w:t>
            </w:r>
          </w:p>
        </w:tc>
      </w:tr>
      <w:tr w:rsidR="00B02CF8" w:rsidRPr="003A6E5A" w14:paraId="4F37DCB8" w14:textId="77777777" w:rsidTr="00662565">
        <w:trPr>
          <w:jc w:val="center"/>
        </w:trPr>
        <w:tc>
          <w:tcPr>
            <w:tcW w:w="2250" w:type="dxa"/>
            <w:vAlign w:val="center"/>
          </w:tcPr>
          <w:p w14:paraId="6E14CE1F"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НИОКР</w:t>
            </w:r>
          </w:p>
        </w:tc>
        <w:tc>
          <w:tcPr>
            <w:tcW w:w="356" w:type="dxa"/>
            <w:vAlign w:val="center"/>
          </w:tcPr>
          <w:p w14:paraId="2F3476E5"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0AC1FDF2"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научно-исследовательские и опытно-конструкторские работы</w:t>
            </w:r>
          </w:p>
        </w:tc>
      </w:tr>
      <w:tr w:rsidR="00B02CF8" w:rsidRPr="003A6E5A" w14:paraId="21F18343" w14:textId="77777777" w:rsidTr="00662565">
        <w:trPr>
          <w:jc w:val="center"/>
        </w:trPr>
        <w:tc>
          <w:tcPr>
            <w:tcW w:w="2250" w:type="dxa"/>
            <w:vAlign w:val="center"/>
          </w:tcPr>
          <w:p w14:paraId="2D1B5457"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ПИИ</w:t>
            </w:r>
          </w:p>
        </w:tc>
        <w:tc>
          <w:tcPr>
            <w:tcW w:w="356" w:type="dxa"/>
            <w:vAlign w:val="center"/>
          </w:tcPr>
          <w:p w14:paraId="0C7F4AC0"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en-US"/>
              </w:rPr>
              <w:t>–</w:t>
            </w:r>
          </w:p>
        </w:tc>
        <w:tc>
          <w:tcPr>
            <w:tcW w:w="6887" w:type="dxa"/>
            <w:vAlign w:val="center"/>
          </w:tcPr>
          <w:p w14:paraId="0A63639F"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прямые иностранные инвестиции</w:t>
            </w:r>
          </w:p>
        </w:tc>
      </w:tr>
      <w:tr w:rsidR="00B02CF8" w:rsidRPr="003A6E5A" w14:paraId="5A7F4738" w14:textId="77777777" w:rsidTr="00662565">
        <w:trPr>
          <w:trHeight w:val="90"/>
          <w:jc w:val="center"/>
        </w:trPr>
        <w:tc>
          <w:tcPr>
            <w:tcW w:w="2250" w:type="dxa"/>
            <w:vAlign w:val="center"/>
          </w:tcPr>
          <w:p w14:paraId="4945532B"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РК</w:t>
            </w:r>
          </w:p>
        </w:tc>
        <w:tc>
          <w:tcPr>
            <w:tcW w:w="356" w:type="dxa"/>
            <w:vAlign w:val="center"/>
          </w:tcPr>
          <w:p w14:paraId="03946A72"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6FC45860" w14:textId="4EB88E1B"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Республика Казахстан</w:t>
            </w:r>
          </w:p>
        </w:tc>
      </w:tr>
      <w:tr w:rsidR="00B02CF8" w:rsidRPr="003A6E5A" w14:paraId="368C65A6" w14:textId="77777777" w:rsidTr="00662565">
        <w:trPr>
          <w:jc w:val="center"/>
        </w:trPr>
        <w:tc>
          <w:tcPr>
            <w:tcW w:w="2250" w:type="dxa"/>
            <w:vAlign w:val="center"/>
          </w:tcPr>
          <w:p w14:paraId="5FDC225B"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СОИ</w:t>
            </w:r>
          </w:p>
        </w:tc>
        <w:tc>
          <w:tcPr>
            <w:tcW w:w="356" w:type="dxa"/>
            <w:vAlign w:val="center"/>
          </w:tcPr>
          <w:p w14:paraId="1B1EF64C"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0DDB710B"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eastAsia="Times New Roman" w:hAnsi="Times New Roman" w:cs="Times New Roman"/>
                <w:sz w:val="28"/>
                <w:szCs w:val="28"/>
                <w:lang w:eastAsia="ru-RU"/>
              </w:rPr>
              <w:t>Соглашение об инвестициях</w:t>
            </w:r>
          </w:p>
        </w:tc>
      </w:tr>
      <w:tr w:rsidR="00B02CF8" w:rsidRPr="003A6E5A" w14:paraId="40E5656D" w14:textId="77777777" w:rsidTr="00662565">
        <w:trPr>
          <w:trHeight w:val="90"/>
          <w:jc w:val="center"/>
        </w:trPr>
        <w:tc>
          <w:tcPr>
            <w:tcW w:w="2250" w:type="dxa"/>
            <w:vAlign w:val="center"/>
          </w:tcPr>
          <w:p w14:paraId="4324630D"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rPr>
              <w:t>СПС</w:t>
            </w:r>
          </w:p>
        </w:tc>
        <w:tc>
          <w:tcPr>
            <w:tcW w:w="356" w:type="dxa"/>
            <w:vAlign w:val="center"/>
          </w:tcPr>
          <w:p w14:paraId="65F8CA14"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146D51BC"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Соглашение о партнёрстве и сотрудничестве</w:t>
            </w:r>
          </w:p>
        </w:tc>
      </w:tr>
      <w:tr w:rsidR="00B02CF8" w:rsidRPr="003A6E5A" w14:paraId="6DE06ED1" w14:textId="77777777" w:rsidTr="00662565">
        <w:trPr>
          <w:jc w:val="center"/>
        </w:trPr>
        <w:tc>
          <w:tcPr>
            <w:tcW w:w="2250" w:type="dxa"/>
            <w:vAlign w:val="center"/>
          </w:tcPr>
          <w:p w14:paraId="3B70CF0E"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СРП</w:t>
            </w:r>
          </w:p>
        </w:tc>
        <w:tc>
          <w:tcPr>
            <w:tcW w:w="356" w:type="dxa"/>
            <w:vAlign w:val="center"/>
          </w:tcPr>
          <w:p w14:paraId="71C4185C"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0AE77E2E"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Соглашения о разделе продукции</w:t>
            </w:r>
          </w:p>
        </w:tc>
      </w:tr>
      <w:tr w:rsidR="00B02CF8" w:rsidRPr="003A6E5A" w14:paraId="37E147CE" w14:textId="77777777" w:rsidTr="00662565">
        <w:trPr>
          <w:jc w:val="center"/>
        </w:trPr>
        <w:tc>
          <w:tcPr>
            <w:tcW w:w="2250" w:type="dxa"/>
            <w:vAlign w:val="center"/>
          </w:tcPr>
          <w:p w14:paraId="56084C66"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rPr>
              <w:lastRenderedPageBreak/>
              <w:t>СРПС</w:t>
            </w:r>
          </w:p>
        </w:tc>
        <w:tc>
          <w:tcPr>
            <w:tcW w:w="356" w:type="dxa"/>
            <w:vAlign w:val="center"/>
          </w:tcPr>
          <w:p w14:paraId="1767C44B"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02E21F8E"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lang w:val="kk-KZ"/>
              </w:rPr>
              <w:t>Соглашение о расширенном партнёрстве и сотрудничестве</w:t>
            </w:r>
          </w:p>
        </w:tc>
      </w:tr>
      <w:tr w:rsidR="00235238" w:rsidRPr="003A6E5A" w14:paraId="5F633BEB" w14:textId="77777777" w:rsidTr="00662565">
        <w:trPr>
          <w:jc w:val="center"/>
        </w:trPr>
        <w:tc>
          <w:tcPr>
            <w:tcW w:w="2250" w:type="dxa"/>
            <w:vAlign w:val="center"/>
          </w:tcPr>
          <w:p w14:paraId="61DB8C02" w14:textId="344116CD" w:rsidR="00235238" w:rsidRPr="003A6E5A" w:rsidRDefault="00235238" w:rsidP="00662565">
            <w:pPr>
              <w:spacing w:after="0" w:line="240" w:lineRule="auto"/>
              <w:rPr>
                <w:rFonts w:ascii="Times New Roman" w:hAnsi="Times New Roman" w:cs="Times New Roman"/>
                <w:sz w:val="28"/>
                <w:szCs w:val="28"/>
              </w:rPr>
            </w:pPr>
            <w:r w:rsidRPr="003A6E5A">
              <w:rPr>
                <w:rFonts w:ascii="Times New Roman" w:eastAsia="Times New Roman" w:hAnsi="Times New Roman" w:cs="Times New Roman"/>
                <w:sz w:val="28"/>
                <w:szCs w:val="28"/>
                <w:lang w:val="kk-KZ" w:eastAsia="ru-RU"/>
              </w:rPr>
              <w:t>СПК</w:t>
            </w:r>
          </w:p>
        </w:tc>
        <w:tc>
          <w:tcPr>
            <w:tcW w:w="356" w:type="dxa"/>
            <w:vAlign w:val="center"/>
          </w:tcPr>
          <w:p w14:paraId="3E971440" w14:textId="23D8BA02" w:rsidR="00235238" w:rsidRPr="003A6E5A" w:rsidRDefault="00235238" w:rsidP="00662565">
            <w:pPr>
              <w:spacing w:after="0" w:line="240" w:lineRule="auto"/>
              <w:rPr>
                <w:rFonts w:ascii="Times New Roman" w:hAnsi="Times New Roman" w:cs="Times New Roman"/>
                <w:sz w:val="28"/>
                <w:szCs w:val="28"/>
                <w:lang w:val="en-US"/>
              </w:rPr>
            </w:pPr>
            <w:r w:rsidRPr="003A6E5A">
              <w:rPr>
                <w:rFonts w:ascii="Times New Roman" w:eastAsia="Times New Roman" w:hAnsi="Times New Roman" w:cs="Times New Roman"/>
                <w:sz w:val="28"/>
                <w:szCs w:val="28"/>
                <w:lang w:eastAsia="ru-RU"/>
              </w:rPr>
              <w:t>–</w:t>
            </w:r>
          </w:p>
        </w:tc>
        <w:tc>
          <w:tcPr>
            <w:tcW w:w="6887" w:type="dxa"/>
            <w:vAlign w:val="center"/>
          </w:tcPr>
          <w:p w14:paraId="44F0A7D4" w14:textId="20B19991" w:rsidR="00235238" w:rsidRPr="003A6E5A" w:rsidRDefault="00235238" w:rsidP="00662565">
            <w:pPr>
              <w:spacing w:after="0" w:line="240" w:lineRule="auto"/>
              <w:rPr>
                <w:rFonts w:ascii="Times New Roman" w:hAnsi="Times New Roman" w:cs="Times New Roman"/>
                <w:sz w:val="28"/>
                <w:szCs w:val="28"/>
                <w:lang w:val="kk-KZ"/>
              </w:rPr>
            </w:pPr>
            <w:r w:rsidRPr="003A6E5A">
              <w:rPr>
                <w:rFonts w:ascii="Times New Roman" w:eastAsia="Times New Roman" w:hAnsi="Times New Roman" w:cs="Times New Roman"/>
                <w:sz w:val="28"/>
                <w:szCs w:val="28"/>
                <w:lang w:eastAsia="ru-RU"/>
              </w:rPr>
              <w:t>специальные проектные компании</w:t>
            </w:r>
          </w:p>
        </w:tc>
      </w:tr>
      <w:tr w:rsidR="00B02CF8" w:rsidRPr="003A6E5A" w14:paraId="454EC42A" w14:textId="77777777" w:rsidTr="00662565">
        <w:trPr>
          <w:jc w:val="center"/>
        </w:trPr>
        <w:tc>
          <w:tcPr>
            <w:tcW w:w="2250" w:type="dxa"/>
            <w:vAlign w:val="center"/>
          </w:tcPr>
          <w:p w14:paraId="588C6CAC"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СЭЗ</w:t>
            </w:r>
          </w:p>
        </w:tc>
        <w:tc>
          <w:tcPr>
            <w:tcW w:w="356" w:type="dxa"/>
            <w:vAlign w:val="center"/>
          </w:tcPr>
          <w:p w14:paraId="1E31F43A"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7D732491"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rPr>
              <w:t>Специальные экономические зоны</w:t>
            </w:r>
          </w:p>
        </w:tc>
      </w:tr>
      <w:tr w:rsidR="00235238" w:rsidRPr="003A6E5A" w14:paraId="438580B9" w14:textId="77777777" w:rsidTr="00662565">
        <w:trPr>
          <w:jc w:val="center"/>
        </w:trPr>
        <w:tc>
          <w:tcPr>
            <w:tcW w:w="2250" w:type="dxa"/>
            <w:vAlign w:val="center"/>
          </w:tcPr>
          <w:p w14:paraId="4600E082" w14:textId="1B400A80" w:rsidR="00235238" w:rsidRPr="003A6E5A" w:rsidRDefault="00235238"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ТКТК</w:t>
            </w:r>
          </w:p>
        </w:tc>
        <w:tc>
          <w:tcPr>
            <w:tcW w:w="356" w:type="dxa"/>
            <w:vAlign w:val="center"/>
          </w:tcPr>
          <w:p w14:paraId="2AB1B777" w14:textId="18DB077E" w:rsidR="00235238" w:rsidRPr="003A6E5A" w:rsidRDefault="00235238" w:rsidP="00662565">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7ED81AB5" w14:textId="7A69B01D" w:rsidR="00235238" w:rsidRPr="003A6E5A" w:rsidRDefault="00235238"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Транскаспийского транспортного коридора</w:t>
            </w:r>
          </w:p>
        </w:tc>
      </w:tr>
      <w:tr w:rsidR="005A3703" w:rsidRPr="003A6E5A" w14:paraId="19CBBA19" w14:textId="77777777" w:rsidTr="00662565">
        <w:trPr>
          <w:jc w:val="center"/>
        </w:trPr>
        <w:tc>
          <w:tcPr>
            <w:tcW w:w="2250" w:type="dxa"/>
            <w:vAlign w:val="center"/>
          </w:tcPr>
          <w:p w14:paraId="276B57DF" w14:textId="1057C689" w:rsidR="005A3703" w:rsidRPr="003A6E5A" w:rsidRDefault="00D816F8"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СПИК</w:t>
            </w:r>
          </w:p>
        </w:tc>
        <w:tc>
          <w:tcPr>
            <w:tcW w:w="356" w:type="dxa"/>
            <w:vAlign w:val="center"/>
          </w:tcPr>
          <w:p w14:paraId="5C16D429" w14:textId="2CC735C9" w:rsidR="005A3703" w:rsidRPr="003A6E5A" w:rsidRDefault="00D816F8" w:rsidP="00662565">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72D6140A" w14:textId="02DF7F3E" w:rsidR="005A3703" w:rsidRPr="003A6E5A" w:rsidRDefault="00235238" w:rsidP="00662565">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с</w:t>
            </w:r>
            <w:r w:rsidR="00D816F8" w:rsidRPr="003A6E5A">
              <w:rPr>
                <w:rFonts w:ascii="Times New Roman" w:hAnsi="Times New Roman" w:cs="Times New Roman"/>
                <w:sz w:val="28"/>
                <w:szCs w:val="28"/>
              </w:rPr>
              <w:t>пециальный инвестиционный контракт</w:t>
            </w:r>
          </w:p>
        </w:tc>
      </w:tr>
      <w:tr w:rsidR="00662565" w:rsidRPr="003A6E5A" w14:paraId="1BB52D5E" w14:textId="77777777" w:rsidTr="00235238">
        <w:trPr>
          <w:trHeight w:val="77"/>
          <w:jc w:val="center"/>
        </w:trPr>
        <w:tc>
          <w:tcPr>
            <w:tcW w:w="2250" w:type="dxa"/>
            <w:vAlign w:val="center"/>
          </w:tcPr>
          <w:p w14:paraId="79C851E7"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ЦА</w:t>
            </w:r>
          </w:p>
        </w:tc>
        <w:tc>
          <w:tcPr>
            <w:tcW w:w="356" w:type="dxa"/>
            <w:vAlign w:val="center"/>
          </w:tcPr>
          <w:p w14:paraId="14FAF22C" w14:textId="77777777" w:rsidR="00662565" w:rsidRPr="003A6E5A" w:rsidRDefault="00662565" w:rsidP="00662565">
            <w:pPr>
              <w:spacing w:after="0" w:line="240" w:lineRule="auto"/>
              <w:jc w:val="left"/>
              <w:rPr>
                <w:rFonts w:ascii="Times New Roman" w:hAnsi="Times New Roman" w:cs="Times New Roman"/>
                <w:sz w:val="28"/>
                <w:szCs w:val="28"/>
                <w:lang w:val="en-US"/>
              </w:rPr>
            </w:pPr>
            <w:r w:rsidRPr="003A6E5A">
              <w:rPr>
                <w:rFonts w:ascii="Times New Roman" w:hAnsi="Times New Roman" w:cs="Times New Roman"/>
                <w:sz w:val="28"/>
                <w:szCs w:val="28"/>
                <w:lang w:val="en-US"/>
              </w:rPr>
              <w:t>–</w:t>
            </w:r>
          </w:p>
        </w:tc>
        <w:tc>
          <w:tcPr>
            <w:tcW w:w="6887" w:type="dxa"/>
            <w:vAlign w:val="center"/>
          </w:tcPr>
          <w:p w14:paraId="7A294125" w14:textId="77777777" w:rsidR="00662565" w:rsidRPr="003A6E5A" w:rsidRDefault="00662565" w:rsidP="00662565">
            <w:pPr>
              <w:spacing w:after="0" w:line="240" w:lineRule="auto"/>
              <w:jc w:val="left"/>
              <w:rPr>
                <w:rFonts w:ascii="Times New Roman" w:hAnsi="Times New Roman" w:cs="Times New Roman"/>
                <w:sz w:val="28"/>
                <w:szCs w:val="28"/>
              </w:rPr>
            </w:pPr>
            <w:r w:rsidRPr="003A6E5A">
              <w:rPr>
                <w:rFonts w:ascii="Times New Roman" w:hAnsi="Times New Roman" w:cs="Times New Roman"/>
                <w:sz w:val="28"/>
                <w:szCs w:val="28"/>
              </w:rPr>
              <w:t>Центральная Азия</w:t>
            </w:r>
          </w:p>
        </w:tc>
      </w:tr>
    </w:tbl>
    <w:p w14:paraId="4AD757A9" w14:textId="77777777" w:rsidR="00235238" w:rsidRPr="003A6E5A" w:rsidRDefault="00235238" w:rsidP="001608EA">
      <w:pPr>
        <w:pStyle w:val="1-"/>
        <w:spacing w:beforeAutospacing="0" w:after="0" w:afterAutospacing="0" w:line="240" w:lineRule="auto"/>
        <w:jc w:val="center"/>
        <w:rPr>
          <w:rFonts w:ascii="Times New Roman" w:eastAsiaTheme="minorHAnsi" w:hAnsi="Times New Roman" w:cstheme="minorBidi" w:hint="default"/>
          <w:b w:val="0"/>
          <w:bCs w:val="0"/>
          <w:kern w:val="0"/>
          <w:sz w:val="28"/>
          <w:szCs w:val="28"/>
          <w:lang w:val="ru-RU" w:eastAsia="en-US"/>
        </w:rPr>
      </w:pPr>
      <w:bookmarkStart w:id="2" w:name="_Toc209538973"/>
    </w:p>
    <w:p w14:paraId="4C96D8F3" w14:textId="77777777" w:rsidR="00235238" w:rsidRPr="003A6E5A" w:rsidRDefault="00235238">
      <w:pPr>
        <w:spacing w:after="0" w:line="240" w:lineRule="auto"/>
        <w:rPr>
          <w:rFonts w:ascii="Times New Roman" w:hAnsi="Times New Roman"/>
          <w:sz w:val="28"/>
          <w:szCs w:val="28"/>
        </w:rPr>
      </w:pPr>
      <w:r w:rsidRPr="003A6E5A">
        <w:rPr>
          <w:rFonts w:ascii="Times New Roman" w:hAnsi="Times New Roman"/>
          <w:b/>
          <w:bCs/>
          <w:sz w:val="28"/>
          <w:szCs w:val="28"/>
        </w:rPr>
        <w:br w:type="page"/>
      </w:r>
    </w:p>
    <w:p w14:paraId="6E391725" w14:textId="424AD9EB" w:rsidR="0007065F" w:rsidRPr="003A6E5A" w:rsidRDefault="0007065F" w:rsidP="001608EA">
      <w:pPr>
        <w:pStyle w:val="1-"/>
        <w:spacing w:beforeAutospacing="0" w:after="0" w:afterAutospacing="0" w:line="240" w:lineRule="auto"/>
        <w:jc w:val="center"/>
        <w:rPr>
          <w:rFonts w:ascii="Times New Roman" w:hAnsi="Times New Roman" w:hint="default"/>
          <w:bCs w:val="0"/>
          <w:sz w:val="28"/>
          <w:szCs w:val="28"/>
          <w:lang w:val="ru-RU"/>
        </w:rPr>
      </w:pPr>
      <w:r w:rsidRPr="003A6E5A">
        <w:rPr>
          <w:rFonts w:ascii="Times New Roman" w:hAnsi="Times New Roman" w:hint="default"/>
          <w:bCs w:val="0"/>
          <w:sz w:val="28"/>
          <w:szCs w:val="28"/>
          <w:lang w:val="ru-RU"/>
        </w:rPr>
        <w:lastRenderedPageBreak/>
        <w:t>ВВЕДЕНИЕ</w:t>
      </w:r>
      <w:bookmarkEnd w:id="2"/>
    </w:p>
    <w:p w14:paraId="24C56B5A" w14:textId="1321258A" w:rsidR="00DF775A" w:rsidRPr="003A6E5A" w:rsidRDefault="00DF775A" w:rsidP="00DC0003">
      <w:pPr>
        <w:spacing w:after="0" w:line="240" w:lineRule="auto"/>
        <w:jc w:val="both"/>
        <w:rPr>
          <w:rFonts w:ascii="Times New Roman" w:hAnsi="Times New Roman" w:cs="Times New Roman"/>
          <w:sz w:val="28"/>
          <w:szCs w:val="28"/>
        </w:rPr>
      </w:pPr>
    </w:p>
    <w:p w14:paraId="4B89DC36" w14:textId="77777777" w:rsidR="00F07783" w:rsidRPr="003A6E5A" w:rsidRDefault="00E92C83" w:rsidP="00F07783">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b/>
          <w:sz w:val="28"/>
          <w:szCs w:val="28"/>
        </w:rPr>
        <w:t>Общая характеристика работы.</w:t>
      </w:r>
      <w:r w:rsidR="00FC6E5A" w:rsidRPr="003A6E5A">
        <w:rPr>
          <w:rFonts w:ascii="Times New Roman" w:hAnsi="Times New Roman" w:cs="Times New Roman"/>
          <w:b/>
          <w:sz w:val="28"/>
          <w:szCs w:val="28"/>
          <w:lang w:val="kk-KZ"/>
        </w:rPr>
        <w:t xml:space="preserve"> </w:t>
      </w:r>
      <w:r w:rsidR="00F07783" w:rsidRPr="003A6E5A">
        <w:rPr>
          <w:rFonts w:ascii="Times New Roman" w:hAnsi="Times New Roman" w:cs="Times New Roman"/>
          <w:sz w:val="28"/>
          <w:szCs w:val="28"/>
          <w:lang w:val="kk-KZ"/>
        </w:rPr>
        <w:t>Диссертация представляет собой комплексное исследование инвестиционного сотрудничества между Казахстаном и Европейским Союзом с применением методов пространственной эконометрики. Работа состоит из трёх логически связанных разделов, последовательно раскрывающих теоретические основы, эмпирический анализ и прикладные решения. Такой подход позволяет не только систематизировать ключевые концепции, но и предложить практические механизмы для повышения эффективности инвестиционного взаимодействия.</w:t>
      </w:r>
    </w:p>
    <w:p w14:paraId="60E6D149" w14:textId="5055F709" w:rsidR="006C063B" w:rsidRPr="003A6E5A" w:rsidRDefault="006C063B" w:rsidP="00F0778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b/>
          <w:sz w:val="28"/>
          <w:szCs w:val="28"/>
        </w:rPr>
        <w:t xml:space="preserve">Актуальность диссертационного исследования </w:t>
      </w:r>
      <w:r w:rsidRPr="003A6E5A">
        <w:rPr>
          <w:rFonts w:ascii="Times New Roman" w:hAnsi="Times New Roman" w:cs="Times New Roman"/>
          <w:sz w:val="28"/>
          <w:szCs w:val="28"/>
        </w:rPr>
        <w:t xml:space="preserve">обусловлена изменением </w:t>
      </w:r>
      <w:r w:rsidR="00190A9F" w:rsidRPr="003A6E5A">
        <w:rPr>
          <w:rFonts w:ascii="Times New Roman" w:hAnsi="Times New Roman" w:cs="Times New Roman"/>
          <w:sz w:val="28"/>
          <w:szCs w:val="28"/>
        </w:rPr>
        <w:t>структуры</w:t>
      </w:r>
      <w:r w:rsidRPr="003A6E5A">
        <w:rPr>
          <w:rFonts w:ascii="Times New Roman" w:hAnsi="Times New Roman" w:cs="Times New Roman"/>
          <w:sz w:val="28"/>
          <w:szCs w:val="28"/>
        </w:rPr>
        <w:t xml:space="preserve"> глобальных инвестиционных потоков и нарастающей конкуренцией за привлечение капитала среди развивающихся стран. Согласно данным </w:t>
      </w:r>
      <w:r w:rsidR="00190A9F" w:rsidRPr="003A6E5A">
        <w:rPr>
          <w:rFonts w:ascii="Times New Roman" w:hAnsi="Times New Roman" w:cs="Times New Roman"/>
          <w:sz w:val="28"/>
          <w:szCs w:val="28"/>
        </w:rPr>
        <w:t xml:space="preserve">Конференция ООН по торговле и развитию (далее – </w:t>
      </w:r>
      <w:r w:rsidRPr="003A6E5A">
        <w:rPr>
          <w:rFonts w:ascii="Times New Roman" w:hAnsi="Times New Roman" w:cs="Times New Roman"/>
          <w:sz w:val="28"/>
          <w:szCs w:val="28"/>
        </w:rPr>
        <w:t>UNCTAD</w:t>
      </w:r>
      <w:r w:rsidR="00190A9F" w:rsidRPr="003A6E5A">
        <w:rPr>
          <w:rFonts w:ascii="Times New Roman" w:hAnsi="Times New Roman" w:cs="Times New Roman"/>
          <w:sz w:val="28"/>
          <w:szCs w:val="28"/>
        </w:rPr>
        <w:t>)</w:t>
      </w:r>
      <w:r w:rsidRPr="003A6E5A">
        <w:rPr>
          <w:rFonts w:ascii="Times New Roman" w:hAnsi="Times New Roman" w:cs="Times New Roman"/>
          <w:sz w:val="28"/>
          <w:szCs w:val="28"/>
        </w:rPr>
        <w:t>, в 2023 году объем мировых прямых иностранных инвестиций (</w:t>
      </w:r>
      <w:r w:rsidR="00190A9F" w:rsidRPr="003A6E5A">
        <w:rPr>
          <w:rFonts w:ascii="Times New Roman" w:hAnsi="Times New Roman" w:cs="Times New Roman"/>
          <w:sz w:val="28"/>
          <w:szCs w:val="28"/>
        </w:rPr>
        <w:t xml:space="preserve">далее – </w:t>
      </w:r>
      <w:r w:rsidRPr="003A6E5A">
        <w:rPr>
          <w:rFonts w:ascii="Times New Roman" w:hAnsi="Times New Roman" w:cs="Times New Roman"/>
          <w:sz w:val="28"/>
          <w:szCs w:val="28"/>
        </w:rPr>
        <w:t xml:space="preserve">ПИИ) сократился на 2% и составил 1,3 трлн долларов США, тогда как инвестиции в развивающиеся страны уменьшились на 7% </w:t>
      </w:r>
      <w:r w:rsidR="0007234F" w:rsidRPr="003A6E5A">
        <w:rPr>
          <w:rFonts w:ascii="Times New Roman" w:hAnsi="Times New Roman" w:cs="Times New Roman"/>
          <w:sz w:val="28"/>
          <w:szCs w:val="28"/>
        </w:rPr>
        <w:t>–</w:t>
      </w:r>
      <w:r w:rsidRPr="003A6E5A">
        <w:rPr>
          <w:rFonts w:ascii="Times New Roman" w:hAnsi="Times New Roman" w:cs="Times New Roman"/>
          <w:sz w:val="28"/>
          <w:szCs w:val="28"/>
        </w:rPr>
        <w:t xml:space="preserve"> до 867 млрд долларов США [1]. Казахстан оказался в еще более уязвимом положении: в 2024 году страна зафиксировала падение ПИИ на 25%</w:t>
      </w:r>
      <w:r w:rsidR="0089434F" w:rsidRPr="003A6E5A">
        <w:rPr>
          <w:rFonts w:ascii="Times New Roman" w:hAnsi="Times New Roman" w:cs="Times New Roman"/>
          <w:sz w:val="28"/>
          <w:szCs w:val="28"/>
        </w:rPr>
        <w:t xml:space="preserve"> по отношению к предыдущему году</w:t>
      </w:r>
      <w:r w:rsidRPr="003A6E5A">
        <w:rPr>
          <w:rFonts w:ascii="Times New Roman" w:hAnsi="Times New Roman" w:cs="Times New Roman"/>
          <w:sz w:val="28"/>
          <w:szCs w:val="28"/>
        </w:rPr>
        <w:t xml:space="preserve"> [2], что свидетельствует о системных ограничениях в поддержании устойчивой инвестиционной привлекательности. В этих условиях поиск новых инструментов анализа и регулирования инвестиционных процессов становится не только экономическим приоритетом, но и стратегической задачей национального развития.</w:t>
      </w:r>
    </w:p>
    <w:p w14:paraId="60659EAA" w14:textId="7A3EE964" w:rsidR="007C7426" w:rsidRPr="003A6E5A" w:rsidRDefault="007C7426" w:rsidP="006C063B">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На региональном уровне исследование приобретает особую значимость, поскольку Европейский Союз является стратегическим и одним из ключевых инвестиционных партнёров Казахстана, оказывая системное воздействие на динамику, структуру и приоритетные направления привлечения иностранного капитала в национальную экономику. ЕС формирует 56,7% совокупного объёма иностранных инвестиций в страну (10 365,1 млн долларов США в 2023 году). Однако зафиксированное в 2024 году снижение европейских ПИИ на 4,7% [2] совпало с ростом инвестиционной активности ЕС в соседних государствах Центральной Азии, прежде всего в Узбекистане</w:t>
      </w:r>
      <w:r w:rsidR="0089434F" w:rsidRPr="003A6E5A">
        <w:rPr>
          <w:rFonts w:ascii="Times New Roman" w:hAnsi="Times New Roman" w:cs="Times New Roman"/>
          <w:sz w:val="28"/>
          <w:szCs w:val="28"/>
          <w:lang w:val="kk-KZ"/>
        </w:rPr>
        <w:t xml:space="preserve"> </w:t>
      </w:r>
      <w:r w:rsidR="0089434F" w:rsidRPr="003A6E5A">
        <w:rPr>
          <w:rFonts w:ascii="Times New Roman" w:hAnsi="Times New Roman" w:cs="Times New Roman"/>
          <w:sz w:val="28"/>
          <w:szCs w:val="28"/>
        </w:rPr>
        <w:t>[3]</w:t>
      </w:r>
      <w:r w:rsidRPr="003A6E5A">
        <w:rPr>
          <w:rFonts w:ascii="Times New Roman" w:hAnsi="Times New Roman" w:cs="Times New Roman"/>
          <w:sz w:val="28"/>
          <w:szCs w:val="28"/>
        </w:rPr>
        <w:t xml:space="preserve"> и Туркменистане</w:t>
      </w:r>
      <w:r w:rsidR="0089434F" w:rsidRPr="003A6E5A">
        <w:rPr>
          <w:rFonts w:ascii="Times New Roman" w:hAnsi="Times New Roman" w:cs="Times New Roman"/>
          <w:sz w:val="28"/>
          <w:szCs w:val="28"/>
        </w:rPr>
        <w:t xml:space="preserve"> [4]</w:t>
      </w:r>
      <w:r w:rsidRPr="003A6E5A">
        <w:rPr>
          <w:rFonts w:ascii="Times New Roman" w:hAnsi="Times New Roman" w:cs="Times New Roman"/>
          <w:sz w:val="28"/>
          <w:szCs w:val="28"/>
        </w:rPr>
        <w:t xml:space="preserve">. Такая динамика усиливает конкурентное давление на Казахстан, актуализируя необходимость диверсификации инвестиционных потоков, переориентации на несырьевые сектора и разработки эффективных механизмов повышения региональной конкурентоспособности. </w:t>
      </w:r>
      <w:r w:rsidR="00F74525" w:rsidRPr="003A6E5A">
        <w:rPr>
          <w:rFonts w:ascii="Times New Roman" w:hAnsi="Times New Roman" w:cs="Times New Roman"/>
          <w:sz w:val="28"/>
          <w:szCs w:val="28"/>
        </w:rPr>
        <w:t xml:space="preserve">В данном контексте исследование инвестиционного взаимодействия между Казахстаном и Европейским союзом приобретает стратегическое и геоэкономическое значение, выходящее за рамки традиционного двустороннего сотрудничества. Реализация программы Европейского Союза «Глобальные ворота» (Global Gateway) </w:t>
      </w:r>
      <w:r w:rsidR="00775E6B" w:rsidRPr="003A6E5A">
        <w:rPr>
          <w:rFonts w:ascii="Times New Roman" w:hAnsi="Times New Roman" w:cs="Times New Roman"/>
          <w:sz w:val="28"/>
          <w:szCs w:val="28"/>
        </w:rPr>
        <w:t>[</w:t>
      </w:r>
      <w:r w:rsidR="00F7586E" w:rsidRPr="003A6E5A">
        <w:rPr>
          <w:rFonts w:ascii="Times New Roman" w:hAnsi="Times New Roman" w:cs="Times New Roman"/>
          <w:sz w:val="28"/>
          <w:szCs w:val="28"/>
        </w:rPr>
        <w:t>5</w:t>
      </w:r>
      <w:r w:rsidR="00775E6B" w:rsidRPr="003A6E5A">
        <w:rPr>
          <w:rFonts w:ascii="Times New Roman" w:hAnsi="Times New Roman" w:cs="Times New Roman"/>
          <w:sz w:val="28"/>
          <w:szCs w:val="28"/>
        </w:rPr>
        <w:t xml:space="preserve">] </w:t>
      </w:r>
      <w:r w:rsidR="00F74525" w:rsidRPr="003A6E5A">
        <w:rPr>
          <w:rFonts w:ascii="Times New Roman" w:hAnsi="Times New Roman" w:cs="Times New Roman"/>
          <w:sz w:val="28"/>
          <w:szCs w:val="28"/>
        </w:rPr>
        <w:t xml:space="preserve">создаёт значительный потенциал не только для привлечения дополнительных инвестиционных ресурсов, но и для качественной диверсификации их отраслевой и географической структуры, что соответствует долгосрочным </w:t>
      </w:r>
      <w:r w:rsidR="00F74525" w:rsidRPr="003A6E5A">
        <w:rPr>
          <w:rFonts w:ascii="Times New Roman" w:hAnsi="Times New Roman" w:cs="Times New Roman"/>
          <w:sz w:val="28"/>
          <w:szCs w:val="28"/>
        </w:rPr>
        <w:lastRenderedPageBreak/>
        <w:t>экономическим интересам обеих сторон и способствует укреплению региональной интеграции.</w:t>
      </w:r>
    </w:p>
    <w:p w14:paraId="24D2B20B" w14:textId="3E530478" w:rsidR="002433B3" w:rsidRPr="003A6E5A" w:rsidRDefault="002433B3" w:rsidP="002433B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Структурные дисбалансы инвестиционной сферы Казахстана, выражающиеся в устойчивой сырьевой зависимости (77% европейских ПИИ сосредоточено в добывающем секторе), выраженной региональной асимметрии (20-кратное превышение объема инвестиций в Атырауской области над показателями Жамбылской области [6]) и методологической неразработанности подходов к оценке инвестиционного потенциала, актуализируют необходимость разработки новых методологических подходов к анализу инвестиционных процессов.</w:t>
      </w:r>
    </w:p>
    <w:p w14:paraId="5EF4F1F2" w14:textId="4FA929D9" w:rsidR="004E3D34" w:rsidRPr="003A6E5A" w:rsidRDefault="002433B3" w:rsidP="002433B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Актуальность диссертационного исследования </w:t>
      </w:r>
      <w:r w:rsidR="008B29B2" w:rsidRPr="003A6E5A">
        <w:rPr>
          <w:rFonts w:ascii="Times New Roman" w:hAnsi="Times New Roman" w:cs="Times New Roman"/>
          <w:sz w:val="28"/>
          <w:szCs w:val="28"/>
        </w:rPr>
        <w:t xml:space="preserve">также </w:t>
      </w:r>
      <w:r w:rsidRPr="003A6E5A">
        <w:rPr>
          <w:rFonts w:ascii="Times New Roman" w:hAnsi="Times New Roman" w:cs="Times New Roman"/>
          <w:sz w:val="28"/>
          <w:szCs w:val="28"/>
        </w:rPr>
        <w:t>обусловлена потребностью в преодолении указанных структурных ограничений через разработку комплексной методики анализа инвестиционного сотрудничества с Европейским союзом. Значимость работы определяется наличием существенных пробелов в методологическом аппарате отечественной экономической науки, где до настоящего времени отсутствует системное исследование, интегрирующее методы пространственной эконометрики для выявления причинно-следственных связей между факторами инвестиционного климата и динамикой инвестиций в основной капитал. Особую практическую ценность представляет разработка типологии стран-инвесторов ЕС и создание научно обоснованного инструментария для оценки инвестиционной привлекательности на национальном и региональном уровнях.</w:t>
      </w:r>
      <w:r w:rsidR="004E3D34" w:rsidRPr="003A6E5A">
        <w:rPr>
          <w:rFonts w:ascii="Times New Roman" w:hAnsi="Times New Roman" w:cs="Times New Roman"/>
          <w:sz w:val="28"/>
          <w:szCs w:val="28"/>
        </w:rPr>
        <w:t xml:space="preserve"> Учитывая вышеизложенное, настоящее исследование представляет собой своевременный и методологически обоснованный ответ на системные вызовы инвестиционной </w:t>
      </w:r>
      <w:r w:rsidR="002932B5" w:rsidRPr="003A6E5A">
        <w:rPr>
          <w:rFonts w:ascii="Times New Roman" w:hAnsi="Times New Roman" w:cs="Times New Roman"/>
          <w:sz w:val="28"/>
          <w:szCs w:val="28"/>
        </w:rPr>
        <w:t>политики</w:t>
      </w:r>
      <w:r w:rsidR="004E3D34" w:rsidRPr="003A6E5A">
        <w:rPr>
          <w:rFonts w:ascii="Times New Roman" w:hAnsi="Times New Roman" w:cs="Times New Roman"/>
          <w:sz w:val="28"/>
          <w:szCs w:val="28"/>
        </w:rPr>
        <w:t xml:space="preserve"> Казахстана. </w:t>
      </w:r>
    </w:p>
    <w:p w14:paraId="223FB441" w14:textId="05992389" w:rsidR="00CF4A45" w:rsidRPr="003A6E5A" w:rsidRDefault="00CF4A45" w:rsidP="002433B3">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b/>
          <w:sz w:val="28"/>
          <w:szCs w:val="28"/>
          <w:lang w:val="kk-KZ"/>
        </w:rPr>
        <w:t>Цель исследования</w:t>
      </w:r>
      <w:r w:rsidRPr="003A6E5A">
        <w:rPr>
          <w:rFonts w:ascii="Times New Roman" w:hAnsi="Times New Roman" w:cs="Times New Roman"/>
          <w:sz w:val="28"/>
          <w:szCs w:val="28"/>
          <w:lang w:val="kk-KZ"/>
        </w:rPr>
        <w:t xml:space="preserve"> – разработать научно обоснованные приоритеты и механизмы активизации инвестиционного сотрудничества между Республикой Казахстан и Европейским союзом на основе комплексного анализа современных тенденций, структурных характеристик и пространственного распределения инвестиционных потоков.</w:t>
      </w:r>
    </w:p>
    <w:p w14:paraId="00F2F670"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Для достижения поставленной цели в рамках настоящего исследования предполагается</w:t>
      </w:r>
      <w:r w:rsidRPr="003A6E5A">
        <w:rPr>
          <w:rFonts w:ascii="Times New Roman" w:hAnsi="Times New Roman" w:cs="Times New Roman"/>
          <w:b/>
          <w:sz w:val="28"/>
          <w:szCs w:val="28"/>
        </w:rPr>
        <w:t xml:space="preserve"> решение следующих задач, </w:t>
      </w:r>
      <w:r w:rsidRPr="003A6E5A">
        <w:rPr>
          <w:rFonts w:ascii="Times New Roman" w:hAnsi="Times New Roman" w:cs="Times New Roman"/>
          <w:sz w:val="28"/>
          <w:szCs w:val="28"/>
        </w:rPr>
        <w:t>логически выстроенных по ключевым направлениям научного анализа:</w:t>
      </w:r>
    </w:p>
    <w:p w14:paraId="03E4CB7B"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b/>
          <w:sz w:val="28"/>
          <w:szCs w:val="28"/>
        </w:rPr>
        <w:t xml:space="preserve"> </w:t>
      </w:r>
      <w:r w:rsidRPr="003A6E5A">
        <w:rPr>
          <w:rFonts w:ascii="Times New Roman" w:hAnsi="Times New Roman" w:cs="Times New Roman"/>
          <w:sz w:val="28"/>
          <w:szCs w:val="28"/>
        </w:rPr>
        <w:t>раскрыть понятие, сущность и формы инвестиционного сотрудничества в условиях глобализационных процессов;</w:t>
      </w:r>
    </w:p>
    <w:p w14:paraId="7B5EE847"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проанализировать методологические подходы к оценке инвестиционного потенциала и разработке интегральных показателей регионального развития;</w:t>
      </w:r>
    </w:p>
    <w:p w14:paraId="0301D2C8"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изучить теоретические основы пространственных авторегрессионных моделей, их классификацию и возможности применения в инвестиционных исследованиях;</w:t>
      </w:r>
    </w:p>
    <w:p w14:paraId="77FFF4EE"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исследовать специфику инвестиционного взаимодействия между государствами Центральной Азии и Европейского Союза;</w:t>
      </w:r>
    </w:p>
    <w:p w14:paraId="31644A19"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lastRenderedPageBreak/>
        <w:t>–</w:t>
      </w:r>
      <w:r w:rsidRPr="003A6E5A">
        <w:rPr>
          <w:rFonts w:ascii="Times New Roman" w:hAnsi="Times New Roman" w:cs="Times New Roman"/>
          <w:sz w:val="28"/>
          <w:szCs w:val="28"/>
        </w:rPr>
        <w:t xml:space="preserve"> оценить влияние пространственной автокорреляции на инвестиционный потенциал и фактические объёмы притока инвестиций в регионы Казахстана;</w:t>
      </w:r>
    </w:p>
    <w:p w14:paraId="6F7B6065"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выполнить эмпирическую проверку пространственных авторегрессионных моделей на базе региональных данных Республики Казахстан;</w:t>
      </w:r>
    </w:p>
    <w:p w14:paraId="6B2DEF2F"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провести анализ прямых иностранных инвестиций из Европейского Союза в Казахстан с учётом их динамики, секторальной и региональной структуры;</w:t>
      </w:r>
    </w:p>
    <w:p w14:paraId="5C3DDEE0" w14:textId="77777777"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разработать интегральный показатель «Индекс инвестиционного потенциала» регионов Казахстана;</w:t>
      </w:r>
    </w:p>
    <w:p w14:paraId="4C9C1A81" w14:textId="77777777" w:rsidR="00CF4A45" w:rsidRPr="003A6E5A" w:rsidRDefault="00CF4A45" w:rsidP="00CF4A45">
      <w:pPr>
        <w:spacing w:after="0" w:line="240" w:lineRule="auto"/>
        <w:ind w:firstLine="709"/>
        <w:jc w:val="both"/>
        <w:rPr>
          <w:rFonts w:ascii="Times New Roman" w:hAnsi="Times New Roman" w:cs="Times New Roman"/>
          <w:b/>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определить приоритеты и механизмы активизации инвестиционной привлекательности регионов Казахстана с учётом выявленных закономерностей и факторов влияния.</w:t>
      </w:r>
    </w:p>
    <w:p w14:paraId="1BB1AC9E" w14:textId="77777777" w:rsidR="00CF4A45" w:rsidRPr="003A6E5A" w:rsidRDefault="00CF4A45" w:rsidP="00CF4A45">
      <w:pPr>
        <w:spacing w:after="0" w:line="240" w:lineRule="auto"/>
        <w:ind w:firstLine="709"/>
        <w:jc w:val="both"/>
        <w:rPr>
          <w:rFonts w:ascii="Times New Roman" w:hAnsi="Times New Roman" w:cs="Times New Roman"/>
          <w:b/>
          <w:sz w:val="28"/>
          <w:szCs w:val="28"/>
          <w:lang w:val="kk-KZ"/>
        </w:rPr>
      </w:pPr>
      <w:r w:rsidRPr="003A6E5A">
        <w:rPr>
          <w:rFonts w:ascii="Times New Roman" w:hAnsi="Times New Roman" w:cs="Times New Roman"/>
          <w:b/>
          <w:sz w:val="28"/>
          <w:szCs w:val="28"/>
        </w:rPr>
        <w:t>Объект исследования.</w:t>
      </w:r>
      <w:r w:rsidRPr="003A6E5A">
        <w:rPr>
          <w:rFonts w:ascii="Times New Roman" w:hAnsi="Times New Roman" w:cs="Times New Roman"/>
          <w:b/>
          <w:sz w:val="28"/>
          <w:szCs w:val="28"/>
          <w:lang w:val="kk-KZ"/>
        </w:rPr>
        <w:t xml:space="preserve"> </w:t>
      </w:r>
      <w:r w:rsidRPr="003A6E5A">
        <w:rPr>
          <w:rFonts w:ascii="Times New Roman" w:hAnsi="Times New Roman" w:cs="Times New Roman"/>
          <w:sz w:val="28"/>
          <w:szCs w:val="28"/>
          <w:lang w:val="kk-KZ"/>
        </w:rPr>
        <w:t>Инвестиционное сотрудничество между Республикой Казахстан и Европейским союзом как система экономических отношений и институциональных взаимодействий в контексте глобализации и региональной экономической интеграции.</w:t>
      </w:r>
    </w:p>
    <w:p w14:paraId="0A37F681" w14:textId="77777777" w:rsidR="00CF4A45" w:rsidRPr="003A6E5A" w:rsidRDefault="00CF4A45" w:rsidP="00CF4A45">
      <w:pPr>
        <w:spacing w:after="0" w:line="240" w:lineRule="auto"/>
        <w:ind w:firstLine="709"/>
        <w:jc w:val="both"/>
        <w:rPr>
          <w:rFonts w:ascii="Times New Roman" w:hAnsi="Times New Roman" w:cs="Times New Roman"/>
          <w:b/>
          <w:sz w:val="28"/>
          <w:szCs w:val="28"/>
          <w:lang w:val="kk-KZ"/>
        </w:rPr>
      </w:pPr>
      <w:r w:rsidRPr="003A6E5A">
        <w:rPr>
          <w:rFonts w:ascii="Times New Roman" w:hAnsi="Times New Roman" w:cs="Times New Roman"/>
          <w:b/>
          <w:sz w:val="28"/>
          <w:szCs w:val="28"/>
        </w:rPr>
        <w:t>Предмет исследования.</w:t>
      </w:r>
      <w:r w:rsidRPr="003A6E5A">
        <w:rPr>
          <w:rFonts w:ascii="Times New Roman" w:hAnsi="Times New Roman" w:cs="Times New Roman"/>
          <w:b/>
          <w:sz w:val="28"/>
          <w:szCs w:val="28"/>
          <w:lang w:val="kk-KZ"/>
        </w:rPr>
        <w:t xml:space="preserve"> </w:t>
      </w:r>
      <w:r w:rsidRPr="003A6E5A">
        <w:rPr>
          <w:rFonts w:ascii="Times New Roman" w:hAnsi="Times New Roman" w:cs="Times New Roman"/>
          <w:sz w:val="28"/>
          <w:szCs w:val="28"/>
          <w:lang w:val="kk-KZ"/>
        </w:rPr>
        <w:t>Экономические отношения, закономерности и механизмы инвестиционного взаимодействия между Казахстаном и Европейским союзом, проявляющиеся в отраслевой, региональной и пространственной структуре прямых иностранных инвестиций, факторах инвестиционной привлекательности и институциональных условиях сотрудничества.</w:t>
      </w:r>
    </w:p>
    <w:p w14:paraId="1A6FBD79" w14:textId="6D82202D" w:rsidR="00F84EE9" w:rsidRPr="003A6E5A" w:rsidRDefault="00174AA7" w:rsidP="0031409A">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b/>
          <w:sz w:val="28"/>
          <w:szCs w:val="28"/>
        </w:rPr>
        <w:t>Степень разработанности проблемы.</w:t>
      </w:r>
      <w:r w:rsidR="00D04915" w:rsidRPr="003A6E5A">
        <w:rPr>
          <w:rFonts w:ascii="Times New Roman" w:hAnsi="Times New Roman" w:cs="Times New Roman"/>
          <w:b/>
          <w:sz w:val="28"/>
          <w:szCs w:val="28"/>
          <w:lang w:val="kk-KZ"/>
        </w:rPr>
        <w:t xml:space="preserve"> </w:t>
      </w:r>
      <w:r w:rsidR="0031409A" w:rsidRPr="003A6E5A">
        <w:rPr>
          <w:rFonts w:ascii="Times New Roman" w:hAnsi="Times New Roman" w:cs="Times New Roman"/>
          <w:sz w:val="28"/>
          <w:szCs w:val="28"/>
          <w:lang w:val="kk-KZ"/>
        </w:rPr>
        <w:t>Теоретико-методологические основы изучения инвестиций были заложены в трудах классиков экономической мысли, где сформированы фундаментальные подходы к пониманию природы и роли инвестиционных процессов. Исследования Дж.М. Кейнса [7] установили системообразующую связь между инвестиционной активностью, уровнем занятости и динамикой рынков капитала, определив инвестиции как прирост стоимости капитальных активов в результате производственной деятельности. Дальнейшее развитие теоретической базы осуществили П. Хейне [8], акцентировавший процесс трансформации сбережений в реальные производственные ресурсы, и Л.Дж. Гитман [9], рассмотревший инвестиции как способ вложения капитала с целью его сохранения и приумножения. Современная научная парадигма, представленная в работах Н. Лаоподиса [10] и других исследователей, расширила традиционные подходы за счет акцента на стратегическом распределении ограниченных ресурсов с учетом факторов риска и неопределенности.</w:t>
      </w:r>
    </w:p>
    <w:p w14:paraId="31E6FAD6" w14:textId="6AE3EC08" w:rsidR="0082758A" w:rsidRPr="003A6E5A" w:rsidRDefault="0082758A" w:rsidP="0082758A">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В постсоветском научном пространстве системное изучение инвестиционных процессов активно представлено в диссертационных исследованиях российских и казахстанских ученых. Так, в докторских диссертациях Л.М. Шевченко</w:t>
      </w:r>
      <w:r w:rsidR="007C7426" w:rsidRPr="003A6E5A">
        <w:rPr>
          <w:rFonts w:ascii="Times New Roman" w:hAnsi="Times New Roman" w:cs="Times New Roman"/>
          <w:sz w:val="28"/>
          <w:szCs w:val="28"/>
        </w:rPr>
        <w:t xml:space="preserve"> [</w:t>
      </w:r>
      <w:r w:rsidR="00200B0B" w:rsidRPr="003A6E5A">
        <w:rPr>
          <w:rFonts w:ascii="Times New Roman" w:hAnsi="Times New Roman" w:cs="Times New Roman"/>
          <w:sz w:val="28"/>
          <w:szCs w:val="28"/>
        </w:rPr>
        <w:t>1</w:t>
      </w:r>
      <w:r w:rsidR="00863179" w:rsidRPr="003A6E5A">
        <w:rPr>
          <w:rFonts w:ascii="Times New Roman" w:hAnsi="Times New Roman" w:cs="Times New Roman"/>
          <w:sz w:val="28"/>
          <w:szCs w:val="28"/>
        </w:rPr>
        <w:t>1</w:t>
      </w:r>
      <w:r w:rsidR="007C7426" w:rsidRPr="003A6E5A">
        <w:rPr>
          <w:rFonts w:ascii="Times New Roman" w:hAnsi="Times New Roman" w:cs="Times New Roman"/>
          <w:sz w:val="28"/>
          <w:szCs w:val="28"/>
        </w:rPr>
        <w:t>]</w:t>
      </w:r>
      <w:r w:rsidRPr="003A6E5A">
        <w:rPr>
          <w:rFonts w:ascii="Times New Roman" w:hAnsi="Times New Roman" w:cs="Times New Roman"/>
          <w:sz w:val="28"/>
          <w:szCs w:val="28"/>
          <w:lang w:val="kk-KZ"/>
        </w:rPr>
        <w:t>, Н.К. Нурлановой</w:t>
      </w:r>
      <w:r w:rsidR="007C7426" w:rsidRPr="003A6E5A">
        <w:rPr>
          <w:rFonts w:ascii="Times New Roman" w:hAnsi="Times New Roman" w:cs="Times New Roman"/>
          <w:sz w:val="28"/>
          <w:szCs w:val="28"/>
        </w:rPr>
        <w:t xml:space="preserve"> [1</w:t>
      </w:r>
      <w:r w:rsidR="00863179" w:rsidRPr="003A6E5A">
        <w:rPr>
          <w:rFonts w:ascii="Times New Roman" w:hAnsi="Times New Roman" w:cs="Times New Roman"/>
          <w:sz w:val="28"/>
          <w:szCs w:val="28"/>
        </w:rPr>
        <w:t>2</w:t>
      </w:r>
      <w:r w:rsidR="007C7426" w:rsidRPr="003A6E5A">
        <w:rPr>
          <w:rFonts w:ascii="Times New Roman" w:hAnsi="Times New Roman" w:cs="Times New Roman"/>
          <w:sz w:val="28"/>
          <w:szCs w:val="28"/>
        </w:rPr>
        <w:t>]</w:t>
      </w:r>
      <w:r w:rsidRPr="003A6E5A">
        <w:rPr>
          <w:rFonts w:ascii="Times New Roman" w:hAnsi="Times New Roman" w:cs="Times New Roman"/>
          <w:sz w:val="28"/>
          <w:szCs w:val="28"/>
          <w:lang w:val="kk-KZ"/>
        </w:rPr>
        <w:t>, С.Ж.</w:t>
      </w:r>
      <w:r w:rsidR="007C7426"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Пралиева </w:t>
      </w:r>
      <w:r w:rsidR="00087E65" w:rsidRPr="003A6E5A">
        <w:rPr>
          <w:rFonts w:ascii="Times New Roman" w:hAnsi="Times New Roman" w:cs="Times New Roman"/>
          <w:sz w:val="28"/>
          <w:szCs w:val="28"/>
        </w:rPr>
        <w:t>[13]</w:t>
      </w:r>
      <w:r w:rsidR="00087E65"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lang w:val="kk-KZ"/>
        </w:rPr>
        <w:t xml:space="preserve">рассмотрены институциональные механизмы привлечения и использования прямых иностранных инвестиций, влияние инвестиционной политики на </w:t>
      </w:r>
      <w:r w:rsidRPr="003A6E5A">
        <w:rPr>
          <w:rFonts w:ascii="Times New Roman" w:hAnsi="Times New Roman" w:cs="Times New Roman"/>
          <w:sz w:val="28"/>
          <w:szCs w:val="28"/>
          <w:lang w:val="kk-KZ"/>
        </w:rPr>
        <w:lastRenderedPageBreak/>
        <w:t>устойчивость национальной экономики и развитие приоритетных отраслей. Значительный вклад внесли докторские работы М.Ж. Сыдыковой</w:t>
      </w:r>
      <w:r w:rsidR="007C7426" w:rsidRPr="003A6E5A">
        <w:rPr>
          <w:rFonts w:ascii="Times New Roman" w:hAnsi="Times New Roman" w:cs="Times New Roman"/>
          <w:sz w:val="28"/>
          <w:szCs w:val="28"/>
        </w:rPr>
        <w:t xml:space="preserve"> [1</w:t>
      </w:r>
      <w:r w:rsidR="00863179" w:rsidRPr="003A6E5A">
        <w:rPr>
          <w:rFonts w:ascii="Times New Roman" w:hAnsi="Times New Roman" w:cs="Times New Roman"/>
          <w:sz w:val="28"/>
          <w:szCs w:val="28"/>
        </w:rPr>
        <w:t>4</w:t>
      </w:r>
      <w:r w:rsidR="007C7426"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и др., где исследованы проблемы адаптации международного инвестиционного законодательства к национальной правовой системе, а также вопросы стратегического позиционирования Казахстана в глобальных потоках капитала.</w:t>
      </w:r>
    </w:p>
    <w:p w14:paraId="6FCA1912" w14:textId="1194EBBB" w:rsidR="002F5771" w:rsidRPr="003A6E5A" w:rsidRDefault="002F5771" w:rsidP="002F5771">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Методологическая основа исследования сформирована на синтезе достижений современной эконометрики и методов анализа панельных и пространственных данных. Фундаментальные принципы эконометрического моделирования опираются на работы Д.Н. Гуджарати [15] и Дж.М. Вулдриджа [16], которые охватывают проверку предпосылок классической линейной регрессии, методы оценки параметров и диагностику моделей, включая современные подходы к причинно-следственному выводу и практическому применению. В.Х. Грин [17] рассматривает продвинутые темы – модели с дискретными и ограниченными зависимыми переменными, методы максимального правдоподобия, важные для анализа качественных аспектов инвестиционных процессов. Д. Астериу [18] акцентирует внимание на прикладной интерпретации результатов и их экономической значимости.</w:t>
      </w:r>
    </w:p>
    <w:p w14:paraId="2EE20C9E" w14:textId="77777777" w:rsidR="002F5771" w:rsidRPr="003A6E5A" w:rsidRDefault="002F5771" w:rsidP="002F5771">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Для анализа панельных и пространственных данных использованы подходы, учитывающие как временную, так и межрегиональную структуру наблюдений. Рей Б. и Балтаги Б.Х. [19] предлагают комплексную методологию анализа панельных данных, включая модели с фиксированными и случайными эффектами, а также динамические модели для оценки инерционности инвестиционных процессов. Кумбакар С.С. [20] и Марно В. [21] дополняют этот инструментарий методами учета неоднородности и гетероскедастичности, типичными при сравнении регионов. Применение этих методов совместно с подходами пространственной эконометрики позволяет выявлять и количественно оценивать пространственные эффекты, включая автокорреляцию и "эффект соседства" инвестиционной активности, когда инвестиции в одном регионе стимулируют или подавляют инвестиции в соседних.</w:t>
      </w:r>
    </w:p>
    <w:p w14:paraId="4DF685B1" w14:textId="53EC64C0" w:rsidR="00F84EE9" w:rsidRPr="003A6E5A" w:rsidRDefault="00F84EE9" w:rsidP="002F5771">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Наряду с </w:t>
      </w:r>
      <w:r w:rsidR="002F5771" w:rsidRPr="003A6E5A">
        <w:rPr>
          <w:rFonts w:ascii="Times New Roman" w:hAnsi="Times New Roman" w:cs="Times New Roman"/>
          <w:sz w:val="28"/>
          <w:szCs w:val="28"/>
          <w:lang w:val="kk-KZ"/>
        </w:rPr>
        <w:t>указанными</w:t>
      </w:r>
      <w:r w:rsidRPr="003A6E5A">
        <w:rPr>
          <w:rFonts w:ascii="Times New Roman" w:hAnsi="Times New Roman" w:cs="Times New Roman"/>
          <w:sz w:val="28"/>
          <w:szCs w:val="28"/>
          <w:lang w:val="kk-KZ"/>
        </w:rPr>
        <w:t xml:space="preserve"> трудами, в научной литературе широкое внимание уделено отдельным направлениям европейской политики в Центральной Азии. В частности, в работе </w:t>
      </w:r>
      <w:r w:rsidR="00863179" w:rsidRPr="003A6E5A">
        <w:rPr>
          <w:rFonts w:ascii="Times New Roman" w:hAnsi="Times New Roman" w:cs="Times New Roman"/>
          <w:sz w:val="28"/>
          <w:szCs w:val="28"/>
          <w:lang w:val="kk-KZ"/>
        </w:rPr>
        <w:t>Б. Баасика</w:t>
      </w:r>
      <w:r w:rsidR="008927DD" w:rsidRPr="003A6E5A">
        <w:rPr>
          <w:rFonts w:ascii="Times New Roman" w:hAnsi="Times New Roman" w:cs="Times New Roman"/>
          <w:sz w:val="28"/>
          <w:szCs w:val="28"/>
          <w:lang w:val="kk-KZ"/>
        </w:rPr>
        <w:t xml:space="preserve"> и др.</w:t>
      </w:r>
      <w:r w:rsidR="002A5FDB" w:rsidRPr="003A6E5A">
        <w:rPr>
          <w:rFonts w:ascii="Times New Roman" w:hAnsi="Times New Roman" w:cs="Times New Roman"/>
          <w:sz w:val="28"/>
          <w:szCs w:val="28"/>
        </w:rPr>
        <w:t xml:space="preserve"> [2</w:t>
      </w:r>
      <w:r w:rsidR="00863179" w:rsidRPr="003A6E5A">
        <w:rPr>
          <w:rFonts w:ascii="Times New Roman" w:hAnsi="Times New Roman" w:cs="Times New Roman"/>
          <w:sz w:val="28"/>
          <w:szCs w:val="28"/>
        </w:rPr>
        <w:t>2</w:t>
      </w:r>
      <w:r w:rsidR="002A5FDB"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рассматриваются энергетическая безопасность ЕС и коррупционные риски в Центральной Азии как ключевые вызовы для устойчивого развития. Л.С. Колесникова анализирует новую стратегию ЕС в регионе и её влияние на евразийскую интеграцию [</w:t>
      </w:r>
      <w:r w:rsidR="002A5FDB" w:rsidRPr="003A6E5A">
        <w:rPr>
          <w:rFonts w:ascii="Times New Roman" w:hAnsi="Times New Roman" w:cs="Times New Roman"/>
          <w:sz w:val="28"/>
          <w:szCs w:val="28"/>
        </w:rPr>
        <w:t>2</w:t>
      </w:r>
      <w:r w:rsidR="00863179" w:rsidRPr="003A6E5A">
        <w:rPr>
          <w:rFonts w:ascii="Times New Roman" w:hAnsi="Times New Roman" w:cs="Times New Roman"/>
          <w:sz w:val="28"/>
          <w:szCs w:val="28"/>
        </w:rPr>
        <w:t>3</w:t>
      </w:r>
      <w:r w:rsidRPr="003A6E5A">
        <w:rPr>
          <w:rFonts w:ascii="Times New Roman" w:hAnsi="Times New Roman" w:cs="Times New Roman"/>
          <w:sz w:val="28"/>
          <w:szCs w:val="28"/>
          <w:lang w:val="kk-KZ"/>
        </w:rPr>
        <w:t>], а Я.В. Лексютина выделяет движущие силы европейской политики в условиях новой «Большой игры» [</w:t>
      </w:r>
      <w:r w:rsidR="002A5FDB" w:rsidRPr="003A6E5A">
        <w:rPr>
          <w:rFonts w:ascii="Times New Roman" w:hAnsi="Times New Roman" w:cs="Times New Roman"/>
          <w:sz w:val="28"/>
          <w:szCs w:val="28"/>
        </w:rPr>
        <w:t>2</w:t>
      </w:r>
      <w:r w:rsidR="00863179" w:rsidRPr="003A6E5A">
        <w:rPr>
          <w:rFonts w:ascii="Times New Roman" w:hAnsi="Times New Roman" w:cs="Times New Roman"/>
          <w:sz w:val="28"/>
          <w:szCs w:val="28"/>
        </w:rPr>
        <w:t>4</w:t>
      </w:r>
      <w:r w:rsidRPr="003A6E5A">
        <w:rPr>
          <w:rFonts w:ascii="Times New Roman" w:hAnsi="Times New Roman" w:cs="Times New Roman"/>
          <w:sz w:val="28"/>
          <w:szCs w:val="28"/>
          <w:lang w:val="kk-KZ"/>
        </w:rPr>
        <w:t xml:space="preserve">]. В аналитической плоскости, А. </w:t>
      </w:r>
      <w:r w:rsidR="00863179" w:rsidRPr="003A6E5A">
        <w:rPr>
          <w:rFonts w:ascii="Times New Roman" w:hAnsi="Times New Roman" w:cs="Times New Roman"/>
          <w:sz w:val="28"/>
          <w:szCs w:val="28"/>
          <w:lang w:val="kk-KZ"/>
        </w:rPr>
        <w:t>Матвеева</w:t>
      </w:r>
      <w:r w:rsidRPr="003A6E5A">
        <w:rPr>
          <w:rFonts w:ascii="Times New Roman" w:hAnsi="Times New Roman" w:cs="Times New Roman"/>
          <w:sz w:val="28"/>
          <w:szCs w:val="28"/>
          <w:lang w:val="kk-KZ"/>
        </w:rPr>
        <w:t xml:space="preserve"> подчёркивает открывающиеся возможности для обновления диалога и институционализации сотрудничества [</w:t>
      </w:r>
      <w:r w:rsidR="002A5FDB" w:rsidRPr="003A6E5A">
        <w:rPr>
          <w:rFonts w:ascii="Times New Roman" w:hAnsi="Times New Roman" w:cs="Times New Roman"/>
          <w:sz w:val="28"/>
          <w:szCs w:val="28"/>
        </w:rPr>
        <w:t>2</w:t>
      </w:r>
      <w:r w:rsidR="00863179" w:rsidRPr="003A6E5A">
        <w:rPr>
          <w:rFonts w:ascii="Times New Roman" w:hAnsi="Times New Roman" w:cs="Times New Roman"/>
          <w:sz w:val="28"/>
          <w:szCs w:val="28"/>
        </w:rPr>
        <w:t>5</w:t>
      </w:r>
      <w:r w:rsidRPr="003A6E5A">
        <w:rPr>
          <w:rFonts w:ascii="Times New Roman" w:hAnsi="Times New Roman" w:cs="Times New Roman"/>
          <w:sz w:val="28"/>
          <w:szCs w:val="28"/>
          <w:lang w:val="kk-KZ"/>
        </w:rPr>
        <w:t xml:space="preserve">], тогда как А. </w:t>
      </w:r>
      <w:r w:rsidR="00863179" w:rsidRPr="003A6E5A">
        <w:rPr>
          <w:rFonts w:ascii="Times New Roman" w:hAnsi="Times New Roman" w:cs="Times New Roman"/>
          <w:sz w:val="28"/>
          <w:szCs w:val="28"/>
          <w:lang w:val="kk-KZ"/>
        </w:rPr>
        <w:t>Китахунова</w:t>
      </w:r>
      <w:r w:rsidRPr="003A6E5A">
        <w:rPr>
          <w:rFonts w:ascii="Times New Roman" w:hAnsi="Times New Roman" w:cs="Times New Roman"/>
          <w:sz w:val="28"/>
          <w:szCs w:val="28"/>
          <w:lang w:val="kk-KZ"/>
        </w:rPr>
        <w:t xml:space="preserve"> ставит вопрос о стратегическом или временном характере сближения ЕС и Центральной Азии [</w:t>
      </w:r>
      <w:r w:rsidR="002A5FDB" w:rsidRPr="003A6E5A">
        <w:rPr>
          <w:rFonts w:ascii="Times New Roman" w:hAnsi="Times New Roman" w:cs="Times New Roman"/>
          <w:sz w:val="28"/>
          <w:szCs w:val="28"/>
        </w:rPr>
        <w:t>2</w:t>
      </w:r>
      <w:r w:rsidR="00863179" w:rsidRPr="003A6E5A">
        <w:rPr>
          <w:rFonts w:ascii="Times New Roman" w:hAnsi="Times New Roman" w:cs="Times New Roman"/>
          <w:sz w:val="28"/>
          <w:szCs w:val="28"/>
        </w:rPr>
        <w:t>6</w:t>
      </w:r>
      <w:r w:rsidRPr="003A6E5A">
        <w:rPr>
          <w:rFonts w:ascii="Times New Roman" w:hAnsi="Times New Roman" w:cs="Times New Roman"/>
          <w:sz w:val="28"/>
          <w:szCs w:val="28"/>
          <w:lang w:val="kk-KZ"/>
        </w:rPr>
        <w:t>].</w:t>
      </w:r>
    </w:p>
    <w:p w14:paraId="5E56AA7F" w14:textId="705E3833" w:rsidR="0013504B" w:rsidRPr="003A6E5A" w:rsidRDefault="0013504B" w:rsidP="0013504B">
      <w:pPr>
        <w:spacing w:after="0" w:line="240" w:lineRule="auto"/>
        <w:ind w:firstLine="709"/>
        <w:jc w:val="both"/>
        <w:rPr>
          <w:rFonts w:ascii="Times New Roman" w:eastAsia="SimSun" w:hAnsi="Times New Roman" w:cs="Times New Roman"/>
          <w:sz w:val="28"/>
          <w:szCs w:val="28"/>
          <w:lang w:val="kk-KZ" w:eastAsia="ru-RU"/>
        </w:rPr>
      </w:pPr>
      <w:r w:rsidRPr="003A6E5A">
        <w:rPr>
          <w:rFonts w:ascii="Times New Roman" w:eastAsia="SimSun" w:hAnsi="Times New Roman" w:cs="Times New Roman"/>
          <w:sz w:val="28"/>
          <w:szCs w:val="28"/>
          <w:lang w:val="kk-KZ" w:eastAsia="ru-RU"/>
        </w:rPr>
        <w:t xml:space="preserve">Инвестиционные отношения Республики Казахстан с Европейским Союзом нашли отражение в ряде отечественных и зарубежных исследований: так, А. Балега в своих работах проводит системный анализ территориальной и отраслевой структуры инвестиционных потоков, фиксируя устойчивую </w:t>
      </w:r>
      <w:r w:rsidRPr="003A6E5A">
        <w:rPr>
          <w:rFonts w:ascii="Times New Roman" w:eastAsia="SimSun" w:hAnsi="Times New Roman" w:cs="Times New Roman"/>
          <w:sz w:val="28"/>
          <w:szCs w:val="28"/>
          <w:lang w:val="kk-KZ" w:eastAsia="ru-RU"/>
        </w:rPr>
        <w:lastRenderedPageBreak/>
        <w:t>тенденцию к снижению инвестиционной активности с 2008 года и сохраняющуюся концентрацию капиталовложений в сырьевом секторе, несмотря на декларируемые цели диверсификации [27]. В.Ю. Додонов осуществляет глубокий статистический анализ, выявляя структурные дисбалансы инвестиционного сотрудничества и критически оценивая реальные объемы поступающего капитала в связи со значительной долей реинвестированных доходов и транзитных операций через нидерландские юрисдикции [28]. K. Дреникова и Л. Джубалова акцентируют внимание на стратегических интересах ЕС в Казахстане в условиях геоэкономической конкуренции, отмечая перераспределение рыночных позиций в регионе Центральной Азии между Европейским союзом и Китаем [29]. Н. Демеуов и А. Есдаулетова проводят детальную реконструкцию современной структуры иностранных инвестиций, выявляя ключевые тенденции и структурные сдвиги в инвестиционных потоках [30]. Значительный вклад в разработку практических механизмов инвестиционного сотрудничества вносят А.А. Арупов и А.Б. Отарбаева, которые предлагают институциональные решения по созданию дифференцированных преференций для инвесторов из стран ЕС и минимизации административных барьеров, что способствует повышению инвестиционной привлекательности казахстанской экономики [31].</w:t>
      </w:r>
    </w:p>
    <w:p w14:paraId="5A394F4B" w14:textId="77777777" w:rsidR="0039552D" w:rsidRPr="003A6E5A" w:rsidRDefault="0039552D" w:rsidP="0082758A">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Проблема оценки инвестиционной привлекательности и анализа инвестиционных потоков получила комплексное освещение в зарубежной литературе. В ходе диссертационного исследования был проведен анализ фундаментальных работ, отражающих последовательную эволюцию методологических подходов - от простых линейных моделей к комплексным методикам, учитывающим нелинейные зависимости, пространственные эффекты и институциональные факторы. Исследования Шнайдера и Фрея [32] заложили эмпирическую базу количественного анализа политических детерминант, тогда как работы Бисваса [33] и Бевана с Эстрином [34] углубили институциональный анализ, выявив влияние политических рисков на доходность инвестиций. Методологический прорыв осуществили Блониген и Пайгер [36], применившие байесовское усреднение моделей для оценки устойчивости детерминант, в то время как Джара [37] и Петрески [39] ввели в научный оборот нелинейные зависимости и пространственные эффекты, доказав существование конкурентных взаимодействий между странами-реципиентами. Несмотря на значительный теоретико-методологический задел, остается недостаточно изученным вопрос формирования приоритетов и разработки эффективных механизмов активизации инвестиционного взаимодействия в условиях пространственной конкуренции, что и предопределяет актуальность настоящего исследования.</w:t>
      </w:r>
    </w:p>
    <w:p w14:paraId="6A0E5946" w14:textId="567B7B62" w:rsidR="00174AA7" w:rsidRPr="003A6E5A" w:rsidRDefault="0082758A" w:rsidP="0082758A">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Несмотря на значительную проработку общетеоретических и методологических вопросов, комплексное исследование инвестиционного сотрудничества Казахстана и Европейского Союза, включающее анализ отраслевой и региональной структуры ПИИ, пространственной организации потоков и институциональных факторов инвестиционной привлекательности, до </w:t>
      </w:r>
      <w:r w:rsidRPr="003A6E5A">
        <w:rPr>
          <w:rFonts w:ascii="Times New Roman" w:hAnsi="Times New Roman" w:cs="Times New Roman"/>
          <w:sz w:val="28"/>
          <w:szCs w:val="28"/>
          <w:lang w:val="kk-KZ"/>
        </w:rPr>
        <w:lastRenderedPageBreak/>
        <w:t>настоящего времени не получило системного освещения, что и определяет научную нишу данного исследования.</w:t>
      </w:r>
    </w:p>
    <w:p w14:paraId="4FE1F338" w14:textId="770CF9C9" w:rsidR="00174B03" w:rsidRPr="003A6E5A" w:rsidRDefault="00174B03" w:rsidP="00CF4A45">
      <w:pPr>
        <w:spacing w:after="0" w:line="240" w:lineRule="auto"/>
        <w:ind w:firstLine="709"/>
        <w:jc w:val="both"/>
        <w:rPr>
          <w:rFonts w:ascii="Times New Roman" w:hAnsi="Times New Roman" w:cs="Times New Roman"/>
          <w:b/>
          <w:sz w:val="28"/>
          <w:szCs w:val="28"/>
          <w:lang w:val="kk-KZ"/>
        </w:rPr>
      </w:pPr>
      <w:r w:rsidRPr="003A6E5A">
        <w:rPr>
          <w:rFonts w:ascii="Times New Roman" w:hAnsi="Times New Roman" w:cs="Times New Roman"/>
          <w:b/>
          <w:sz w:val="28"/>
          <w:szCs w:val="28"/>
          <w:lang w:val="kk-KZ"/>
        </w:rPr>
        <w:t xml:space="preserve">В качестве источниковой базы диссертационного исследования </w:t>
      </w:r>
      <w:r w:rsidRPr="003A6E5A">
        <w:rPr>
          <w:rFonts w:ascii="Times New Roman" w:hAnsi="Times New Roman" w:cs="Times New Roman"/>
          <w:sz w:val="28"/>
          <w:szCs w:val="28"/>
          <w:lang w:val="kk-KZ"/>
        </w:rPr>
        <w:t>использован комплекс статистических, нормативно-правовых и стратегических материалов. Формирование статистической базы осуществлялось на основе данных Конференции ООН по торговле и развитию</w:t>
      </w:r>
      <w:r w:rsidR="002A45F0" w:rsidRPr="003A6E5A">
        <w:rPr>
          <w:rFonts w:ascii="Times New Roman" w:hAnsi="Times New Roman" w:cs="Times New Roman"/>
          <w:sz w:val="28"/>
          <w:szCs w:val="28"/>
          <w:lang w:val="kk-KZ"/>
        </w:rPr>
        <w:t xml:space="preserve"> </w:t>
      </w:r>
      <w:r w:rsidR="002A45F0" w:rsidRPr="003A6E5A">
        <w:rPr>
          <w:rFonts w:ascii="Times New Roman" w:hAnsi="Times New Roman" w:cs="Times New Roman"/>
          <w:sz w:val="28"/>
          <w:szCs w:val="28"/>
        </w:rPr>
        <w:t>[1]</w:t>
      </w:r>
      <w:r w:rsidRPr="003A6E5A">
        <w:rPr>
          <w:rFonts w:ascii="Times New Roman" w:hAnsi="Times New Roman" w:cs="Times New Roman"/>
          <w:sz w:val="28"/>
          <w:szCs w:val="28"/>
          <w:lang w:val="kk-KZ"/>
        </w:rPr>
        <w:t xml:space="preserve">, Национального банка Республики Казахстан </w:t>
      </w:r>
      <w:r w:rsidR="000C3E47" w:rsidRPr="003A6E5A">
        <w:rPr>
          <w:rFonts w:ascii="Times New Roman" w:hAnsi="Times New Roman" w:cs="Times New Roman"/>
          <w:sz w:val="28"/>
          <w:szCs w:val="28"/>
        </w:rPr>
        <w:t xml:space="preserve">[2] </w:t>
      </w:r>
      <w:r w:rsidRPr="003A6E5A">
        <w:rPr>
          <w:rFonts w:ascii="Times New Roman" w:hAnsi="Times New Roman" w:cs="Times New Roman"/>
          <w:sz w:val="28"/>
          <w:szCs w:val="28"/>
          <w:lang w:val="kk-KZ"/>
        </w:rPr>
        <w:t>и Бюро национальной статистики Агентства по стратегическому планированию и реформам РК</w:t>
      </w:r>
      <w:r w:rsidR="000C3E47" w:rsidRPr="003A6E5A">
        <w:rPr>
          <w:rFonts w:ascii="Times New Roman" w:hAnsi="Times New Roman" w:cs="Times New Roman"/>
          <w:sz w:val="28"/>
          <w:szCs w:val="28"/>
        </w:rPr>
        <w:t xml:space="preserve"> [6]</w:t>
      </w:r>
      <w:r w:rsidRPr="003A6E5A">
        <w:rPr>
          <w:rFonts w:ascii="Times New Roman" w:hAnsi="Times New Roman" w:cs="Times New Roman"/>
          <w:sz w:val="28"/>
          <w:szCs w:val="28"/>
          <w:lang w:val="kk-KZ"/>
        </w:rPr>
        <w:t xml:space="preserve">. </w:t>
      </w:r>
      <w:r w:rsidR="000C3E47" w:rsidRPr="003A6E5A">
        <w:rPr>
          <w:rFonts w:ascii="Times New Roman" w:hAnsi="Times New Roman" w:cs="Times New Roman"/>
          <w:sz w:val="28"/>
          <w:szCs w:val="28"/>
          <w:lang w:val="kk-KZ"/>
        </w:rPr>
        <w:t>Дополнительно были использованы информационные ресурсы Европейской комиссии [5], что в совокупности обеспечило репрезентативность анализа динамики и структурной трансформации инвестиционных потоков.</w:t>
      </w:r>
    </w:p>
    <w:p w14:paraId="65EE273E" w14:textId="07879EBE" w:rsidR="00CF4A45" w:rsidRPr="003A6E5A" w:rsidRDefault="00CF4A45" w:rsidP="00CF4A4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В рамках проведённого исследования, наряду со статистическим анализом, был осуществлён всесторонний обзор отраслевых документов и стратегических программ. Источниковую базу составили аналитические отчёты национальной компании «Kazakh Invest»</w:t>
      </w:r>
      <w:r w:rsidR="000C3E47" w:rsidRPr="003A6E5A">
        <w:rPr>
          <w:rFonts w:ascii="Times New Roman" w:hAnsi="Times New Roman" w:cs="Times New Roman"/>
          <w:sz w:val="28"/>
          <w:szCs w:val="28"/>
        </w:rPr>
        <w:t xml:space="preserve"> [40]</w:t>
      </w:r>
      <w:r w:rsidRPr="003A6E5A">
        <w:rPr>
          <w:rFonts w:ascii="Times New Roman" w:hAnsi="Times New Roman" w:cs="Times New Roman"/>
          <w:sz w:val="28"/>
          <w:szCs w:val="28"/>
        </w:rPr>
        <w:t>, положения Постановления Правительства РК от 18 октября 2024 года № 868 «Об утверждении Концепции инвестиционной политики Республики Казахстан до 2029 года»</w:t>
      </w:r>
      <w:r w:rsidR="000C3E47" w:rsidRPr="003A6E5A">
        <w:rPr>
          <w:rFonts w:ascii="Times New Roman" w:hAnsi="Times New Roman" w:cs="Times New Roman"/>
          <w:sz w:val="28"/>
          <w:szCs w:val="28"/>
        </w:rPr>
        <w:t xml:space="preserve"> [41]</w:t>
      </w:r>
      <w:r w:rsidRPr="003A6E5A">
        <w:rPr>
          <w:rFonts w:ascii="Times New Roman" w:hAnsi="Times New Roman" w:cs="Times New Roman"/>
          <w:sz w:val="28"/>
          <w:szCs w:val="28"/>
        </w:rPr>
        <w:t>, а также комплекс нормативных правовых актов, отражающих эволюцию инвестиционного законодательства.</w:t>
      </w:r>
    </w:p>
    <w:p w14:paraId="365D1374" w14:textId="60A160C6" w:rsidR="00DA5867" w:rsidRPr="003A6E5A" w:rsidRDefault="00DA5867" w:rsidP="00DA586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Историко-правовой анализ охватил ключевые законодательные акты, начиная с Закона Казахской ССР «О свободных экономических зонах» от 30 ноября 1990 года </w:t>
      </w:r>
      <w:r w:rsidR="000C3E47" w:rsidRPr="003A6E5A">
        <w:rPr>
          <w:rFonts w:ascii="Times New Roman" w:hAnsi="Times New Roman" w:cs="Times New Roman"/>
          <w:sz w:val="28"/>
          <w:szCs w:val="28"/>
        </w:rPr>
        <w:t xml:space="preserve">[42] </w:t>
      </w:r>
      <w:r w:rsidRPr="003A6E5A">
        <w:rPr>
          <w:rFonts w:ascii="Times New Roman" w:hAnsi="Times New Roman" w:cs="Times New Roman"/>
          <w:sz w:val="28"/>
          <w:szCs w:val="28"/>
        </w:rPr>
        <w:t>и Закона «Об инвестиционной деятельности» от 10 июня 1991 года</w:t>
      </w:r>
      <w:r w:rsidR="000C3E47" w:rsidRPr="003A6E5A">
        <w:rPr>
          <w:rFonts w:ascii="Times New Roman" w:hAnsi="Times New Roman" w:cs="Times New Roman"/>
          <w:sz w:val="28"/>
          <w:szCs w:val="28"/>
        </w:rPr>
        <w:t xml:space="preserve"> [43]</w:t>
      </w:r>
      <w:r w:rsidRPr="003A6E5A">
        <w:rPr>
          <w:rFonts w:ascii="Times New Roman" w:hAnsi="Times New Roman" w:cs="Times New Roman"/>
          <w:sz w:val="28"/>
          <w:szCs w:val="28"/>
        </w:rPr>
        <w:t>, далее – Закона РК «Об иностранных инвестициях» от 27 декабря 1994 года № 266-XIII</w:t>
      </w:r>
      <w:r w:rsidR="00BE0C65" w:rsidRPr="003A6E5A">
        <w:rPr>
          <w:rFonts w:ascii="Times New Roman" w:hAnsi="Times New Roman" w:cs="Times New Roman"/>
          <w:sz w:val="28"/>
          <w:szCs w:val="28"/>
        </w:rPr>
        <w:t xml:space="preserve"> [44]</w:t>
      </w:r>
      <w:r w:rsidRPr="003A6E5A">
        <w:rPr>
          <w:rFonts w:ascii="Times New Roman" w:hAnsi="Times New Roman" w:cs="Times New Roman"/>
          <w:sz w:val="28"/>
          <w:szCs w:val="28"/>
        </w:rPr>
        <w:t>, Закона «О государственной поддержке прямых инвестиций» от 16 июля 1997 года № 165-I, Закона «Об инвестициях» от 8 января 2003 года № 373</w:t>
      </w:r>
      <w:r w:rsidR="00BE0C65" w:rsidRPr="003A6E5A">
        <w:rPr>
          <w:rFonts w:ascii="Times New Roman" w:hAnsi="Times New Roman" w:cs="Times New Roman"/>
          <w:sz w:val="28"/>
          <w:szCs w:val="28"/>
        </w:rPr>
        <w:t xml:space="preserve"> [45]</w:t>
      </w:r>
      <w:r w:rsidRPr="003A6E5A">
        <w:rPr>
          <w:rFonts w:ascii="Times New Roman" w:hAnsi="Times New Roman" w:cs="Times New Roman"/>
          <w:sz w:val="28"/>
          <w:szCs w:val="28"/>
        </w:rPr>
        <w:t>, и вплоть до современного Предпринимательского кодекса РК от 29 октября 2015 года № 375-V ЗРК</w:t>
      </w:r>
      <w:r w:rsidR="00BE0C65" w:rsidRPr="003A6E5A">
        <w:rPr>
          <w:rFonts w:ascii="Times New Roman" w:hAnsi="Times New Roman" w:cs="Times New Roman"/>
          <w:sz w:val="28"/>
          <w:szCs w:val="28"/>
        </w:rPr>
        <w:t xml:space="preserve"> [46]</w:t>
      </w:r>
      <w:r w:rsidRPr="003A6E5A">
        <w:rPr>
          <w:rFonts w:ascii="Times New Roman" w:hAnsi="Times New Roman" w:cs="Times New Roman"/>
          <w:sz w:val="28"/>
          <w:szCs w:val="28"/>
        </w:rPr>
        <w:t>. Кроме того, были проанализированы 19 двухсторонних соглашений о поощрении и взаимной защите инвестиций, заключённых и ратифицированных Республикой Казахстан со странами Европейского союза</w:t>
      </w:r>
      <w:r w:rsidR="00827160" w:rsidRPr="003A6E5A">
        <w:rPr>
          <w:rFonts w:ascii="Times New Roman" w:hAnsi="Times New Roman" w:cs="Times New Roman"/>
          <w:sz w:val="28"/>
          <w:szCs w:val="28"/>
        </w:rPr>
        <w:t xml:space="preserve"> [47]</w:t>
      </w:r>
      <w:r w:rsidRPr="003A6E5A">
        <w:rPr>
          <w:rFonts w:ascii="Times New Roman" w:hAnsi="Times New Roman" w:cs="Times New Roman"/>
          <w:sz w:val="28"/>
          <w:szCs w:val="28"/>
        </w:rPr>
        <w:t>.</w:t>
      </w:r>
    </w:p>
    <w:p w14:paraId="061EBC72" w14:textId="77777777" w:rsidR="00DA5867" w:rsidRPr="003A6E5A" w:rsidRDefault="00DA5867" w:rsidP="00DA586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Такой ретроспективный анализ нормативной базы позволил выявить устойчивые тенденции и кардинальные изменения в подходах государства к регулированию инвестиционной деятельности. Изучение последовательной трансформации инвестиционного законодательства демонстрирует постепенный переход от узкоотраслевого регулирования к комплексному системному подходу, интеграцию национального законодательства с международными стандартами, а также эволюцию мер государственной поддержки от точечных преференций к созданию комплексной институциональной среды. Сопоставление современных стратегических документов с историческими нормативными актами дает возможность не только оценить преемственность инвестиционной политики, но и идентифицировать новые приоритеты и механизмы, что является важным для формирования объективной картины инвестиционного климата в Республике Казахстан.</w:t>
      </w:r>
    </w:p>
    <w:p w14:paraId="1FDFC265" w14:textId="096933A4" w:rsidR="00DA5867" w:rsidRPr="003A6E5A" w:rsidRDefault="00DA5867" w:rsidP="00DA586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lastRenderedPageBreak/>
        <w:t>Логичным продолжением анализа национальной нормативной базы стало обращение к внешним стратегическим документам, определяющим рамки взаимодействия Казахстана и Европейского союза в инвестиционной сфере. В рамках исследования были изучены ключевые программные документы ЕС, формирующие современную архитектуру сотрудничества с регионами Центральной Азии. В их число вошли: Стратегия ЕС и Центральная Азия: новые возможности для более прочного партнёрства (17 июня 2019 года)</w:t>
      </w:r>
      <w:r w:rsidR="00BE0C65" w:rsidRPr="003A6E5A">
        <w:rPr>
          <w:rFonts w:ascii="Times New Roman" w:hAnsi="Times New Roman" w:cs="Times New Roman"/>
          <w:sz w:val="28"/>
          <w:szCs w:val="28"/>
        </w:rPr>
        <w:t xml:space="preserve"> [4</w:t>
      </w:r>
      <w:r w:rsidR="00827160" w:rsidRPr="003A6E5A">
        <w:rPr>
          <w:rFonts w:ascii="Times New Roman" w:hAnsi="Times New Roman" w:cs="Times New Roman"/>
          <w:sz w:val="28"/>
          <w:szCs w:val="28"/>
        </w:rPr>
        <w:t>8</w:t>
      </w:r>
      <w:r w:rsidR="00BE0C65" w:rsidRPr="003A6E5A">
        <w:rPr>
          <w:rFonts w:ascii="Times New Roman" w:hAnsi="Times New Roman" w:cs="Times New Roman"/>
          <w:sz w:val="28"/>
          <w:szCs w:val="28"/>
        </w:rPr>
        <w:t>]</w:t>
      </w:r>
      <w:r w:rsidRPr="003A6E5A">
        <w:rPr>
          <w:rFonts w:ascii="Times New Roman" w:hAnsi="Times New Roman" w:cs="Times New Roman"/>
          <w:sz w:val="28"/>
          <w:szCs w:val="28"/>
        </w:rPr>
        <w:t>; Совместная дорожная карта по углублению связей между ЕС и Центральной Азией (23 октября 2023 года)</w:t>
      </w:r>
      <w:r w:rsidR="00BE0C65" w:rsidRPr="003A6E5A">
        <w:rPr>
          <w:rFonts w:ascii="Times New Roman" w:hAnsi="Times New Roman" w:cs="Times New Roman"/>
          <w:sz w:val="28"/>
          <w:szCs w:val="28"/>
        </w:rPr>
        <w:t xml:space="preserve"> [4</w:t>
      </w:r>
      <w:r w:rsidR="00827160" w:rsidRPr="003A6E5A">
        <w:rPr>
          <w:rFonts w:ascii="Times New Roman" w:hAnsi="Times New Roman" w:cs="Times New Roman"/>
          <w:sz w:val="28"/>
          <w:szCs w:val="28"/>
        </w:rPr>
        <w:t>9</w:t>
      </w:r>
      <w:r w:rsidR="00BE0C65" w:rsidRPr="003A6E5A">
        <w:rPr>
          <w:rFonts w:ascii="Times New Roman" w:hAnsi="Times New Roman" w:cs="Times New Roman"/>
          <w:sz w:val="28"/>
          <w:szCs w:val="28"/>
        </w:rPr>
        <w:t>]</w:t>
      </w:r>
      <w:r w:rsidRPr="003A6E5A">
        <w:rPr>
          <w:rFonts w:ascii="Times New Roman" w:hAnsi="Times New Roman" w:cs="Times New Roman"/>
          <w:sz w:val="28"/>
          <w:szCs w:val="28"/>
        </w:rPr>
        <w:t>; а также стратегия ЕС Глобальные ворота (1 декабря 2021 года)</w:t>
      </w:r>
      <w:r w:rsidR="00BE0C65" w:rsidRPr="003A6E5A">
        <w:rPr>
          <w:rFonts w:ascii="Times New Roman" w:hAnsi="Times New Roman" w:cs="Times New Roman"/>
          <w:sz w:val="28"/>
          <w:szCs w:val="28"/>
        </w:rPr>
        <w:t xml:space="preserve"> [</w:t>
      </w:r>
      <w:r w:rsidR="00827160" w:rsidRPr="003A6E5A">
        <w:rPr>
          <w:rFonts w:ascii="Times New Roman" w:hAnsi="Times New Roman" w:cs="Times New Roman"/>
          <w:sz w:val="28"/>
          <w:szCs w:val="28"/>
        </w:rPr>
        <w:t>50</w:t>
      </w:r>
      <w:r w:rsidR="00BE0C65" w:rsidRPr="003A6E5A">
        <w:rPr>
          <w:rFonts w:ascii="Times New Roman" w:hAnsi="Times New Roman" w:cs="Times New Roman"/>
          <w:sz w:val="28"/>
          <w:szCs w:val="28"/>
        </w:rPr>
        <w:t>]</w:t>
      </w:r>
      <w:r w:rsidRPr="003A6E5A">
        <w:rPr>
          <w:rFonts w:ascii="Times New Roman" w:hAnsi="Times New Roman" w:cs="Times New Roman"/>
          <w:sz w:val="28"/>
          <w:szCs w:val="28"/>
        </w:rPr>
        <w:t>.</w:t>
      </w:r>
    </w:p>
    <w:p w14:paraId="304A6DB3" w14:textId="73BAC473" w:rsidR="00025B77" w:rsidRPr="003A6E5A" w:rsidRDefault="00DC50A9" w:rsidP="00025B7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b/>
          <w:sz w:val="28"/>
          <w:szCs w:val="28"/>
        </w:rPr>
        <w:t>Теоретико-м</w:t>
      </w:r>
      <w:r w:rsidR="00025B77" w:rsidRPr="003A6E5A">
        <w:rPr>
          <w:rFonts w:ascii="Times New Roman" w:hAnsi="Times New Roman" w:cs="Times New Roman"/>
          <w:b/>
          <w:sz w:val="28"/>
          <w:szCs w:val="28"/>
        </w:rPr>
        <w:t xml:space="preserve">етодологическую основу диссертационного исследования </w:t>
      </w:r>
      <w:r w:rsidR="00025B77" w:rsidRPr="003A6E5A">
        <w:rPr>
          <w:rFonts w:ascii="Times New Roman" w:hAnsi="Times New Roman" w:cs="Times New Roman"/>
          <w:sz w:val="28"/>
          <w:szCs w:val="28"/>
        </w:rPr>
        <w:t xml:space="preserve">составляют фундаментальные работы признанных классиков экономической и управленческой теории, заложившие методологический фундамент современного анализа инвестиционной привлекательности и конкурентных преимуществ. Системный подход к оценке конкурентоспособности обеспечила триада концепций Майкла Портера: модель «национального ромба» из работы «Конкурентные преимущества </w:t>
      </w:r>
      <w:r w:rsidR="005B3922" w:rsidRPr="003A6E5A">
        <w:rPr>
          <w:rFonts w:ascii="Times New Roman" w:hAnsi="Times New Roman" w:cs="Times New Roman"/>
          <w:sz w:val="28"/>
          <w:szCs w:val="28"/>
        </w:rPr>
        <w:t>стран</w:t>
      </w:r>
      <w:r w:rsidR="00025B77" w:rsidRPr="003A6E5A">
        <w:rPr>
          <w:rFonts w:ascii="Times New Roman" w:hAnsi="Times New Roman" w:cs="Times New Roman"/>
          <w:sz w:val="28"/>
          <w:szCs w:val="28"/>
        </w:rPr>
        <w:t>»</w:t>
      </w:r>
      <w:r w:rsidR="005B3922" w:rsidRPr="003A6E5A">
        <w:rPr>
          <w:rFonts w:ascii="Times New Roman" w:hAnsi="Times New Roman" w:cs="Times New Roman"/>
          <w:sz w:val="28"/>
          <w:szCs w:val="28"/>
        </w:rPr>
        <w:t xml:space="preserve"> [51]</w:t>
      </w:r>
      <w:r w:rsidR="00025B77" w:rsidRPr="003A6E5A">
        <w:rPr>
          <w:rFonts w:ascii="Times New Roman" w:hAnsi="Times New Roman" w:cs="Times New Roman"/>
          <w:sz w:val="28"/>
          <w:szCs w:val="28"/>
        </w:rPr>
        <w:t xml:space="preserve">, позволившая выявить стратегические направления для европейских инвестиций через анализ детерминант конкурентоспособности </w:t>
      </w:r>
      <w:r w:rsidRPr="003A6E5A">
        <w:rPr>
          <w:rFonts w:ascii="Times New Roman" w:hAnsi="Times New Roman" w:cs="Times New Roman"/>
          <w:sz w:val="28"/>
          <w:szCs w:val="28"/>
        </w:rPr>
        <w:t>–</w:t>
      </w:r>
      <w:r w:rsidR="00025B77" w:rsidRPr="003A6E5A">
        <w:rPr>
          <w:rFonts w:ascii="Times New Roman" w:hAnsi="Times New Roman" w:cs="Times New Roman"/>
          <w:sz w:val="28"/>
          <w:szCs w:val="28"/>
        </w:rPr>
        <w:t xml:space="preserve"> параметров факторов производства (природные ресурсы, квалифицированные кадры</w:t>
      </w:r>
      <w:r w:rsidRPr="003A6E5A">
        <w:rPr>
          <w:rFonts w:ascii="Times New Roman" w:hAnsi="Times New Roman" w:cs="Times New Roman"/>
          <w:sz w:val="28"/>
          <w:szCs w:val="28"/>
        </w:rPr>
        <w:t xml:space="preserve"> и т.д.</w:t>
      </w:r>
      <w:r w:rsidR="00025B77" w:rsidRPr="003A6E5A">
        <w:rPr>
          <w:rFonts w:ascii="Times New Roman" w:hAnsi="Times New Roman" w:cs="Times New Roman"/>
          <w:sz w:val="28"/>
          <w:szCs w:val="28"/>
        </w:rPr>
        <w:t>), развитости смежных отраслей и инфраструктуры; модель «пяти сил конкуренции» из труда «Конкурентная стратегия</w:t>
      </w:r>
      <w:r w:rsidR="005B3922" w:rsidRPr="003A6E5A">
        <w:rPr>
          <w:rFonts w:ascii="Times New Roman" w:hAnsi="Times New Roman" w:cs="Times New Roman"/>
          <w:sz w:val="28"/>
          <w:szCs w:val="28"/>
        </w:rPr>
        <w:t xml:space="preserve">: </w:t>
      </w:r>
      <w:r w:rsidR="005B3922" w:rsidRPr="003A6E5A">
        <w:rPr>
          <w:rFonts w:ascii="Times New Roman" w:hAnsi="Times New Roman" w:cs="Times New Roman"/>
          <w:sz w:val="28"/>
          <w:szCs w:val="28"/>
          <w:shd w:val="clear" w:color="auto" w:fill="FFFFFF"/>
        </w:rPr>
        <w:t>Методика анализа отраслей и конкурентов</w:t>
      </w:r>
      <w:r w:rsidR="00025B77" w:rsidRPr="003A6E5A">
        <w:rPr>
          <w:rFonts w:ascii="Times New Roman" w:hAnsi="Times New Roman" w:cs="Times New Roman"/>
          <w:sz w:val="28"/>
          <w:szCs w:val="28"/>
        </w:rPr>
        <w:t>»</w:t>
      </w:r>
      <w:r w:rsidR="005B3922" w:rsidRPr="003A6E5A">
        <w:rPr>
          <w:rFonts w:ascii="Times New Roman" w:hAnsi="Times New Roman" w:cs="Times New Roman"/>
          <w:sz w:val="28"/>
          <w:szCs w:val="28"/>
        </w:rPr>
        <w:t xml:space="preserve"> </w:t>
      </w:r>
      <w:r w:rsidR="00A822BB" w:rsidRPr="003A6E5A">
        <w:rPr>
          <w:rFonts w:ascii="Times New Roman" w:hAnsi="Times New Roman" w:cs="Times New Roman"/>
          <w:sz w:val="28"/>
          <w:szCs w:val="28"/>
        </w:rPr>
        <w:t>[52]</w:t>
      </w:r>
      <w:r w:rsidR="00025B77" w:rsidRPr="003A6E5A">
        <w:rPr>
          <w:rFonts w:ascii="Times New Roman" w:hAnsi="Times New Roman" w:cs="Times New Roman"/>
          <w:sz w:val="28"/>
          <w:szCs w:val="28"/>
        </w:rPr>
        <w:t>, обеспечившая инструментарий для оценки структурной привлекательности ключевых секторов экономики Казахстана; и концепция «цепочки создания стоимости» из работы «</w:t>
      </w:r>
      <w:r w:rsidR="005B3922" w:rsidRPr="003A6E5A">
        <w:rPr>
          <w:rFonts w:ascii="Times New Roman" w:hAnsi="Times New Roman" w:cs="Times New Roman"/>
          <w:sz w:val="28"/>
          <w:szCs w:val="28"/>
        </w:rPr>
        <w:t>Конкурентное преимущество: Как достичь высокого результата и обеспечить его устойчивость</w:t>
      </w:r>
      <w:r w:rsidR="00025B77" w:rsidRPr="003A6E5A">
        <w:rPr>
          <w:rFonts w:ascii="Times New Roman" w:hAnsi="Times New Roman" w:cs="Times New Roman"/>
          <w:sz w:val="28"/>
          <w:szCs w:val="28"/>
        </w:rPr>
        <w:t xml:space="preserve">» </w:t>
      </w:r>
      <w:r w:rsidR="00A822BB" w:rsidRPr="003A6E5A">
        <w:rPr>
          <w:rFonts w:ascii="Times New Roman" w:hAnsi="Times New Roman" w:cs="Times New Roman"/>
          <w:sz w:val="28"/>
          <w:szCs w:val="28"/>
        </w:rPr>
        <w:t>[53]</w:t>
      </w:r>
      <w:r w:rsidR="00025B77" w:rsidRPr="003A6E5A">
        <w:rPr>
          <w:rFonts w:ascii="Times New Roman" w:hAnsi="Times New Roman" w:cs="Times New Roman"/>
          <w:sz w:val="28"/>
          <w:szCs w:val="28"/>
        </w:rPr>
        <w:t>, определившая смещение фокуса сотрудничества от сырьевого экспорта к проектам с высокой добавленной стоимостью в перерабатывающих и высокотехнологичных отраслях.</w:t>
      </w:r>
    </w:p>
    <w:p w14:paraId="0CEB3D1B" w14:textId="67DBD7C7" w:rsidR="00025B77" w:rsidRPr="003A6E5A" w:rsidRDefault="00025B77" w:rsidP="00025B7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Институциональное измерение исследования базируется на работе Дугласа Норта «Институты, институциональные изменения и функционирование экономики» </w:t>
      </w:r>
      <w:r w:rsidR="00A822BB" w:rsidRPr="003A6E5A">
        <w:rPr>
          <w:rFonts w:ascii="Times New Roman" w:hAnsi="Times New Roman" w:cs="Times New Roman"/>
          <w:sz w:val="28"/>
          <w:szCs w:val="28"/>
        </w:rPr>
        <w:t>[54]</w:t>
      </w:r>
      <w:r w:rsidRPr="003A6E5A">
        <w:rPr>
          <w:rFonts w:ascii="Times New Roman" w:hAnsi="Times New Roman" w:cs="Times New Roman"/>
          <w:sz w:val="28"/>
          <w:szCs w:val="28"/>
        </w:rPr>
        <w:t xml:space="preserve">, составившей методологический базис анализа влияния формальных и неформальных институтов на инвестиционные решения. Его подход позволил провести комплексную оценку институциональной среды, включая качество регуляторных механизмов, защиту прав инвесторов, стабильность законодательства и эффективность судебной системы как критических факторов инвестиционной привлекательности для европейских компаний. На микроуровне исследование опирается на теорию ключевых компетенций Гэри Хэмела и К. Прахалада, изложенную в работе «Конкурируя за будущее» </w:t>
      </w:r>
      <w:r w:rsidR="00A822BB" w:rsidRPr="003A6E5A">
        <w:rPr>
          <w:rFonts w:ascii="Times New Roman" w:hAnsi="Times New Roman" w:cs="Times New Roman"/>
          <w:sz w:val="28"/>
          <w:szCs w:val="28"/>
        </w:rPr>
        <w:t>[55]</w:t>
      </w:r>
      <w:r w:rsidRPr="003A6E5A">
        <w:rPr>
          <w:rFonts w:ascii="Times New Roman" w:hAnsi="Times New Roman" w:cs="Times New Roman"/>
          <w:sz w:val="28"/>
          <w:szCs w:val="28"/>
        </w:rPr>
        <w:t>, которая сформировала критериальную базу для отбора перспективных казахстанских компаний-партнеров через оценку их способности к созданию инновационных продуктов и освоению новых рынков.</w:t>
      </w:r>
    </w:p>
    <w:p w14:paraId="29515123" w14:textId="53A286D8" w:rsidR="00025B77" w:rsidRPr="003A6E5A" w:rsidRDefault="00025B77" w:rsidP="00025B7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Синтез этих классических подходов позволил сформировать комплексную методологическую базу, обеспечивающую многоуровневый анализ </w:t>
      </w:r>
      <w:r w:rsidR="00A822BB" w:rsidRPr="003A6E5A">
        <w:rPr>
          <w:rFonts w:ascii="Times New Roman" w:hAnsi="Times New Roman" w:cs="Times New Roman"/>
          <w:sz w:val="28"/>
          <w:szCs w:val="28"/>
        </w:rPr>
        <w:t>–</w:t>
      </w:r>
      <w:r w:rsidRPr="003A6E5A">
        <w:rPr>
          <w:rFonts w:ascii="Times New Roman" w:hAnsi="Times New Roman" w:cs="Times New Roman"/>
          <w:sz w:val="28"/>
          <w:szCs w:val="28"/>
        </w:rPr>
        <w:t xml:space="preserve"> от </w:t>
      </w:r>
      <w:r w:rsidRPr="003A6E5A">
        <w:rPr>
          <w:rFonts w:ascii="Times New Roman" w:hAnsi="Times New Roman" w:cs="Times New Roman"/>
          <w:sz w:val="28"/>
          <w:szCs w:val="28"/>
        </w:rPr>
        <w:lastRenderedPageBreak/>
        <w:t>макроэкономических и институциональных предпосылок до отраслевых и корпоративных стратегий, и определил выбор переменных для последующего эконометрического моделирования. Такой многоаспектный подход лег в основу разработки приоритетов инвестиционного сотрудничества, сочетающих стратегические интересы ЕС в диверсификации цепочек создания стоимости с задачами модернизации и технологического развития экономики Казахстана, а также обеспечил методологическую основу для построения интегрального индекса инвестиционного потенциала регионов Казахстана и пространственных эконометрических моделей.</w:t>
      </w:r>
    </w:p>
    <w:p w14:paraId="2930E9F7" w14:textId="77777777" w:rsidR="00DC50A9" w:rsidRPr="003A6E5A" w:rsidRDefault="00DC50A9" w:rsidP="00BE461F">
      <w:pPr>
        <w:spacing w:after="0" w:line="240" w:lineRule="auto"/>
        <w:ind w:firstLine="709"/>
        <w:jc w:val="both"/>
        <w:rPr>
          <w:rFonts w:ascii="Times New Roman" w:hAnsi="Times New Roman" w:cs="Times New Roman"/>
          <w:b/>
          <w:sz w:val="28"/>
          <w:szCs w:val="28"/>
          <w:lang w:val="kk-KZ"/>
        </w:rPr>
      </w:pPr>
      <w:r w:rsidRPr="003A6E5A">
        <w:rPr>
          <w:rFonts w:ascii="Times New Roman" w:hAnsi="Times New Roman" w:cs="Times New Roman"/>
          <w:b/>
          <w:sz w:val="28"/>
          <w:szCs w:val="28"/>
          <w:lang w:val="kk-KZ"/>
        </w:rPr>
        <w:t xml:space="preserve">Методы исследования </w:t>
      </w:r>
      <w:r w:rsidRPr="003A6E5A">
        <w:rPr>
          <w:rFonts w:ascii="Times New Roman" w:hAnsi="Times New Roman" w:cs="Times New Roman"/>
          <w:sz w:val="28"/>
          <w:szCs w:val="28"/>
          <w:lang w:val="kk-KZ"/>
        </w:rPr>
        <w:t>включают комплекс общенаучных, специальных экономических и пространственных методов, обеспечивающих целостность, системность и многомерность анализа. В числе общенаучных методов применялись системный анализ, статистическое наблюдение, научная абстракция и сравнительный метод, что позволило сопоставить масштабы и структуру притока прямых иностранных инвестиций из Европейского союза в Казахстан и другие страны Центральной Азии.</w:t>
      </w:r>
    </w:p>
    <w:p w14:paraId="137ECA6A" w14:textId="627E7A91" w:rsidR="00BE461F" w:rsidRPr="003A6E5A" w:rsidRDefault="00BE461F" w:rsidP="00BE461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Для количественного анализа использовались специальные экономические методы, включая эконометрическое моделирование, корреляционно-регрессионный и индексный анализ, а также структурно-динамический подход. Применение данных методов позволило выявить статистически значимые зависимости между макроэкономическими и институциональными факторами, влияющими на инвестиционную активность, а также проследить динамику изменения структуры ПИИ в разрезе отраслей и регионов.</w:t>
      </w:r>
    </w:p>
    <w:p w14:paraId="63D907A6" w14:textId="77777777" w:rsidR="003563CB" w:rsidRPr="003A6E5A" w:rsidRDefault="00BE461F" w:rsidP="00BE461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Особое место в исследовании заняли методы пространственной экономики: пространственная эконометрика, анализ пространственной автокорреляции (включая индекс Морана), построение весовых матриц и GIS-анализ. Их использование обеспечило выявление пространственных зависимостей и межрегиональных </w:t>
      </w:r>
      <w:r w:rsidR="000E5AF0" w:rsidRPr="003A6E5A">
        <w:rPr>
          <w:rFonts w:ascii="Times New Roman" w:hAnsi="Times New Roman" w:cs="Times New Roman"/>
          <w:sz w:val="28"/>
          <w:szCs w:val="28"/>
          <w:lang w:val="kk-KZ"/>
        </w:rPr>
        <w:t xml:space="preserve">пространственных </w:t>
      </w:r>
      <w:r w:rsidRPr="003A6E5A">
        <w:rPr>
          <w:rFonts w:ascii="Times New Roman" w:hAnsi="Times New Roman" w:cs="Times New Roman"/>
          <w:sz w:val="28"/>
          <w:szCs w:val="28"/>
          <w:lang w:val="kk-KZ"/>
        </w:rPr>
        <w:t xml:space="preserve">эффектов, оказывающих влияние на распределение инвестиционных потоков и формирование инвестиционной привлекательности регионов. </w:t>
      </w:r>
    </w:p>
    <w:p w14:paraId="51042687" w14:textId="01242CD8" w:rsidR="00BE461F" w:rsidRPr="003A6E5A" w:rsidRDefault="00BE461F" w:rsidP="00BE461F">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На основе данных Национального банка Республики Казахстан, Бюро национальной статистики, а также международных источников (UNCTAD</w:t>
      </w:r>
      <w:r w:rsidR="00236B4D" w:rsidRPr="003A6E5A">
        <w:rPr>
          <w:rFonts w:ascii="Times New Roman" w:hAnsi="Times New Roman" w:cs="Times New Roman"/>
          <w:sz w:val="28"/>
          <w:szCs w:val="28"/>
          <w:lang w:val="kk-KZ"/>
        </w:rPr>
        <w:t xml:space="preserve"> и т.д.</w:t>
      </w:r>
      <w:r w:rsidRPr="003A6E5A">
        <w:rPr>
          <w:rFonts w:ascii="Times New Roman" w:hAnsi="Times New Roman" w:cs="Times New Roman"/>
          <w:sz w:val="28"/>
          <w:szCs w:val="28"/>
          <w:lang w:val="kk-KZ"/>
        </w:rPr>
        <w:t>) проведён комплексный многоуровневый анализ инвестиционного сотрудничества, интегрирующий структурные, пространственные и институциональные аспекты.</w:t>
      </w:r>
    </w:p>
    <w:p w14:paraId="6044813C" w14:textId="77777777" w:rsidR="0088372F" w:rsidRPr="003A6E5A" w:rsidRDefault="00174AA7" w:rsidP="0088372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b/>
          <w:sz w:val="28"/>
          <w:szCs w:val="28"/>
        </w:rPr>
        <w:t>Научная новизна.</w:t>
      </w:r>
      <w:r w:rsidR="0088372F" w:rsidRPr="003A6E5A">
        <w:rPr>
          <w:rFonts w:ascii="Times New Roman" w:hAnsi="Times New Roman" w:cs="Times New Roman"/>
          <w:b/>
          <w:sz w:val="28"/>
          <w:szCs w:val="28"/>
          <w:lang w:val="kk-KZ"/>
        </w:rPr>
        <w:t xml:space="preserve"> </w:t>
      </w:r>
      <w:r w:rsidR="0088372F" w:rsidRPr="003A6E5A">
        <w:rPr>
          <w:rFonts w:ascii="Times New Roman" w:hAnsi="Times New Roman" w:cs="Times New Roman"/>
          <w:sz w:val="28"/>
          <w:szCs w:val="28"/>
          <w:lang w:val="kk-KZ"/>
        </w:rPr>
        <w:t>Предложена комплексная методология анализа инвестиционного сотрудничества между Казахстаном и Европейским союзом, интегрирующая инструменты пространственной эконометрики и классические экономико-статистические методы. Такой подход обеспечивает возможность учитывать межрегиональные взаимосвязи и пространственные эффекты при оценке инвестиционных процессов, что ранее не применялось в казахстанской исследовательской практике.</w:t>
      </w:r>
    </w:p>
    <w:p w14:paraId="1C826F29" w14:textId="2DF7113D" w:rsidR="0088372F" w:rsidRPr="003A6E5A" w:rsidRDefault="0088372F" w:rsidP="0088372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lastRenderedPageBreak/>
        <w:t>Разработана оригинальная классификация стран</w:t>
      </w:r>
      <w:r w:rsidR="004C420F" w:rsidRPr="003A6E5A">
        <w:rPr>
          <w:rFonts w:ascii="Times New Roman" w:hAnsi="Times New Roman" w:cs="Times New Roman"/>
          <w:sz w:val="28"/>
          <w:szCs w:val="28"/>
          <w:lang w:val="kk-KZ"/>
        </w:rPr>
        <w:t>-</w:t>
      </w:r>
      <w:r w:rsidRPr="003A6E5A">
        <w:rPr>
          <w:rFonts w:ascii="Times New Roman" w:hAnsi="Times New Roman" w:cs="Times New Roman"/>
          <w:sz w:val="28"/>
          <w:szCs w:val="28"/>
          <w:lang w:val="kk-KZ"/>
        </w:rPr>
        <w:t>инвесторов ЕС на основе кластерного анализа, позволившая выделить четыре стратегических типа инвестиционного поведения: стратегические инвесторы и транзитные хабы, консервативные инвесторы, диверсифицированные малые инвесторы, а также инвесторы с проблемными активами. Данная типология создаёт основу для выработки дифференцированных мер регулирования инвестиционных потоков и адаптации национальной инвестиционной политики к различным моделям поведения иностранных партнеров.</w:t>
      </w:r>
    </w:p>
    <w:p w14:paraId="3C7C6BE4" w14:textId="77777777" w:rsidR="0088372F" w:rsidRPr="003A6E5A" w:rsidRDefault="0088372F" w:rsidP="0088372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Впервые для Казахстана применён комплекс пространственных авторегрессионных моделей (SAR, SEM, SDM) при исследовании региональных инвестиционных процессов. Это позволило выявить и количественно оценить значимые пространственные зависимости между регионами страны (ρ = 0,54–0,58), а также доказать наличие статистически значимого влияния пространственных эффектов на инвестиционную активность.</w:t>
      </w:r>
    </w:p>
    <w:p w14:paraId="23036E7C" w14:textId="0EE0AB12" w:rsidR="0088372F" w:rsidRPr="003A6E5A" w:rsidRDefault="0088372F" w:rsidP="0088372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Сконструирован интегральный показатель </w:t>
      </w:r>
      <w:r w:rsidR="002A5FDB" w:rsidRPr="003A6E5A">
        <w:rPr>
          <w:rFonts w:ascii="Times New Roman" w:hAnsi="Times New Roman" w:cs="Times New Roman"/>
          <w:sz w:val="28"/>
          <w:szCs w:val="28"/>
          <w:lang w:val="kk-KZ"/>
        </w:rPr>
        <w:t>«</w:t>
      </w:r>
      <w:r w:rsidRPr="003A6E5A">
        <w:rPr>
          <w:rFonts w:ascii="Times New Roman" w:hAnsi="Times New Roman" w:cs="Times New Roman"/>
          <w:sz w:val="28"/>
          <w:szCs w:val="28"/>
          <w:lang w:val="kk-KZ"/>
        </w:rPr>
        <w:t>Индекс инвестиционного потенциала</w:t>
      </w:r>
      <w:r w:rsidR="002A5FDB" w:rsidRPr="003A6E5A">
        <w:rPr>
          <w:rFonts w:ascii="Times New Roman" w:hAnsi="Times New Roman" w:cs="Times New Roman"/>
          <w:sz w:val="28"/>
          <w:szCs w:val="28"/>
          <w:lang w:val="kk-KZ"/>
        </w:rPr>
        <w:t>»</w:t>
      </w:r>
      <w:r w:rsidRPr="003A6E5A">
        <w:rPr>
          <w:rFonts w:ascii="Times New Roman" w:hAnsi="Times New Roman" w:cs="Times New Roman"/>
          <w:sz w:val="28"/>
          <w:szCs w:val="28"/>
          <w:lang w:val="kk-KZ"/>
        </w:rPr>
        <w:t xml:space="preserve"> регионов Казахстана, учитывающий не только традиционные макроэкономические индикаторы, но и инновационную активность, институциональные характеристики и пространственные взаимосвязи. В отличие от существующих подходов данный индекс обеспечивает целостную и многомерную оценку инвестиционной привлекательности регионов.</w:t>
      </w:r>
    </w:p>
    <w:p w14:paraId="36317D05" w14:textId="659A8265" w:rsidR="0088372F" w:rsidRPr="003A6E5A" w:rsidRDefault="0088372F" w:rsidP="0088372F">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Обоснована концепция дифференцированного регулирования инвестиционных потоков, основанная на результатах пространственного анализа и кластеризации стран-инвесторов. Она предполагает переход от фрагментарного отраслевого планирования к формированию комплексных межрегиональных инвестиционных программ, учитывающих как территориальные эффекты, так и специфику поведения различных групп инвесторов.</w:t>
      </w:r>
    </w:p>
    <w:p w14:paraId="3BE21F62" w14:textId="4B0DCE6E" w:rsidR="00174AA7" w:rsidRPr="003A6E5A" w:rsidRDefault="0088372F" w:rsidP="0088372F">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Разработаны практические механизмы управления пространственными spillover-эффектами, направленные на снижение межрегиональных диспропорций в распределении ПИИ и на максимизацию мультипликативного воздействия иностранных инвестиций на экономическое развитие Казахстана.</w:t>
      </w:r>
    </w:p>
    <w:p w14:paraId="2BDA7868" w14:textId="77777777" w:rsidR="003C0403" w:rsidRPr="003A6E5A" w:rsidRDefault="000D599A" w:rsidP="003C0403">
      <w:pPr>
        <w:spacing w:after="0" w:line="240" w:lineRule="auto"/>
        <w:ind w:firstLine="709"/>
        <w:jc w:val="both"/>
        <w:rPr>
          <w:rFonts w:ascii="Times New Roman" w:hAnsi="Times New Roman" w:cs="Times New Roman"/>
          <w:b/>
          <w:sz w:val="28"/>
          <w:szCs w:val="28"/>
        </w:rPr>
      </w:pPr>
      <w:r w:rsidRPr="003A6E5A">
        <w:rPr>
          <w:rFonts w:ascii="Times New Roman" w:hAnsi="Times New Roman" w:cs="Times New Roman"/>
          <w:b/>
          <w:sz w:val="28"/>
          <w:szCs w:val="28"/>
        </w:rPr>
        <w:t>Основные положения, выносимые на защиту</w:t>
      </w:r>
      <w:r w:rsidR="003C0403" w:rsidRPr="003A6E5A">
        <w:rPr>
          <w:rFonts w:ascii="Times New Roman" w:hAnsi="Times New Roman" w:cs="Times New Roman"/>
          <w:b/>
          <w:sz w:val="28"/>
          <w:szCs w:val="28"/>
        </w:rPr>
        <w:t>:</w:t>
      </w:r>
    </w:p>
    <w:p w14:paraId="577FDE9C" w14:textId="16E2151A" w:rsidR="00CF4EC7" w:rsidRPr="003A6E5A" w:rsidRDefault="003C0403" w:rsidP="00691888">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000C4543" w:rsidRPr="003A6E5A">
        <w:rPr>
          <w:rFonts w:ascii="Times New Roman" w:hAnsi="Times New Roman" w:cs="Times New Roman"/>
          <w:sz w:val="28"/>
          <w:szCs w:val="28"/>
        </w:rPr>
        <w:t>к</w:t>
      </w:r>
      <w:r w:rsidR="00691888" w:rsidRPr="003A6E5A">
        <w:rPr>
          <w:rFonts w:ascii="Times New Roman" w:hAnsi="Times New Roman" w:cs="Times New Roman"/>
          <w:sz w:val="28"/>
          <w:szCs w:val="28"/>
        </w:rPr>
        <w:t xml:space="preserve">ритический анализ существующих теоретических подходов и национального законодательства выявил системный концептуальный пробел </w:t>
      </w:r>
      <w:r w:rsidR="000C4543" w:rsidRPr="003A6E5A">
        <w:rPr>
          <w:rFonts w:ascii="Times New Roman" w:hAnsi="Times New Roman" w:cs="Times New Roman"/>
          <w:sz w:val="28"/>
          <w:szCs w:val="28"/>
        </w:rPr>
        <w:t>–</w:t>
      </w:r>
      <w:r w:rsidR="00691888" w:rsidRPr="003A6E5A">
        <w:rPr>
          <w:rFonts w:ascii="Times New Roman" w:hAnsi="Times New Roman" w:cs="Times New Roman"/>
          <w:sz w:val="28"/>
          <w:szCs w:val="28"/>
        </w:rPr>
        <w:t xml:space="preserve"> отсутствие единого понимания категории инвестиционного сотрудничества. Данная проблема создает существенные затруднения в исследовательской и правоприменительной практике.</w:t>
      </w:r>
      <w:r w:rsidR="000C4543" w:rsidRPr="003A6E5A">
        <w:rPr>
          <w:rFonts w:ascii="Times New Roman" w:hAnsi="Times New Roman" w:cs="Times New Roman"/>
          <w:sz w:val="28"/>
          <w:szCs w:val="28"/>
        </w:rPr>
        <w:t xml:space="preserve"> </w:t>
      </w:r>
      <w:r w:rsidR="00691888" w:rsidRPr="003A6E5A">
        <w:rPr>
          <w:rFonts w:ascii="Times New Roman" w:hAnsi="Times New Roman" w:cs="Times New Roman"/>
          <w:sz w:val="28"/>
          <w:szCs w:val="28"/>
        </w:rPr>
        <w:t xml:space="preserve">Для решения этой проблемы предлагается внедрение авторской дефиниции, определяющей </w:t>
      </w:r>
      <w:r w:rsidR="000C4543" w:rsidRPr="003A6E5A">
        <w:rPr>
          <w:rFonts w:ascii="Times New Roman" w:hAnsi="Times New Roman" w:cs="Times New Roman"/>
          <w:sz w:val="28"/>
          <w:szCs w:val="28"/>
        </w:rPr>
        <w:t>инвестиционного сотрудничества как институционально оформленную, устойчивую и стратегически ориентированную форму взаимодействия экономических субъектов, направленную на достижение синергетических эффектов при сбалансированном распределении рисков</w:t>
      </w:r>
      <w:r w:rsidR="00691888" w:rsidRPr="003A6E5A">
        <w:rPr>
          <w:rFonts w:ascii="Times New Roman" w:hAnsi="Times New Roman" w:cs="Times New Roman"/>
          <w:sz w:val="28"/>
          <w:szCs w:val="28"/>
        </w:rPr>
        <w:t>. Интеграция данного понятия в научный оборот и правовое поле Республики Казахстан обеспечит методологическую основу для системного анализа инвестиционных процессов</w:t>
      </w:r>
      <w:r w:rsidR="001E3E96" w:rsidRPr="003A6E5A">
        <w:rPr>
          <w:rFonts w:ascii="Times New Roman" w:hAnsi="Times New Roman" w:cs="Times New Roman"/>
          <w:sz w:val="28"/>
          <w:szCs w:val="28"/>
        </w:rPr>
        <w:t>;</w:t>
      </w:r>
    </w:p>
    <w:p w14:paraId="2236637B" w14:textId="2D6B7D54" w:rsidR="000C4543" w:rsidRPr="003A6E5A" w:rsidRDefault="003C0403" w:rsidP="000C454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 </w:t>
      </w:r>
      <w:r w:rsidR="001C696B" w:rsidRPr="003A6E5A">
        <w:rPr>
          <w:rFonts w:ascii="Times New Roman" w:hAnsi="Times New Roman" w:cs="Times New Roman"/>
          <w:sz w:val="28"/>
          <w:szCs w:val="28"/>
        </w:rPr>
        <w:t>проведенное системное исследование методологических основ оценки региональной инвестиционной привлекательности Казахстана выявило методологическую ограниченность, выражающуюся в отсутствии учета временны́х факторов и объективной верификации значимости показателей.</w:t>
      </w:r>
      <w:r w:rsidR="000C4543" w:rsidRPr="003A6E5A">
        <w:rPr>
          <w:rFonts w:ascii="Times New Roman" w:hAnsi="Times New Roman" w:cs="Times New Roman"/>
          <w:sz w:val="28"/>
          <w:szCs w:val="28"/>
        </w:rPr>
        <w:t xml:space="preserve"> В рамках исследования разработана комплексная методика, основанная на параллельном расчете двух интегральных индексов инвестиционного потенциала (ИИП), позволяющая количественно оценивать территориальную асимметрию инвестиционной активности. Первый индекс (ИИП</w:t>
      </w:r>
      <w:r w:rsidR="000C4543" w:rsidRPr="003A6E5A">
        <w:rPr>
          <w:rFonts w:ascii="Times New Roman" w:hAnsi="Times New Roman" w:cs="Times New Roman"/>
          <w:sz w:val="28"/>
          <w:szCs w:val="28"/>
          <w:vertAlign w:val="subscript"/>
        </w:rPr>
        <w:t>1</w:t>
      </w:r>
      <w:r w:rsidR="000C4543" w:rsidRPr="003A6E5A">
        <w:rPr>
          <w:rFonts w:ascii="Times New Roman" w:hAnsi="Times New Roman" w:cs="Times New Roman"/>
          <w:sz w:val="28"/>
          <w:szCs w:val="28"/>
        </w:rPr>
        <w:t>) построен по принципу равновесного распределения факторов для обеспечения сопоставимости их влияния, второй (ИИП</w:t>
      </w:r>
      <w:r w:rsidR="000C4543" w:rsidRPr="003A6E5A">
        <w:rPr>
          <w:rFonts w:ascii="Times New Roman" w:hAnsi="Times New Roman" w:cs="Times New Roman"/>
          <w:sz w:val="28"/>
          <w:szCs w:val="28"/>
          <w:vertAlign w:val="subscript"/>
        </w:rPr>
        <w:t>2</w:t>
      </w:r>
      <w:r w:rsidR="000C4543" w:rsidRPr="003A6E5A">
        <w:rPr>
          <w:rFonts w:ascii="Times New Roman" w:hAnsi="Times New Roman" w:cs="Times New Roman"/>
          <w:sz w:val="28"/>
          <w:szCs w:val="28"/>
        </w:rPr>
        <w:t>) – с использованием метода главных компонент для учета объективной структуры взаимосвязей между показателями. Верификация методики включает применение t-теста Стьюдента для проверки гипотезы о равенстве средних объемов инвестиций в регионе и по стране в целом, что обеспечивает статистическую достоверность результатов и выявление значимых отклонений в инвестиционной активности;</w:t>
      </w:r>
    </w:p>
    <w:p w14:paraId="65FD295B" w14:textId="76AA1532" w:rsidR="000C4543" w:rsidRPr="003A6E5A" w:rsidRDefault="003C0403" w:rsidP="000C454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00C42932" w:rsidRPr="003A6E5A">
        <w:rPr>
          <w:rFonts w:ascii="Times New Roman" w:hAnsi="Times New Roman" w:cs="Times New Roman"/>
          <w:sz w:val="28"/>
          <w:szCs w:val="28"/>
        </w:rPr>
        <w:t>п</w:t>
      </w:r>
      <w:r w:rsidR="000C4543" w:rsidRPr="003A6E5A">
        <w:rPr>
          <w:rFonts w:ascii="Times New Roman" w:hAnsi="Times New Roman" w:cs="Times New Roman"/>
          <w:sz w:val="28"/>
          <w:szCs w:val="28"/>
        </w:rPr>
        <w:t>роведенное исследование выявило существенную неоднородность инвестиционной активности стран Европейского Союза на территории Республики Казахстан. В целях оптимизации регулирования иностранных инвестиций разработана дифференцированная методика, основанная на кластерном анализе стран-инвесторов. Данный подход позволяет реализовать таргетированную регуляторную политику, предусматривающую переход от унифицированных мер к сегментированным режимам. В рамках предлагаемой системы дифференциации предполагается установление enhanced контроля за инвестиционными потоками, проходящими через транзитные юрисдикции, параллельно с созданием преференциальных условий для «качественных» инвестиций в высокотехнологичные и инновационные сектора экономики. Такой подход обеспечит повышение эффективности управления инвестиционными процессами и будет способствовать структурной трансформации экономики Казахстана;</w:t>
      </w:r>
    </w:p>
    <w:p w14:paraId="7AA40BE5" w14:textId="3EFD8334" w:rsidR="001E3E96" w:rsidRPr="003A6E5A" w:rsidRDefault="003C0403" w:rsidP="00C42932">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00C42932" w:rsidRPr="003A6E5A">
        <w:rPr>
          <w:rFonts w:ascii="Times New Roman" w:hAnsi="Times New Roman" w:cs="Times New Roman"/>
          <w:sz w:val="28"/>
          <w:szCs w:val="28"/>
        </w:rPr>
        <w:t>анализ действующей Методики оценки инвестиционной привлекательности регионов Казахстана выявил отсутствие применения пространственно-временного моделирования, что ограничивает возможности прогнозирования и управления инвестиционными потоками. Для решения данной проблемы предлагается внедрение унифицированного инвестиционного стандарта управления инвестиционными процессами, основанного на принципах пространственно-временного моделирования. Данный механизм предусматривает институционализацию приоритетной поддержки проектов с высокой долей затрат на НИОКР через систему целевых налоговых льгот и преференций. Реализация предложенного подхода позволит увеличить долю «качественных» инвестиций до 45% к 2029 году и будет способствовать структурной трансформации экономики через стимулирование развития инновационно-ориентированных отраслей. Модель обеспечит повышение эффективности распределения инвестиционных ресурсов и создаст условия для устойчивого экономического роста регионов.</w:t>
      </w:r>
    </w:p>
    <w:p w14:paraId="6543A3BF" w14:textId="6BFBC156" w:rsidR="00DA3455" w:rsidRPr="00DA3455" w:rsidRDefault="00272374" w:rsidP="00C445D0">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 </w:t>
      </w:r>
      <w:r w:rsidR="00C445D0">
        <w:rPr>
          <w:rFonts w:ascii="Times New Roman" w:hAnsi="Times New Roman" w:cs="Times New Roman"/>
          <w:sz w:val="28"/>
          <w:szCs w:val="28"/>
        </w:rPr>
        <w:t>п</w:t>
      </w:r>
      <w:r w:rsidR="00C445D0" w:rsidRPr="00C445D0">
        <w:rPr>
          <w:rFonts w:ascii="Times New Roman" w:hAnsi="Times New Roman" w:cs="Times New Roman"/>
          <w:sz w:val="28"/>
          <w:szCs w:val="28"/>
        </w:rPr>
        <w:t>роведенный анализ институциональных и регуляторных механизмов инвестиционного регулирования выявил системные ограничения в реализации региональной инвестиционной политики Казахстана.</w:t>
      </w:r>
      <w:r w:rsidR="00DA3455" w:rsidRPr="00DA3455">
        <w:rPr>
          <w:rFonts w:ascii="Times New Roman" w:hAnsi="Times New Roman" w:cs="Times New Roman"/>
          <w:sz w:val="28"/>
          <w:szCs w:val="28"/>
        </w:rPr>
        <w:t xml:space="preserve"> В качестве системной альтернативы предлагается переход к интеграционной системе управления, направленной на устранение институциональных дисфункций и формирование сбалансированной инвестиционно-инновационной экосистемы.</w:t>
      </w:r>
      <w:r w:rsidR="00C445D0">
        <w:rPr>
          <w:rFonts w:ascii="Times New Roman" w:hAnsi="Times New Roman" w:cs="Times New Roman"/>
          <w:sz w:val="28"/>
          <w:szCs w:val="28"/>
        </w:rPr>
        <w:t xml:space="preserve"> </w:t>
      </w:r>
      <w:r w:rsidR="00DA3455" w:rsidRPr="00DA3455">
        <w:rPr>
          <w:rFonts w:ascii="Times New Roman" w:hAnsi="Times New Roman" w:cs="Times New Roman"/>
          <w:sz w:val="28"/>
          <w:szCs w:val="28"/>
        </w:rPr>
        <w:t xml:space="preserve">Ключевыми элементами трансформации являются три взаимосвязанные инициативы: внедрение концепции </w:t>
      </w:r>
      <w:r w:rsidR="00C445D0">
        <w:rPr>
          <w:rFonts w:ascii="Times New Roman" w:hAnsi="Times New Roman" w:cs="Times New Roman"/>
          <w:sz w:val="28"/>
          <w:szCs w:val="28"/>
        </w:rPr>
        <w:t>«</w:t>
      </w:r>
      <w:r w:rsidR="00DA3455" w:rsidRPr="00DA3455">
        <w:rPr>
          <w:rFonts w:ascii="Times New Roman" w:hAnsi="Times New Roman" w:cs="Times New Roman"/>
          <w:sz w:val="28"/>
          <w:szCs w:val="28"/>
        </w:rPr>
        <w:t>умной специализации</w:t>
      </w:r>
      <w:r w:rsidR="00C445D0">
        <w:rPr>
          <w:rFonts w:ascii="Times New Roman" w:hAnsi="Times New Roman" w:cs="Times New Roman"/>
          <w:sz w:val="28"/>
          <w:szCs w:val="28"/>
        </w:rPr>
        <w:t>»</w:t>
      </w:r>
      <w:r w:rsidR="00DA3455" w:rsidRPr="00DA3455">
        <w:rPr>
          <w:rFonts w:ascii="Times New Roman" w:hAnsi="Times New Roman" w:cs="Times New Roman"/>
          <w:sz w:val="28"/>
          <w:szCs w:val="28"/>
        </w:rPr>
        <w:t xml:space="preserve"> на основе детерминантов конкурентного </w:t>
      </w:r>
      <w:r w:rsidR="00C445D0">
        <w:rPr>
          <w:rFonts w:ascii="Times New Roman" w:hAnsi="Times New Roman" w:cs="Times New Roman"/>
          <w:sz w:val="28"/>
          <w:szCs w:val="28"/>
        </w:rPr>
        <w:t>«</w:t>
      </w:r>
      <w:r w:rsidR="00DA3455" w:rsidRPr="00DA3455">
        <w:rPr>
          <w:rFonts w:ascii="Times New Roman" w:hAnsi="Times New Roman" w:cs="Times New Roman"/>
          <w:sz w:val="28"/>
          <w:szCs w:val="28"/>
        </w:rPr>
        <w:t>ромба</w:t>
      </w:r>
      <w:r w:rsidR="00C445D0">
        <w:rPr>
          <w:rFonts w:ascii="Times New Roman" w:hAnsi="Times New Roman" w:cs="Times New Roman"/>
          <w:sz w:val="28"/>
          <w:szCs w:val="28"/>
        </w:rPr>
        <w:t>»</w:t>
      </w:r>
      <w:r w:rsidR="00DA3455" w:rsidRPr="00DA3455">
        <w:rPr>
          <w:rFonts w:ascii="Times New Roman" w:hAnsi="Times New Roman" w:cs="Times New Roman"/>
          <w:sz w:val="28"/>
          <w:szCs w:val="28"/>
        </w:rPr>
        <w:t xml:space="preserve"> М. Портера, создание национального рейтинга инвестиционной привлекательности регионов и разработка цифровой платформы мониторинга. Реализация данных мер позволит преодолеть пространственную неоднородность регионального развития через оптимизацию распределения ресурсов и стимулирование инновационной активности.</w:t>
      </w:r>
    </w:p>
    <w:p w14:paraId="305A8990" w14:textId="77777777" w:rsidR="00DA3455" w:rsidRPr="00DA3455" w:rsidRDefault="00DA3455" w:rsidP="00DA3455">
      <w:pPr>
        <w:spacing w:after="0" w:line="240" w:lineRule="auto"/>
        <w:ind w:firstLine="709"/>
        <w:jc w:val="both"/>
        <w:rPr>
          <w:rFonts w:ascii="Times New Roman" w:hAnsi="Times New Roman" w:cs="Times New Roman"/>
          <w:sz w:val="28"/>
          <w:szCs w:val="28"/>
        </w:rPr>
      </w:pPr>
      <w:r w:rsidRPr="00DA3455">
        <w:rPr>
          <w:rFonts w:ascii="Times New Roman" w:hAnsi="Times New Roman" w:cs="Times New Roman"/>
          <w:sz w:val="28"/>
          <w:szCs w:val="28"/>
        </w:rPr>
        <w:t>Синергетический эффект от предложенных институциональных изменений обеспечит переход от фрагментарного привлечения инвестиций к стратегической модернизации региональных экономик, что эмпирически подтверждается выявленной корреляцией между уровнем технологического развития (затраты на НИОКР) и инвестиционной активностью регионов.</w:t>
      </w:r>
    </w:p>
    <w:p w14:paraId="2BCF4CBA" w14:textId="6BC5BB32" w:rsidR="00C832DD" w:rsidRPr="003A6E5A" w:rsidRDefault="00174AA7" w:rsidP="00DA345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b/>
          <w:sz w:val="28"/>
          <w:szCs w:val="28"/>
        </w:rPr>
        <w:t>Теоретическая и практическая значимость работы.</w:t>
      </w:r>
      <w:r w:rsidR="00C832DD" w:rsidRPr="003A6E5A">
        <w:rPr>
          <w:rFonts w:ascii="Times New Roman" w:hAnsi="Times New Roman" w:cs="Times New Roman"/>
          <w:sz w:val="28"/>
          <w:szCs w:val="28"/>
        </w:rPr>
        <w:t xml:space="preserve"> Теоретическая значимость исследования заключается в развитии методологии анализа инвестиционного сотрудничества за счет интеграции методов пространственной эконометрики в изучение международных инвестиционных потоков, что расширяет теоретическое понимание факторов и закономерностей инвестиционного взаимодействия. Работа также систематизирует и дополняет теоретические положения о детерминантах инвестиционной привлекательности регионов с учетом пространственных эффектов и межрегиональных взаимосвязей, а также развивает концепцию дифференцированного регулирования инвестиционных потоков на основе кластерного анализа стран-инвесторов, углубляя тем самым теорию управления международными инвестиционными процессами.</w:t>
      </w:r>
    </w:p>
    <w:p w14:paraId="28D4FEFA" w14:textId="77777777" w:rsidR="00C832DD" w:rsidRPr="003A6E5A" w:rsidRDefault="00C832DD" w:rsidP="00C832DD">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Практическая значимость исследования проявляется в разработке прикладных инструментов для государственных органов, включая алгоритм оценки и мониторинга инвестиционного потенциала регионов, методику расчета интегрального индекса инвестиционной привлекательности и систему показателей для пространственного анализа распределения ПИИ. Кроме того, предложены конкретные механизмы совершенствования инвестиционной политики: дифференцированные подходы к регулированию инвестиций из различных кластеров стран ЕС, модели межрегиональной координации инвестиционных потоков и инструменты стимулирования диверсификации ПИИ по отраслям и регионам.</w:t>
      </w:r>
    </w:p>
    <w:p w14:paraId="7CD7DDCD" w14:textId="42119429" w:rsidR="00174AA7" w:rsidRPr="003A6E5A" w:rsidRDefault="00C832DD" w:rsidP="00C832DD">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Рекомендательный потенциал работы выражается в адресных предложениях для АО «Национальная компания «</w:t>
      </w:r>
      <w:r w:rsidR="00DE1ECE" w:rsidRPr="003A6E5A">
        <w:rPr>
          <w:rFonts w:ascii="Times New Roman" w:hAnsi="Times New Roman" w:cs="Times New Roman"/>
          <w:sz w:val="28"/>
          <w:szCs w:val="28"/>
        </w:rPr>
        <w:t>Kazakh Invest</w:t>
      </w:r>
      <w:r w:rsidRPr="003A6E5A">
        <w:rPr>
          <w:rFonts w:ascii="Times New Roman" w:hAnsi="Times New Roman" w:cs="Times New Roman"/>
          <w:sz w:val="28"/>
          <w:szCs w:val="28"/>
        </w:rPr>
        <w:t>» – по активизации работы по привлечению и сопровождению инвестиций, для Национального банка Р</w:t>
      </w:r>
      <w:r w:rsidR="00BD7552" w:rsidRPr="003A6E5A">
        <w:rPr>
          <w:rFonts w:ascii="Times New Roman" w:hAnsi="Times New Roman" w:cs="Times New Roman"/>
          <w:sz w:val="28"/>
          <w:szCs w:val="28"/>
        </w:rPr>
        <w:t>К</w:t>
      </w:r>
      <w:r w:rsidRPr="003A6E5A">
        <w:rPr>
          <w:rFonts w:ascii="Times New Roman" w:hAnsi="Times New Roman" w:cs="Times New Roman"/>
          <w:sz w:val="28"/>
          <w:szCs w:val="28"/>
        </w:rPr>
        <w:t xml:space="preserve"> – по совершенствованию учета и анализа ПИИ, а также </w:t>
      </w:r>
      <w:r w:rsidRPr="003A6E5A">
        <w:rPr>
          <w:rFonts w:ascii="Times New Roman" w:hAnsi="Times New Roman" w:cs="Times New Roman"/>
          <w:sz w:val="28"/>
          <w:szCs w:val="28"/>
        </w:rPr>
        <w:lastRenderedPageBreak/>
        <w:t xml:space="preserve">для местных исполнительных органов – по повышению инвестиционной привлекательности регионов. Результаты исследования могут быть также применены в образовательном процессе в рамках дисциплин «Международные экономические отношения», «Инвестиционный менеджмент» и </w:t>
      </w:r>
      <w:r w:rsidRPr="003A6E5A">
        <w:rPr>
          <w:rFonts w:ascii="Times New Roman" w:hAnsi="Times New Roman" w:cs="Times New Roman"/>
          <w:sz w:val="28"/>
          <w:szCs w:val="28"/>
          <w:lang w:val="kk-KZ"/>
        </w:rPr>
        <w:t>т.д</w:t>
      </w:r>
      <w:r w:rsidRPr="003A6E5A">
        <w:rPr>
          <w:rFonts w:ascii="Times New Roman" w:hAnsi="Times New Roman" w:cs="Times New Roman"/>
          <w:sz w:val="28"/>
          <w:szCs w:val="28"/>
        </w:rPr>
        <w:t>.</w:t>
      </w:r>
    </w:p>
    <w:p w14:paraId="0060FB0F" w14:textId="060B639D" w:rsidR="00174AA7" w:rsidRPr="003A6E5A" w:rsidRDefault="00174AA7" w:rsidP="00174AA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b/>
          <w:sz w:val="28"/>
          <w:szCs w:val="28"/>
        </w:rPr>
        <w:t>Апробация результатов исследования.</w:t>
      </w:r>
      <w:r w:rsidRPr="003A6E5A">
        <w:rPr>
          <w:rFonts w:ascii="Times New Roman" w:hAnsi="Times New Roman" w:cs="Times New Roman"/>
          <w:sz w:val="28"/>
          <w:szCs w:val="28"/>
        </w:rPr>
        <w:t xml:space="preserve"> Основные результаты и положения, полученные в ходу диссертационного исследования, были изложены автором в </w:t>
      </w:r>
      <w:r w:rsidR="002F26E0" w:rsidRPr="003A6E5A">
        <w:rPr>
          <w:rFonts w:ascii="Times New Roman" w:hAnsi="Times New Roman" w:cs="Times New Roman"/>
          <w:sz w:val="28"/>
          <w:szCs w:val="28"/>
        </w:rPr>
        <w:t>ф</w:t>
      </w:r>
      <w:r w:rsidRPr="003A6E5A">
        <w:rPr>
          <w:rFonts w:ascii="Times New Roman" w:hAnsi="Times New Roman" w:cs="Times New Roman"/>
          <w:sz w:val="28"/>
          <w:szCs w:val="28"/>
        </w:rPr>
        <w:t>орме выступлений и научных докладов на международных и республиканских научно-практических конференциях, а также итоги диссертационного исследования были опубликованы в изданиях, рекомендованных Комитетом по обеспечению качества в сфере науки и высшего образования МНВО РК для публикации основных результатов исследований</w:t>
      </w:r>
      <w:r w:rsidR="00B15395" w:rsidRPr="003A6E5A">
        <w:rPr>
          <w:rFonts w:ascii="Times New Roman" w:hAnsi="Times New Roman" w:cs="Times New Roman"/>
          <w:sz w:val="28"/>
          <w:szCs w:val="28"/>
        </w:rPr>
        <w:t xml:space="preserve"> и в в международном журнале, индексируемом в базе данных Scopus</w:t>
      </w:r>
      <w:r w:rsidRPr="003A6E5A">
        <w:rPr>
          <w:rFonts w:ascii="Times New Roman" w:hAnsi="Times New Roman" w:cs="Times New Roman"/>
          <w:sz w:val="28"/>
          <w:szCs w:val="28"/>
        </w:rPr>
        <w:t>.</w:t>
      </w:r>
    </w:p>
    <w:p w14:paraId="3555C7DC" w14:textId="6385C3A5" w:rsidR="00174AA7" w:rsidRPr="003A6E5A" w:rsidRDefault="00174AA7" w:rsidP="00846BC3">
      <w:pPr>
        <w:spacing w:after="0" w:line="240" w:lineRule="auto"/>
        <w:ind w:firstLine="709"/>
        <w:jc w:val="both"/>
        <w:rPr>
          <w:rFonts w:ascii="Times New Roman" w:hAnsi="Times New Roman" w:cs="Times New Roman"/>
          <w:b/>
          <w:sz w:val="28"/>
          <w:szCs w:val="28"/>
        </w:rPr>
      </w:pPr>
      <w:r w:rsidRPr="003A6E5A">
        <w:rPr>
          <w:rFonts w:ascii="Times New Roman" w:hAnsi="Times New Roman" w:cs="Times New Roman"/>
          <w:b/>
          <w:sz w:val="28"/>
          <w:szCs w:val="28"/>
        </w:rPr>
        <w:t>Полнота отражения результатов диссертации в публикациях.</w:t>
      </w:r>
      <w:r w:rsidRPr="003A6E5A">
        <w:rPr>
          <w:rFonts w:ascii="Times New Roman" w:hAnsi="Times New Roman" w:cs="Times New Roman"/>
          <w:sz w:val="28"/>
          <w:szCs w:val="28"/>
        </w:rPr>
        <w:t xml:space="preserve"> </w:t>
      </w:r>
      <w:r w:rsidR="00846BC3" w:rsidRPr="003A6E5A">
        <w:rPr>
          <w:rFonts w:ascii="Times New Roman" w:hAnsi="Times New Roman" w:cs="Times New Roman"/>
          <w:sz w:val="28"/>
          <w:szCs w:val="28"/>
        </w:rPr>
        <w:t xml:space="preserve">Основные результаты диссертационного исследования, общим объёмом 5 печатных листов, отражены в следующих публикациях: опубликована </w:t>
      </w:r>
      <w:r w:rsidR="00096305" w:rsidRPr="003A6E5A">
        <w:rPr>
          <w:rFonts w:ascii="Times New Roman" w:hAnsi="Times New Roman" w:cs="Times New Roman"/>
          <w:sz w:val="28"/>
          <w:szCs w:val="28"/>
        </w:rPr>
        <w:t>две</w:t>
      </w:r>
      <w:r w:rsidR="00846BC3" w:rsidRPr="003A6E5A">
        <w:rPr>
          <w:rFonts w:ascii="Times New Roman" w:hAnsi="Times New Roman" w:cs="Times New Roman"/>
          <w:sz w:val="28"/>
          <w:szCs w:val="28"/>
        </w:rPr>
        <w:t xml:space="preserve"> стать</w:t>
      </w:r>
      <w:r w:rsidR="00096305" w:rsidRPr="003A6E5A">
        <w:rPr>
          <w:rFonts w:ascii="Times New Roman" w:hAnsi="Times New Roman" w:cs="Times New Roman"/>
          <w:sz w:val="28"/>
          <w:szCs w:val="28"/>
        </w:rPr>
        <w:t>и</w:t>
      </w:r>
      <w:r w:rsidR="00846BC3" w:rsidRPr="003A6E5A">
        <w:rPr>
          <w:rFonts w:ascii="Times New Roman" w:hAnsi="Times New Roman" w:cs="Times New Roman"/>
          <w:sz w:val="28"/>
          <w:szCs w:val="28"/>
        </w:rPr>
        <w:t xml:space="preserve"> в материалах международной научно-практической конференции, три статьи в журналах, рекомендованных Комитетом по обеспечению качества в сфере науки и высшего образования М</w:t>
      </w:r>
      <w:r w:rsidR="002F26E0" w:rsidRPr="003A6E5A">
        <w:rPr>
          <w:rFonts w:ascii="Times New Roman" w:hAnsi="Times New Roman" w:cs="Times New Roman"/>
          <w:sz w:val="28"/>
          <w:szCs w:val="28"/>
        </w:rPr>
        <w:t>НВО</w:t>
      </w:r>
      <w:r w:rsidR="00846BC3" w:rsidRPr="003A6E5A">
        <w:rPr>
          <w:rFonts w:ascii="Times New Roman" w:hAnsi="Times New Roman" w:cs="Times New Roman"/>
          <w:sz w:val="28"/>
          <w:szCs w:val="28"/>
        </w:rPr>
        <w:t xml:space="preserve"> Р</w:t>
      </w:r>
      <w:r w:rsidR="002F26E0" w:rsidRPr="003A6E5A">
        <w:rPr>
          <w:rFonts w:ascii="Times New Roman" w:hAnsi="Times New Roman" w:cs="Times New Roman"/>
          <w:sz w:val="28"/>
          <w:szCs w:val="28"/>
        </w:rPr>
        <w:t>К</w:t>
      </w:r>
      <w:r w:rsidR="00846BC3" w:rsidRPr="003A6E5A">
        <w:rPr>
          <w:rFonts w:ascii="Times New Roman" w:hAnsi="Times New Roman" w:cs="Times New Roman"/>
          <w:sz w:val="28"/>
          <w:szCs w:val="28"/>
        </w:rPr>
        <w:t>, одна статья принята к печати и одна статья опубликована в международном журнале, индексируемом в базе данных Scopus.</w:t>
      </w:r>
    </w:p>
    <w:p w14:paraId="44791E28" w14:textId="0E0B32C2" w:rsidR="00426764" w:rsidRPr="003A6E5A" w:rsidRDefault="00174AA7" w:rsidP="00BD7552">
      <w:pPr>
        <w:spacing w:after="0" w:line="240" w:lineRule="auto"/>
        <w:ind w:firstLine="709"/>
        <w:jc w:val="both"/>
        <w:rPr>
          <w:rFonts w:ascii="Times New Roman" w:eastAsia="SimSun" w:hAnsi="Times New Roman" w:cs="Times New Roman"/>
          <w:b/>
          <w:kern w:val="44"/>
          <w:sz w:val="28"/>
          <w:szCs w:val="28"/>
          <w:lang w:eastAsia="zh-CN"/>
        </w:rPr>
      </w:pPr>
      <w:r w:rsidRPr="003A6E5A">
        <w:rPr>
          <w:rFonts w:ascii="Times New Roman" w:hAnsi="Times New Roman" w:cs="Times New Roman"/>
          <w:b/>
          <w:sz w:val="28"/>
          <w:szCs w:val="28"/>
        </w:rPr>
        <w:t>Структура и объем диссертации.</w:t>
      </w:r>
      <w:r w:rsidRPr="003A6E5A">
        <w:rPr>
          <w:rFonts w:ascii="Times New Roman" w:hAnsi="Times New Roman" w:cs="Times New Roman"/>
          <w:sz w:val="28"/>
          <w:szCs w:val="28"/>
        </w:rPr>
        <w:t xml:space="preserve"> Работа </w:t>
      </w:r>
      <w:r w:rsidR="00024CDA" w:rsidRPr="003A6E5A">
        <w:rPr>
          <w:rFonts w:ascii="Times New Roman" w:hAnsi="Times New Roman" w:cs="Times New Roman"/>
          <w:sz w:val="28"/>
          <w:szCs w:val="28"/>
        </w:rPr>
        <w:t>объёмом 1</w:t>
      </w:r>
      <w:r w:rsidR="00F1488C" w:rsidRPr="003A6E5A">
        <w:rPr>
          <w:rFonts w:ascii="Times New Roman" w:hAnsi="Times New Roman" w:cs="Times New Roman"/>
          <w:sz w:val="28"/>
          <w:szCs w:val="28"/>
        </w:rPr>
        <w:t>6</w:t>
      </w:r>
      <w:r w:rsidR="00EB7C31">
        <w:rPr>
          <w:rFonts w:ascii="Times New Roman" w:hAnsi="Times New Roman" w:cs="Times New Roman"/>
          <w:sz w:val="28"/>
          <w:szCs w:val="28"/>
        </w:rPr>
        <w:t>7</w:t>
      </w:r>
      <w:r w:rsidR="00024CDA" w:rsidRPr="003A6E5A">
        <w:rPr>
          <w:rFonts w:ascii="Times New Roman" w:hAnsi="Times New Roman" w:cs="Times New Roman"/>
          <w:sz w:val="28"/>
          <w:szCs w:val="28"/>
        </w:rPr>
        <w:t xml:space="preserve"> страницы состоит из введения, трех глав, заключения, списка использованных источников и приложений. В работе представлены 2 диаграммы, 1</w:t>
      </w:r>
      <w:r w:rsidR="00541762" w:rsidRPr="003A6E5A">
        <w:rPr>
          <w:rFonts w:ascii="Times New Roman" w:hAnsi="Times New Roman" w:cs="Times New Roman"/>
          <w:sz w:val="28"/>
          <w:szCs w:val="28"/>
        </w:rPr>
        <w:t>3</w:t>
      </w:r>
      <w:r w:rsidR="00024CDA" w:rsidRPr="003A6E5A">
        <w:rPr>
          <w:rFonts w:ascii="Times New Roman" w:hAnsi="Times New Roman" w:cs="Times New Roman"/>
          <w:sz w:val="28"/>
          <w:szCs w:val="28"/>
        </w:rPr>
        <w:t xml:space="preserve"> графиков, 2</w:t>
      </w:r>
      <w:r w:rsidR="00DA42F3" w:rsidRPr="003A6E5A">
        <w:rPr>
          <w:rFonts w:ascii="Times New Roman" w:hAnsi="Times New Roman" w:cs="Times New Roman"/>
          <w:sz w:val="28"/>
          <w:szCs w:val="28"/>
        </w:rPr>
        <w:t>5</w:t>
      </w:r>
      <w:r w:rsidR="00024CDA" w:rsidRPr="003A6E5A">
        <w:rPr>
          <w:rFonts w:ascii="Times New Roman" w:hAnsi="Times New Roman" w:cs="Times New Roman"/>
          <w:sz w:val="28"/>
          <w:szCs w:val="28"/>
        </w:rPr>
        <w:t xml:space="preserve"> таблица и 1 схема. Список литературы включает 1</w:t>
      </w:r>
      <w:r w:rsidR="00EB7C31">
        <w:rPr>
          <w:rFonts w:ascii="Times New Roman" w:hAnsi="Times New Roman" w:cs="Times New Roman"/>
          <w:sz w:val="28"/>
          <w:szCs w:val="28"/>
        </w:rPr>
        <w:t>64</w:t>
      </w:r>
      <w:r w:rsidR="00024CDA" w:rsidRPr="003A6E5A">
        <w:rPr>
          <w:rFonts w:ascii="Times New Roman" w:hAnsi="Times New Roman" w:cs="Times New Roman"/>
          <w:sz w:val="28"/>
          <w:szCs w:val="28"/>
        </w:rPr>
        <w:t xml:space="preserve"> наименования.</w:t>
      </w:r>
      <w:bookmarkStart w:id="3" w:name="_Toc209538974"/>
      <w:bookmarkStart w:id="4" w:name="_Toc5659"/>
      <w:r w:rsidR="00426764" w:rsidRPr="003A6E5A">
        <w:rPr>
          <w:rFonts w:ascii="Times New Roman" w:hAnsi="Times New Roman"/>
          <w:bCs/>
          <w:sz w:val="28"/>
          <w:szCs w:val="28"/>
        </w:rPr>
        <w:br w:type="page"/>
      </w:r>
    </w:p>
    <w:p w14:paraId="76BB9E66" w14:textId="18C7D734" w:rsidR="0003217D" w:rsidRPr="003A6E5A" w:rsidRDefault="00FC275D" w:rsidP="00B77548">
      <w:pPr>
        <w:pStyle w:val="1-"/>
        <w:spacing w:beforeAutospacing="0" w:after="0" w:afterAutospacing="0" w:line="240" w:lineRule="auto"/>
        <w:ind w:firstLine="709"/>
        <w:jc w:val="both"/>
        <w:rPr>
          <w:rFonts w:ascii="Times New Roman" w:hAnsi="Times New Roman" w:hint="default"/>
          <w:bCs w:val="0"/>
          <w:sz w:val="28"/>
          <w:szCs w:val="28"/>
          <w:lang w:val="kk-KZ"/>
        </w:rPr>
      </w:pPr>
      <w:r w:rsidRPr="003A6E5A">
        <w:rPr>
          <w:rFonts w:ascii="Times New Roman" w:hAnsi="Times New Roman" w:hint="default"/>
          <w:bCs w:val="0"/>
          <w:sz w:val="28"/>
          <w:szCs w:val="28"/>
          <w:lang w:val="ru-RU"/>
        </w:rPr>
        <w:lastRenderedPageBreak/>
        <w:t xml:space="preserve">1 </w:t>
      </w:r>
      <w:r w:rsidRPr="003A6E5A">
        <w:rPr>
          <w:rFonts w:ascii="Times New Roman" w:hAnsi="Times New Roman" w:hint="default"/>
          <w:bCs w:val="0"/>
          <w:sz w:val="28"/>
          <w:szCs w:val="28"/>
          <w:lang w:val="kk-KZ"/>
        </w:rPr>
        <w:t>ТЕОРЕТИКО-МЕТОДОЛОГИЧЕСКИЕ ОСНОВЫ ИНВЕСТИЦИОННОГО СОТРУДНИЧЕСТВА И ПРОСТРАНСТВЕННОГО АНАЛИЗА</w:t>
      </w:r>
      <w:bookmarkEnd w:id="3"/>
    </w:p>
    <w:p w14:paraId="16B8AFEF" w14:textId="77777777" w:rsidR="0003217D" w:rsidRPr="003A6E5A" w:rsidRDefault="0003217D" w:rsidP="00187AB4">
      <w:pPr>
        <w:spacing w:after="0" w:line="240" w:lineRule="auto"/>
        <w:jc w:val="both"/>
        <w:rPr>
          <w:rFonts w:ascii="Times New Roman" w:hAnsi="Times New Roman" w:cs="Times New Roman"/>
          <w:bCs/>
          <w:sz w:val="28"/>
          <w:szCs w:val="28"/>
          <w:lang w:val="kk-KZ"/>
        </w:rPr>
      </w:pPr>
    </w:p>
    <w:p w14:paraId="4642277C" w14:textId="0CFA55A4" w:rsidR="0003217D" w:rsidRPr="003A6E5A" w:rsidRDefault="00DF775A" w:rsidP="00B77548">
      <w:pPr>
        <w:pStyle w:val="2-"/>
        <w:spacing w:before="0" w:line="240" w:lineRule="auto"/>
        <w:ind w:firstLine="709"/>
        <w:jc w:val="both"/>
        <w:rPr>
          <w:rFonts w:ascii="Times New Roman" w:hAnsi="Times New Roman" w:cs="Times New Roman"/>
          <w:b/>
          <w:color w:val="auto"/>
          <w:sz w:val="28"/>
          <w:szCs w:val="28"/>
        </w:rPr>
      </w:pPr>
      <w:bookmarkStart w:id="5" w:name="_Toc209538975"/>
      <w:r w:rsidRPr="003A6E5A">
        <w:rPr>
          <w:rFonts w:ascii="Times New Roman" w:hAnsi="Times New Roman" w:cs="Times New Roman"/>
          <w:b/>
          <w:color w:val="auto"/>
          <w:sz w:val="28"/>
          <w:szCs w:val="28"/>
          <w:lang w:val="kk-KZ"/>
        </w:rPr>
        <w:t xml:space="preserve">1.1 </w:t>
      </w:r>
      <w:r w:rsidR="00FC275D" w:rsidRPr="003A6E5A">
        <w:rPr>
          <w:rFonts w:ascii="Times New Roman" w:hAnsi="Times New Roman" w:cs="Times New Roman"/>
          <w:b/>
          <w:color w:val="auto"/>
          <w:sz w:val="28"/>
          <w:szCs w:val="28"/>
          <w:lang w:val="kk-KZ"/>
        </w:rPr>
        <w:t>Понятие и формы инвестицонного сотрудничества в условиях глобализации</w:t>
      </w:r>
      <w:bookmarkEnd w:id="5"/>
    </w:p>
    <w:p w14:paraId="72F19AB5" w14:textId="77777777" w:rsidR="0003217D" w:rsidRPr="003A6E5A" w:rsidRDefault="0003217D" w:rsidP="001608EA">
      <w:pPr>
        <w:spacing w:after="0" w:line="240" w:lineRule="auto"/>
        <w:jc w:val="both"/>
        <w:rPr>
          <w:rFonts w:ascii="Times New Roman" w:hAnsi="Times New Roman" w:cs="Times New Roman"/>
          <w:i/>
          <w:iCs/>
          <w:sz w:val="28"/>
          <w:szCs w:val="28"/>
          <w:lang w:val="kk-KZ"/>
        </w:rPr>
      </w:pPr>
    </w:p>
    <w:p w14:paraId="0F055069" w14:textId="544DA020" w:rsidR="0003217D" w:rsidRPr="003A6E5A" w:rsidRDefault="00B071EE"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val="kk-KZ" w:eastAsia="ru-RU"/>
        </w:rPr>
        <w:t xml:space="preserve">Вопрос о сущности и границах понятия «инвестиция» продолжает оставаться в фокусе интенсивных научных дискуссий и практико-правовых исследований. На протяжении последних десятилетий содержательное наполнение данной правовой категории неоднократно становилось предметом судебных разбирательств между инвесторами и государствами, особенно в рамках международного инвестиционного арбитража </w:t>
      </w:r>
      <w:r w:rsidR="0058548F" w:rsidRPr="003A6E5A">
        <w:rPr>
          <w:rFonts w:ascii="Times New Roman" w:eastAsia="Times New Roman" w:hAnsi="Times New Roman" w:cs="Times New Roman"/>
          <w:sz w:val="28"/>
          <w:szCs w:val="28"/>
          <w:lang w:eastAsia="ru-RU"/>
        </w:rPr>
        <w:t>[</w:t>
      </w:r>
      <w:r w:rsidR="00997465" w:rsidRPr="003A6E5A">
        <w:rPr>
          <w:rFonts w:ascii="Times New Roman" w:eastAsia="Times New Roman" w:hAnsi="Times New Roman" w:cs="Times New Roman"/>
          <w:sz w:val="28"/>
          <w:szCs w:val="28"/>
          <w:lang w:eastAsia="ru-RU"/>
        </w:rPr>
        <w:t>5</w:t>
      </w:r>
      <w:r w:rsidR="00A822BB" w:rsidRPr="003A6E5A">
        <w:rPr>
          <w:rFonts w:ascii="Times New Roman" w:eastAsia="Times New Roman" w:hAnsi="Times New Roman" w:cs="Times New Roman"/>
          <w:sz w:val="28"/>
          <w:szCs w:val="28"/>
          <w:lang w:eastAsia="ru-RU"/>
        </w:rPr>
        <w:t>6</w:t>
      </w:r>
      <w:r w:rsidR="0058548F" w:rsidRPr="003A6E5A">
        <w:rPr>
          <w:rFonts w:ascii="Times New Roman" w:eastAsia="Times New Roman" w:hAnsi="Times New Roman" w:cs="Times New Roman"/>
          <w:sz w:val="28"/>
          <w:szCs w:val="28"/>
          <w:lang w:eastAsia="ru-RU"/>
        </w:rPr>
        <w:t>]</w:t>
      </w:r>
      <w:r w:rsidR="00FC275D" w:rsidRPr="003A6E5A">
        <w:rPr>
          <w:rFonts w:ascii="Times New Roman" w:eastAsia="Times New Roman" w:hAnsi="Times New Roman" w:cs="Times New Roman"/>
          <w:sz w:val="28"/>
          <w:szCs w:val="28"/>
          <w:lang w:val="kk-KZ" w:eastAsia="ru-RU"/>
        </w:rPr>
        <w:t xml:space="preserve">. </w:t>
      </w:r>
      <w:r w:rsidRPr="003A6E5A">
        <w:rPr>
          <w:rFonts w:ascii="Times New Roman" w:eastAsia="Times New Roman" w:hAnsi="Times New Roman" w:cs="Times New Roman"/>
          <w:sz w:val="28"/>
          <w:szCs w:val="28"/>
          <w:lang w:val="kk-KZ" w:eastAsia="ru-RU"/>
        </w:rPr>
        <w:t>Эта теоретическая неопределенность имеет непосредственное практическое значение, поскольку от квалификации тех или иных вложений в качестве инвестиции зависит предоставление соответствующих правовых гарантий и защитных механизмов.</w:t>
      </w:r>
    </w:p>
    <w:p w14:paraId="59EA785A"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В свете вышеизложенного целесообразно обратиться к анализу работ зарубежных, российских и казахстанских исследователей, в которых представлены различные подходы к определению понятия «инвестиции» (см. таблицу 1).</w:t>
      </w:r>
    </w:p>
    <w:p w14:paraId="11A0F151" w14:textId="77777777" w:rsidR="00120767" w:rsidRPr="003A6E5A" w:rsidRDefault="00120767" w:rsidP="001608EA">
      <w:pPr>
        <w:spacing w:after="0" w:line="240" w:lineRule="auto"/>
        <w:jc w:val="both"/>
        <w:rPr>
          <w:rFonts w:ascii="Times New Roman" w:eastAsia="Times New Roman" w:hAnsi="Times New Roman" w:cs="Times New Roman"/>
          <w:sz w:val="28"/>
          <w:szCs w:val="28"/>
          <w:lang w:eastAsia="ru-RU"/>
        </w:rPr>
      </w:pPr>
    </w:p>
    <w:p w14:paraId="191E0452" w14:textId="77777777" w:rsidR="0003217D" w:rsidRPr="003A6E5A" w:rsidRDefault="00FC275D" w:rsidP="001608EA">
      <w:pPr>
        <w:spacing w:after="0" w:line="240" w:lineRule="auto"/>
        <w:jc w:val="both"/>
        <w:rPr>
          <w:rFonts w:ascii="Times New Roman" w:eastAsia="Times New Roman" w:hAnsi="Times New Roman" w:cs="Times New Roman"/>
          <w:sz w:val="28"/>
          <w:szCs w:val="28"/>
          <w:lang w:eastAsia="ru-RU"/>
        </w:rPr>
      </w:pPr>
      <w:bookmarkStart w:id="6" w:name="_Hlk200277932"/>
      <w:r w:rsidRPr="003A6E5A">
        <w:rPr>
          <w:rFonts w:ascii="Times New Roman" w:eastAsia="Times New Roman" w:hAnsi="Times New Roman" w:cs="Times New Roman"/>
          <w:sz w:val="28"/>
          <w:szCs w:val="28"/>
          <w:lang w:eastAsia="ru-RU"/>
        </w:rPr>
        <w:t>Таблица 1. Научные интерпретации понятия «инвестиции»</w:t>
      </w:r>
    </w:p>
    <w:tbl>
      <w:tblPr>
        <w:tblStyle w:val="ac"/>
        <w:tblW w:w="0" w:type="auto"/>
        <w:tblLook w:val="04A0" w:firstRow="1" w:lastRow="0" w:firstColumn="1" w:lastColumn="0" w:noHBand="0" w:noVBand="1"/>
      </w:tblPr>
      <w:tblGrid>
        <w:gridCol w:w="417"/>
        <w:gridCol w:w="1379"/>
        <w:gridCol w:w="5450"/>
        <w:gridCol w:w="2346"/>
      </w:tblGrid>
      <w:tr w:rsidR="00B02CF8" w:rsidRPr="003A6E5A" w14:paraId="6D1E30E8" w14:textId="77777777" w:rsidTr="003D43A8">
        <w:tc>
          <w:tcPr>
            <w:tcW w:w="417" w:type="dxa"/>
          </w:tcPr>
          <w:p w14:paraId="2F988E0A" w14:textId="77777777" w:rsidR="0003217D" w:rsidRPr="003A6E5A" w:rsidRDefault="00FC275D" w:rsidP="001608EA">
            <w:pPr>
              <w:spacing w:after="0" w:line="240" w:lineRule="auto"/>
              <w:jc w:val="center"/>
              <w:rPr>
                <w:rFonts w:ascii="Times New Roman" w:eastAsia="Times New Roman" w:hAnsi="Times New Roman" w:cs="Times New Roman"/>
                <w:bCs/>
                <w:sz w:val="20"/>
                <w:szCs w:val="20"/>
                <w:lang w:val="kk-KZ" w:eastAsia="ru-RU"/>
              </w:rPr>
            </w:pPr>
            <w:r w:rsidRPr="003A6E5A">
              <w:rPr>
                <w:rFonts w:ascii="Times New Roman" w:eastAsia="Times New Roman" w:hAnsi="Times New Roman" w:cs="Times New Roman"/>
                <w:bCs/>
                <w:sz w:val="20"/>
                <w:szCs w:val="20"/>
                <w:lang w:val="kk-KZ" w:eastAsia="ru-RU"/>
              </w:rPr>
              <w:t>№</w:t>
            </w:r>
          </w:p>
        </w:tc>
        <w:tc>
          <w:tcPr>
            <w:tcW w:w="1379" w:type="dxa"/>
          </w:tcPr>
          <w:p w14:paraId="0A8DDDB8" w14:textId="77777777" w:rsidR="0003217D" w:rsidRPr="003A6E5A" w:rsidRDefault="00FC275D" w:rsidP="001608EA">
            <w:pPr>
              <w:spacing w:after="0" w:line="240" w:lineRule="auto"/>
              <w:jc w:val="center"/>
              <w:rPr>
                <w:rFonts w:ascii="Times New Roman" w:eastAsia="Times New Roman" w:hAnsi="Times New Roman" w:cs="Times New Roman"/>
                <w:bCs/>
                <w:sz w:val="20"/>
                <w:szCs w:val="20"/>
                <w:lang w:val="kk-KZ" w:eastAsia="ru-RU"/>
              </w:rPr>
            </w:pPr>
            <w:r w:rsidRPr="003A6E5A">
              <w:rPr>
                <w:rFonts w:ascii="Times New Roman" w:eastAsia="Times New Roman" w:hAnsi="Times New Roman" w:cs="Times New Roman"/>
                <w:bCs/>
                <w:sz w:val="20"/>
                <w:szCs w:val="20"/>
                <w:lang w:val="kk-KZ" w:eastAsia="ru-RU"/>
              </w:rPr>
              <w:t>Автор</w:t>
            </w:r>
          </w:p>
        </w:tc>
        <w:tc>
          <w:tcPr>
            <w:tcW w:w="5450" w:type="dxa"/>
          </w:tcPr>
          <w:p w14:paraId="7F7F8547" w14:textId="77777777" w:rsidR="0003217D" w:rsidRPr="003A6E5A" w:rsidRDefault="00FC275D" w:rsidP="001608EA">
            <w:pPr>
              <w:spacing w:after="0" w:line="240" w:lineRule="auto"/>
              <w:jc w:val="center"/>
              <w:rPr>
                <w:rFonts w:ascii="Times New Roman" w:eastAsia="Times New Roman" w:hAnsi="Times New Roman" w:cs="Times New Roman"/>
                <w:bCs/>
                <w:sz w:val="20"/>
                <w:szCs w:val="20"/>
                <w:lang w:val="kk-KZ" w:eastAsia="ru-RU"/>
              </w:rPr>
            </w:pPr>
            <w:r w:rsidRPr="003A6E5A">
              <w:rPr>
                <w:rFonts w:ascii="Times New Roman" w:eastAsia="Times New Roman" w:hAnsi="Times New Roman" w:cs="Times New Roman"/>
                <w:bCs/>
                <w:sz w:val="20"/>
                <w:szCs w:val="20"/>
                <w:lang w:eastAsia="ru-RU"/>
              </w:rPr>
              <w:t>Определение</w:t>
            </w:r>
          </w:p>
        </w:tc>
        <w:tc>
          <w:tcPr>
            <w:tcW w:w="2346" w:type="dxa"/>
          </w:tcPr>
          <w:p w14:paraId="5A28DFCA" w14:textId="77777777" w:rsidR="0003217D" w:rsidRPr="003A6E5A" w:rsidRDefault="00FC275D" w:rsidP="001608EA">
            <w:pPr>
              <w:spacing w:after="0" w:line="240" w:lineRule="auto"/>
              <w:jc w:val="center"/>
              <w:rPr>
                <w:rFonts w:ascii="Times New Roman" w:eastAsia="Times New Roman" w:hAnsi="Times New Roman" w:cs="Times New Roman"/>
                <w:bCs/>
                <w:sz w:val="20"/>
                <w:szCs w:val="20"/>
                <w:lang w:val="en-US" w:eastAsia="ru-RU"/>
              </w:rPr>
            </w:pPr>
            <w:r w:rsidRPr="003A6E5A">
              <w:rPr>
                <w:rFonts w:ascii="Times New Roman" w:eastAsia="Times New Roman" w:hAnsi="Times New Roman" w:cs="Times New Roman"/>
                <w:bCs/>
                <w:sz w:val="20"/>
                <w:szCs w:val="20"/>
                <w:lang w:val="kk-KZ" w:eastAsia="ru-RU"/>
              </w:rPr>
              <w:t>Наименование</w:t>
            </w:r>
            <w:r w:rsidRPr="003A6E5A">
              <w:rPr>
                <w:rFonts w:ascii="Times New Roman" w:eastAsia="Times New Roman" w:hAnsi="Times New Roman" w:cs="Times New Roman"/>
                <w:bCs/>
                <w:sz w:val="20"/>
                <w:szCs w:val="20"/>
                <w:lang w:val="en-US" w:eastAsia="ru-RU"/>
              </w:rPr>
              <w:t xml:space="preserve"> работы</w:t>
            </w:r>
          </w:p>
        </w:tc>
      </w:tr>
      <w:tr w:rsidR="00B02CF8" w:rsidRPr="002452E6" w14:paraId="340559D8" w14:textId="77777777" w:rsidTr="003D43A8">
        <w:tc>
          <w:tcPr>
            <w:tcW w:w="417" w:type="dxa"/>
          </w:tcPr>
          <w:p w14:paraId="3A471D08"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1</w:t>
            </w:r>
          </w:p>
        </w:tc>
        <w:tc>
          <w:tcPr>
            <w:tcW w:w="1379" w:type="dxa"/>
          </w:tcPr>
          <w:p w14:paraId="55319359"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Дж. М. Кейнс</w:t>
            </w:r>
          </w:p>
        </w:tc>
        <w:tc>
          <w:tcPr>
            <w:tcW w:w="5450" w:type="dxa"/>
          </w:tcPr>
          <w:p w14:paraId="69EE9632" w14:textId="0146E07B"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hAnsi="Times New Roman" w:cs="Times New Roman"/>
                <w:sz w:val="20"/>
                <w:szCs w:val="20"/>
                <w:lang w:val="kk-KZ"/>
              </w:rPr>
              <w:t>Прирост стоимости капитальных активов в результате производственной деятельности или как часть дохода, не израсходованную на потребление</w:t>
            </w:r>
          </w:p>
        </w:tc>
        <w:tc>
          <w:tcPr>
            <w:tcW w:w="2346" w:type="dxa"/>
          </w:tcPr>
          <w:p w14:paraId="0104E657" w14:textId="0BF34819" w:rsidR="0003217D" w:rsidRPr="003A6E5A" w:rsidRDefault="00FC275D" w:rsidP="001608EA">
            <w:pPr>
              <w:spacing w:after="0" w:line="240" w:lineRule="auto"/>
              <w:rPr>
                <w:rFonts w:ascii="Times New Roman" w:eastAsia="Times New Roman" w:hAnsi="Times New Roman" w:cs="Times New Roman"/>
                <w:sz w:val="20"/>
                <w:szCs w:val="20"/>
                <w:lang w:val="en-US" w:eastAsia="ru-RU"/>
              </w:rPr>
            </w:pPr>
            <w:r w:rsidRPr="003A6E5A">
              <w:rPr>
                <w:rFonts w:ascii="Times New Roman" w:hAnsi="Times New Roman" w:cs="Times New Roman"/>
                <w:sz w:val="20"/>
                <w:szCs w:val="20"/>
                <w:lang w:val="kk-KZ"/>
              </w:rPr>
              <w:t>The General Theory of Employment, Interest and Money</w:t>
            </w:r>
            <w:r w:rsidR="0058548F" w:rsidRPr="003A6E5A">
              <w:rPr>
                <w:rFonts w:ascii="Times New Roman" w:hAnsi="Times New Roman" w:cs="Times New Roman"/>
                <w:sz w:val="20"/>
                <w:szCs w:val="20"/>
                <w:lang w:val="en-US"/>
              </w:rPr>
              <w:t xml:space="preserve">  [</w:t>
            </w:r>
            <w:r w:rsidR="00914E40" w:rsidRPr="003A6E5A">
              <w:rPr>
                <w:rFonts w:ascii="Times New Roman" w:hAnsi="Times New Roman" w:cs="Times New Roman"/>
                <w:sz w:val="20"/>
                <w:szCs w:val="20"/>
                <w:lang w:val="en-US"/>
              </w:rPr>
              <w:t>7</w:t>
            </w:r>
            <w:r w:rsidR="0058548F" w:rsidRPr="003A6E5A">
              <w:rPr>
                <w:rFonts w:ascii="Times New Roman" w:hAnsi="Times New Roman" w:cs="Times New Roman"/>
                <w:sz w:val="20"/>
                <w:szCs w:val="20"/>
                <w:lang w:val="en-US"/>
              </w:rPr>
              <w:t>]</w:t>
            </w:r>
          </w:p>
        </w:tc>
      </w:tr>
      <w:tr w:rsidR="00B02CF8" w:rsidRPr="003A6E5A" w14:paraId="007C4233" w14:textId="77777777" w:rsidTr="003D43A8">
        <w:tc>
          <w:tcPr>
            <w:tcW w:w="417" w:type="dxa"/>
          </w:tcPr>
          <w:p w14:paraId="4C547CD3"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2</w:t>
            </w:r>
          </w:p>
        </w:tc>
        <w:tc>
          <w:tcPr>
            <w:tcW w:w="1379" w:type="dxa"/>
          </w:tcPr>
          <w:p w14:paraId="60458953"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П. Хейн</w:t>
            </w:r>
          </w:p>
        </w:tc>
        <w:tc>
          <w:tcPr>
            <w:tcW w:w="5450" w:type="dxa"/>
          </w:tcPr>
          <w:p w14:paraId="66B20F10" w14:textId="50CC6AA8"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hAnsi="Times New Roman" w:cs="Times New Roman"/>
                <w:sz w:val="20"/>
                <w:szCs w:val="20"/>
                <w:lang w:val="kk-KZ"/>
              </w:rPr>
              <w:t>Процесс трансформации сбережений в реальные производственные ресурсы, направленный на создание или приумножение экономических благ. Инвестиции представляют собой вложения капитала (в виде финансовых, материальных или интеллектуальных ресурсов) в активы с целью получения дохода или иного экономического эффекта в будущем</w:t>
            </w:r>
            <w:r w:rsidR="0058548F" w:rsidRPr="003A6E5A">
              <w:rPr>
                <w:rFonts w:ascii="Times New Roman" w:hAnsi="Times New Roman" w:cs="Times New Roman"/>
                <w:sz w:val="20"/>
                <w:szCs w:val="20"/>
              </w:rPr>
              <w:t xml:space="preserve"> </w:t>
            </w:r>
          </w:p>
        </w:tc>
        <w:tc>
          <w:tcPr>
            <w:tcW w:w="2346" w:type="dxa"/>
          </w:tcPr>
          <w:p w14:paraId="57F8D7D1" w14:textId="3E99D15A" w:rsidR="0003217D" w:rsidRPr="003A6E5A" w:rsidRDefault="00FC275D" w:rsidP="001608EA">
            <w:pPr>
              <w:spacing w:after="0" w:line="240" w:lineRule="auto"/>
              <w:rPr>
                <w:rFonts w:ascii="Times New Roman" w:eastAsia="Times New Roman" w:hAnsi="Times New Roman" w:cs="Times New Roman"/>
                <w:sz w:val="20"/>
                <w:szCs w:val="20"/>
                <w:lang w:val="en-US" w:eastAsia="ru-RU"/>
              </w:rPr>
            </w:pPr>
            <w:r w:rsidRPr="003A6E5A">
              <w:rPr>
                <w:rFonts w:ascii="Times New Roman" w:hAnsi="Times New Roman" w:cs="Times New Roman"/>
                <w:sz w:val="20"/>
                <w:szCs w:val="20"/>
                <w:lang w:val="kk-KZ"/>
              </w:rPr>
              <w:t>Экономический образ мышления</w:t>
            </w:r>
            <w:r w:rsidR="0058548F" w:rsidRPr="003A6E5A">
              <w:rPr>
                <w:rFonts w:ascii="Times New Roman" w:hAnsi="Times New Roman" w:cs="Times New Roman"/>
                <w:sz w:val="20"/>
                <w:szCs w:val="20"/>
                <w:lang w:val="en-US"/>
              </w:rPr>
              <w:t xml:space="preserve"> </w:t>
            </w:r>
            <w:r w:rsidR="0058548F" w:rsidRPr="003A6E5A">
              <w:rPr>
                <w:rFonts w:ascii="Times New Roman" w:hAnsi="Times New Roman" w:cs="Times New Roman"/>
                <w:sz w:val="20"/>
                <w:szCs w:val="20"/>
              </w:rPr>
              <w:t>[</w:t>
            </w:r>
            <w:r w:rsidR="00914E40" w:rsidRPr="003A6E5A">
              <w:rPr>
                <w:rFonts w:ascii="Times New Roman" w:hAnsi="Times New Roman" w:cs="Times New Roman"/>
                <w:sz w:val="20"/>
                <w:szCs w:val="20"/>
                <w:lang w:val="en-US"/>
              </w:rPr>
              <w:t>8</w:t>
            </w:r>
            <w:r w:rsidR="0058548F" w:rsidRPr="003A6E5A">
              <w:rPr>
                <w:rFonts w:ascii="Times New Roman" w:hAnsi="Times New Roman" w:cs="Times New Roman"/>
                <w:sz w:val="20"/>
                <w:szCs w:val="20"/>
              </w:rPr>
              <w:t xml:space="preserve">, </w:t>
            </w:r>
            <w:r w:rsidR="0058548F" w:rsidRPr="003A6E5A">
              <w:rPr>
                <w:rFonts w:ascii="Times New Roman" w:hAnsi="Times New Roman" w:cs="Times New Roman"/>
                <w:sz w:val="20"/>
                <w:szCs w:val="20"/>
                <w:lang w:val="en-US"/>
              </w:rPr>
              <w:t>c</w:t>
            </w:r>
            <w:r w:rsidR="0058548F" w:rsidRPr="003A6E5A">
              <w:rPr>
                <w:rFonts w:ascii="Times New Roman" w:hAnsi="Times New Roman" w:cs="Times New Roman"/>
                <w:sz w:val="20"/>
                <w:szCs w:val="20"/>
              </w:rPr>
              <w:t>. 574]</w:t>
            </w:r>
            <w:r w:rsidR="0058548F" w:rsidRPr="003A6E5A">
              <w:rPr>
                <w:rFonts w:ascii="Times New Roman" w:hAnsi="Times New Roman" w:cs="Times New Roman"/>
                <w:sz w:val="20"/>
                <w:szCs w:val="20"/>
                <w:lang w:val="kk-KZ"/>
              </w:rPr>
              <w:t>.</w:t>
            </w:r>
          </w:p>
        </w:tc>
      </w:tr>
      <w:tr w:rsidR="00B02CF8" w:rsidRPr="003A6E5A" w14:paraId="1950C070" w14:textId="77777777" w:rsidTr="003D43A8">
        <w:tc>
          <w:tcPr>
            <w:tcW w:w="417" w:type="dxa"/>
          </w:tcPr>
          <w:p w14:paraId="3A0446C4"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3</w:t>
            </w:r>
          </w:p>
        </w:tc>
        <w:tc>
          <w:tcPr>
            <w:tcW w:w="1379" w:type="dxa"/>
          </w:tcPr>
          <w:p w14:paraId="511B956F"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Гитман Л.Дж.</w:t>
            </w:r>
            <w:r w:rsidRPr="003A6E5A">
              <w:rPr>
                <w:rFonts w:ascii="Times New Roman" w:eastAsia="Times New Roman" w:hAnsi="Times New Roman" w:cs="Times New Roman"/>
                <w:sz w:val="20"/>
                <w:szCs w:val="20"/>
                <w:lang w:val="kk-KZ" w:eastAsia="ru-RU"/>
              </w:rPr>
              <w:t>,</w:t>
            </w:r>
            <w:r w:rsidRPr="003A6E5A">
              <w:rPr>
                <w:rFonts w:ascii="Times New Roman" w:eastAsia="Times New Roman" w:hAnsi="Times New Roman" w:cs="Times New Roman"/>
                <w:sz w:val="20"/>
                <w:szCs w:val="20"/>
                <w:lang w:eastAsia="ru-RU"/>
              </w:rPr>
              <w:t xml:space="preserve"> Джонка М.Д.</w:t>
            </w:r>
          </w:p>
        </w:tc>
        <w:tc>
          <w:tcPr>
            <w:tcW w:w="5450" w:type="dxa"/>
          </w:tcPr>
          <w:p w14:paraId="2A40AC86" w14:textId="512F1D21"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Способ вложения капитала, направленный на сохранение и приумножение его стоимости с целью получения положительного дохода. Иногда инвестиции рассматриваются как совокупность затрат, осуществляемых в форме долгосрочного вложения капитала с целью получения предпринимательской прибыли или процентов</w:t>
            </w:r>
            <w:r w:rsidR="0058548F" w:rsidRPr="003A6E5A">
              <w:rPr>
                <w:rFonts w:ascii="Times New Roman" w:hAnsi="Times New Roman" w:cs="Times New Roman"/>
                <w:sz w:val="20"/>
                <w:szCs w:val="20"/>
              </w:rPr>
              <w:t xml:space="preserve"> </w:t>
            </w:r>
          </w:p>
        </w:tc>
        <w:tc>
          <w:tcPr>
            <w:tcW w:w="2346" w:type="dxa"/>
          </w:tcPr>
          <w:p w14:paraId="0E276B6C" w14:textId="027745B6" w:rsidR="0003217D" w:rsidRPr="003A6E5A" w:rsidRDefault="00FC275D" w:rsidP="001608EA">
            <w:pPr>
              <w:spacing w:after="0" w:line="240" w:lineRule="auto"/>
              <w:rPr>
                <w:rFonts w:ascii="Times New Roman" w:eastAsia="Times New Roman" w:hAnsi="Times New Roman" w:cs="Times New Roman"/>
                <w:sz w:val="20"/>
                <w:szCs w:val="20"/>
                <w:lang w:val="en-US" w:eastAsia="ru-RU"/>
              </w:rPr>
            </w:pPr>
            <w:r w:rsidRPr="003A6E5A">
              <w:rPr>
                <w:rFonts w:ascii="Times New Roman" w:hAnsi="Times New Roman" w:cs="Times New Roman"/>
                <w:sz w:val="20"/>
                <w:szCs w:val="20"/>
                <w:lang w:val="kk-KZ"/>
              </w:rPr>
              <w:t>Основы инвестирования</w:t>
            </w:r>
            <w:r w:rsidR="0058548F" w:rsidRPr="003A6E5A">
              <w:rPr>
                <w:rFonts w:ascii="Times New Roman" w:hAnsi="Times New Roman" w:cs="Times New Roman"/>
                <w:sz w:val="20"/>
                <w:szCs w:val="20"/>
                <w:lang w:val="en-US"/>
              </w:rPr>
              <w:t xml:space="preserve"> </w:t>
            </w:r>
            <w:r w:rsidR="0058548F" w:rsidRPr="003A6E5A">
              <w:rPr>
                <w:rFonts w:ascii="Times New Roman" w:hAnsi="Times New Roman" w:cs="Times New Roman"/>
                <w:sz w:val="20"/>
                <w:szCs w:val="20"/>
              </w:rPr>
              <w:t>[</w:t>
            </w:r>
            <w:r w:rsidR="00914E40" w:rsidRPr="003A6E5A">
              <w:rPr>
                <w:rFonts w:ascii="Times New Roman" w:hAnsi="Times New Roman" w:cs="Times New Roman"/>
                <w:sz w:val="20"/>
                <w:szCs w:val="20"/>
                <w:lang w:val="en-US"/>
              </w:rPr>
              <w:t>9</w:t>
            </w:r>
            <w:r w:rsidR="0058548F" w:rsidRPr="003A6E5A">
              <w:rPr>
                <w:rFonts w:ascii="Times New Roman" w:hAnsi="Times New Roman" w:cs="Times New Roman"/>
                <w:sz w:val="20"/>
                <w:szCs w:val="20"/>
              </w:rPr>
              <w:t>].</w:t>
            </w:r>
          </w:p>
        </w:tc>
      </w:tr>
      <w:tr w:rsidR="00B02CF8" w:rsidRPr="002452E6" w14:paraId="2C4A8117" w14:textId="77777777" w:rsidTr="003D43A8">
        <w:tc>
          <w:tcPr>
            <w:tcW w:w="417" w:type="dxa"/>
          </w:tcPr>
          <w:p w14:paraId="49F356FD"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4</w:t>
            </w:r>
          </w:p>
        </w:tc>
        <w:tc>
          <w:tcPr>
            <w:tcW w:w="1379" w:type="dxa"/>
          </w:tcPr>
          <w:p w14:paraId="175CFAA2"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Н. Лаоподис</w:t>
            </w:r>
          </w:p>
        </w:tc>
        <w:tc>
          <w:tcPr>
            <w:tcW w:w="5450" w:type="dxa"/>
          </w:tcPr>
          <w:p w14:paraId="6507E0B5" w14:textId="48ABBD06"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Стратегическое распределение ограниченных ресурсов с учетом риска и неопределенности, направленное на достижение будущих выгод</w:t>
            </w:r>
            <w:r w:rsidR="0058548F" w:rsidRPr="003A6E5A">
              <w:rPr>
                <w:rFonts w:ascii="Times New Roman" w:hAnsi="Times New Roman" w:cs="Times New Roman"/>
                <w:sz w:val="20"/>
                <w:szCs w:val="20"/>
              </w:rPr>
              <w:t xml:space="preserve"> </w:t>
            </w:r>
          </w:p>
        </w:tc>
        <w:tc>
          <w:tcPr>
            <w:tcW w:w="2346" w:type="dxa"/>
          </w:tcPr>
          <w:p w14:paraId="7A446102" w14:textId="654E7B2C" w:rsidR="0003217D" w:rsidRPr="003A6E5A" w:rsidRDefault="00FC275D" w:rsidP="001608EA">
            <w:pPr>
              <w:spacing w:after="0" w:line="240" w:lineRule="auto"/>
              <w:rPr>
                <w:rFonts w:ascii="Times New Roman" w:eastAsia="Times New Roman" w:hAnsi="Times New Roman" w:cs="Times New Roman"/>
                <w:sz w:val="20"/>
                <w:szCs w:val="20"/>
                <w:lang w:val="en-US" w:eastAsia="ru-RU"/>
              </w:rPr>
            </w:pPr>
            <w:r w:rsidRPr="003A6E5A">
              <w:rPr>
                <w:rFonts w:ascii="Times New Roman" w:hAnsi="Times New Roman" w:cs="Times New Roman"/>
                <w:sz w:val="20"/>
                <w:szCs w:val="20"/>
                <w:lang w:val="kk-KZ"/>
              </w:rPr>
              <w:t>Understanding investments: Theories and strategies</w:t>
            </w:r>
            <w:r w:rsidR="0058548F" w:rsidRPr="003A6E5A">
              <w:rPr>
                <w:rFonts w:ascii="Times New Roman" w:hAnsi="Times New Roman" w:cs="Times New Roman"/>
                <w:sz w:val="20"/>
                <w:szCs w:val="20"/>
                <w:lang w:val="en-US"/>
              </w:rPr>
              <w:t xml:space="preserve"> [</w:t>
            </w:r>
            <w:r w:rsidR="00914E40" w:rsidRPr="003A6E5A">
              <w:rPr>
                <w:rFonts w:ascii="Times New Roman" w:hAnsi="Times New Roman" w:cs="Times New Roman"/>
                <w:sz w:val="20"/>
                <w:szCs w:val="20"/>
                <w:lang w:val="en-US"/>
              </w:rPr>
              <w:t>10</w:t>
            </w:r>
            <w:r w:rsidR="0058548F" w:rsidRPr="003A6E5A">
              <w:rPr>
                <w:rFonts w:ascii="Times New Roman" w:hAnsi="Times New Roman" w:cs="Times New Roman"/>
                <w:sz w:val="20"/>
                <w:szCs w:val="20"/>
                <w:lang w:val="en-US"/>
              </w:rPr>
              <w:t>, c. 5].</w:t>
            </w:r>
          </w:p>
        </w:tc>
      </w:tr>
      <w:tr w:rsidR="00B02CF8" w:rsidRPr="003A6E5A" w14:paraId="70EA6EBF" w14:textId="77777777" w:rsidTr="003D43A8">
        <w:tc>
          <w:tcPr>
            <w:tcW w:w="417" w:type="dxa"/>
          </w:tcPr>
          <w:p w14:paraId="41471078"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5</w:t>
            </w:r>
          </w:p>
        </w:tc>
        <w:tc>
          <w:tcPr>
            <w:tcW w:w="1379" w:type="dxa"/>
          </w:tcPr>
          <w:p w14:paraId="5E4F9F83"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В.В. Бочаров</w:t>
            </w:r>
          </w:p>
        </w:tc>
        <w:tc>
          <w:tcPr>
            <w:tcW w:w="5450" w:type="dxa"/>
          </w:tcPr>
          <w:p w14:paraId="2FA74F37" w14:textId="68EAE1D0"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Процесс передачи права собственности и превращения объектов в конечный результат инвестиционной деятельности данного периода</w:t>
            </w:r>
          </w:p>
        </w:tc>
        <w:tc>
          <w:tcPr>
            <w:tcW w:w="2346" w:type="dxa"/>
          </w:tcPr>
          <w:p w14:paraId="4096B6AA" w14:textId="72095604"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Финансово-кредитные методы регулирования инвестиционного рынка</w:t>
            </w:r>
            <w:r w:rsidR="0058548F" w:rsidRPr="003A6E5A">
              <w:rPr>
                <w:rFonts w:ascii="Times New Roman" w:hAnsi="Times New Roman" w:cs="Times New Roman"/>
                <w:sz w:val="20"/>
                <w:szCs w:val="20"/>
              </w:rPr>
              <w:t xml:space="preserve">  [</w:t>
            </w:r>
            <w:r w:rsidR="00997465" w:rsidRPr="003A6E5A">
              <w:rPr>
                <w:rFonts w:ascii="Times New Roman" w:hAnsi="Times New Roman" w:cs="Times New Roman"/>
                <w:sz w:val="20"/>
                <w:szCs w:val="20"/>
              </w:rPr>
              <w:t>5</w:t>
            </w:r>
            <w:r w:rsidR="00A822BB" w:rsidRPr="003A6E5A">
              <w:rPr>
                <w:rFonts w:ascii="Times New Roman" w:hAnsi="Times New Roman" w:cs="Times New Roman"/>
                <w:sz w:val="20"/>
                <w:szCs w:val="20"/>
              </w:rPr>
              <w:t>7</w:t>
            </w:r>
            <w:r w:rsidR="0058548F" w:rsidRPr="003A6E5A">
              <w:rPr>
                <w:rFonts w:ascii="Times New Roman" w:hAnsi="Times New Roman" w:cs="Times New Roman"/>
                <w:sz w:val="20"/>
                <w:szCs w:val="20"/>
              </w:rPr>
              <w:t xml:space="preserve">, </w:t>
            </w:r>
            <w:r w:rsidR="0058548F" w:rsidRPr="003A6E5A">
              <w:rPr>
                <w:rFonts w:ascii="Times New Roman" w:hAnsi="Times New Roman" w:cs="Times New Roman"/>
                <w:sz w:val="20"/>
                <w:szCs w:val="20"/>
                <w:lang w:val="en-US"/>
              </w:rPr>
              <w:t>c</w:t>
            </w:r>
            <w:r w:rsidR="0058548F" w:rsidRPr="003A6E5A">
              <w:rPr>
                <w:rFonts w:ascii="Times New Roman" w:hAnsi="Times New Roman" w:cs="Times New Roman"/>
                <w:sz w:val="20"/>
                <w:szCs w:val="20"/>
              </w:rPr>
              <w:t>.7]</w:t>
            </w:r>
          </w:p>
        </w:tc>
      </w:tr>
      <w:tr w:rsidR="00B02CF8" w:rsidRPr="003A6E5A" w14:paraId="4FECD6F8" w14:textId="77777777" w:rsidTr="003D43A8">
        <w:tc>
          <w:tcPr>
            <w:tcW w:w="417" w:type="dxa"/>
          </w:tcPr>
          <w:p w14:paraId="6CA7912A"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6</w:t>
            </w:r>
          </w:p>
        </w:tc>
        <w:tc>
          <w:tcPr>
            <w:tcW w:w="1379" w:type="dxa"/>
          </w:tcPr>
          <w:p w14:paraId="7378FB28"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bookmarkStart w:id="7" w:name="_Hlk210374346"/>
            <w:r w:rsidRPr="003A6E5A">
              <w:rPr>
                <w:rFonts w:ascii="Times New Roman" w:hAnsi="Times New Roman" w:cs="Times New Roman"/>
                <w:sz w:val="20"/>
                <w:szCs w:val="20"/>
              </w:rPr>
              <w:t>Г.К. Дмитриева</w:t>
            </w:r>
            <w:bookmarkEnd w:id="7"/>
          </w:p>
        </w:tc>
        <w:tc>
          <w:tcPr>
            <w:tcW w:w="5450" w:type="dxa"/>
          </w:tcPr>
          <w:p w14:paraId="034813F6" w14:textId="477A8AB3"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rPr>
              <w:t>Материальные и нематериальные ценности, принадлежащие юридическим и физическим лицам одного государства и находящиеся на территории другого государства с целью извлечения прибыли</w:t>
            </w:r>
            <w:r w:rsidR="0058548F" w:rsidRPr="003A6E5A">
              <w:rPr>
                <w:rFonts w:ascii="Times New Roman" w:hAnsi="Times New Roman" w:cs="Times New Roman"/>
                <w:sz w:val="20"/>
                <w:szCs w:val="20"/>
              </w:rPr>
              <w:t xml:space="preserve"> </w:t>
            </w:r>
          </w:p>
        </w:tc>
        <w:tc>
          <w:tcPr>
            <w:tcW w:w="2346" w:type="dxa"/>
          </w:tcPr>
          <w:p w14:paraId="7F328387" w14:textId="7BABB078"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Международное частное право: Учебник для вузов»</w:t>
            </w:r>
            <w:r w:rsidR="0058548F" w:rsidRPr="003A6E5A">
              <w:rPr>
                <w:rFonts w:ascii="Times New Roman" w:hAnsi="Times New Roman" w:cs="Times New Roman"/>
                <w:sz w:val="20"/>
                <w:szCs w:val="20"/>
              </w:rPr>
              <w:t xml:space="preserve"> [</w:t>
            </w:r>
            <w:r w:rsidR="00A822BB" w:rsidRPr="003A6E5A">
              <w:rPr>
                <w:rFonts w:ascii="Times New Roman" w:hAnsi="Times New Roman" w:cs="Times New Roman"/>
                <w:sz w:val="20"/>
                <w:szCs w:val="20"/>
              </w:rPr>
              <w:t>58</w:t>
            </w:r>
            <w:r w:rsidR="0058548F" w:rsidRPr="003A6E5A">
              <w:rPr>
                <w:rFonts w:ascii="Times New Roman" w:hAnsi="Times New Roman" w:cs="Times New Roman"/>
                <w:sz w:val="20"/>
                <w:szCs w:val="20"/>
              </w:rPr>
              <w:t>].</w:t>
            </w:r>
          </w:p>
        </w:tc>
      </w:tr>
      <w:tr w:rsidR="00B02CF8" w:rsidRPr="003A6E5A" w14:paraId="76807215" w14:textId="77777777" w:rsidTr="003D43A8">
        <w:tc>
          <w:tcPr>
            <w:tcW w:w="417" w:type="dxa"/>
          </w:tcPr>
          <w:p w14:paraId="4BFFBB7D"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7</w:t>
            </w:r>
          </w:p>
        </w:tc>
        <w:tc>
          <w:tcPr>
            <w:tcW w:w="1379" w:type="dxa"/>
          </w:tcPr>
          <w:p w14:paraId="2CC88A9F" w14:textId="77777777"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rPr>
              <w:t>О.В. Шевченко</w:t>
            </w:r>
          </w:p>
        </w:tc>
        <w:tc>
          <w:tcPr>
            <w:tcW w:w="5450" w:type="dxa"/>
          </w:tcPr>
          <w:p w14:paraId="247AB1EE"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hAnsi="Times New Roman" w:cs="Times New Roman"/>
                <w:sz w:val="20"/>
                <w:szCs w:val="20"/>
              </w:rPr>
              <w:t xml:space="preserve">Экономической категории, характеризующей систему экономических отношений, возникающих в процессе привлечения имущественных и интеллектуальных ценностей </w:t>
            </w:r>
            <w:r w:rsidRPr="003A6E5A">
              <w:rPr>
                <w:rFonts w:ascii="Times New Roman" w:hAnsi="Times New Roman" w:cs="Times New Roman"/>
                <w:sz w:val="20"/>
                <w:szCs w:val="20"/>
              </w:rPr>
              <w:lastRenderedPageBreak/>
              <w:t>зарубежного государства, иностранных юридических и физических лиц, направленных на создание новых предприятий, реконструкцию и техническое перевооружение действующих, приобретение недвижимости, акций, облигаций и других ценных бумаг и активов»</w:t>
            </w:r>
          </w:p>
        </w:tc>
        <w:tc>
          <w:tcPr>
            <w:tcW w:w="2346" w:type="dxa"/>
          </w:tcPr>
          <w:p w14:paraId="1208CBD5" w14:textId="192A39E1" w:rsidR="0003217D" w:rsidRPr="003A6E5A" w:rsidRDefault="00FC275D" w:rsidP="001608EA">
            <w:pPr>
              <w:spacing w:after="0" w:line="240" w:lineRule="auto"/>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lastRenderedPageBreak/>
              <w:t xml:space="preserve">Финансовый механизм привлечения иностранных </w:t>
            </w:r>
            <w:r w:rsidRPr="003A6E5A">
              <w:rPr>
                <w:rFonts w:ascii="Times New Roman" w:hAnsi="Times New Roman" w:cs="Times New Roman"/>
                <w:sz w:val="20"/>
                <w:szCs w:val="20"/>
                <w:lang w:val="kk-KZ"/>
              </w:rPr>
              <w:lastRenderedPageBreak/>
              <w:t>инвестиций в экономику России: дис… д.ю.н.</w:t>
            </w:r>
            <w:r w:rsidR="0058548F" w:rsidRPr="003A6E5A">
              <w:rPr>
                <w:rFonts w:ascii="Times New Roman" w:hAnsi="Times New Roman" w:cs="Times New Roman"/>
                <w:sz w:val="20"/>
                <w:szCs w:val="20"/>
              </w:rPr>
              <w:t xml:space="preserve"> [1</w:t>
            </w:r>
            <w:r w:rsidR="00914E40" w:rsidRPr="003A6E5A">
              <w:rPr>
                <w:rFonts w:ascii="Times New Roman" w:hAnsi="Times New Roman" w:cs="Times New Roman"/>
                <w:sz w:val="20"/>
                <w:szCs w:val="20"/>
              </w:rPr>
              <w:t>1</w:t>
            </w:r>
            <w:r w:rsidR="0058548F" w:rsidRPr="003A6E5A">
              <w:rPr>
                <w:rFonts w:ascii="Times New Roman" w:hAnsi="Times New Roman" w:cs="Times New Roman"/>
                <w:sz w:val="20"/>
                <w:szCs w:val="20"/>
              </w:rPr>
              <w:t xml:space="preserve">, </w:t>
            </w:r>
            <w:r w:rsidR="0058548F" w:rsidRPr="003A6E5A">
              <w:rPr>
                <w:rFonts w:ascii="Times New Roman" w:eastAsia="SimSun" w:hAnsi="Times New Roman" w:cs="Times New Roman"/>
                <w:sz w:val="20"/>
                <w:szCs w:val="20"/>
                <w:lang w:val="en-US" w:eastAsia="ru-RU"/>
              </w:rPr>
              <w:t>c</w:t>
            </w:r>
            <w:r w:rsidR="0058548F" w:rsidRPr="003A6E5A">
              <w:rPr>
                <w:rFonts w:ascii="Times New Roman" w:eastAsia="SimSun" w:hAnsi="Times New Roman" w:cs="Times New Roman"/>
                <w:sz w:val="20"/>
                <w:szCs w:val="20"/>
                <w:lang w:val="kk-KZ" w:eastAsia="ru-RU"/>
              </w:rPr>
              <w:t xml:space="preserve">. </w:t>
            </w:r>
            <w:r w:rsidR="0058548F" w:rsidRPr="003A6E5A">
              <w:rPr>
                <w:rFonts w:ascii="Times New Roman" w:eastAsia="SimSun" w:hAnsi="Times New Roman" w:cs="Times New Roman"/>
                <w:sz w:val="20"/>
                <w:szCs w:val="20"/>
                <w:lang w:eastAsia="ru-RU"/>
              </w:rPr>
              <w:t>7</w:t>
            </w:r>
            <w:r w:rsidR="0058548F" w:rsidRPr="003A6E5A">
              <w:rPr>
                <w:rFonts w:ascii="Times New Roman" w:hAnsi="Times New Roman" w:cs="Times New Roman"/>
                <w:sz w:val="20"/>
                <w:szCs w:val="20"/>
              </w:rPr>
              <w:t>]</w:t>
            </w:r>
          </w:p>
        </w:tc>
      </w:tr>
      <w:tr w:rsidR="00B02CF8" w:rsidRPr="003A6E5A" w14:paraId="18D43D7E" w14:textId="77777777" w:rsidTr="003D43A8">
        <w:tc>
          <w:tcPr>
            <w:tcW w:w="417" w:type="dxa"/>
          </w:tcPr>
          <w:p w14:paraId="38A58950"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lastRenderedPageBreak/>
              <w:t>8</w:t>
            </w:r>
          </w:p>
        </w:tc>
        <w:tc>
          <w:tcPr>
            <w:tcW w:w="1379" w:type="dxa"/>
          </w:tcPr>
          <w:p w14:paraId="41919B4D"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Т.Н. Агапова</w:t>
            </w:r>
          </w:p>
        </w:tc>
        <w:tc>
          <w:tcPr>
            <w:tcW w:w="5450" w:type="dxa"/>
          </w:tcPr>
          <w:p w14:paraId="09FFBFA1" w14:textId="6E3B8488"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Долгосрочное вложение капитала, которое не противоречит действующему законодательству, в различные отрасли и сферы экономики, инфраструктуру, социальные программы, охрану среды, как внутри страны, так и за рубежом, с целью развития производства, социальной сферы, предпринимательства, получени</w:t>
            </w:r>
            <w:r w:rsidR="0058548F" w:rsidRPr="003A6E5A">
              <w:rPr>
                <w:rFonts w:ascii="Times New Roman" w:hAnsi="Times New Roman" w:cs="Times New Roman"/>
                <w:sz w:val="20"/>
                <w:szCs w:val="20"/>
              </w:rPr>
              <w:t xml:space="preserve"> </w:t>
            </w:r>
            <w:r w:rsidRPr="003A6E5A">
              <w:rPr>
                <w:rFonts w:ascii="Times New Roman" w:hAnsi="Times New Roman" w:cs="Times New Roman"/>
                <w:sz w:val="20"/>
                <w:szCs w:val="20"/>
              </w:rPr>
              <w:t>я дохода</w:t>
            </w:r>
          </w:p>
        </w:tc>
        <w:tc>
          <w:tcPr>
            <w:tcW w:w="2346" w:type="dxa"/>
          </w:tcPr>
          <w:p w14:paraId="3367311F" w14:textId="395D6394"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Иностранные инвестиции: курс лекций</w:t>
            </w:r>
            <w:r w:rsidR="0058548F" w:rsidRPr="003A6E5A">
              <w:rPr>
                <w:rFonts w:ascii="Times New Roman" w:hAnsi="Times New Roman" w:cs="Times New Roman"/>
                <w:sz w:val="20"/>
                <w:szCs w:val="20"/>
              </w:rPr>
              <w:t xml:space="preserve"> [</w:t>
            </w:r>
            <w:r w:rsidR="00997465" w:rsidRPr="003A6E5A">
              <w:rPr>
                <w:rFonts w:ascii="Times New Roman" w:hAnsi="Times New Roman" w:cs="Times New Roman"/>
                <w:sz w:val="20"/>
                <w:szCs w:val="20"/>
              </w:rPr>
              <w:t>5</w:t>
            </w:r>
            <w:r w:rsidR="00A822BB" w:rsidRPr="003A6E5A">
              <w:rPr>
                <w:rFonts w:ascii="Times New Roman" w:hAnsi="Times New Roman" w:cs="Times New Roman"/>
                <w:sz w:val="20"/>
                <w:szCs w:val="20"/>
              </w:rPr>
              <w:t>9</w:t>
            </w:r>
            <w:r w:rsidR="0058548F" w:rsidRPr="003A6E5A">
              <w:rPr>
                <w:rFonts w:ascii="Times New Roman" w:hAnsi="Times New Roman" w:cs="Times New Roman"/>
                <w:sz w:val="20"/>
                <w:szCs w:val="20"/>
              </w:rPr>
              <w:t xml:space="preserve">, </w:t>
            </w:r>
            <w:r w:rsidR="0058548F" w:rsidRPr="003A6E5A">
              <w:rPr>
                <w:rFonts w:ascii="Times New Roman" w:hAnsi="Times New Roman" w:cs="Times New Roman"/>
                <w:sz w:val="20"/>
                <w:szCs w:val="20"/>
                <w:lang w:val="en-US"/>
              </w:rPr>
              <w:t>c</w:t>
            </w:r>
            <w:r w:rsidR="0058548F" w:rsidRPr="003A6E5A">
              <w:rPr>
                <w:rFonts w:ascii="Times New Roman" w:hAnsi="Times New Roman" w:cs="Times New Roman"/>
                <w:sz w:val="20"/>
                <w:szCs w:val="20"/>
              </w:rPr>
              <w:t>. 30]</w:t>
            </w:r>
          </w:p>
        </w:tc>
      </w:tr>
      <w:tr w:rsidR="00B02CF8" w:rsidRPr="003A6E5A" w14:paraId="6F908A51" w14:textId="77777777" w:rsidTr="003D43A8">
        <w:tc>
          <w:tcPr>
            <w:tcW w:w="417" w:type="dxa"/>
          </w:tcPr>
          <w:p w14:paraId="2147CC57"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9</w:t>
            </w:r>
          </w:p>
        </w:tc>
        <w:tc>
          <w:tcPr>
            <w:tcW w:w="1379" w:type="dxa"/>
          </w:tcPr>
          <w:p w14:paraId="5A76D69B"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М.Ж. Садыкова</w:t>
            </w:r>
          </w:p>
        </w:tc>
        <w:tc>
          <w:tcPr>
            <w:tcW w:w="5450" w:type="dxa"/>
          </w:tcPr>
          <w:p w14:paraId="1C13F092"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Вложение финансовых, производственных или интеллектуальных капиталов с целью получения прибыли или социального эффекта, подчеркивая при этом ориентацию на реальный сектор экономики</w:t>
            </w:r>
          </w:p>
        </w:tc>
        <w:tc>
          <w:tcPr>
            <w:tcW w:w="2346" w:type="dxa"/>
          </w:tcPr>
          <w:p w14:paraId="4400D8F8" w14:textId="69135C57"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lang w:val="kk-KZ"/>
              </w:rPr>
              <w:t>Қазақстан Республикасының ауыспалы экономикасындағы инвестиция және инвестициялық саясат. Автореф. дисс. к.э.н.</w:t>
            </w:r>
            <w:r w:rsidR="0058548F" w:rsidRPr="003A6E5A">
              <w:rPr>
                <w:rFonts w:ascii="Times New Roman" w:hAnsi="Times New Roman" w:cs="Times New Roman"/>
                <w:sz w:val="20"/>
                <w:szCs w:val="20"/>
                <w:lang w:val="en-US"/>
              </w:rPr>
              <w:t xml:space="preserve"> [1</w:t>
            </w:r>
            <w:r w:rsidR="00914E40" w:rsidRPr="003A6E5A">
              <w:rPr>
                <w:rFonts w:ascii="Times New Roman" w:hAnsi="Times New Roman" w:cs="Times New Roman"/>
                <w:sz w:val="20"/>
                <w:szCs w:val="20"/>
                <w:lang w:val="en-US"/>
              </w:rPr>
              <w:t>4</w:t>
            </w:r>
            <w:r w:rsidR="0058548F" w:rsidRPr="003A6E5A">
              <w:rPr>
                <w:rFonts w:ascii="Times New Roman" w:hAnsi="Times New Roman" w:cs="Times New Roman"/>
                <w:sz w:val="20"/>
                <w:szCs w:val="20"/>
                <w:lang w:val="en-US"/>
              </w:rPr>
              <w:t>, c. 6]</w:t>
            </w:r>
          </w:p>
        </w:tc>
      </w:tr>
      <w:tr w:rsidR="00B02CF8" w:rsidRPr="003A6E5A" w14:paraId="7FE4C372" w14:textId="77777777" w:rsidTr="003D43A8">
        <w:tc>
          <w:tcPr>
            <w:tcW w:w="417" w:type="dxa"/>
          </w:tcPr>
          <w:p w14:paraId="171738AB"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10</w:t>
            </w:r>
          </w:p>
        </w:tc>
        <w:tc>
          <w:tcPr>
            <w:tcW w:w="1379" w:type="dxa"/>
          </w:tcPr>
          <w:p w14:paraId="70E5B9AE"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М.К. Тузекова</w:t>
            </w:r>
          </w:p>
        </w:tc>
        <w:tc>
          <w:tcPr>
            <w:tcW w:w="5450" w:type="dxa"/>
          </w:tcPr>
          <w:p w14:paraId="381145F1"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Вложение денежных средств (включая целевые банковские депозиты, паи, акции и другие ценные бумаги) в объекты предпринимательской деятельности с целью их расширения и/или обновления, а также инвестиции в технологии, машины, оборудование, лицензии (включая товарные знаки и кредиты), осуществляемые как прямые, так и косвенные вложения. Целью инвестиций является получение дохода (прибыли) и достижение положительного экономического и социального эффекта в течение определённого временного периода, включая вложения в имущественные и имущественно-правовые объекты, интеллектуальные и моральные ценности</w:t>
            </w:r>
          </w:p>
        </w:tc>
        <w:tc>
          <w:tcPr>
            <w:tcW w:w="2346" w:type="dxa"/>
          </w:tcPr>
          <w:p w14:paraId="09B5009A" w14:textId="54154FCE"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lang w:val="kk-KZ"/>
              </w:rPr>
              <w:t>Қазақстан Республикасында инвестициялық үдерісті жетілдіру (Қарағанды облысының мысалында). э.ғ.к. ғыл.дәр. алуға арналған дисс.</w:t>
            </w:r>
            <w:r w:rsidR="0058548F" w:rsidRPr="003A6E5A">
              <w:rPr>
                <w:rFonts w:ascii="Times New Roman" w:hAnsi="Times New Roman" w:cs="Times New Roman"/>
                <w:sz w:val="20"/>
                <w:szCs w:val="20"/>
                <w:lang w:val="kk-KZ"/>
              </w:rPr>
              <w:t xml:space="preserve">  </w:t>
            </w:r>
            <w:r w:rsidR="0058548F" w:rsidRPr="003A6E5A">
              <w:rPr>
                <w:rFonts w:ascii="Times New Roman" w:hAnsi="Times New Roman" w:cs="Times New Roman"/>
                <w:sz w:val="20"/>
                <w:szCs w:val="20"/>
                <w:lang w:val="en-US"/>
              </w:rPr>
              <w:t>[</w:t>
            </w:r>
            <w:r w:rsidR="00A822BB" w:rsidRPr="003A6E5A">
              <w:rPr>
                <w:rFonts w:ascii="Times New Roman" w:hAnsi="Times New Roman" w:cs="Times New Roman"/>
                <w:sz w:val="20"/>
                <w:szCs w:val="20"/>
                <w:lang w:val="en-US"/>
              </w:rPr>
              <w:t>60</w:t>
            </w:r>
            <w:r w:rsidR="0058548F" w:rsidRPr="003A6E5A">
              <w:rPr>
                <w:rFonts w:ascii="Times New Roman" w:hAnsi="Times New Roman" w:cs="Times New Roman"/>
                <w:sz w:val="20"/>
                <w:szCs w:val="20"/>
                <w:lang w:val="en-US"/>
              </w:rPr>
              <w:t>, c. 69]</w:t>
            </w:r>
          </w:p>
        </w:tc>
      </w:tr>
      <w:tr w:rsidR="00B02CF8" w:rsidRPr="003A6E5A" w14:paraId="44245A27" w14:textId="77777777" w:rsidTr="003D43A8">
        <w:tc>
          <w:tcPr>
            <w:tcW w:w="417" w:type="dxa"/>
          </w:tcPr>
          <w:p w14:paraId="062AF2C4"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11</w:t>
            </w:r>
          </w:p>
        </w:tc>
        <w:tc>
          <w:tcPr>
            <w:tcW w:w="1379" w:type="dxa"/>
          </w:tcPr>
          <w:p w14:paraId="38AFF08B"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 Сагындыкова</w:t>
            </w:r>
          </w:p>
        </w:tc>
        <w:tc>
          <w:tcPr>
            <w:tcW w:w="5450" w:type="dxa"/>
          </w:tcPr>
          <w:p w14:paraId="50ABC5D5"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Любые вложения финансового, производственного и интеллектуального капитала с целью получения прибыли и социального эффекта</w:t>
            </w:r>
          </w:p>
        </w:tc>
        <w:tc>
          <w:tcPr>
            <w:tcW w:w="2346" w:type="dxa"/>
          </w:tcPr>
          <w:p w14:paraId="68D16534" w14:textId="1CFC0904"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Иностранные инвестиции в РК.</w:t>
            </w:r>
            <w:r w:rsidR="0058548F" w:rsidRPr="003A6E5A">
              <w:rPr>
                <w:rFonts w:ascii="Times New Roman" w:hAnsi="Times New Roman" w:cs="Times New Roman"/>
                <w:sz w:val="20"/>
                <w:szCs w:val="20"/>
              </w:rPr>
              <w:t xml:space="preserve"> [</w:t>
            </w:r>
            <w:r w:rsidR="00A822BB" w:rsidRPr="002452E6">
              <w:rPr>
                <w:rFonts w:ascii="Times New Roman" w:hAnsi="Times New Roman" w:cs="Times New Roman"/>
                <w:sz w:val="20"/>
                <w:szCs w:val="20"/>
              </w:rPr>
              <w:t>61</w:t>
            </w:r>
            <w:r w:rsidR="0058548F" w:rsidRPr="003A6E5A">
              <w:rPr>
                <w:rFonts w:ascii="Times New Roman" w:hAnsi="Times New Roman" w:cs="Times New Roman"/>
                <w:sz w:val="20"/>
                <w:szCs w:val="20"/>
              </w:rPr>
              <w:t xml:space="preserve">, </w:t>
            </w:r>
            <w:r w:rsidR="0058548F" w:rsidRPr="003A6E5A">
              <w:rPr>
                <w:rFonts w:ascii="Times New Roman" w:hAnsi="Times New Roman" w:cs="Times New Roman"/>
                <w:sz w:val="20"/>
                <w:szCs w:val="20"/>
                <w:lang w:val="en-US"/>
              </w:rPr>
              <w:t>c</w:t>
            </w:r>
            <w:r w:rsidR="0058548F" w:rsidRPr="003A6E5A">
              <w:rPr>
                <w:rFonts w:ascii="Times New Roman" w:hAnsi="Times New Roman" w:cs="Times New Roman"/>
                <w:sz w:val="20"/>
                <w:szCs w:val="20"/>
              </w:rPr>
              <w:t>. 6]</w:t>
            </w:r>
          </w:p>
        </w:tc>
      </w:tr>
      <w:tr w:rsidR="00B02CF8" w:rsidRPr="003A6E5A" w14:paraId="11A0129C" w14:textId="77777777" w:rsidTr="003D43A8">
        <w:tc>
          <w:tcPr>
            <w:tcW w:w="417" w:type="dxa"/>
          </w:tcPr>
          <w:p w14:paraId="41A350FA"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12</w:t>
            </w:r>
          </w:p>
        </w:tc>
        <w:tc>
          <w:tcPr>
            <w:tcW w:w="1379" w:type="dxa"/>
          </w:tcPr>
          <w:p w14:paraId="31665340" w14:textId="77777777" w:rsidR="0003217D" w:rsidRPr="003A6E5A" w:rsidRDefault="00FC275D" w:rsidP="001608EA">
            <w:pPr>
              <w:spacing w:after="0" w:line="240" w:lineRule="auto"/>
              <w:rPr>
                <w:rFonts w:ascii="Times New Roman" w:hAnsi="Times New Roman" w:cs="Times New Roman"/>
                <w:sz w:val="20"/>
                <w:szCs w:val="20"/>
              </w:rPr>
            </w:pPr>
            <w:bookmarkStart w:id="8" w:name="_Hlk210374678"/>
            <w:r w:rsidRPr="003A6E5A">
              <w:rPr>
                <w:rFonts w:ascii="Times New Roman" w:hAnsi="Times New Roman" w:cs="Times New Roman"/>
                <w:sz w:val="20"/>
                <w:szCs w:val="20"/>
                <w:lang w:val="kk-KZ"/>
              </w:rPr>
              <w:t>К.Б. Даулбаев</w:t>
            </w:r>
            <w:bookmarkEnd w:id="8"/>
          </w:p>
        </w:tc>
        <w:tc>
          <w:tcPr>
            <w:tcW w:w="5450" w:type="dxa"/>
          </w:tcPr>
          <w:p w14:paraId="3D947C37"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Общие инвестиции – это совокупный объём вложений, направленных на приобретение средств производства, новое строительство, увеличение товарно-материальных запасов за определённый период. Чистые инвестиции отражают объём общих инвестиций за вычетом амортизационных отчислений. Динамика показателя чистых инвестиций служит индикатором состояния экономики: объём чистых инвестиций (при данном уровне их эффективности) показывает уровень развития экономики</w:t>
            </w:r>
          </w:p>
        </w:tc>
        <w:tc>
          <w:tcPr>
            <w:tcW w:w="2346" w:type="dxa"/>
          </w:tcPr>
          <w:p w14:paraId="046E2C24" w14:textId="109E638B"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lang w:val="kk-KZ"/>
              </w:rPr>
              <w:t>Қазақстан Республикасындағы инвестициялық қатынастар: теориясы мен тәжірибесі. э.ғ.д. ғыл.дәр. алуға арналған дисс.</w:t>
            </w:r>
            <w:r w:rsidR="0058548F" w:rsidRPr="003A6E5A">
              <w:rPr>
                <w:rFonts w:ascii="Times New Roman" w:hAnsi="Times New Roman" w:cs="Times New Roman"/>
                <w:sz w:val="20"/>
                <w:szCs w:val="20"/>
                <w:lang w:val="kk-KZ"/>
              </w:rPr>
              <w:t xml:space="preserve"> </w:t>
            </w:r>
            <w:r w:rsidR="0058548F" w:rsidRPr="003A6E5A">
              <w:rPr>
                <w:rFonts w:ascii="Times New Roman" w:hAnsi="Times New Roman" w:cs="Times New Roman"/>
                <w:sz w:val="20"/>
                <w:szCs w:val="20"/>
                <w:lang w:val="en-US"/>
              </w:rPr>
              <w:t>[</w:t>
            </w:r>
            <w:r w:rsidR="00A822BB" w:rsidRPr="003A6E5A">
              <w:rPr>
                <w:rFonts w:ascii="Times New Roman" w:hAnsi="Times New Roman" w:cs="Times New Roman"/>
                <w:sz w:val="20"/>
                <w:szCs w:val="20"/>
                <w:lang w:val="en-US"/>
              </w:rPr>
              <w:t>62</w:t>
            </w:r>
            <w:r w:rsidR="0058548F" w:rsidRPr="003A6E5A">
              <w:rPr>
                <w:rFonts w:ascii="Times New Roman" w:hAnsi="Times New Roman" w:cs="Times New Roman"/>
                <w:sz w:val="20"/>
                <w:szCs w:val="20"/>
                <w:lang w:val="en-US"/>
              </w:rPr>
              <w:t>, c. 25]</w:t>
            </w:r>
          </w:p>
        </w:tc>
      </w:tr>
      <w:tr w:rsidR="00B02CF8" w:rsidRPr="003A6E5A" w14:paraId="69C878E6" w14:textId="77777777" w:rsidTr="003D43A8">
        <w:tc>
          <w:tcPr>
            <w:tcW w:w="417" w:type="dxa"/>
          </w:tcPr>
          <w:p w14:paraId="44F6A09F"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13</w:t>
            </w:r>
          </w:p>
        </w:tc>
        <w:tc>
          <w:tcPr>
            <w:tcW w:w="1379" w:type="dxa"/>
          </w:tcPr>
          <w:p w14:paraId="447CC535"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Н.К. Нурланова</w:t>
            </w:r>
          </w:p>
        </w:tc>
        <w:tc>
          <w:tcPr>
            <w:tcW w:w="5450" w:type="dxa"/>
          </w:tcPr>
          <w:p w14:paraId="01A66D1B"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Вложения ресурсов непосредственно в общественные ценности, как материальные, так и нематериальные блага, а также косвенно – через финансовые инструменты, инновационные и социальные секторы</w:t>
            </w:r>
          </w:p>
        </w:tc>
        <w:tc>
          <w:tcPr>
            <w:tcW w:w="2346" w:type="dxa"/>
          </w:tcPr>
          <w:p w14:paraId="68B45908" w14:textId="58739D16"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Формирование и использование инвестиций в экономике Казахстана: стратегии и механизм</w:t>
            </w:r>
            <w:r w:rsidR="0058548F" w:rsidRPr="003A6E5A">
              <w:rPr>
                <w:rFonts w:ascii="Times New Roman" w:hAnsi="Times New Roman" w:cs="Times New Roman"/>
                <w:sz w:val="20"/>
                <w:szCs w:val="20"/>
              </w:rPr>
              <w:t xml:space="preserve"> [1</w:t>
            </w:r>
            <w:r w:rsidR="00914E40" w:rsidRPr="003A6E5A">
              <w:rPr>
                <w:rFonts w:ascii="Times New Roman" w:hAnsi="Times New Roman" w:cs="Times New Roman"/>
                <w:sz w:val="20"/>
                <w:szCs w:val="20"/>
              </w:rPr>
              <w:t>2</w:t>
            </w:r>
            <w:r w:rsidR="0058548F" w:rsidRPr="003A6E5A">
              <w:rPr>
                <w:rFonts w:ascii="Times New Roman" w:hAnsi="Times New Roman" w:cs="Times New Roman"/>
                <w:sz w:val="20"/>
                <w:szCs w:val="20"/>
              </w:rPr>
              <w:t>]</w:t>
            </w:r>
          </w:p>
        </w:tc>
      </w:tr>
      <w:tr w:rsidR="00B02CF8" w:rsidRPr="003A6E5A" w14:paraId="3C083060" w14:textId="77777777" w:rsidTr="003D43A8">
        <w:tc>
          <w:tcPr>
            <w:tcW w:w="417" w:type="dxa"/>
          </w:tcPr>
          <w:p w14:paraId="4AD2F190" w14:textId="77777777" w:rsidR="0003217D" w:rsidRPr="003A6E5A" w:rsidRDefault="00FC275D" w:rsidP="001608EA">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14</w:t>
            </w:r>
          </w:p>
        </w:tc>
        <w:tc>
          <w:tcPr>
            <w:tcW w:w="1379" w:type="dxa"/>
          </w:tcPr>
          <w:p w14:paraId="1989EB45"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С.Ж. Пралиева</w:t>
            </w:r>
          </w:p>
        </w:tc>
        <w:tc>
          <w:tcPr>
            <w:tcW w:w="5450" w:type="dxa"/>
          </w:tcPr>
          <w:p w14:paraId="5B137441"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Вложения материальных и интеллектуальных ценностей, а также денежных средств государства, юридических и физических лиц в создание предприятий с целью получения прибыли (дохода) или социального эффекта, обновление и расширение основных фондов, реконструкцию и техническое оснащение действующих предприятий, приобретение недвижимости, решение социальных проблем, а также покупку акций, облигаций и других ценных бумаг и активов</w:t>
            </w:r>
          </w:p>
        </w:tc>
        <w:tc>
          <w:tcPr>
            <w:tcW w:w="2346" w:type="dxa"/>
          </w:tcPr>
          <w:p w14:paraId="145FD8AD" w14:textId="462353F5"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lang w:val="kk-KZ"/>
              </w:rPr>
              <w:t>Қазақстан Республикасындағы инвестициялық қызметтің қалыптасуы мен дамуы: ерекшеліктері және мәселелері. э.ғ.к. ғыл.дәр. алуға арналған дисс.</w:t>
            </w:r>
            <w:r w:rsidR="00D45DC3" w:rsidRPr="003A6E5A">
              <w:rPr>
                <w:rFonts w:ascii="Times New Roman" w:hAnsi="Times New Roman" w:cs="Times New Roman"/>
                <w:sz w:val="20"/>
                <w:szCs w:val="20"/>
                <w:lang w:val="kk-KZ"/>
              </w:rPr>
              <w:t xml:space="preserve"> [1</w:t>
            </w:r>
            <w:r w:rsidR="00914E40" w:rsidRPr="003A6E5A">
              <w:rPr>
                <w:rFonts w:ascii="Times New Roman" w:hAnsi="Times New Roman" w:cs="Times New Roman"/>
                <w:sz w:val="20"/>
                <w:szCs w:val="20"/>
                <w:lang w:val="en-US"/>
              </w:rPr>
              <w:t>3</w:t>
            </w:r>
            <w:r w:rsidR="00D45DC3" w:rsidRPr="003A6E5A">
              <w:rPr>
                <w:rFonts w:ascii="Times New Roman" w:hAnsi="Times New Roman" w:cs="Times New Roman"/>
                <w:sz w:val="20"/>
                <w:szCs w:val="20"/>
                <w:lang w:val="kk-KZ"/>
              </w:rPr>
              <w:t>, c. 25].</w:t>
            </w:r>
          </w:p>
        </w:tc>
      </w:tr>
    </w:tbl>
    <w:bookmarkEnd w:id="6"/>
    <w:p w14:paraId="2134B050" w14:textId="10B999F7" w:rsidR="0003217D" w:rsidRPr="003A6E5A" w:rsidRDefault="003D43A8" w:rsidP="001608EA">
      <w:pPr>
        <w:spacing w:after="0" w:line="240" w:lineRule="auto"/>
        <w:rPr>
          <w:rFonts w:ascii="Times New Roman" w:hAnsi="Times New Roman" w:cs="Times New Roman"/>
          <w:sz w:val="28"/>
          <w:szCs w:val="28"/>
          <w:lang w:val="kk-KZ"/>
        </w:rPr>
      </w:pPr>
      <w:r w:rsidRPr="003A6E5A">
        <w:rPr>
          <w:rFonts w:ascii="Times New Roman" w:hAnsi="Times New Roman" w:cs="Times New Roman"/>
          <w:sz w:val="20"/>
          <w:szCs w:val="20"/>
          <w:lang w:val="kk-KZ"/>
        </w:rPr>
        <w:t>Примечание: таблица составлена автором исследования</w:t>
      </w:r>
    </w:p>
    <w:p w14:paraId="7D5CB3F1" w14:textId="77777777" w:rsidR="0003217D" w:rsidRPr="003A6E5A" w:rsidRDefault="0003217D" w:rsidP="001608EA">
      <w:pPr>
        <w:spacing w:after="0" w:line="240" w:lineRule="auto"/>
        <w:jc w:val="both"/>
        <w:rPr>
          <w:rFonts w:ascii="Times New Roman" w:hAnsi="Times New Roman" w:cs="Times New Roman"/>
          <w:sz w:val="28"/>
          <w:szCs w:val="28"/>
          <w:lang w:val="kk-KZ"/>
        </w:rPr>
      </w:pPr>
    </w:p>
    <w:p w14:paraId="1F5031DA" w14:textId="77777777" w:rsidR="0031145C" w:rsidRPr="003A6E5A" w:rsidRDefault="0031145C" w:rsidP="0031145C">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Сравнительный анализ классической трактовки инвестиций, предложенной британским экономистом Дж.М. Кейнсом как прироста капитала, </w:t>
      </w:r>
      <w:r w:rsidRPr="003A6E5A">
        <w:rPr>
          <w:rFonts w:ascii="Times New Roman" w:eastAsia="Times New Roman" w:hAnsi="Times New Roman" w:cs="Times New Roman"/>
          <w:sz w:val="28"/>
          <w:szCs w:val="28"/>
          <w:lang w:eastAsia="ru-RU"/>
        </w:rPr>
        <w:lastRenderedPageBreak/>
        <w:t>и современных теоретических моделей, охватывающих интеллектуальный, человеческий, венчурный и трансграничный капитал, свидетельствует о значительной эволюции содержательного наполнения данной категории. Расширение концептуальных рамок обусловлено углублением процессов глобализации, активизацией инновационной деятельности и ростом финансовой взаимосвязанности, что усиливает междисциплинарный характер научного анализа инвестиционной сферы. Эта трансформация понятийных подходов отражает динамику исследовательских парадигм и нормативных установок, формирующихся в условиях изменяющейся социально-экономической реальности, что позволяет рассматривать инвестиции не как статичную экономическую категорию, а как развивающееся понятие, содержание которого варьируется в зависимости от исторических этапов и методологических установок.</w:t>
      </w:r>
    </w:p>
    <w:p w14:paraId="65505ECB" w14:textId="37FB0049" w:rsidR="00C41ACA" w:rsidRPr="003A6E5A" w:rsidRDefault="00C41ACA" w:rsidP="00C41ACA">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Наглядным примером эволюции понятия «инвестиции» служит его последовательная трансформация в законодательстве Республики Казахстан, отражающая смену парадигмы государственного регулирования. Если в первоначальной редакции </w:t>
      </w:r>
      <w:bookmarkStart w:id="9" w:name="_Hlk213064882"/>
      <w:r w:rsidRPr="003A6E5A">
        <w:rPr>
          <w:rFonts w:ascii="Times New Roman" w:eastAsia="Times New Roman" w:hAnsi="Times New Roman" w:cs="Times New Roman"/>
          <w:sz w:val="28"/>
          <w:szCs w:val="28"/>
          <w:lang w:eastAsia="ru-RU"/>
        </w:rPr>
        <w:t>Закона Казахской ССР от 10 июня 1991 года «Об инвестиционной деятельности в Казахской ССР»</w:t>
      </w:r>
      <w:bookmarkEnd w:id="9"/>
      <w:r w:rsidRPr="003A6E5A">
        <w:rPr>
          <w:rFonts w:ascii="Times New Roman" w:eastAsia="Times New Roman" w:hAnsi="Times New Roman" w:cs="Times New Roman"/>
          <w:sz w:val="28"/>
          <w:szCs w:val="28"/>
          <w:lang w:eastAsia="ru-RU"/>
        </w:rPr>
        <w:t xml:space="preserve"> инвестиции определялись через широкий набор вложений, включая имущественные права и интеллектуальные ценности, с целью достижения не только прибыли, но и социального, экологического и научно-технического эффектов</w:t>
      </w:r>
      <w:r w:rsidR="00FD6B6F" w:rsidRPr="003A6E5A">
        <w:rPr>
          <w:rFonts w:ascii="Times New Roman" w:eastAsia="Times New Roman" w:hAnsi="Times New Roman" w:cs="Times New Roman"/>
          <w:sz w:val="28"/>
          <w:szCs w:val="28"/>
          <w:lang w:eastAsia="ru-RU"/>
        </w:rPr>
        <w:t xml:space="preserve"> </w:t>
      </w:r>
      <w:r w:rsidR="00997465" w:rsidRPr="003A6E5A">
        <w:rPr>
          <w:rFonts w:ascii="Times New Roman" w:eastAsia="Times New Roman" w:hAnsi="Times New Roman" w:cs="Times New Roman"/>
          <w:sz w:val="28"/>
          <w:szCs w:val="28"/>
          <w:lang w:eastAsia="ru-RU"/>
        </w:rPr>
        <w:t>[43]</w:t>
      </w:r>
      <w:r w:rsidRPr="003A6E5A">
        <w:rPr>
          <w:rFonts w:ascii="Times New Roman" w:eastAsia="Times New Roman" w:hAnsi="Times New Roman" w:cs="Times New Roman"/>
          <w:sz w:val="28"/>
          <w:szCs w:val="28"/>
          <w:lang w:eastAsia="ru-RU"/>
        </w:rPr>
        <w:t xml:space="preserve">, то последующее законодательство демонстрирует курс на сужение этой дефиниции. Так, в </w:t>
      </w:r>
      <w:bookmarkStart w:id="10" w:name="_Hlk213064912"/>
      <w:r w:rsidRPr="003A6E5A">
        <w:rPr>
          <w:rFonts w:ascii="Times New Roman" w:eastAsia="Times New Roman" w:hAnsi="Times New Roman" w:cs="Times New Roman"/>
          <w:sz w:val="28"/>
          <w:szCs w:val="28"/>
          <w:lang w:eastAsia="ru-RU"/>
        </w:rPr>
        <w:t>Законе РК «Об инвестициях» от 8 января 2003 года № 373</w:t>
      </w:r>
      <w:r w:rsidR="003C5FAA" w:rsidRPr="003A6E5A">
        <w:rPr>
          <w:rFonts w:ascii="Times New Roman" w:eastAsia="Times New Roman" w:hAnsi="Times New Roman" w:cs="Times New Roman"/>
          <w:sz w:val="28"/>
          <w:szCs w:val="28"/>
          <w:lang w:eastAsia="ru-RU"/>
        </w:rPr>
        <w:t xml:space="preserve"> </w:t>
      </w:r>
      <w:bookmarkEnd w:id="10"/>
      <w:r w:rsidR="00997465" w:rsidRPr="003A6E5A">
        <w:rPr>
          <w:rFonts w:ascii="Times New Roman" w:eastAsia="Times New Roman" w:hAnsi="Times New Roman" w:cs="Times New Roman"/>
          <w:sz w:val="28"/>
          <w:szCs w:val="28"/>
          <w:lang w:eastAsia="ru-RU"/>
        </w:rPr>
        <w:t>[45]</w:t>
      </w:r>
      <w:r w:rsidRPr="003A6E5A">
        <w:rPr>
          <w:rFonts w:ascii="Times New Roman" w:eastAsia="Times New Roman" w:hAnsi="Times New Roman" w:cs="Times New Roman"/>
          <w:sz w:val="28"/>
          <w:szCs w:val="28"/>
          <w:lang w:eastAsia="ru-RU"/>
        </w:rPr>
        <w:t>, акцент сместился на вложения имущества в уставный капитал или увеличение фиксированных активов, используемых для предпринимательской деятельности, что исключило из легального определения портфельные и интеллектуальные инвестиции как самостоятельные объекты.</w:t>
      </w:r>
    </w:p>
    <w:p w14:paraId="69F806E5" w14:textId="751313EA" w:rsidR="00C41ACA" w:rsidRPr="003A6E5A" w:rsidRDefault="005721CA" w:rsidP="00C41ACA">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Данная тенденция к нормативной конкретизации получила законодательное закрепление в действующем Предпринимательском кодексе РК (ст. 274), где инвестиции окончательно отождествляются с вложениями в уставный капитал или долгосрочные активы</w:t>
      </w:r>
      <w:r w:rsidR="003C5FAA" w:rsidRPr="003A6E5A">
        <w:rPr>
          <w:rFonts w:ascii="Times New Roman" w:eastAsia="Times New Roman" w:hAnsi="Times New Roman" w:cs="Times New Roman"/>
          <w:sz w:val="28"/>
          <w:szCs w:val="28"/>
          <w:lang w:eastAsia="ru-RU"/>
        </w:rPr>
        <w:t xml:space="preserve"> </w:t>
      </w:r>
      <w:r w:rsidR="00997465" w:rsidRPr="003A6E5A">
        <w:rPr>
          <w:rFonts w:ascii="Times New Roman" w:eastAsia="Times New Roman" w:hAnsi="Times New Roman" w:cs="Times New Roman"/>
          <w:sz w:val="28"/>
          <w:szCs w:val="28"/>
          <w:lang w:eastAsia="ru-RU"/>
        </w:rPr>
        <w:t>[46]</w:t>
      </w:r>
      <w:r w:rsidRPr="003A6E5A">
        <w:rPr>
          <w:rFonts w:ascii="Times New Roman" w:eastAsia="Times New Roman" w:hAnsi="Times New Roman" w:cs="Times New Roman"/>
          <w:sz w:val="28"/>
          <w:szCs w:val="28"/>
          <w:lang w:eastAsia="ru-RU"/>
        </w:rPr>
        <w:t xml:space="preserve">. </w:t>
      </w:r>
      <w:r w:rsidR="00C41ACA" w:rsidRPr="003A6E5A">
        <w:rPr>
          <w:rFonts w:ascii="Times New Roman" w:eastAsia="Times New Roman" w:hAnsi="Times New Roman" w:cs="Times New Roman"/>
          <w:sz w:val="28"/>
          <w:szCs w:val="28"/>
          <w:lang w:eastAsia="ru-RU"/>
        </w:rPr>
        <w:t>Эта последовательная формализация понятия, выразившаяся в создании закрытой системы квалифицирующих признаков, привела к существенным правовым последствиям. В результате подобного редуцирования произошло ограничение круга субъектов, имеющих доступ к инвестиционным преференциям, а также исключение из сферы инвестиционного регулирования отношений, связанных с венчурным финансированием, портфельными инвестициями и инновационной деятельностью, не ориентированной на прямые капиталовложения в основные фонды.</w:t>
      </w:r>
    </w:p>
    <w:p w14:paraId="23D81DF0" w14:textId="77777777" w:rsidR="005721CA" w:rsidRPr="003A6E5A" w:rsidRDefault="00C41ACA" w:rsidP="005721CA">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Таким образом, сложившаяся легальная дефиниция, по сути, свела многоаспектное экономическое явление к узкому юридическому инструменту регулирования прямых капиталовложений. Это фундаментальное противоречие между экономической сущностью инвестиций и их нормативной трактовкой, отмечаемое в научной доктрине, потенцирует системные риски, ограничивая </w:t>
      </w:r>
      <w:r w:rsidRPr="003A6E5A">
        <w:rPr>
          <w:rFonts w:ascii="Times New Roman" w:eastAsia="Times New Roman" w:hAnsi="Times New Roman" w:cs="Times New Roman"/>
          <w:sz w:val="28"/>
          <w:szCs w:val="28"/>
          <w:lang w:eastAsia="ru-RU"/>
        </w:rPr>
        <w:lastRenderedPageBreak/>
        <w:t>инвестиционную активность в инновационных и социально ориентированных секторах экономики.</w:t>
      </w:r>
    </w:p>
    <w:p w14:paraId="5408AC1F" w14:textId="77777777" w:rsidR="005721CA" w:rsidRPr="003A6E5A" w:rsidRDefault="005721CA" w:rsidP="005721CA">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Для преодоления указанных проблем необходим комплексный подход, выходящий за узкие рамки исключительно правового регулирования. Такой многоаспектный взгляд позволит адекватно отразить сущность инвестиций как сложного и динамичного явления в современной глобальной экономике. В качестве методологической основы предлагается новое, расширенное определение: инвестиции – это целенаправленное вложение любых ресурсов (материальных, финансовых, интеллектуальных) в экономическую, социальную или инновационную деятельность с целью достижения не только роста капитала, но и комплексного эффекта, включая экономическую выгоду и социальные улучшения.</w:t>
      </w:r>
    </w:p>
    <w:p w14:paraId="02027AA9" w14:textId="0B83A2C9" w:rsidR="00AB1C7F" w:rsidRPr="003A6E5A" w:rsidRDefault="005721CA" w:rsidP="005721CA">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Несмотря на теоретическую ценность широких дефиниций, на практике ключевое значение для регулирования и стимулирования инвестиционных потоков имеет именно нормативно закрепленное, единое понимание термина. Эволюция этого понятия в национальном законодательстве наглядно демонстрирует, как Казахстан адаптировал свою правовую систему к вызовам мировой экономики. После обретения независимости страна прошла сложный путь трансформации инвестиционного законодательства, который отражал как смену внутренних приоритетов, так и стремление соответствовать международным стандартам (см. таблицу 3).</w:t>
      </w:r>
    </w:p>
    <w:p w14:paraId="0B230357" w14:textId="77777777" w:rsidR="005721CA" w:rsidRPr="003A6E5A" w:rsidRDefault="005721CA" w:rsidP="005721CA">
      <w:pPr>
        <w:spacing w:after="0" w:line="240" w:lineRule="auto"/>
        <w:jc w:val="both"/>
        <w:rPr>
          <w:rFonts w:ascii="Times New Roman" w:hAnsi="Times New Roman" w:cs="Times New Roman"/>
          <w:sz w:val="28"/>
          <w:szCs w:val="28"/>
        </w:rPr>
      </w:pPr>
    </w:p>
    <w:p w14:paraId="43B21E56" w14:textId="00525545" w:rsidR="00E87A49" w:rsidRPr="003A6E5A" w:rsidRDefault="00E87A49" w:rsidP="00E87A49">
      <w:pPr>
        <w:spacing w:after="0" w:line="240" w:lineRule="auto"/>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Таблица </w:t>
      </w:r>
      <w:r w:rsidR="00465215" w:rsidRPr="003A6E5A">
        <w:rPr>
          <w:rFonts w:ascii="Times New Roman" w:hAnsi="Times New Roman" w:cs="Times New Roman"/>
          <w:sz w:val="28"/>
          <w:szCs w:val="28"/>
          <w:lang w:val="kk-KZ"/>
        </w:rPr>
        <w:t>2</w:t>
      </w:r>
      <w:r w:rsidRPr="003A6E5A">
        <w:rPr>
          <w:rFonts w:ascii="Times New Roman" w:hAnsi="Times New Roman" w:cs="Times New Roman"/>
          <w:sz w:val="28"/>
          <w:szCs w:val="28"/>
          <w:lang w:val="kk-KZ"/>
        </w:rPr>
        <w:t xml:space="preserve">. </w:t>
      </w:r>
      <w:r w:rsidR="00DF46D3" w:rsidRPr="003A6E5A">
        <w:rPr>
          <w:rFonts w:ascii="Times New Roman" w:hAnsi="Times New Roman" w:cs="Times New Roman"/>
          <w:sz w:val="28"/>
          <w:szCs w:val="28"/>
          <w:lang w:val="kk-KZ"/>
        </w:rPr>
        <w:t>Эволюция инвестиционного законодательства Республики Казахстан: этапы, механизмы и результаты</w:t>
      </w:r>
    </w:p>
    <w:tbl>
      <w:tblPr>
        <w:tblStyle w:val="ac"/>
        <w:tblW w:w="0" w:type="auto"/>
        <w:tblLayout w:type="fixed"/>
        <w:tblLook w:val="04A0" w:firstRow="1" w:lastRow="0" w:firstColumn="1" w:lastColumn="0" w:noHBand="0" w:noVBand="1"/>
      </w:tblPr>
      <w:tblGrid>
        <w:gridCol w:w="1980"/>
        <w:gridCol w:w="2551"/>
        <w:gridCol w:w="2859"/>
        <w:gridCol w:w="2202"/>
      </w:tblGrid>
      <w:tr w:rsidR="00B02CF8" w:rsidRPr="003A6E5A" w14:paraId="3F52E524" w14:textId="77777777" w:rsidTr="00E87A49">
        <w:tc>
          <w:tcPr>
            <w:tcW w:w="1980" w:type="dxa"/>
            <w:vAlign w:val="center"/>
          </w:tcPr>
          <w:p w14:paraId="34FF899A" w14:textId="3A1308CB" w:rsidR="00496A14" w:rsidRPr="003A6E5A" w:rsidRDefault="00496A14" w:rsidP="00142CB8">
            <w:pPr>
              <w:spacing w:after="0" w:line="240" w:lineRule="auto"/>
              <w:jc w:val="center"/>
              <w:rPr>
                <w:rFonts w:ascii="Times New Roman" w:hAnsi="Times New Roman" w:cs="Times New Roman"/>
                <w:sz w:val="20"/>
                <w:szCs w:val="20"/>
                <w:lang w:val="kk-KZ"/>
              </w:rPr>
            </w:pPr>
            <w:r w:rsidRPr="003A6E5A">
              <w:rPr>
                <w:rFonts w:ascii="Times New Roman" w:eastAsia="Times New Roman" w:hAnsi="Times New Roman" w:cs="Times New Roman"/>
                <w:b/>
                <w:bCs/>
                <w:sz w:val="20"/>
                <w:szCs w:val="20"/>
              </w:rPr>
              <w:t>Наименование закона</w:t>
            </w:r>
          </w:p>
        </w:tc>
        <w:tc>
          <w:tcPr>
            <w:tcW w:w="2551" w:type="dxa"/>
            <w:vAlign w:val="center"/>
          </w:tcPr>
          <w:p w14:paraId="4A4EA84B" w14:textId="18DD86F2" w:rsidR="00496A14" w:rsidRPr="003A6E5A" w:rsidRDefault="00496A14" w:rsidP="00142CB8">
            <w:pPr>
              <w:spacing w:after="0" w:line="240" w:lineRule="auto"/>
              <w:rPr>
                <w:rFonts w:ascii="Times New Roman" w:hAnsi="Times New Roman" w:cs="Times New Roman"/>
                <w:sz w:val="20"/>
                <w:szCs w:val="20"/>
                <w:lang w:val="kk-KZ"/>
              </w:rPr>
            </w:pPr>
            <w:r w:rsidRPr="003A6E5A">
              <w:rPr>
                <w:rFonts w:ascii="Times New Roman" w:eastAsia="Times New Roman" w:hAnsi="Times New Roman" w:cs="Times New Roman"/>
                <w:b/>
                <w:bCs/>
                <w:sz w:val="20"/>
                <w:szCs w:val="20"/>
              </w:rPr>
              <w:t>Основания для принятия закона</w:t>
            </w:r>
          </w:p>
        </w:tc>
        <w:tc>
          <w:tcPr>
            <w:tcW w:w="2859" w:type="dxa"/>
            <w:vAlign w:val="center"/>
          </w:tcPr>
          <w:p w14:paraId="469B2CCC" w14:textId="4F5CDD1E" w:rsidR="00496A14" w:rsidRPr="003A6E5A" w:rsidRDefault="00496A14" w:rsidP="00142CB8">
            <w:pPr>
              <w:spacing w:after="0" w:line="240" w:lineRule="auto"/>
              <w:rPr>
                <w:rFonts w:ascii="Times New Roman" w:hAnsi="Times New Roman" w:cs="Times New Roman"/>
                <w:sz w:val="20"/>
                <w:szCs w:val="20"/>
                <w:lang w:val="kk-KZ"/>
              </w:rPr>
            </w:pPr>
            <w:r w:rsidRPr="003A6E5A">
              <w:rPr>
                <w:rFonts w:ascii="Times New Roman" w:eastAsia="Times New Roman" w:hAnsi="Times New Roman" w:cs="Times New Roman"/>
                <w:b/>
                <w:bCs/>
                <w:sz w:val="20"/>
                <w:szCs w:val="20"/>
              </w:rPr>
              <w:t>Основные гарантии и механизмы поддержки для инвесторов</w:t>
            </w:r>
          </w:p>
        </w:tc>
        <w:tc>
          <w:tcPr>
            <w:tcW w:w="2202" w:type="dxa"/>
            <w:vAlign w:val="center"/>
          </w:tcPr>
          <w:p w14:paraId="4A1268FF" w14:textId="44B2ABAE" w:rsidR="00496A14" w:rsidRPr="003A6E5A" w:rsidRDefault="00496A14" w:rsidP="00142CB8">
            <w:pPr>
              <w:spacing w:after="0" w:line="240" w:lineRule="auto"/>
              <w:rPr>
                <w:rFonts w:ascii="Times New Roman" w:hAnsi="Times New Roman" w:cs="Times New Roman"/>
                <w:sz w:val="20"/>
                <w:szCs w:val="20"/>
                <w:lang w:val="kk-KZ"/>
              </w:rPr>
            </w:pPr>
            <w:r w:rsidRPr="003A6E5A">
              <w:rPr>
                <w:rFonts w:ascii="Times New Roman" w:eastAsia="Times New Roman" w:hAnsi="Times New Roman" w:cs="Times New Roman"/>
                <w:b/>
                <w:bCs/>
                <w:sz w:val="20"/>
                <w:szCs w:val="20"/>
              </w:rPr>
              <w:t>Результаты для инвестиционного климата</w:t>
            </w:r>
          </w:p>
        </w:tc>
      </w:tr>
      <w:tr w:rsidR="00B02CF8" w:rsidRPr="003A6E5A" w14:paraId="3AD0EE0A" w14:textId="77777777" w:rsidTr="00E87A49">
        <w:tc>
          <w:tcPr>
            <w:tcW w:w="1980" w:type="dxa"/>
            <w:vAlign w:val="center"/>
          </w:tcPr>
          <w:p w14:paraId="2B091D01" w14:textId="614CAD2F" w:rsidR="00952F86" w:rsidRPr="003A6E5A" w:rsidRDefault="002B318A" w:rsidP="00142CB8">
            <w:pPr>
              <w:spacing w:after="0" w:line="240" w:lineRule="auto"/>
              <w:jc w:val="center"/>
              <w:rPr>
                <w:rFonts w:ascii="Times New Roman" w:eastAsia="Times New Roman" w:hAnsi="Times New Roman" w:cs="Times New Roman"/>
                <w:b/>
                <w:bCs/>
                <w:sz w:val="20"/>
                <w:szCs w:val="20"/>
              </w:rPr>
            </w:pPr>
            <w:bookmarkStart w:id="11" w:name="_Hlk213064947"/>
            <w:r w:rsidRPr="003A6E5A">
              <w:rPr>
                <w:rFonts w:ascii="Times New Roman" w:hAnsi="Times New Roman" w:cs="Times New Roman"/>
                <w:sz w:val="20"/>
                <w:szCs w:val="20"/>
              </w:rPr>
              <w:t>Закон Казахской Советской Социалистической Республики от 30 ноябpя 1990 года «О свободных экономических зонах в Казахской ССР»</w:t>
            </w:r>
            <w:bookmarkEnd w:id="11"/>
            <w:r w:rsidR="003C5FAA" w:rsidRPr="003A6E5A">
              <w:rPr>
                <w:rFonts w:ascii="Times New Roman" w:hAnsi="Times New Roman" w:cs="Times New Roman"/>
                <w:sz w:val="20"/>
                <w:szCs w:val="20"/>
              </w:rPr>
              <w:t xml:space="preserve"> </w:t>
            </w:r>
            <w:r w:rsidR="00997465" w:rsidRPr="003A6E5A">
              <w:rPr>
                <w:rFonts w:ascii="Times New Roman" w:hAnsi="Times New Roman" w:cs="Times New Roman"/>
                <w:sz w:val="20"/>
                <w:szCs w:val="20"/>
              </w:rPr>
              <w:t>[42]</w:t>
            </w:r>
          </w:p>
        </w:tc>
        <w:tc>
          <w:tcPr>
            <w:tcW w:w="2551" w:type="dxa"/>
            <w:vAlign w:val="center"/>
          </w:tcPr>
          <w:p w14:paraId="17AA6756" w14:textId="6E3CCD51" w:rsidR="00952F86" w:rsidRPr="003A6E5A" w:rsidRDefault="00142CB8" w:rsidP="00142CB8">
            <w:pPr>
              <w:pStyle w:val="ae"/>
              <w:numPr>
                <w:ilvl w:val="0"/>
                <w:numId w:val="14"/>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Создание специальных территорий для привлечения иностранного капитала и технологий</w:t>
            </w:r>
          </w:p>
        </w:tc>
        <w:tc>
          <w:tcPr>
            <w:tcW w:w="2859" w:type="dxa"/>
            <w:vAlign w:val="center"/>
          </w:tcPr>
          <w:p w14:paraId="19DBCE73" w14:textId="355AEDB1" w:rsidR="00142CB8" w:rsidRPr="003A6E5A" w:rsidRDefault="00142CB8" w:rsidP="00142CB8">
            <w:pPr>
              <w:pStyle w:val="ae"/>
              <w:numPr>
                <w:ilvl w:val="0"/>
                <w:numId w:val="14"/>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Особый правовой режим СЭЗ</w:t>
            </w:r>
          </w:p>
          <w:p w14:paraId="208BC94D" w14:textId="26E683CE" w:rsidR="00142CB8" w:rsidRPr="003A6E5A" w:rsidRDefault="00142CB8" w:rsidP="00142CB8">
            <w:pPr>
              <w:pStyle w:val="ae"/>
              <w:numPr>
                <w:ilvl w:val="0"/>
                <w:numId w:val="14"/>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Таможенные льготы</w:t>
            </w:r>
          </w:p>
          <w:p w14:paraId="2DB6594E" w14:textId="6DDE7396" w:rsidR="00142CB8" w:rsidRPr="003A6E5A" w:rsidRDefault="00142CB8" w:rsidP="00142CB8">
            <w:pPr>
              <w:pStyle w:val="ae"/>
              <w:numPr>
                <w:ilvl w:val="0"/>
                <w:numId w:val="14"/>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Свободное ценообразование</w:t>
            </w:r>
          </w:p>
          <w:p w14:paraId="7F4B1C04" w14:textId="050CAE8E" w:rsidR="00952F86" w:rsidRPr="003A6E5A" w:rsidRDefault="00142CB8" w:rsidP="00142CB8">
            <w:pPr>
              <w:pStyle w:val="ae"/>
              <w:numPr>
                <w:ilvl w:val="0"/>
                <w:numId w:val="14"/>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Валютные льготы</w:t>
            </w:r>
          </w:p>
        </w:tc>
        <w:tc>
          <w:tcPr>
            <w:tcW w:w="2202" w:type="dxa"/>
            <w:vAlign w:val="center"/>
          </w:tcPr>
          <w:p w14:paraId="7F7EB41E" w14:textId="0287602E" w:rsidR="00952F86" w:rsidRPr="003A6E5A" w:rsidRDefault="00142CB8" w:rsidP="00142CB8">
            <w:pPr>
              <w:spacing w:after="0" w:line="240" w:lineRule="auto"/>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Первый опыт создания особых экономических режимов.</w:t>
            </w:r>
          </w:p>
        </w:tc>
      </w:tr>
      <w:tr w:rsidR="00B02CF8" w:rsidRPr="003A6E5A" w14:paraId="1B6ECA4C" w14:textId="77777777" w:rsidTr="00E87A49">
        <w:tc>
          <w:tcPr>
            <w:tcW w:w="1980" w:type="dxa"/>
            <w:vAlign w:val="center"/>
          </w:tcPr>
          <w:p w14:paraId="3768E0F9" w14:textId="2A9BE77F" w:rsidR="00673FCD" w:rsidRPr="003A6E5A" w:rsidRDefault="00673FCD" w:rsidP="00142CB8">
            <w:pPr>
              <w:spacing w:after="0" w:line="240" w:lineRule="auto"/>
              <w:jc w:val="center"/>
              <w:rPr>
                <w:rFonts w:ascii="Times New Roman" w:hAnsi="Times New Roman" w:cs="Times New Roman"/>
                <w:sz w:val="20"/>
                <w:szCs w:val="20"/>
              </w:rPr>
            </w:pPr>
            <w:bookmarkStart w:id="12" w:name="_Hlk213064964"/>
            <w:r w:rsidRPr="003A6E5A">
              <w:rPr>
                <w:rFonts w:ascii="Times New Roman" w:hAnsi="Times New Roman" w:cs="Times New Roman"/>
                <w:sz w:val="20"/>
                <w:szCs w:val="20"/>
              </w:rPr>
              <w:t>Закон Казахской Советской Социалистической Республики от 10 июня 1991 года «Об инвестиционной деятельности в Казахской ССР»</w:t>
            </w:r>
            <w:bookmarkEnd w:id="12"/>
            <w:r w:rsidR="003C5FAA" w:rsidRPr="003A6E5A">
              <w:rPr>
                <w:rFonts w:ascii="Times New Roman" w:hAnsi="Times New Roman" w:cs="Times New Roman"/>
                <w:sz w:val="20"/>
                <w:szCs w:val="20"/>
              </w:rPr>
              <w:t xml:space="preserve"> </w:t>
            </w:r>
            <w:r w:rsidR="00997465" w:rsidRPr="003A6E5A">
              <w:rPr>
                <w:rFonts w:ascii="Times New Roman" w:hAnsi="Times New Roman" w:cs="Times New Roman"/>
                <w:sz w:val="20"/>
                <w:szCs w:val="20"/>
              </w:rPr>
              <w:t>[43]</w:t>
            </w:r>
          </w:p>
        </w:tc>
        <w:tc>
          <w:tcPr>
            <w:tcW w:w="2551" w:type="dxa"/>
            <w:vAlign w:val="center"/>
          </w:tcPr>
          <w:p w14:paraId="4D8B887F" w14:textId="7B1CEEBA" w:rsidR="00673FCD" w:rsidRPr="003A6E5A" w:rsidRDefault="00142CB8" w:rsidP="00142CB8">
            <w:pPr>
              <w:pStyle w:val="ae"/>
              <w:numPr>
                <w:ilvl w:val="0"/>
                <w:numId w:val="15"/>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Создание правовых основ инвестиционной деятельности при переходе к рыночной экономике</w:t>
            </w:r>
          </w:p>
        </w:tc>
        <w:tc>
          <w:tcPr>
            <w:tcW w:w="2859" w:type="dxa"/>
            <w:vAlign w:val="center"/>
          </w:tcPr>
          <w:p w14:paraId="352AB90E" w14:textId="77777777" w:rsidR="00142CB8" w:rsidRPr="003A6E5A" w:rsidRDefault="00142CB8" w:rsidP="00142CB8">
            <w:pPr>
              <w:pStyle w:val="ae"/>
              <w:numPr>
                <w:ilvl w:val="0"/>
                <w:numId w:val="13"/>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Равная защита всех форм собственности</w:t>
            </w:r>
          </w:p>
          <w:p w14:paraId="73A29D9F" w14:textId="77777777" w:rsidR="00142CB8" w:rsidRPr="003A6E5A" w:rsidRDefault="00142CB8" w:rsidP="00142CB8">
            <w:pPr>
              <w:pStyle w:val="ae"/>
              <w:numPr>
                <w:ilvl w:val="0"/>
                <w:numId w:val="13"/>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Широкое определение инвестиций (включая имущественные права и интеллектуальные ценности)</w:t>
            </w:r>
          </w:p>
          <w:p w14:paraId="75CA765D" w14:textId="4085C297" w:rsidR="00142CB8" w:rsidRPr="003A6E5A" w:rsidRDefault="00142CB8" w:rsidP="00142CB8">
            <w:pPr>
              <w:pStyle w:val="ae"/>
              <w:numPr>
                <w:ilvl w:val="0"/>
                <w:numId w:val="13"/>
              </w:numPr>
              <w:spacing w:after="0" w:line="240" w:lineRule="auto"/>
              <w:ind w:left="0" w:firstLine="0"/>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Гарантия стабильности (изменения законодательства вводятся через год после опубликования)</w:t>
            </w:r>
          </w:p>
          <w:p w14:paraId="7D005A62" w14:textId="6532CB88" w:rsidR="00673FCD" w:rsidRPr="003A6E5A" w:rsidRDefault="00142CB8" w:rsidP="00142CB8">
            <w:pPr>
              <w:pStyle w:val="ae"/>
              <w:numPr>
                <w:ilvl w:val="0"/>
                <w:numId w:val="13"/>
              </w:numPr>
              <w:spacing w:after="0" w:line="240" w:lineRule="auto"/>
              <w:ind w:left="0" w:firstLine="0"/>
              <w:rPr>
                <w:rFonts w:ascii="Times New Roman" w:eastAsia="Times New Roman" w:hAnsi="Times New Roman" w:cs="Times New Roman"/>
                <w:b/>
                <w:bCs/>
                <w:sz w:val="20"/>
                <w:szCs w:val="20"/>
              </w:rPr>
            </w:pPr>
            <w:r w:rsidRPr="003A6E5A">
              <w:rPr>
                <w:rFonts w:ascii="Times New Roman" w:eastAsia="Times New Roman" w:hAnsi="Times New Roman" w:cs="Times New Roman"/>
                <w:bCs/>
                <w:sz w:val="20"/>
                <w:szCs w:val="20"/>
              </w:rPr>
              <w:t>Запрет национализации инвестиций</w:t>
            </w:r>
          </w:p>
        </w:tc>
        <w:tc>
          <w:tcPr>
            <w:tcW w:w="2202" w:type="dxa"/>
            <w:vAlign w:val="center"/>
          </w:tcPr>
          <w:p w14:paraId="1198512C" w14:textId="7CD98627" w:rsidR="00673FCD" w:rsidRPr="003A6E5A" w:rsidRDefault="00142CB8" w:rsidP="00142CB8">
            <w:pPr>
              <w:spacing w:after="0" w:line="240" w:lineRule="auto"/>
              <w:rPr>
                <w:rFonts w:ascii="Times New Roman" w:eastAsia="Times New Roman" w:hAnsi="Times New Roman" w:cs="Times New Roman"/>
                <w:bCs/>
                <w:sz w:val="20"/>
                <w:szCs w:val="20"/>
              </w:rPr>
            </w:pPr>
            <w:r w:rsidRPr="003A6E5A">
              <w:rPr>
                <w:rFonts w:ascii="Times New Roman" w:eastAsia="Times New Roman" w:hAnsi="Times New Roman" w:cs="Times New Roman"/>
                <w:bCs/>
                <w:sz w:val="20"/>
                <w:szCs w:val="20"/>
              </w:rPr>
              <w:t xml:space="preserve">Заложил базовые принципы инвестиционного права в переходный период. </w:t>
            </w:r>
          </w:p>
        </w:tc>
      </w:tr>
      <w:tr w:rsidR="00B02CF8" w:rsidRPr="003A6E5A" w14:paraId="3C762124" w14:textId="77777777" w:rsidTr="00E87A49">
        <w:tc>
          <w:tcPr>
            <w:tcW w:w="1980" w:type="dxa"/>
            <w:vAlign w:val="center"/>
          </w:tcPr>
          <w:p w14:paraId="6A2D5C22" w14:textId="16FC5F09" w:rsidR="00952F86" w:rsidRPr="003A6E5A" w:rsidRDefault="00952F86" w:rsidP="00142CB8">
            <w:pPr>
              <w:spacing w:after="0" w:line="240" w:lineRule="auto"/>
              <w:rPr>
                <w:rFonts w:ascii="Times New Roman" w:hAnsi="Times New Roman" w:cs="Times New Roman"/>
                <w:sz w:val="20"/>
                <w:szCs w:val="20"/>
              </w:rPr>
            </w:pPr>
            <w:bookmarkStart w:id="13" w:name="_Hlk213064986"/>
            <w:r w:rsidRPr="003A6E5A">
              <w:rPr>
                <w:rFonts w:ascii="Times New Roman" w:eastAsia="Times New Roman" w:hAnsi="Times New Roman" w:cs="Times New Roman"/>
                <w:bCs/>
                <w:sz w:val="20"/>
                <w:szCs w:val="20"/>
              </w:rPr>
              <w:t xml:space="preserve">Закон РК «Об иностранных инвестициях» от 27 </w:t>
            </w:r>
            <w:r w:rsidRPr="003A6E5A">
              <w:rPr>
                <w:rFonts w:ascii="Times New Roman" w:eastAsia="Times New Roman" w:hAnsi="Times New Roman" w:cs="Times New Roman"/>
                <w:bCs/>
                <w:sz w:val="20"/>
                <w:szCs w:val="20"/>
              </w:rPr>
              <w:lastRenderedPageBreak/>
              <w:t>декабpя 1994 года № 266-XIII</w:t>
            </w:r>
            <w:bookmarkEnd w:id="13"/>
            <w:r w:rsidR="003C5FAA" w:rsidRPr="003A6E5A">
              <w:rPr>
                <w:rFonts w:ascii="Times New Roman" w:eastAsia="Times New Roman" w:hAnsi="Times New Roman" w:cs="Times New Roman"/>
                <w:bCs/>
                <w:sz w:val="20"/>
                <w:szCs w:val="20"/>
              </w:rPr>
              <w:t xml:space="preserve"> </w:t>
            </w:r>
            <w:r w:rsidR="00997465" w:rsidRPr="003A6E5A">
              <w:rPr>
                <w:rFonts w:ascii="Times New Roman" w:eastAsia="Times New Roman" w:hAnsi="Times New Roman" w:cs="Times New Roman"/>
                <w:bCs/>
                <w:sz w:val="20"/>
                <w:szCs w:val="20"/>
              </w:rPr>
              <w:t>[44]</w:t>
            </w:r>
          </w:p>
        </w:tc>
        <w:tc>
          <w:tcPr>
            <w:tcW w:w="2551" w:type="dxa"/>
            <w:vAlign w:val="center"/>
          </w:tcPr>
          <w:p w14:paraId="1542A867" w14:textId="77777777" w:rsidR="00952F86" w:rsidRPr="003A6E5A" w:rsidRDefault="00952F86" w:rsidP="00142CB8">
            <w:pPr>
              <w:pStyle w:val="ae"/>
              <w:numPr>
                <w:ilvl w:val="0"/>
                <w:numId w:val="7"/>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lastRenderedPageBreak/>
              <w:t xml:space="preserve">Формирование правовой основы для регулирования первых </w:t>
            </w:r>
            <w:r w:rsidRPr="003A6E5A">
              <w:rPr>
                <w:rFonts w:ascii="Times New Roman" w:eastAsia="Times New Roman" w:hAnsi="Times New Roman" w:cs="Times New Roman"/>
                <w:sz w:val="20"/>
                <w:szCs w:val="20"/>
              </w:rPr>
              <w:lastRenderedPageBreak/>
              <w:t xml:space="preserve">иностранных капиталов в условиях переходной экономики. </w:t>
            </w:r>
          </w:p>
          <w:p w14:paraId="69347E2F" w14:textId="35338A05" w:rsidR="00952F86" w:rsidRPr="003A6E5A" w:rsidRDefault="00952F86" w:rsidP="00142CB8">
            <w:pPr>
              <w:pStyle w:val="ae"/>
              <w:numPr>
                <w:ilvl w:val="0"/>
                <w:numId w:val="7"/>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Сегрегационный подход: создание отдельного льготного режима для иностранных инвесторов с целью повышения доверия к законодательству.</w:t>
            </w:r>
          </w:p>
        </w:tc>
        <w:tc>
          <w:tcPr>
            <w:tcW w:w="2859" w:type="dxa"/>
            <w:vAlign w:val="center"/>
          </w:tcPr>
          <w:p w14:paraId="1379E495" w14:textId="3DBBDF50" w:rsidR="00952F86" w:rsidRPr="003A6E5A" w:rsidRDefault="00952F86" w:rsidP="00142CB8">
            <w:pPr>
              <w:pStyle w:val="ae"/>
              <w:numPr>
                <w:ilvl w:val="0"/>
                <w:numId w:val="6"/>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lastRenderedPageBreak/>
              <w:t xml:space="preserve">"Стабилизационная оговорка" – гарантированная неизменность </w:t>
            </w:r>
            <w:r w:rsidRPr="003A6E5A">
              <w:rPr>
                <w:rFonts w:ascii="Times New Roman" w:eastAsia="Times New Roman" w:hAnsi="Times New Roman" w:cs="Times New Roman"/>
                <w:sz w:val="20"/>
                <w:szCs w:val="20"/>
              </w:rPr>
              <w:lastRenderedPageBreak/>
              <w:t>законодательства на 10 лет.</w:t>
            </w:r>
          </w:p>
          <w:p w14:paraId="1195D0F4" w14:textId="2FE1E74F" w:rsidR="00952F86" w:rsidRPr="003A6E5A" w:rsidRDefault="00952F86" w:rsidP="00142CB8">
            <w:pPr>
              <w:pStyle w:val="ae"/>
              <w:numPr>
                <w:ilvl w:val="0"/>
                <w:numId w:val="6"/>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Абсолютный запрет на национализацию имущества иностранных предприятий.</w:t>
            </w:r>
          </w:p>
          <w:p w14:paraId="1DD9B841" w14:textId="51CD40B9" w:rsidR="00952F86" w:rsidRPr="003A6E5A" w:rsidRDefault="00952F86" w:rsidP="00142CB8">
            <w:pPr>
              <w:pStyle w:val="ae"/>
              <w:numPr>
                <w:ilvl w:val="0"/>
                <w:numId w:val="6"/>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Дополнительные налоговые льготы, привлекающие капитал на раннем этапе.</w:t>
            </w:r>
          </w:p>
        </w:tc>
        <w:tc>
          <w:tcPr>
            <w:tcW w:w="2202" w:type="dxa"/>
            <w:vAlign w:val="center"/>
          </w:tcPr>
          <w:p w14:paraId="0AB40819" w14:textId="77777777" w:rsidR="00952F86" w:rsidRPr="003A6E5A" w:rsidRDefault="00952F86" w:rsidP="00142CB8">
            <w:pPr>
              <w:pStyle w:val="ae"/>
              <w:numPr>
                <w:ilvl w:val="0"/>
                <w:numId w:val="5"/>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lastRenderedPageBreak/>
              <w:t xml:space="preserve">Создание доверия у иностранных </w:t>
            </w:r>
            <w:r w:rsidRPr="003A6E5A">
              <w:rPr>
                <w:rFonts w:ascii="Times New Roman" w:eastAsia="Times New Roman" w:hAnsi="Times New Roman" w:cs="Times New Roman"/>
                <w:sz w:val="20"/>
                <w:szCs w:val="20"/>
              </w:rPr>
              <w:lastRenderedPageBreak/>
              <w:t>инвесторов</w:t>
            </w:r>
          </w:p>
          <w:p w14:paraId="447E4DA9" w14:textId="5C1B2DDE" w:rsidR="00952F86" w:rsidRPr="003A6E5A" w:rsidRDefault="00952F86" w:rsidP="00142CB8">
            <w:pPr>
              <w:pStyle w:val="ae"/>
              <w:numPr>
                <w:ilvl w:val="0"/>
                <w:numId w:val="5"/>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Формирование первых потоков иностранных капиталов.</w:t>
            </w:r>
          </w:p>
        </w:tc>
      </w:tr>
      <w:tr w:rsidR="00B02CF8" w:rsidRPr="003A6E5A" w14:paraId="186FA4EB" w14:textId="77777777" w:rsidTr="00E87A49">
        <w:tc>
          <w:tcPr>
            <w:tcW w:w="1980" w:type="dxa"/>
            <w:vAlign w:val="center"/>
          </w:tcPr>
          <w:p w14:paraId="1AE22644" w14:textId="3A7D38D8" w:rsidR="00952F86" w:rsidRPr="003A6E5A" w:rsidRDefault="00952F86" w:rsidP="00142CB8">
            <w:pPr>
              <w:spacing w:after="0" w:line="240" w:lineRule="auto"/>
              <w:rPr>
                <w:rFonts w:ascii="Times New Roman" w:hAnsi="Times New Roman" w:cs="Times New Roman"/>
                <w:sz w:val="20"/>
                <w:szCs w:val="20"/>
              </w:rPr>
            </w:pPr>
            <w:bookmarkStart w:id="14" w:name="_Hlk213065369"/>
            <w:r w:rsidRPr="003A6E5A">
              <w:rPr>
                <w:rFonts w:ascii="Times New Roman" w:eastAsia="Times New Roman" w:hAnsi="Times New Roman" w:cs="Times New Roman"/>
                <w:bCs/>
                <w:sz w:val="20"/>
                <w:szCs w:val="20"/>
              </w:rPr>
              <w:lastRenderedPageBreak/>
              <w:t>Закон РК «О государственной поддержке прямых инвестиций» от 16 июля 1997 г. N 165-I</w:t>
            </w:r>
            <w:bookmarkEnd w:id="14"/>
            <w:r w:rsidR="00997465" w:rsidRPr="003A6E5A">
              <w:rPr>
                <w:rFonts w:ascii="Times New Roman" w:eastAsia="Times New Roman" w:hAnsi="Times New Roman" w:cs="Times New Roman"/>
                <w:bCs/>
                <w:sz w:val="20"/>
                <w:szCs w:val="20"/>
              </w:rPr>
              <w:t xml:space="preserve"> [</w:t>
            </w:r>
            <w:r w:rsidR="00336BBF" w:rsidRPr="003A6E5A">
              <w:rPr>
                <w:rFonts w:ascii="Times New Roman" w:eastAsia="Times New Roman" w:hAnsi="Times New Roman" w:cs="Times New Roman"/>
                <w:bCs/>
                <w:sz w:val="20"/>
                <w:szCs w:val="20"/>
              </w:rPr>
              <w:t>58</w:t>
            </w:r>
            <w:r w:rsidR="00997465" w:rsidRPr="003A6E5A">
              <w:rPr>
                <w:rFonts w:ascii="Times New Roman" w:eastAsia="Times New Roman" w:hAnsi="Times New Roman" w:cs="Times New Roman"/>
                <w:bCs/>
                <w:sz w:val="20"/>
                <w:szCs w:val="20"/>
              </w:rPr>
              <w:t>]</w:t>
            </w:r>
          </w:p>
        </w:tc>
        <w:tc>
          <w:tcPr>
            <w:tcW w:w="2551" w:type="dxa"/>
            <w:vAlign w:val="center"/>
          </w:tcPr>
          <w:p w14:paraId="74407C4C" w14:textId="77777777" w:rsidR="00952F86" w:rsidRPr="003A6E5A" w:rsidRDefault="00952F86" w:rsidP="00142CB8">
            <w:pPr>
              <w:pStyle w:val="ae"/>
              <w:numPr>
                <w:ilvl w:val="0"/>
                <w:numId w:val="8"/>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Переход к целевой поддержке инвестиций. </w:t>
            </w:r>
          </w:p>
          <w:p w14:paraId="4E0806C6" w14:textId="24F8B4E5" w:rsidR="00952F86" w:rsidRPr="003A6E5A" w:rsidRDefault="00952F86" w:rsidP="00142CB8">
            <w:pPr>
              <w:pStyle w:val="ae"/>
              <w:numPr>
                <w:ilvl w:val="0"/>
                <w:numId w:val="8"/>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Фокус на стимулировании проектов в приоритетных секторах экономики. </w:t>
            </w:r>
          </w:p>
          <w:p w14:paraId="70E2BD6A" w14:textId="238C077D" w:rsidR="00952F86" w:rsidRPr="003A6E5A" w:rsidRDefault="00952F86" w:rsidP="00142CB8">
            <w:pPr>
              <w:pStyle w:val="ae"/>
              <w:numPr>
                <w:ilvl w:val="0"/>
                <w:numId w:val="8"/>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Введение контрактной модели взаимодействия государства и инвестора.</w:t>
            </w:r>
          </w:p>
        </w:tc>
        <w:tc>
          <w:tcPr>
            <w:tcW w:w="2859" w:type="dxa"/>
            <w:vAlign w:val="center"/>
          </w:tcPr>
          <w:p w14:paraId="766E2BBD" w14:textId="77777777" w:rsidR="00952F86" w:rsidRPr="003A6E5A" w:rsidRDefault="00952F86" w:rsidP="00142CB8">
            <w:pPr>
              <w:pStyle w:val="ae"/>
              <w:numPr>
                <w:ilvl w:val="0"/>
                <w:numId w:val="8"/>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Инвестиционный контракт как правовая основа получения преференций.</w:t>
            </w:r>
          </w:p>
          <w:p w14:paraId="06FB8F05" w14:textId="77777777" w:rsidR="00952F86" w:rsidRPr="003A6E5A" w:rsidRDefault="00952F86" w:rsidP="00142CB8">
            <w:pPr>
              <w:pStyle w:val="ae"/>
              <w:numPr>
                <w:ilvl w:val="0"/>
                <w:numId w:val="8"/>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Налоговые каникулы, таможенные льготы, государственные натурные гранты (имущество, земля).</w:t>
            </w:r>
          </w:p>
          <w:p w14:paraId="45898CFC" w14:textId="7BAA7546" w:rsidR="00952F86" w:rsidRPr="003A6E5A" w:rsidRDefault="00952F86" w:rsidP="00142CB8">
            <w:pPr>
              <w:pStyle w:val="ae"/>
              <w:numPr>
                <w:ilvl w:val="0"/>
                <w:numId w:val="8"/>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Создание специализированного Агентства по инвестициям для сопровождения инвесторов.</w:t>
            </w:r>
          </w:p>
        </w:tc>
        <w:tc>
          <w:tcPr>
            <w:tcW w:w="2202" w:type="dxa"/>
            <w:vAlign w:val="center"/>
          </w:tcPr>
          <w:p w14:paraId="26AF1483" w14:textId="77777777" w:rsidR="00952F86" w:rsidRPr="003A6E5A" w:rsidRDefault="00952F86" w:rsidP="00142CB8">
            <w:pPr>
              <w:pStyle w:val="ae"/>
              <w:numPr>
                <w:ilvl w:val="0"/>
                <w:numId w:val="8"/>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Адресная поддержка стратегически значимых проектов;</w:t>
            </w:r>
          </w:p>
          <w:p w14:paraId="275EE84D" w14:textId="77777777" w:rsidR="00952F86" w:rsidRPr="003A6E5A" w:rsidRDefault="00952F86" w:rsidP="00142CB8">
            <w:pPr>
              <w:pStyle w:val="ae"/>
              <w:numPr>
                <w:ilvl w:val="0"/>
                <w:numId w:val="8"/>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Усиление роли государства в стимулировании приоритетных секторов. </w:t>
            </w:r>
          </w:p>
          <w:p w14:paraId="48F27497" w14:textId="7F02A54A" w:rsidR="00952F86" w:rsidRPr="003A6E5A" w:rsidRDefault="00952F86" w:rsidP="00142CB8">
            <w:pPr>
              <w:spacing w:after="0" w:line="240" w:lineRule="auto"/>
              <w:rPr>
                <w:rFonts w:ascii="Times New Roman" w:hAnsi="Times New Roman" w:cs="Times New Roman"/>
                <w:sz w:val="20"/>
                <w:szCs w:val="20"/>
                <w:lang w:val="kk-KZ"/>
              </w:rPr>
            </w:pPr>
          </w:p>
        </w:tc>
      </w:tr>
      <w:tr w:rsidR="00B02CF8" w:rsidRPr="003A6E5A" w14:paraId="7D604906" w14:textId="77777777" w:rsidTr="00E87A49">
        <w:tc>
          <w:tcPr>
            <w:tcW w:w="1980" w:type="dxa"/>
            <w:vAlign w:val="center"/>
          </w:tcPr>
          <w:p w14:paraId="0E16799B" w14:textId="3E2FB8B2" w:rsidR="00952F86" w:rsidRPr="003A6E5A" w:rsidRDefault="00952F86" w:rsidP="00142CB8">
            <w:pPr>
              <w:spacing w:after="0" w:line="240" w:lineRule="auto"/>
              <w:rPr>
                <w:rFonts w:ascii="Times New Roman" w:hAnsi="Times New Roman" w:cs="Times New Roman"/>
                <w:sz w:val="20"/>
                <w:szCs w:val="20"/>
              </w:rPr>
            </w:pPr>
            <w:r w:rsidRPr="003A6E5A">
              <w:rPr>
                <w:rFonts w:ascii="Times New Roman" w:eastAsia="Times New Roman" w:hAnsi="Times New Roman" w:cs="Times New Roman"/>
                <w:bCs/>
                <w:sz w:val="20"/>
                <w:szCs w:val="20"/>
              </w:rPr>
              <w:t>Закон «Об инвестициях» от 8 января 2003 года N 373</w:t>
            </w:r>
            <w:r w:rsidR="00FB7BE3" w:rsidRPr="003A6E5A">
              <w:rPr>
                <w:rFonts w:ascii="Times New Roman" w:eastAsia="Times New Roman" w:hAnsi="Times New Roman" w:cs="Times New Roman"/>
                <w:bCs/>
                <w:sz w:val="20"/>
                <w:szCs w:val="20"/>
              </w:rPr>
              <w:t xml:space="preserve"> </w:t>
            </w:r>
            <w:r w:rsidR="00997465" w:rsidRPr="003A6E5A">
              <w:rPr>
                <w:rFonts w:ascii="Times New Roman" w:eastAsia="Times New Roman" w:hAnsi="Times New Roman" w:cs="Times New Roman"/>
                <w:bCs/>
                <w:sz w:val="20"/>
                <w:szCs w:val="20"/>
              </w:rPr>
              <w:t>[45]</w:t>
            </w:r>
          </w:p>
        </w:tc>
        <w:tc>
          <w:tcPr>
            <w:tcW w:w="2551" w:type="dxa"/>
            <w:vAlign w:val="center"/>
          </w:tcPr>
          <w:p w14:paraId="0A8F637E" w14:textId="77777777" w:rsidR="00952F86" w:rsidRPr="003A6E5A" w:rsidRDefault="00952F86" w:rsidP="00142CB8">
            <w:pPr>
              <w:pStyle w:val="ae"/>
              <w:numPr>
                <w:ilvl w:val="0"/>
                <w:numId w:val="12"/>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Унификация и консолидация правовых норм об иностранных и внутренних инвестициях. </w:t>
            </w:r>
          </w:p>
          <w:p w14:paraId="0F43E58F" w14:textId="39A1ADA5" w:rsidR="00952F86" w:rsidRPr="003A6E5A" w:rsidRDefault="00952F86" w:rsidP="00142CB8">
            <w:pPr>
              <w:pStyle w:val="ae"/>
              <w:numPr>
                <w:ilvl w:val="0"/>
                <w:numId w:val="12"/>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Создание единого правового режима для всех инвесторов в соответствии с международной практикой.</w:t>
            </w:r>
          </w:p>
        </w:tc>
        <w:tc>
          <w:tcPr>
            <w:tcW w:w="2859" w:type="dxa"/>
            <w:vAlign w:val="center"/>
          </w:tcPr>
          <w:p w14:paraId="021214C7" w14:textId="2F630E80" w:rsidR="00952F86" w:rsidRPr="003A6E5A" w:rsidRDefault="00952F86" w:rsidP="00142CB8">
            <w:pPr>
              <w:pStyle w:val="ae"/>
              <w:numPr>
                <w:ilvl w:val="0"/>
                <w:numId w:val="11"/>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Введение концепции «инвестиционных преференций».</w:t>
            </w:r>
          </w:p>
          <w:p w14:paraId="1092CABC" w14:textId="77777777" w:rsidR="00952F86" w:rsidRPr="003A6E5A" w:rsidRDefault="00952F86" w:rsidP="00142CB8">
            <w:pPr>
              <w:pStyle w:val="ae"/>
              <w:numPr>
                <w:ilvl w:val="0"/>
                <w:numId w:val="11"/>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Принцип «одного окна», минимизирующий административные барьеры.</w:t>
            </w:r>
          </w:p>
          <w:p w14:paraId="3ACA65E8" w14:textId="567893BA" w:rsidR="00952F86" w:rsidRPr="003A6E5A" w:rsidRDefault="00952F86" w:rsidP="00142CB8">
            <w:pPr>
              <w:pStyle w:val="ae"/>
              <w:numPr>
                <w:ilvl w:val="0"/>
                <w:numId w:val="11"/>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Институт Инвестиционного омбудсмена для досудебной защиты прав инвесторов.</w:t>
            </w:r>
          </w:p>
        </w:tc>
        <w:tc>
          <w:tcPr>
            <w:tcW w:w="2202" w:type="dxa"/>
            <w:vAlign w:val="center"/>
          </w:tcPr>
          <w:p w14:paraId="0776210E" w14:textId="77777777" w:rsidR="00952F86" w:rsidRPr="003A6E5A" w:rsidRDefault="00952F86" w:rsidP="00142CB8">
            <w:pPr>
              <w:pStyle w:val="ae"/>
              <w:numPr>
                <w:ilvl w:val="0"/>
                <w:numId w:val="11"/>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Снижение бюрократических барьеров, упрощение взаимодействия с государственными органами, повышение предсказуемости и прозрачности правового поля. </w:t>
            </w:r>
          </w:p>
          <w:p w14:paraId="01B44FA6" w14:textId="00924BE4" w:rsidR="00952F86" w:rsidRPr="003A6E5A" w:rsidRDefault="00952F86" w:rsidP="00142CB8">
            <w:pPr>
              <w:pStyle w:val="ae"/>
              <w:numPr>
                <w:ilvl w:val="0"/>
                <w:numId w:val="11"/>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Сокращение конкретных гарантий по сравнению с сегрегационным подходом 1994 года.</w:t>
            </w:r>
          </w:p>
        </w:tc>
      </w:tr>
      <w:tr w:rsidR="00B02CF8" w:rsidRPr="003A6E5A" w14:paraId="697DFB91" w14:textId="77777777" w:rsidTr="00E87A49">
        <w:tc>
          <w:tcPr>
            <w:tcW w:w="1980" w:type="dxa"/>
            <w:vAlign w:val="center"/>
          </w:tcPr>
          <w:p w14:paraId="71DE7473" w14:textId="47E79145" w:rsidR="00952F86" w:rsidRPr="003A6E5A" w:rsidRDefault="00952F86" w:rsidP="00142CB8">
            <w:pPr>
              <w:spacing w:after="0" w:line="240" w:lineRule="auto"/>
              <w:rPr>
                <w:rFonts w:ascii="Times New Roman" w:hAnsi="Times New Roman" w:cs="Times New Roman"/>
                <w:sz w:val="20"/>
                <w:szCs w:val="20"/>
              </w:rPr>
            </w:pPr>
            <w:r w:rsidRPr="003A6E5A">
              <w:rPr>
                <w:rFonts w:ascii="Times New Roman" w:eastAsia="Times New Roman" w:hAnsi="Times New Roman" w:cs="Times New Roman"/>
                <w:bCs/>
                <w:sz w:val="20"/>
                <w:szCs w:val="20"/>
              </w:rPr>
              <w:t>Предпринимательский кодекс РК от 29 октября 2015 года № 375-V ЗРК</w:t>
            </w:r>
            <w:r w:rsidR="00FB7BE3" w:rsidRPr="003A6E5A">
              <w:rPr>
                <w:rFonts w:ascii="Times New Roman" w:eastAsia="Times New Roman" w:hAnsi="Times New Roman" w:cs="Times New Roman"/>
                <w:bCs/>
                <w:sz w:val="20"/>
                <w:szCs w:val="20"/>
              </w:rPr>
              <w:t xml:space="preserve"> </w:t>
            </w:r>
            <w:r w:rsidR="00997465" w:rsidRPr="003A6E5A">
              <w:rPr>
                <w:rFonts w:ascii="Times New Roman" w:eastAsia="Times New Roman" w:hAnsi="Times New Roman" w:cs="Times New Roman"/>
                <w:bCs/>
                <w:sz w:val="20"/>
                <w:szCs w:val="20"/>
              </w:rPr>
              <w:t>[46]</w:t>
            </w:r>
          </w:p>
        </w:tc>
        <w:tc>
          <w:tcPr>
            <w:tcW w:w="2551" w:type="dxa"/>
            <w:vAlign w:val="center"/>
          </w:tcPr>
          <w:p w14:paraId="7B14EECC" w14:textId="77777777" w:rsidR="00952F86" w:rsidRPr="003A6E5A" w:rsidRDefault="00952F86" w:rsidP="00142CB8">
            <w:pPr>
              <w:pStyle w:val="ae"/>
              <w:numPr>
                <w:ilvl w:val="0"/>
                <w:numId w:val="10"/>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Системная интеграция инвестиционного права в общую политику развития предпринимательства. </w:t>
            </w:r>
          </w:p>
          <w:p w14:paraId="7E2647B3" w14:textId="063003F8" w:rsidR="00952F86" w:rsidRPr="003A6E5A" w:rsidRDefault="00952F86" w:rsidP="00142CB8">
            <w:pPr>
              <w:pStyle w:val="ae"/>
              <w:numPr>
                <w:ilvl w:val="0"/>
                <w:numId w:val="10"/>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Стремление к созданию стабильной, предсказуемой и современной деловой среды.</w:t>
            </w:r>
          </w:p>
        </w:tc>
        <w:tc>
          <w:tcPr>
            <w:tcW w:w="2859" w:type="dxa"/>
            <w:vAlign w:val="center"/>
          </w:tcPr>
          <w:p w14:paraId="0F77DF4D" w14:textId="77777777" w:rsidR="00952F86" w:rsidRPr="003A6E5A" w:rsidRDefault="00952F86" w:rsidP="00142CB8">
            <w:pPr>
              <w:pStyle w:val="ae"/>
              <w:numPr>
                <w:ilvl w:val="0"/>
                <w:numId w:val="9"/>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Кодифицированные нормы, обеспечивающие стабильность и предсказуемость.</w:t>
            </w:r>
          </w:p>
          <w:p w14:paraId="4897C9A9" w14:textId="77777777" w:rsidR="00952F86" w:rsidRPr="003A6E5A" w:rsidRDefault="00952F86" w:rsidP="00142CB8">
            <w:pPr>
              <w:pStyle w:val="ae"/>
              <w:numPr>
                <w:ilvl w:val="0"/>
                <w:numId w:val="9"/>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Закрепление базовых принципов: свобода предпринимательства, неприкосновенность собственности, добросовестная конкуренция.</w:t>
            </w:r>
          </w:p>
          <w:p w14:paraId="1D999BD6" w14:textId="39FB2DF5" w:rsidR="00952F86" w:rsidRPr="003A6E5A" w:rsidRDefault="00952F86" w:rsidP="00142CB8">
            <w:pPr>
              <w:pStyle w:val="ae"/>
              <w:numPr>
                <w:ilvl w:val="0"/>
                <w:numId w:val="9"/>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Механизмы государственно-частного партнерства.</w:t>
            </w:r>
          </w:p>
        </w:tc>
        <w:tc>
          <w:tcPr>
            <w:tcW w:w="2202" w:type="dxa"/>
            <w:vAlign w:val="center"/>
          </w:tcPr>
          <w:p w14:paraId="13981EF4" w14:textId="77777777" w:rsidR="00952F86" w:rsidRPr="003A6E5A" w:rsidRDefault="00952F86" w:rsidP="00142CB8">
            <w:pPr>
              <w:pStyle w:val="ae"/>
              <w:numPr>
                <w:ilvl w:val="0"/>
                <w:numId w:val="9"/>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Комплексный и системный подход к регулированию бизнеса.</w:t>
            </w:r>
          </w:p>
          <w:p w14:paraId="3A96E172" w14:textId="5D62AEB5" w:rsidR="00952F86" w:rsidRPr="003A6E5A" w:rsidRDefault="00952F86" w:rsidP="00142CB8">
            <w:pPr>
              <w:pStyle w:val="ae"/>
              <w:numPr>
                <w:ilvl w:val="0"/>
                <w:numId w:val="9"/>
              </w:numPr>
              <w:spacing w:after="0" w:line="240" w:lineRule="auto"/>
              <w:ind w:left="0" w:firstLine="0"/>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Интеграция инвестиций в национальную экономику.</w:t>
            </w:r>
          </w:p>
          <w:p w14:paraId="28FC1352" w14:textId="765A0735" w:rsidR="00952F86" w:rsidRPr="003A6E5A" w:rsidRDefault="00952F86" w:rsidP="00142CB8">
            <w:pPr>
              <w:pStyle w:val="ae"/>
              <w:numPr>
                <w:ilvl w:val="0"/>
                <w:numId w:val="9"/>
              </w:numPr>
              <w:spacing w:after="0" w:line="240" w:lineRule="auto"/>
              <w:ind w:left="0" w:firstLine="0"/>
              <w:rPr>
                <w:rFonts w:ascii="Times New Roman" w:hAnsi="Times New Roman" w:cs="Times New Roman"/>
                <w:sz w:val="20"/>
                <w:szCs w:val="20"/>
                <w:lang w:val="kk-KZ"/>
              </w:rPr>
            </w:pPr>
            <w:r w:rsidRPr="003A6E5A">
              <w:rPr>
                <w:rFonts w:ascii="Times New Roman" w:eastAsia="Times New Roman" w:hAnsi="Times New Roman" w:cs="Times New Roman"/>
                <w:sz w:val="20"/>
                <w:szCs w:val="20"/>
              </w:rPr>
              <w:t>Создание равных условий для всех инвесторов, соответствующих международным стандартам.</w:t>
            </w:r>
          </w:p>
        </w:tc>
      </w:tr>
    </w:tbl>
    <w:p w14:paraId="7DDDF5FC" w14:textId="7D8CEB9C" w:rsidR="003921E0" w:rsidRPr="003A6E5A" w:rsidRDefault="003921E0" w:rsidP="003921E0">
      <w:pPr>
        <w:spacing w:after="0" w:line="240" w:lineRule="auto"/>
        <w:jc w:val="both"/>
        <w:rPr>
          <w:rFonts w:ascii="Times New Roman" w:hAnsi="Times New Roman" w:cs="Times New Roman"/>
          <w:sz w:val="20"/>
          <w:szCs w:val="20"/>
          <w:lang w:val="kk-KZ"/>
        </w:rPr>
      </w:pPr>
      <w:r w:rsidRPr="003A6E5A">
        <w:rPr>
          <w:rFonts w:ascii="Times New Roman" w:hAnsi="Times New Roman" w:cs="Times New Roman"/>
          <w:sz w:val="20"/>
          <w:szCs w:val="20"/>
          <w:lang w:val="kk-KZ"/>
        </w:rPr>
        <w:t>Примечание: таблица составлена автором исследования на основании информационно-правовой базы «Әділет»</w:t>
      </w:r>
    </w:p>
    <w:p w14:paraId="7220F4B8" w14:textId="093D937E" w:rsidR="001A179B" w:rsidRPr="003A6E5A" w:rsidRDefault="001A179B" w:rsidP="009A7E73">
      <w:pPr>
        <w:pStyle w:val="2"/>
        <w:shd w:val="clear" w:color="auto" w:fill="FFFFFF"/>
        <w:spacing w:before="0" w:beforeAutospacing="0" w:after="0" w:afterAutospacing="0"/>
        <w:ind w:firstLine="709"/>
        <w:jc w:val="both"/>
        <w:textAlignment w:val="baseline"/>
        <w:rPr>
          <w:sz w:val="32"/>
          <w:szCs w:val="28"/>
        </w:rPr>
      </w:pPr>
    </w:p>
    <w:p w14:paraId="0A0351AC" w14:textId="43445058" w:rsidR="009A7E73" w:rsidRPr="003A6E5A" w:rsidRDefault="009A7E73" w:rsidP="009A7E73">
      <w:pPr>
        <w:pStyle w:val="2"/>
        <w:shd w:val="clear" w:color="auto" w:fill="FFFFFF"/>
        <w:spacing w:before="0" w:beforeAutospacing="0" w:after="0" w:afterAutospacing="0"/>
        <w:ind w:firstLine="709"/>
        <w:jc w:val="both"/>
        <w:textAlignment w:val="baseline"/>
        <w:rPr>
          <w:sz w:val="28"/>
          <w:szCs w:val="28"/>
        </w:rPr>
      </w:pPr>
      <w:r w:rsidRPr="003A6E5A">
        <w:rPr>
          <w:sz w:val="28"/>
          <w:szCs w:val="28"/>
        </w:rPr>
        <w:t xml:space="preserve">Изучение эволюции инвестиционного законодательства Казахстана, представленное в таблице </w:t>
      </w:r>
      <w:r w:rsidR="00465215" w:rsidRPr="003A6E5A">
        <w:rPr>
          <w:sz w:val="28"/>
          <w:szCs w:val="28"/>
        </w:rPr>
        <w:t>2</w:t>
      </w:r>
      <w:r w:rsidRPr="003A6E5A">
        <w:rPr>
          <w:sz w:val="28"/>
          <w:szCs w:val="28"/>
        </w:rPr>
        <w:t>, демонстрирует системную трансформацию правового регулирования. Шесть ключевых законодательных актов 1990-х годов не только отразили поэтапное развитие правовых подходов, но и закрепили фундаментальные проблемы, предопределившие современное состояние инвестиционного климата.</w:t>
      </w:r>
      <w:r w:rsidR="005C73A9" w:rsidRPr="003A6E5A">
        <w:rPr>
          <w:sz w:val="28"/>
          <w:szCs w:val="28"/>
        </w:rPr>
        <w:t xml:space="preserve"> </w:t>
      </w:r>
      <w:r w:rsidRPr="003A6E5A">
        <w:rPr>
          <w:sz w:val="28"/>
          <w:szCs w:val="28"/>
        </w:rPr>
        <w:t xml:space="preserve">Исходной точкой этого процесса стал Закон «О свободных экономических зонах» 1990 года, отразивший позднесоветский </w:t>
      </w:r>
      <w:r w:rsidRPr="003A6E5A">
        <w:rPr>
          <w:sz w:val="28"/>
          <w:szCs w:val="28"/>
        </w:rPr>
        <w:lastRenderedPageBreak/>
        <w:t xml:space="preserve">подход к рыночным реформам через создание «экспериментальных территорий» </w:t>
      </w:r>
      <w:r w:rsidR="00997465" w:rsidRPr="003A6E5A">
        <w:rPr>
          <w:sz w:val="28"/>
          <w:szCs w:val="28"/>
        </w:rPr>
        <w:t>[42]</w:t>
      </w:r>
      <w:r w:rsidRPr="003A6E5A">
        <w:rPr>
          <w:sz w:val="28"/>
          <w:szCs w:val="28"/>
        </w:rPr>
        <w:t xml:space="preserve">. Доктринальное исследование выявляет системную противоречивость данного акта, пытавшегося совместить радикальные рыночные элементы (таможенные и валютные льготы) с сохранением плановой системы управления через назначаемые сверху Административные советы </w:t>
      </w:r>
      <w:r w:rsidR="00997465" w:rsidRPr="003A6E5A">
        <w:rPr>
          <w:sz w:val="28"/>
          <w:szCs w:val="28"/>
        </w:rPr>
        <w:t>[44]</w:t>
      </w:r>
      <w:r w:rsidRPr="003A6E5A">
        <w:rPr>
          <w:sz w:val="28"/>
          <w:szCs w:val="28"/>
        </w:rPr>
        <w:t>. Эта внутренняя противоречивость предопределила неэффективность закона и его последующую замену.</w:t>
      </w:r>
    </w:p>
    <w:p w14:paraId="429A70A3" w14:textId="4A40B650" w:rsidR="009A7E73" w:rsidRPr="003A6E5A" w:rsidRDefault="009A7E73" w:rsidP="002E7188">
      <w:pPr>
        <w:pStyle w:val="2"/>
        <w:shd w:val="clear" w:color="auto" w:fill="FFFFFF"/>
        <w:spacing w:before="0" w:beforeAutospacing="0" w:after="0" w:afterAutospacing="0"/>
        <w:ind w:firstLine="709"/>
        <w:jc w:val="both"/>
        <w:textAlignment w:val="baseline"/>
        <w:rPr>
          <w:sz w:val="28"/>
          <w:szCs w:val="28"/>
        </w:rPr>
      </w:pPr>
      <w:r w:rsidRPr="003A6E5A">
        <w:rPr>
          <w:sz w:val="28"/>
          <w:szCs w:val="28"/>
        </w:rPr>
        <w:t xml:space="preserve">Следующим шагом в этом развитии стало принятие в 1991 году Закона «Об инвестиционной деятельности», ознаменовавшего переход от территориального к универсальному регулированию. Однако сравнительный анализ показывает, что закон сохранил элементы государственного патернализма через институт государственных заказов, а гарантия стабильности в виде годичной отсрочки законодательных изменений оказалась недостаточной для привлечения масштабных инвестиций </w:t>
      </w:r>
      <w:r w:rsidR="00997465" w:rsidRPr="003A6E5A">
        <w:rPr>
          <w:sz w:val="28"/>
          <w:szCs w:val="28"/>
        </w:rPr>
        <w:t>[43]</w:t>
      </w:r>
      <w:r w:rsidRPr="003A6E5A">
        <w:rPr>
          <w:sz w:val="28"/>
          <w:szCs w:val="28"/>
        </w:rPr>
        <w:t>. Эта половинчатость создала предпосылки для следующего этапа преобразований, реализованного в 1994 году принятием Закона «Об иностранных инвестициях», установившего принципиально новую философию правового регулирования через создание преференциального режима для иностранных инвесторов.</w:t>
      </w:r>
      <w:r w:rsidR="002E7188" w:rsidRPr="003A6E5A">
        <w:rPr>
          <w:sz w:val="28"/>
          <w:szCs w:val="28"/>
        </w:rPr>
        <w:t xml:space="preserve"> </w:t>
      </w:r>
      <w:r w:rsidRPr="003A6E5A">
        <w:rPr>
          <w:sz w:val="28"/>
          <w:szCs w:val="28"/>
        </w:rPr>
        <w:t xml:space="preserve">Данный закон предусмотрел специальные гарантии для иностранных инвесторов, включая стабильность законодательства на 10 лет и абсолютный запрет на национализацию </w:t>
      </w:r>
      <w:r w:rsidR="00997465" w:rsidRPr="003A6E5A">
        <w:rPr>
          <w:sz w:val="28"/>
          <w:szCs w:val="28"/>
        </w:rPr>
        <w:t>[45]</w:t>
      </w:r>
      <w:r w:rsidRPr="003A6E5A">
        <w:rPr>
          <w:sz w:val="28"/>
          <w:szCs w:val="28"/>
        </w:rPr>
        <w:t xml:space="preserve">. Тем не менее, по оценке </w:t>
      </w:r>
      <w:r w:rsidR="00BC2F2C" w:rsidRPr="003A6E5A">
        <w:rPr>
          <w:sz w:val="28"/>
          <w:szCs w:val="28"/>
        </w:rPr>
        <w:t xml:space="preserve">профессора </w:t>
      </w:r>
      <w:r w:rsidRPr="003A6E5A">
        <w:rPr>
          <w:sz w:val="28"/>
          <w:szCs w:val="28"/>
        </w:rPr>
        <w:t xml:space="preserve">М.К. Сулейменова и Е.Б. Осипова, формирование дискриминационного режима спровоцировало правовую асимметрию: «вместо того, чтобы правовой статус национальных инвесторов поднять до уровня иностранных инвесторов, правовой статус иностранных инвесторов был приравнен к правовому статусу национальных инвесторов» </w:t>
      </w:r>
      <w:r w:rsidR="00336BBF" w:rsidRPr="003A6E5A">
        <w:rPr>
          <w:sz w:val="28"/>
          <w:szCs w:val="28"/>
        </w:rPr>
        <w:t>[</w:t>
      </w:r>
      <w:r w:rsidR="00A822BB" w:rsidRPr="003A6E5A">
        <w:rPr>
          <w:sz w:val="28"/>
          <w:szCs w:val="28"/>
        </w:rPr>
        <w:t>64</w:t>
      </w:r>
      <w:r w:rsidR="00336BBF" w:rsidRPr="003A6E5A">
        <w:rPr>
          <w:sz w:val="28"/>
          <w:szCs w:val="28"/>
        </w:rPr>
        <w:t>]</w:t>
      </w:r>
      <w:r w:rsidRPr="003A6E5A">
        <w:rPr>
          <w:sz w:val="28"/>
          <w:szCs w:val="28"/>
        </w:rPr>
        <w:t xml:space="preserve">. Примечательно, что несмотря на возникший дисбаланс, статистические данные свидетельствуют о краткосрочной результативности принятых мер </w:t>
      </w:r>
      <w:r w:rsidR="00336BBF" w:rsidRPr="003A6E5A">
        <w:rPr>
          <w:sz w:val="28"/>
          <w:szCs w:val="28"/>
        </w:rPr>
        <w:t>–</w:t>
      </w:r>
      <w:r w:rsidRPr="003A6E5A">
        <w:rPr>
          <w:sz w:val="28"/>
          <w:szCs w:val="28"/>
        </w:rPr>
        <w:t xml:space="preserve"> валовый приток капиталовложений возрос с 984 млн долларов США в 1995 году до 1674 млн долларов в 1996 году [6].</w:t>
      </w:r>
    </w:p>
    <w:p w14:paraId="621DEE59" w14:textId="7E8B0614" w:rsidR="009A7E73" w:rsidRPr="003A6E5A" w:rsidRDefault="009A7E73" w:rsidP="006A7CE6">
      <w:pPr>
        <w:pStyle w:val="2"/>
        <w:shd w:val="clear" w:color="auto" w:fill="FFFFFF"/>
        <w:spacing w:before="0" w:beforeAutospacing="0" w:after="0" w:afterAutospacing="0"/>
        <w:ind w:firstLine="709"/>
        <w:jc w:val="both"/>
        <w:textAlignment w:val="baseline"/>
        <w:rPr>
          <w:sz w:val="28"/>
          <w:szCs w:val="28"/>
        </w:rPr>
      </w:pPr>
      <w:r w:rsidRPr="003A6E5A">
        <w:rPr>
          <w:sz w:val="28"/>
          <w:szCs w:val="28"/>
        </w:rPr>
        <w:t>Накопившаяся законодательная диспропорция и потребность в формировании унифицированного правового пространства закономерно предопределили принятие Закона Республики Казахстан «Об инвестициях» от 8 января 2003 года № 373, ознаменовавшего новый этап в эволюции инвестиционного регулирования. Указанный правовой акт преследовал цель гармонизации юридических норм через установление единых правил для иностранных и национальных капиталовложений. Однако, как демонстрирует изучение его положений, вместо выработки взвешенной системы регулирования был избран курс, при котором, по точному определению С.П. Мороз, наблюдалось «сужение понятия инвестиций до прямых коммерческих вложений, нечеткое разграничение инвестиционной и предпринимательской деятельности» и, что особенно показательно, «фактически не повысил статус национальных инвесторов, но ухудшил положение иностранных» [</w:t>
      </w:r>
      <w:r w:rsidR="00336BBF" w:rsidRPr="003A6E5A">
        <w:rPr>
          <w:sz w:val="28"/>
          <w:szCs w:val="28"/>
        </w:rPr>
        <w:t>6</w:t>
      </w:r>
      <w:r w:rsidR="00A822BB" w:rsidRPr="003A6E5A">
        <w:rPr>
          <w:sz w:val="28"/>
          <w:szCs w:val="28"/>
        </w:rPr>
        <w:t>5</w:t>
      </w:r>
      <w:r w:rsidRPr="003A6E5A">
        <w:rPr>
          <w:sz w:val="28"/>
          <w:szCs w:val="28"/>
        </w:rPr>
        <w:t>].</w:t>
      </w:r>
    </w:p>
    <w:p w14:paraId="2CCC4CD5" w14:textId="569DBEFF" w:rsidR="00BC2F2C" w:rsidRPr="003A6E5A" w:rsidRDefault="00BC2F2C" w:rsidP="00D16B8D">
      <w:pPr>
        <w:pStyle w:val="2"/>
        <w:shd w:val="clear" w:color="auto" w:fill="FFFFFF"/>
        <w:spacing w:before="0" w:beforeAutospacing="0" w:after="0" w:afterAutospacing="0"/>
        <w:ind w:firstLine="709"/>
        <w:jc w:val="both"/>
        <w:textAlignment w:val="baseline"/>
        <w:rPr>
          <w:sz w:val="28"/>
          <w:szCs w:val="28"/>
        </w:rPr>
      </w:pPr>
      <w:r w:rsidRPr="003A6E5A">
        <w:rPr>
          <w:sz w:val="28"/>
          <w:szCs w:val="28"/>
        </w:rPr>
        <w:t xml:space="preserve">Закон 2003 года, сохранив ряд ключевых гарантий (например, защиту от национализации), вместе с тем существенно ограничил сферу своего </w:t>
      </w:r>
      <w:r w:rsidRPr="003A6E5A">
        <w:rPr>
          <w:sz w:val="28"/>
          <w:szCs w:val="28"/>
        </w:rPr>
        <w:lastRenderedPageBreak/>
        <w:t xml:space="preserve">применения. Из-под его действия были выведены бюджетные инвестиции, вложения в некоммерческие организации и операции на рынке ценных бумаг. Системной проблемой данного этапа, вызвавшей обоснованную критику экспертов, стала несовершенная законодательная трактовка понятия «инвестиционная деятельность», которая требовала серьезной доработки </w:t>
      </w:r>
      <w:r w:rsidR="00997465" w:rsidRPr="003A6E5A">
        <w:rPr>
          <w:sz w:val="28"/>
          <w:szCs w:val="28"/>
        </w:rPr>
        <w:t>[45]</w:t>
      </w:r>
      <w:r w:rsidRPr="003A6E5A">
        <w:rPr>
          <w:sz w:val="28"/>
          <w:szCs w:val="28"/>
        </w:rPr>
        <w:t>.</w:t>
      </w:r>
    </w:p>
    <w:p w14:paraId="31F64DFB" w14:textId="4A60AF44" w:rsidR="00AE62CB" w:rsidRPr="003A6E5A" w:rsidRDefault="00BC2F2C" w:rsidP="00D16B8D">
      <w:pPr>
        <w:pStyle w:val="2"/>
        <w:shd w:val="clear" w:color="auto" w:fill="FFFFFF"/>
        <w:spacing w:before="0" w:beforeAutospacing="0" w:after="0" w:afterAutospacing="0"/>
        <w:ind w:firstLine="709"/>
        <w:jc w:val="both"/>
        <w:textAlignment w:val="baseline"/>
        <w:rPr>
          <w:sz w:val="28"/>
          <w:szCs w:val="28"/>
        </w:rPr>
      </w:pPr>
      <w:r w:rsidRPr="003A6E5A">
        <w:rPr>
          <w:sz w:val="28"/>
          <w:szCs w:val="28"/>
        </w:rPr>
        <w:t>Эти концептуальные противоречия нашли свое отражение и в следующем ключевом этапе регулирования – кодификации норм в Предпринимательском кодексе 2015 года</w:t>
      </w:r>
      <w:r w:rsidR="007E4AC4" w:rsidRPr="003A6E5A">
        <w:rPr>
          <w:sz w:val="28"/>
          <w:szCs w:val="28"/>
        </w:rPr>
        <w:t xml:space="preserve"> </w:t>
      </w:r>
      <w:r w:rsidR="00997465" w:rsidRPr="003A6E5A">
        <w:rPr>
          <w:sz w:val="28"/>
          <w:szCs w:val="28"/>
        </w:rPr>
        <w:t>[46]</w:t>
      </w:r>
      <w:r w:rsidRPr="003A6E5A">
        <w:rPr>
          <w:sz w:val="28"/>
          <w:szCs w:val="28"/>
        </w:rPr>
        <w:t>. Несмотря на систематизацию, современное состояние инвестиционного законодательства характеризуется сохранением структурных пробелов. К их числу относятся отсутствие четкой системы стимулирующих мер и недостаточная регламентация механизмов реализации инвестиционной деятельности, что порождает правовую неопределенность. Отдельные вопросы поддержки инвесторов вынесены в подзаконные акты, такие как Постановление Правительства РК № 13 от 14 января 2016 года, что лишь фрагментарно решает проблему</w:t>
      </w:r>
      <w:r w:rsidR="007E4AC4" w:rsidRPr="003A6E5A">
        <w:rPr>
          <w:sz w:val="28"/>
          <w:szCs w:val="28"/>
        </w:rPr>
        <w:t xml:space="preserve"> [</w:t>
      </w:r>
      <w:r w:rsidR="00336BBF" w:rsidRPr="003A6E5A">
        <w:rPr>
          <w:sz w:val="28"/>
          <w:szCs w:val="28"/>
        </w:rPr>
        <w:t>6</w:t>
      </w:r>
      <w:r w:rsidR="00A822BB" w:rsidRPr="003A6E5A">
        <w:rPr>
          <w:sz w:val="28"/>
          <w:szCs w:val="28"/>
        </w:rPr>
        <w:t>6</w:t>
      </w:r>
      <w:r w:rsidR="007E4AC4" w:rsidRPr="003A6E5A">
        <w:rPr>
          <w:sz w:val="28"/>
          <w:szCs w:val="28"/>
        </w:rPr>
        <w:t>]</w:t>
      </w:r>
      <w:r w:rsidRPr="003A6E5A">
        <w:rPr>
          <w:sz w:val="28"/>
          <w:szCs w:val="28"/>
        </w:rPr>
        <w:t>.</w:t>
      </w:r>
    </w:p>
    <w:p w14:paraId="68D29615" w14:textId="0F58ED33" w:rsidR="00AE62CB" w:rsidRPr="003A6E5A" w:rsidRDefault="00AE62CB" w:rsidP="00D16B8D">
      <w:pPr>
        <w:pStyle w:val="2"/>
        <w:shd w:val="clear" w:color="auto" w:fill="FFFFFF"/>
        <w:spacing w:before="0" w:beforeAutospacing="0" w:after="0" w:afterAutospacing="0"/>
        <w:ind w:firstLine="709"/>
        <w:jc w:val="both"/>
        <w:textAlignment w:val="baseline"/>
        <w:rPr>
          <w:sz w:val="28"/>
          <w:szCs w:val="28"/>
        </w:rPr>
      </w:pPr>
      <w:r w:rsidRPr="003A6E5A">
        <w:rPr>
          <w:sz w:val="28"/>
          <w:szCs w:val="28"/>
        </w:rPr>
        <w:t xml:space="preserve">Следствием выявленной правовой нестабильности стал перманентный процесс изменения законодательной базы. За историю независимого Казахстана инвестиционное законодательство претерпело шесть масштабных редакций, не считая многочисленных ведомственных актов. Как обоснованно указывают М.К. Сулейменов и Е.Б. Осипов, «не всегда изменение законодательства в целях его совершенствования приносит положительный эффект» </w:t>
      </w:r>
      <w:r w:rsidR="00336BBF" w:rsidRPr="003A6E5A">
        <w:rPr>
          <w:sz w:val="28"/>
          <w:szCs w:val="28"/>
        </w:rPr>
        <w:t>[</w:t>
      </w:r>
      <w:r w:rsidR="00A822BB" w:rsidRPr="003A6E5A">
        <w:rPr>
          <w:sz w:val="28"/>
          <w:szCs w:val="28"/>
        </w:rPr>
        <w:t>64</w:t>
      </w:r>
      <w:r w:rsidR="00336BBF" w:rsidRPr="003A6E5A">
        <w:rPr>
          <w:sz w:val="28"/>
          <w:szCs w:val="28"/>
        </w:rPr>
        <w:t>]</w:t>
      </w:r>
      <w:r w:rsidRPr="003A6E5A">
        <w:rPr>
          <w:sz w:val="28"/>
          <w:szCs w:val="28"/>
        </w:rPr>
        <w:t>. Данная критика приобретает особую актуальность в условиях, когда частые изменения не только не устраняют системные недостатки, но и вносят дополнительную хаотичность в правовое поле.</w:t>
      </w:r>
    </w:p>
    <w:p w14:paraId="7F96BBE9" w14:textId="00234452" w:rsidR="00D16B8D" w:rsidRPr="003A6E5A" w:rsidRDefault="00D16B8D" w:rsidP="00BD257E">
      <w:pPr>
        <w:pStyle w:val="2"/>
        <w:shd w:val="clear" w:color="auto" w:fill="FFFFFF"/>
        <w:spacing w:before="0" w:beforeAutospacing="0" w:after="0" w:afterAutospacing="0"/>
        <w:ind w:firstLine="709"/>
        <w:jc w:val="both"/>
        <w:textAlignment w:val="baseline"/>
        <w:rPr>
          <w:sz w:val="28"/>
          <w:szCs w:val="28"/>
        </w:rPr>
      </w:pPr>
      <w:r w:rsidRPr="003A6E5A">
        <w:rPr>
          <w:sz w:val="28"/>
          <w:szCs w:val="28"/>
        </w:rPr>
        <w:t>Непредсказуемость и высокая скорость изменения национального законодательства порождают существенные правовые риски, выступая сдерживающим фактором для притока иностранных капиталовложений. На данную проблему указывают как национальные институты, так и международные партнеры. Так, Национальная палата предпринимателей «Атамекен» констатирует, что «правовая неопределённость» является ключевой причиной, по которой иностранные инвесторы занимают выжидательную позицию в отношении казахстанского рынка. Аналогичную озабоченность относительно непоследовательности и непредсказуемости регулятивной среды высказывали и дипломатические представители, в частности, посол США в РК [</w:t>
      </w:r>
      <w:r w:rsidR="00336BBF" w:rsidRPr="003A6E5A">
        <w:rPr>
          <w:sz w:val="28"/>
          <w:szCs w:val="28"/>
        </w:rPr>
        <w:t>6</w:t>
      </w:r>
      <w:r w:rsidR="00A822BB" w:rsidRPr="003A6E5A">
        <w:rPr>
          <w:sz w:val="28"/>
          <w:szCs w:val="28"/>
        </w:rPr>
        <w:t>7</w:t>
      </w:r>
      <w:r w:rsidRPr="003A6E5A">
        <w:rPr>
          <w:sz w:val="28"/>
          <w:szCs w:val="28"/>
        </w:rPr>
        <w:t>].</w:t>
      </w:r>
      <w:r w:rsidR="00BD257E" w:rsidRPr="003A6E5A">
        <w:rPr>
          <w:sz w:val="28"/>
          <w:szCs w:val="28"/>
        </w:rPr>
        <w:t xml:space="preserve"> </w:t>
      </w:r>
      <w:r w:rsidRPr="003A6E5A">
        <w:rPr>
          <w:sz w:val="28"/>
          <w:szCs w:val="28"/>
        </w:rPr>
        <w:t>Для стратегического инвестора, планирующего масштабные проекты с длительным сроком окупаемости, риски внезапного изменения правового поля являются системными и могут быть признаны неприемлемыми. В этом контексте ключевым инструментом компенсации регулятивных рисков и восстановления доверия иностранного капитала выступает международно-правовая гарантия стабильности условий.</w:t>
      </w:r>
      <w:r w:rsidR="00BD257E" w:rsidRPr="003A6E5A">
        <w:rPr>
          <w:sz w:val="28"/>
          <w:szCs w:val="28"/>
        </w:rPr>
        <w:t xml:space="preserve"> </w:t>
      </w:r>
      <w:r w:rsidRPr="003A6E5A">
        <w:rPr>
          <w:sz w:val="28"/>
          <w:szCs w:val="28"/>
        </w:rPr>
        <w:t>Именно необходимость преодоления обозначенных внутриправовых пробелов и рисков обусловила активную договорную политику Республики Казахстан. В качестве правового ответа на вызовы изменчивости законодательства государство заключило серию двусторонних инвестиционных соглашений (</w:t>
      </w:r>
      <w:r w:rsidR="0072544A" w:rsidRPr="003A6E5A">
        <w:rPr>
          <w:sz w:val="28"/>
          <w:szCs w:val="28"/>
        </w:rPr>
        <w:t xml:space="preserve">далее – </w:t>
      </w:r>
      <w:r w:rsidRPr="003A6E5A">
        <w:rPr>
          <w:sz w:val="28"/>
          <w:szCs w:val="28"/>
        </w:rPr>
        <w:t xml:space="preserve">ДИС) с ведущими </w:t>
      </w:r>
      <w:r w:rsidRPr="003A6E5A">
        <w:rPr>
          <w:sz w:val="28"/>
          <w:szCs w:val="28"/>
        </w:rPr>
        <w:lastRenderedPageBreak/>
        <w:t>европейскими странами, начиная с середины 1990-х годов (Таблица 3). Эти соглашения создали параллельный, международно-правовой контур защиты, призванный гарантировать инвестору стабильность режима независимо от внутренней законодательной динамики.</w:t>
      </w:r>
    </w:p>
    <w:p w14:paraId="6FFE70E7" w14:textId="77777777" w:rsidR="00D16B8D" w:rsidRPr="003A6E5A" w:rsidRDefault="00D16B8D" w:rsidP="00D16B8D">
      <w:pPr>
        <w:pStyle w:val="2"/>
        <w:shd w:val="clear" w:color="auto" w:fill="FFFFFF"/>
        <w:spacing w:before="0" w:beforeAutospacing="0" w:after="0" w:afterAutospacing="0"/>
        <w:jc w:val="both"/>
        <w:textAlignment w:val="baseline"/>
        <w:rPr>
          <w:sz w:val="28"/>
          <w:szCs w:val="28"/>
          <w:shd w:val="clear" w:color="auto" w:fill="FFFFFF"/>
        </w:rPr>
      </w:pPr>
    </w:p>
    <w:p w14:paraId="7C718C76" w14:textId="1170A295" w:rsidR="00480D63" w:rsidRPr="003A6E5A" w:rsidRDefault="00D16B8D" w:rsidP="00D16B8D">
      <w:pPr>
        <w:pStyle w:val="2"/>
        <w:shd w:val="clear" w:color="auto" w:fill="FFFFFF"/>
        <w:spacing w:before="0" w:beforeAutospacing="0" w:after="0" w:afterAutospacing="0"/>
        <w:jc w:val="both"/>
        <w:textAlignment w:val="baseline"/>
        <w:rPr>
          <w:sz w:val="28"/>
          <w:szCs w:val="28"/>
          <w:shd w:val="clear" w:color="auto" w:fill="FFFFFF"/>
          <w:lang w:val="kk-KZ"/>
        </w:rPr>
      </w:pPr>
      <w:r w:rsidRPr="003A6E5A">
        <w:rPr>
          <w:sz w:val="28"/>
          <w:szCs w:val="28"/>
          <w:shd w:val="clear" w:color="auto" w:fill="FFFFFF"/>
        </w:rPr>
        <w:t xml:space="preserve">Таблица 3. Двусторонние соглашения </w:t>
      </w:r>
      <w:r w:rsidR="005C73A9" w:rsidRPr="003A6E5A">
        <w:rPr>
          <w:sz w:val="28"/>
          <w:szCs w:val="28"/>
          <w:shd w:val="clear" w:color="auto" w:fill="FFFFFF"/>
        </w:rPr>
        <w:t xml:space="preserve">и договоры </w:t>
      </w:r>
      <w:r w:rsidRPr="003A6E5A">
        <w:rPr>
          <w:sz w:val="28"/>
          <w:szCs w:val="28"/>
          <w:shd w:val="clear" w:color="auto" w:fill="FFFFFF"/>
        </w:rPr>
        <w:t>Республики Казахстан со странами ЕС о поощрении и взаимной защите инвестиций</w:t>
      </w:r>
    </w:p>
    <w:tbl>
      <w:tblPr>
        <w:tblStyle w:val="ac"/>
        <w:tblW w:w="0" w:type="auto"/>
        <w:tblLook w:val="04A0" w:firstRow="1" w:lastRow="0" w:firstColumn="1" w:lastColumn="0" w:noHBand="0" w:noVBand="1"/>
      </w:tblPr>
      <w:tblGrid>
        <w:gridCol w:w="417"/>
        <w:gridCol w:w="1634"/>
        <w:gridCol w:w="4450"/>
        <w:gridCol w:w="3091"/>
      </w:tblGrid>
      <w:tr w:rsidR="00480D63" w:rsidRPr="003A6E5A" w14:paraId="0C8ABFF1" w14:textId="77777777" w:rsidTr="00BD257E">
        <w:tc>
          <w:tcPr>
            <w:tcW w:w="0" w:type="auto"/>
            <w:hideMark/>
          </w:tcPr>
          <w:p w14:paraId="3A03B64D" w14:textId="77777777" w:rsidR="00480D63" w:rsidRPr="003A6E5A" w:rsidRDefault="00480D63" w:rsidP="00480D63">
            <w:pPr>
              <w:spacing w:after="0" w:line="240" w:lineRule="auto"/>
              <w:jc w:val="center"/>
              <w:rPr>
                <w:rFonts w:ascii="Times New Roman" w:eastAsia="Times New Roman" w:hAnsi="Times New Roman" w:cs="Times New Roman"/>
                <w:b/>
                <w:bCs/>
                <w:sz w:val="20"/>
                <w:szCs w:val="24"/>
              </w:rPr>
            </w:pPr>
            <w:r w:rsidRPr="003A6E5A">
              <w:rPr>
                <w:rFonts w:ascii="Times New Roman" w:eastAsia="Times New Roman" w:hAnsi="Times New Roman" w:cs="Times New Roman"/>
                <w:b/>
                <w:bCs/>
                <w:sz w:val="20"/>
                <w:szCs w:val="24"/>
              </w:rPr>
              <w:t>№</w:t>
            </w:r>
          </w:p>
        </w:tc>
        <w:tc>
          <w:tcPr>
            <w:tcW w:w="1622" w:type="dxa"/>
            <w:hideMark/>
          </w:tcPr>
          <w:p w14:paraId="3B7574B3" w14:textId="77777777" w:rsidR="00480D63" w:rsidRPr="003A6E5A" w:rsidRDefault="00480D63" w:rsidP="00480D63">
            <w:pPr>
              <w:spacing w:after="0" w:line="240" w:lineRule="auto"/>
              <w:jc w:val="center"/>
              <w:rPr>
                <w:rFonts w:ascii="Times New Roman" w:eastAsia="Times New Roman" w:hAnsi="Times New Roman" w:cs="Times New Roman"/>
                <w:b/>
                <w:bCs/>
                <w:sz w:val="20"/>
                <w:szCs w:val="24"/>
              </w:rPr>
            </w:pPr>
            <w:r w:rsidRPr="003A6E5A">
              <w:rPr>
                <w:rFonts w:ascii="Times New Roman" w:eastAsia="Times New Roman" w:hAnsi="Times New Roman" w:cs="Times New Roman"/>
                <w:b/>
                <w:bCs/>
                <w:sz w:val="20"/>
                <w:szCs w:val="24"/>
              </w:rPr>
              <w:t>Страна</w:t>
            </w:r>
          </w:p>
        </w:tc>
        <w:tc>
          <w:tcPr>
            <w:tcW w:w="4450" w:type="dxa"/>
            <w:hideMark/>
          </w:tcPr>
          <w:p w14:paraId="240AD0DE" w14:textId="77777777" w:rsidR="00480D63" w:rsidRPr="003A6E5A" w:rsidRDefault="00480D63" w:rsidP="00480D63">
            <w:pPr>
              <w:spacing w:after="0" w:line="240" w:lineRule="auto"/>
              <w:jc w:val="center"/>
              <w:rPr>
                <w:rFonts w:ascii="Times New Roman" w:eastAsia="Times New Roman" w:hAnsi="Times New Roman" w:cs="Times New Roman"/>
                <w:b/>
                <w:bCs/>
                <w:sz w:val="20"/>
                <w:szCs w:val="24"/>
              </w:rPr>
            </w:pPr>
            <w:r w:rsidRPr="003A6E5A">
              <w:rPr>
                <w:rFonts w:ascii="Times New Roman" w:eastAsia="Times New Roman" w:hAnsi="Times New Roman" w:cs="Times New Roman"/>
                <w:b/>
                <w:bCs/>
                <w:sz w:val="20"/>
                <w:szCs w:val="24"/>
              </w:rPr>
              <w:t>Наименование акта</w:t>
            </w:r>
          </w:p>
        </w:tc>
        <w:tc>
          <w:tcPr>
            <w:tcW w:w="0" w:type="auto"/>
            <w:hideMark/>
          </w:tcPr>
          <w:p w14:paraId="4DFBA652" w14:textId="77777777" w:rsidR="00480D63" w:rsidRPr="003A6E5A" w:rsidRDefault="00480D63" w:rsidP="00480D63">
            <w:pPr>
              <w:spacing w:after="0" w:line="240" w:lineRule="auto"/>
              <w:jc w:val="center"/>
              <w:rPr>
                <w:rFonts w:ascii="Times New Roman" w:eastAsia="Times New Roman" w:hAnsi="Times New Roman" w:cs="Times New Roman"/>
                <w:b/>
                <w:bCs/>
                <w:sz w:val="20"/>
                <w:szCs w:val="24"/>
              </w:rPr>
            </w:pPr>
          </w:p>
          <w:p w14:paraId="4A28712E" w14:textId="77777777" w:rsidR="00480D63" w:rsidRPr="003A6E5A" w:rsidRDefault="00480D63" w:rsidP="00480D63">
            <w:pPr>
              <w:spacing w:after="0" w:line="240" w:lineRule="auto"/>
              <w:jc w:val="center"/>
              <w:rPr>
                <w:rFonts w:ascii="Times New Roman" w:eastAsia="Times New Roman" w:hAnsi="Times New Roman" w:cs="Times New Roman"/>
                <w:b/>
                <w:bCs/>
                <w:sz w:val="20"/>
                <w:szCs w:val="24"/>
              </w:rPr>
            </w:pPr>
            <w:r w:rsidRPr="003A6E5A">
              <w:rPr>
                <w:rFonts w:ascii="Times New Roman" w:eastAsia="Times New Roman" w:hAnsi="Times New Roman" w:cs="Times New Roman"/>
                <w:b/>
                <w:bCs/>
                <w:sz w:val="20"/>
                <w:szCs w:val="24"/>
              </w:rPr>
              <w:t>Документ и дата</w:t>
            </w:r>
          </w:p>
        </w:tc>
      </w:tr>
      <w:tr w:rsidR="00480D63" w:rsidRPr="003A6E5A" w14:paraId="38417B82" w14:textId="77777777" w:rsidTr="00BD257E">
        <w:tc>
          <w:tcPr>
            <w:tcW w:w="0" w:type="auto"/>
            <w:hideMark/>
          </w:tcPr>
          <w:p w14:paraId="41F225F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w:t>
            </w:r>
          </w:p>
        </w:tc>
        <w:tc>
          <w:tcPr>
            <w:tcW w:w="1622" w:type="dxa"/>
            <w:hideMark/>
          </w:tcPr>
          <w:p w14:paraId="01A65A88"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Литва</w:t>
            </w:r>
          </w:p>
        </w:tc>
        <w:tc>
          <w:tcPr>
            <w:tcW w:w="4450" w:type="dxa"/>
            <w:hideMark/>
          </w:tcPr>
          <w:p w14:paraId="65EBCDEC"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Соглашение о поощрении и взаимной защите инвестиций</w:t>
            </w:r>
          </w:p>
        </w:tc>
        <w:tc>
          <w:tcPr>
            <w:tcW w:w="0" w:type="auto"/>
            <w:hideMark/>
          </w:tcPr>
          <w:p w14:paraId="2247D19F"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Соглашение от 15.09.1994</w:t>
            </w:r>
          </w:p>
        </w:tc>
      </w:tr>
      <w:tr w:rsidR="00480D63" w:rsidRPr="003A6E5A" w14:paraId="7086B766" w14:textId="77777777" w:rsidTr="00BD257E">
        <w:tc>
          <w:tcPr>
            <w:tcW w:w="0" w:type="auto"/>
            <w:hideMark/>
          </w:tcPr>
          <w:p w14:paraId="432BED4A"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2</w:t>
            </w:r>
          </w:p>
        </w:tc>
        <w:tc>
          <w:tcPr>
            <w:tcW w:w="1622" w:type="dxa"/>
            <w:hideMark/>
          </w:tcPr>
          <w:p w14:paraId="073AF92B"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Испания</w:t>
            </w:r>
          </w:p>
        </w:tc>
        <w:tc>
          <w:tcPr>
            <w:tcW w:w="4450" w:type="dxa"/>
            <w:hideMark/>
          </w:tcPr>
          <w:p w14:paraId="7C758C7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договора о взаимном поощрении и защите инвестиций</w:t>
            </w:r>
          </w:p>
        </w:tc>
        <w:tc>
          <w:tcPr>
            <w:tcW w:w="0" w:type="auto"/>
            <w:hideMark/>
          </w:tcPr>
          <w:p w14:paraId="449A5A4B"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Указ Президента РК №2240 от 26.04.1995</w:t>
            </w:r>
          </w:p>
        </w:tc>
      </w:tr>
      <w:tr w:rsidR="00480D63" w:rsidRPr="003A6E5A" w14:paraId="347FCFC6" w14:textId="77777777" w:rsidTr="00BD257E">
        <w:tc>
          <w:tcPr>
            <w:tcW w:w="0" w:type="auto"/>
            <w:hideMark/>
          </w:tcPr>
          <w:p w14:paraId="7B36C12F"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3</w:t>
            </w:r>
          </w:p>
        </w:tc>
        <w:tc>
          <w:tcPr>
            <w:tcW w:w="1622" w:type="dxa"/>
            <w:hideMark/>
          </w:tcPr>
          <w:p w14:paraId="7E9E0F1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Венгрия</w:t>
            </w:r>
          </w:p>
        </w:tc>
        <w:tc>
          <w:tcPr>
            <w:tcW w:w="4450" w:type="dxa"/>
            <w:hideMark/>
          </w:tcPr>
          <w:p w14:paraId="10B628FF"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 xml:space="preserve">О ратификации соглашения о </w:t>
            </w:r>
          </w:p>
          <w:p w14:paraId="374F7C4E"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поощрении и взаимной защите инвестиций</w:t>
            </w:r>
          </w:p>
        </w:tc>
        <w:tc>
          <w:tcPr>
            <w:tcW w:w="0" w:type="auto"/>
            <w:hideMark/>
          </w:tcPr>
          <w:p w14:paraId="7F60829D"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Указ Президента РК №2276 от 12.05.1995</w:t>
            </w:r>
          </w:p>
        </w:tc>
      </w:tr>
      <w:tr w:rsidR="00480D63" w:rsidRPr="003A6E5A" w14:paraId="022031B3" w14:textId="77777777" w:rsidTr="00BD257E">
        <w:tc>
          <w:tcPr>
            <w:tcW w:w="0" w:type="auto"/>
            <w:hideMark/>
          </w:tcPr>
          <w:p w14:paraId="2652B9D2"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4</w:t>
            </w:r>
          </w:p>
        </w:tc>
        <w:tc>
          <w:tcPr>
            <w:tcW w:w="1622" w:type="dxa"/>
            <w:hideMark/>
          </w:tcPr>
          <w:p w14:paraId="4EAF6D6D"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Польша</w:t>
            </w:r>
          </w:p>
        </w:tc>
        <w:tc>
          <w:tcPr>
            <w:tcW w:w="4450" w:type="dxa"/>
            <w:hideMark/>
          </w:tcPr>
          <w:p w14:paraId="3B05DB0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 xml:space="preserve">О ратификации </w:t>
            </w:r>
            <w:bookmarkStart w:id="15" w:name="_Hlk214029676"/>
            <w:r w:rsidRPr="003A6E5A">
              <w:rPr>
                <w:rFonts w:ascii="Times New Roman" w:eastAsia="Times New Roman" w:hAnsi="Times New Roman" w:cs="Times New Roman"/>
                <w:sz w:val="20"/>
                <w:szCs w:val="24"/>
              </w:rPr>
              <w:t>соглашения о поощрении и взаимной защите инвестиций</w:t>
            </w:r>
            <w:bookmarkEnd w:id="15"/>
          </w:p>
        </w:tc>
        <w:tc>
          <w:tcPr>
            <w:tcW w:w="0" w:type="auto"/>
            <w:hideMark/>
          </w:tcPr>
          <w:p w14:paraId="6AB0224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Указ Президента РК №2277 от 12.05.1995</w:t>
            </w:r>
          </w:p>
        </w:tc>
      </w:tr>
      <w:tr w:rsidR="00480D63" w:rsidRPr="003A6E5A" w14:paraId="17E4AFF6" w14:textId="77777777" w:rsidTr="00BD257E">
        <w:tc>
          <w:tcPr>
            <w:tcW w:w="0" w:type="auto"/>
            <w:hideMark/>
          </w:tcPr>
          <w:p w14:paraId="281F5813"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5</w:t>
            </w:r>
          </w:p>
        </w:tc>
        <w:tc>
          <w:tcPr>
            <w:tcW w:w="1622" w:type="dxa"/>
            <w:hideMark/>
          </w:tcPr>
          <w:p w14:paraId="5582A5A6"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Румыния</w:t>
            </w:r>
          </w:p>
        </w:tc>
        <w:tc>
          <w:tcPr>
            <w:tcW w:w="4450" w:type="dxa"/>
            <w:hideMark/>
          </w:tcPr>
          <w:p w14:paraId="1019AC7F"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поощрении и взаимной защите инвестиций</w:t>
            </w:r>
          </w:p>
        </w:tc>
        <w:tc>
          <w:tcPr>
            <w:tcW w:w="0" w:type="auto"/>
            <w:hideMark/>
          </w:tcPr>
          <w:p w14:paraId="43FB39C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№43-I от 22.11.1996</w:t>
            </w:r>
          </w:p>
        </w:tc>
      </w:tr>
      <w:tr w:rsidR="00480D63" w:rsidRPr="003A6E5A" w14:paraId="5E75CB21" w14:textId="77777777" w:rsidTr="00BD257E">
        <w:tc>
          <w:tcPr>
            <w:tcW w:w="0" w:type="auto"/>
            <w:hideMark/>
          </w:tcPr>
          <w:p w14:paraId="3B3F1EF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6</w:t>
            </w:r>
          </w:p>
        </w:tc>
        <w:tc>
          <w:tcPr>
            <w:tcW w:w="1622" w:type="dxa"/>
            <w:hideMark/>
          </w:tcPr>
          <w:p w14:paraId="7F940F8B"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Великобритания</w:t>
            </w:r>
          </w:p>
        </w:tc>
        <w:tc>
          <w:tcPr>
            <w:tcW w:w="4450" w:type="dxa"/>
            <w:hideMark/>
          </w:tcPr>
          <w:p w14:paraId="6E254692"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поощрении и защите инвестиций</w:t>
            </w:r>
          </w:p>
        </w:tc>
        <w:tc>
          <w:tcPr>
            <w:tcW w:w="0" w:type="auto"/>
            <w:hideMark/>
          </w:tcPr>
          <w:p w14:paraId="271151A4"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№44-I от 22.11.1996</w:t>
            </w:r>
          </w:p>
        </w:tc>
      </w:tr>
      <w:tr w:rsidR="00480D63" w:rsidRPr="003A6E5A" w14:paraId="4B1A6D26" w14:textId="77777777" w:rsidTr="00BD257E">
        <w:tc>
          <w:tcPr>
            <w:tcW w:w="0" w:type="auto"/>
            <w:hideMark/>
          </w:tcPr>
          <w:p w14:paraId="67FEA6EC"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7</w:t>
            </w:r>
          </w:p>
        </w:tc>
        <w:tc>
          <w:tcPr>
            <w:tcW w:w="1622" w:type="dxa"/>
            <w:hideMark/>
          </w:tcPr>
          <w:p w14:paraId="2F56A83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Чехия</w:t>
            </w:r>
          </w:p>
        </w:tc>
        <w:tc>
          <w:tcPr>
            <w:tcW w:w="4450" w:type="dxa"/>
            <w:hideMark/>
          </w:tcPr>
          <w:p w14:paraId="2A7F2E54"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поощрении и взаимной защите инвестиций</w:t>
            </w:r>
          </w:p>
        </w:tc>
        <w:tc>
          <w:tcPr>
            <w:tcW w:w="0" w:type="auto"/>
            <w:hideMark/>
          </w:tcPr>
          <w:p w14:paraId="6C210DC7"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№119-I от 11.06.1997</w:t>
            </w:r>
          </w:p>
        </w:tc>
      </w:tr>
      <w:tr w:rsidR="00480D63" w:rsidRPr="003A6E5A" w14:paraId="762C40D8" w14:textId="77777777" w:rsidTr="00BD257E">
        <w:tc>
          <w:tcPr>
            <w:tcW w:w="0" w:type="auto"/>
            <w:hideMark/>
          </w:tcPr>
          <w:p w14:paraId="4FDA2D56"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8</w:t>
            </w:r>
          </w:p>
        </w:tc>
        <w:tc>
          <w:tcPr>
            <w:tcW w:w="1622" w:type="dxa"/>
            <w:hideMark/>
          </w:tcPr>
          <w:p w14:paraId="000A109E"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Финляндия</w:t>
            </w:r>
          </w:p>
        </w:tc>
        <w:tc>
          <w:tcPr>
            <w:tcW w:w="4450" w:type="dxa"/>
            <w:hideMark/>
          </w:tcPr>
          <w:p w14:paraId="1D2C1EBE"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поощрении и взаимной защите инвестиций</w:t>
            </w:r>
          </w:p>
        </w:tc>
        <w:tc>
          <w:tcPr>
            <w:tcW w:w="0" w:type="auto"/>
            <w:hideMark/>
          </w:tcPr>
          <w:p w14:paraId="40A43258"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№179 от 30.10.1997</w:t>
            </w:r>
          </w:p>
        </w:tc>
      </w:tr>
      <w:tr w:rsidR="00480D63" w:rsidRPr="003A6E5A" w14:paraId="3587695D" w14:textId="77777777" w:rsidTr="00BD257E">
        <w:tc>
          <w:tcPr>
            <w:tcW w:w="0" w:type="auto"/>
            <w:hideMark/>
          </w:tcPr>
          <w:p w14:paraId="1AC0875F"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9</w:t>
            </w:r>
          </w:p>
        </w:tc>
        <w:tc>
          <w:tcPr>
            <w:tcW w:w="1622" w:type="dxa"/>
            <w:hideMark/>
          </w:tcPr>
          <w:p w14:paraId="67160660"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Бельгия–Люксембург</w:t>
            </w:r>
          </w:p>
        </w:tc>
        <w:tc>
          <w:tcPr>
            <w:tcW w:w="4450" w:type="dxa"/>
            <w:hideMark/>
          </w:tcPr>
          <w:p w14:paraId="52FF79EC"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взаимном поощрении и защите инвестиций</w:t>
            </w:r>
          </w:p>
        </w:tc>
        <w:tc>
          <w:tcPr>
            <w:tcW w:w="0" w:type="auto"/>
            <w:hideMark/>
          </w:tcPr>
          <w:p w14:paraId="2DF545E7"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№23 от 30.12.1999</w:t>
            </w:r>
          </w:p>
        </w:tc>
      </w:tr>
      <w:tr w:rsidR="00480D63" w:rsidRPr="003A6E5A" w14:paraId="2AC086CF" w14:textId="77777777" w:rsidTr="00BD257E">
        <w:tc>
          <w:tcPr>
            <w:tcW w:w="0" w:type="auto"/>
            <w:hideMark/>
          </w:tcPr>
          <w:p w14:paraId="26E1E256"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10</w:t>
            </w:r>
          </w:p>
        </w:tc>
        <w:tc>
          <w:tcPr>
            <w:tcW w:w="1622" w:type="dxa"/>
            <w:hideMark/>
          </w:tcPr>
          <w:p w14:paraId="42B4D702"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Франция</w:t>
            </w:r>
          </w:p>
        </w:tc>
        <w:tc>
          <w:tcPr>
            <w:tcW w:w="4450" w:type="dxa"/>
            <w:hideMark/>
          </w:tcPr>
          <w:p w14:paraId="2EA9326E"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и протокола к нему</w:t>
            </w:r>
          </w:p>
        </w:tc>
        <w:tc>
          <w:tcPr>
            <w:tcW w:w="0" w:type="auto"/>
            <w:hideMark/>
          </w:tcPr>
          <w:p w14:paraId="2C00837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№77 от 05.07.2000</w:t>
            </w:r>
          </w:p>
        </w:tc>
      </w:tr>
      <w:tr w:rsidR="00480D63" w:rsidRPr="003A6E5A" w14:paraId="302FDAD6" w14:textId="77777777" w:rsidTr="00BD257E">
        <w:tc>
          <w:tcPr>
            <w:tcW w:w="0" w:type="auto"/>
            <w:hideMark/>
          </w:tcPr>
          <w:p w14:paraId="3700827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11</w:t>
            </w:r>
          </w:p>
        </w:tc>
        <w:tc>
          <w:tcPr>
            <w:tcW w:w="1622" w:type="dxa"/>
            <w:hideMark/>
          </w:tcPr>
          <w:p w14:paraId="299A3C8B"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Болгария</w:t>
            </w:r>
          </w:p>
        </w:tc>
        <w:tc>
          <w:tcPr>
            <w:tcW w:w="4450" w:type="dxa"/>
            <w:hideMark/>
          </w:tcPr>
          <w:p w14:paraId="1D11592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взаимном поощрении и защите инвестиций</w:t>
            </w:r>
          </w:p>
        </w:tc>
        <w:tc>
          <w:tcPr>
            <w:tcW w:w="0" w:type="auto"/>
            <w:hideMark/>
          </w:tcPr>
          <w:p w14:paraId="3D95A03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№202 от 15.05.2001</w:t>
            </w:r>
          </w:p>
        </w:tc>
      </w:tr>
      <w:tr w:rsidR="00480D63" w:rsidRPr="003A6E5A" w14:paraId="2E026366" w14:textId="77777777" w:rsidTr="00BD257E">
        <w:tc>
          <w:tcPr>
            <w:tcW w:w="0" w:type="auto"/>
            <w:hideMark/>
          </w:tcPr>
          <w:p w14:paraId="36EB057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12</w:t>
            </w:r>
          </w:p>
        </w:tc>
        <w:tc>
          <w:tcPr>
            <w:tcW w:w="1622" w:type="dxa"/>
            <w:hideMark/>
          </w:tcPr>
          <w:p w14:paraId="713D187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Нидерланды</w:t>
            </w:r>
          </w:p>
        </w:tc>
        <w:tc>
          <w:tcPr>
            <w:tcW w:w="4450" w:type="dxa"/>
            <w:hideMark/>
          </w:tcPr>
          <w:p w14:paraId="4FDF971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подписании соглашения о поощрении и взаимной защите инвестиций</w:t>
            </w:r>
          </w:p>
        </w:tc>
        <w:tc>
          <w:tcPr>
            <w:tcW w:w="0" w:type="auto"/>
            <w:hideMark/>
          </w:tcPr>
          <w:p w14:paraId="4FB3564B"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Указ Президента РК №886 от 29.05.2002</w:t>
            </w:r>
          </w:p>
        </w:tc>
      </w:tr>
      <w:tr w:rsidR="00480D63" w:rsidRPr="003A6E5A" w14:paraId="1B40CD81" w14:textId="77777777" w:rsidTr="00BD257E">
        <w:tc>
          <w:tcPr>
            <w:tcW w:w="0" w:type="auto"/>
            <w:hideMark/>
          </w:tcPr>
          <w:p w14:paraId="2CAC05F7"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13</w:t>
            </w:r>
          </w:p>
        </w:tc>
        <w:tc>
          <w:tcPr>
            <w:tcW w:w="1622" w:type="dxa"/>
            <w:hideMark/>
          </w:tcPr>
          <w:p w14:paraId="5E6D9A43"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Швеция</w:t>
            </w:r>
          </w:p>
        </w:tc>
        <w:tc>
          <w:tcPr>
            <w:tcW w:w="4450" w:type="dxa"/>
            <w:hideMark/>
          </w:tcPr>
          <w:p w14:paraId="2DC3EBC2"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заключении соглашения о поощрении и взаимной защите инвестиций</w:t>
            </w:r>
          </w:p>
        </w:tc>
        <w:tc>
          <w:tcPr>
            <w:tcW w:w="0" w:type="auto"/>
            <w:hideMark/>
          </w:tcPr>
          <w:p w14:paraId="50384F23"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Постановление Правительства РК №1093 от 22.10.2004</w:t>
            </w:r>
          </w:p>
        </w:tc>
      </w:tr>
      <w:tr w:rsidR="00480D63" w:rsidRPr="003A6E5A" w14:paraId="70BB7B08" w14:textId="77777777" w:rsidTr="00BD257E">
        <w:tc>
          <w:tcPr>
            <w:tcW w:w="0" w:type="auto"/>
            <w:hideMark/>
          </w:tcPr>
          <w:p w14:paraId="201894E6"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14</w:t>
            </w:r>
          </w:p>
        </w:tc>
        <w:tc>
          <w:tcPr>
            <w:tcW w:w="1622" w:type="dxa"/>
            <w:hideMark/>
          </w:tcPr>
          <w:p w14:paraId="6A14F68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Латвия</w:t>
            </w:r>
          </w:p>
        </w:tc>
        <w:tc>
          <w:tcPr>
            <w:tcW w:w="4450" w:type="dxa"/>
            <w:hideMark/>
          </w:tcPr>
          <w:p w14:paraId="41424AA5"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поощрении и взаимной защите инвестиций</w:t>
            </w:r>
          </w:p>
        </w:tc>
        <w:tc>
          <w:tcPr>
            <w:tcW w:w="0" w:type="auto"/>
            <w:hideMark/>
          </w:tcPr>
          <w:p w14:paraId="27367F3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№132 от 17.03.2006</w:t>
            </w:r>
          </w:p>
        </w:tc>
      </w:tr>
      <w:tr w:rsidR="00480D63" w:rsidRPr="003A6E5A" w14:paraId="6841EC70" w14:textId="77777777" w:rsidTr="00BD257E">
        <w:tc>
          <w:tcPr>
            <w:tcW w:w="0" w:type="auto"/>
            <w:hideMark/>
          </w:tcPr>
          <w:p w14:paraId="636BCD20"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15</w:t>
            </w:r>
          </w:p>
        </w:tc>
        <w:tc>
          <w:tcPr>
            <w:tcW w:w="1622" w:type="dxa"/>
            <w:hideMark/>
          </w:tcPr>
          <w:p w14:paraId="39A9422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Австрия</w:t>
            </w:r>
          </w:p>
        </w:tc>
        <w:tc>
          <w:tcPr>
            <w:tcW w:w="4450" w:type="dxa"/>
            <w:hideMark/>
          </w:tcPr>
          <w:p w14:paraId="2D5ACF58"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подписании соглашения о поощрении и взаимной защите инвестиций</w:t>
            </w:r>
          </w:p>
        </w:tc>
        <w:tc>
          <w:tcPr>
            <w:tcW w:w="0" w:type="auto"/>
            <w:hideMark/>
          </w:tcPr>
          <w:p w14:paraId="0FD13744"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Постановление Правительства РК №2 от 11.01.2010</w:t>
            </w:r>
          </w:p>
        </w:tc>
      </w:tr>
      <w:tr w:rsidR="00480D63" w:rsidRPr="003A6E5A" w14:paraId="30387CE7" w14:textId="77777777" w:rsidTr="00BD257E">
        <w:tc>
          <w:tcPr>
            <w:tcW w:w="0" w:type="auto"/>
            <w:hideMark/>
          </w:tcPr>
          <w:p w14:paraId="4418827E"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16</w:t>
            </w:r>
          </w:p>
        </w:tc>
        <w:tc>
          <w:tcPr>
            <w:tcW w:w="1622" w:type="dxa"/>
            <w:hideMark/>
          </w:tcPr>
          <w:p w14:paraId="7B52F4A3"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Италия</w:t>
            </w:r>
          </w:p>
        </w:tc>
        <w:tc>
          <w:tcPr>
            <w:tcW w:w="4450" w:type="dxa"/>
            <w:hideMark/>
          </w:tcPr>
          <w:p w14:paraId="387FFB64"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Договора о стратегическом партнерстве</w:t>
            </w:r>
          </w:p>
        </w:tc>
        <w:tc>
          <w:tcPr>
            <w:tcW w:w="0" w:type="auto"/>
            <w:hideMark/>
          </w:tcPr>
          <w:p w14:paraId="20DBEDA4"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№427-IV от 18.04.2011</w:t>
            </w:r>
          </w:p>
        </w:tc>
      </w:tr>
      <w:tr w:rsidR="00480D63" w:rsidRPr="003A6E5A" w14:paraId="24D8413F" w14:textId="77777777" w:rsidTr="00BD257E">
        <w:tc>
          <w:tcPr>
            <w:tcW w:w="0" w:type="auto"/>
            <w:hideMark/>
          </w:tcPr>
          <w:p w14:paraId="021C78F9"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17</w:t>
            </w:r>
          </w:p>
        </w:tc>
        <w:tc>
          <w:tcPr>
            <w:tcW w:w="1622" w:type="dxa"/>
            <w:hideMark/>
          </w:tcPr>
          <w:p w14:paraId="19598DC6"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Германия</w:t>
            </w:r>
          </w:p>
        </w:tc>
        <w:tc>
          <w:tcPr>
            <w:tcW w:w="4450" w:type="dxa"/>
            <w:hideMark/>
          </w:tcPr>
          <w:p w14:paraId="1BA0A9F2"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Соглашение о партнерстве в сырьевой, промышленной и технологической сферах</w:t>
            </w:r>
          </w:p>
        </w:tc>
        <w:tc>
          <w:tcPr>
            <w:tcW w:w="0" w:type="auto"/>
            <w:hideMark/>
          </w:tcPr>
          <w:p w14:paraId="7DA4583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Соглашение от 08.02.2012</w:t>
            </w:r>
          </w:p>
        </w:tc>
      </w:tr>
      <w:tr w:rsidR="00480D63" w:rsidRPr="003A6E5A" w14:paraId="4C9CF419" w14:textId="77777777" w:rsidTr="00BD257E">
        <w:tc>
          <w:tcPr>
            <w:tcW w:w="0" w:type="auto"/>
            <w:hideMark/>
          </w:tcPr>
          <w:p w14:paraId="174BC1AA"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18</w:t>
            </w:r>
          </w:p>
        </w:tc>
        <w:tc>
          <w:tcPr>
            <w:tcW w:w="1622" w:type="dxa"/>
            <w:hideMark/>
          </w:tcPr>
          <w:p w14:paraId="50515DF0"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Эстония</w:t>
            </w:r>
          </w:p>
        </w:tc>
        <w:tc>
          <w:tcPr>
            <w:tcW w:w="4450" w:type="dxa"/>
            <w:hideMark/>
          </w:tcPr>
          <w:p w14:paraId="5C8DAF74"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взаимной защите инвестиций</w:t>
            </w:r>
          </w:p>
        </w:tc>
        <w:tc>
          <w:tcPr>
            <w:tcW w:w="0" w:type="auto"/>
            <w:hideMark/>
          </w:tcPr>
          <w:p w14:paraId="4290EB3A"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№220-V от 30.06.2014</w:t>
            </w:r>
          </w:p>
        </w:tc>
      </w:tr>
      <w:tr w:rsidR="00480D63" w:rsidRPr="003A6E5A" w14:paraId="221928FD" w14:textId="77777777" w:rsidTr="00BD257E">
        <w:tc>
          <w:tcPr>
            <w:tcW w:w="0" w:type="auto"/>
            <w:hideMark/>
          </w:tcPr>
          <w:p w14:paraId="3C4D4FBB"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19</w:t>
            </w:r>
          </w:p>
        </w:tc>
        <w:tc>
          <w:tcPr>
            <w:tcW w:w="1622" w:type="dxa"/>
            <w:hideMark/>
          </w:tcPr>
          <w:p w14:paraId="7CF87AF1"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Словакия</w:t>
            </w:r>
          </w:p>
        </w:tc>
        <w:tc>
          <w:tcPr>
            <w:tcW w:w="4450" w:type="dxa"/>
            <w:hideMark/>
          </w:tcPr>
          <w:p w14:paraId="639170BA"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О ратификации соглашения о поощрении и взаимной защите инвестиций</w:t>
            </w:r>
          </w:p>
        </w:tc>
        <w:tc>
          <w:tcPr>
            <w:tcW w:w="0" w:type="auto"/>
            <w:hideMark/>
          </w:tcPr>
          <w:p w14:paraId="5D9E6F1A" w14:textId="77777777" w:rsidR="00480D63" w:rsidRPr="003A6E5A" w:rsidRDefault="00480D63" w:rsidP="00480D63">
            <w:pPr>
              <w:spacing w:after="0" w:line="240" w:lineRule="auto"/>
              <w:rPr>
                <w:rFonts w:ascii="Times New Roman" w:eastAsia="Times New Roman" w:hAnsi="Times New Roman" w:cs="Times New Roman"/>
                <w:sz w:val="20"/>
                <w:szCs w:val="24"/>
              </w:rPr>
            </w:pPr>
            <w:r w:rsidRPr="003A6E5A">
              <w:rPr>
                <w:rFonts w:ascii="Times New Roman" w:eastAsia="Times New Roman" w:hAnsi="Times New Roman" w:cs="Times New Roman"/>
                <w:sz w:val="20"/>
                <w:szCs w:val="24"/>
              </w:rPr>
              <w:t>Закон РК №472-V от 15.03.2016</w:t>
            </w:r>
          </w:p>
        </w:tc>
      </w:tr>
    </w:tbl>
    <w:p w14:paraId="3539D6B2" w14:textId="77777777" w:rsidR="00FF01AB" w:rsidRPr="003A6E5A" w:rsidRDefault="00BD257E" w:rsidP="00FF01AB">
      <w:pPr>
        <w:spacing w:after="0" w:line="240" w:lineRule="auto"/>
        <w:jc w:val="both"/>
        <w:rPr>
          <w:rFonts w:ascii="Times New Roman" w:hAnsi="Times New Roman" w:cs="Times New Roman"/>
          <w:sz w:val="20"/>
          <w:szCs w:val="20"/>
          <w:lang w:val="kk-KZ"/>
        </w:rPr>
      </w:pPr>
      <w:r w:rsidRPr="003A6E5A">
        <w:rPr>
          <w:rFonts w:ascii="Times New Roman" w:hAnsi="Times New Roman" w:cs="Times New Roman"/>
          <w:sz w:val="20"/>
          <w:szCs w:val="20"/>
          <w:lang w:val="kk-KZ"/>
        </w:rPr>
        <w:t>Примечание: таблица составлена автором исследования</w:t>
      </w:r>
      <w:r w:rsidR="00FF01AB" w:rsidRPr="003A6E5A">
        <w:rPr>
          <w:rFonts w:ascii="Times New Roman" w:hAnsi="Times New Roman" w:cs="Times New Roman"/>
          <w:sz w:val="20"/>
          <w:szCs w:val="20"/>
          <w:lang w:val="kk-KZ"/>
        </w:rPr>
        <w:t xml:space="preserve"> на основании информационно-правовой базы «Әділет»</w:t>
      </w:r>
    </w:p>
    <w:p w14:paraId="3BE927E0" w14:textId="77777777" w:rsidR="00BD257E" w:rsidRPr="003A6E5A" w:rsidRDefault="00BD257E" w:rsidP="00BD257E">
      <w:pPr>
        <w:pStyle w:val="2"/>
        <w:shd w:val="clear" w:color="auto" w:fill="FFFFFF"/>
        <w:spacing w:before="0" w:beforeAutospacing="0" w:after="0" w:afterAutospacing="0"/>
        <w:jc w:val="both"/>
        <w:textAlignment w:val="baseline"/>
        <w:rPr>
          <w:sz w:val="28"/>
          <w:szCs w:val="28"/>
        </w:rPr>
      </w:pPr>
    </w:p>
    <w:p w14:paraId="5055F2A0" w14:textId="15825F86" w:rsidR="00D16B8D" w:rsidRPr="003A6E5A" w:rsidRDefault="00D16B8D" w:rsidP="00BD257E">
      <w:pPr>
        <w:pStyle w:val="2"/>
        <w:shd w:val="clear" w:color="auto" w:fill="FFFFFF"/>
        <w:spacing w:before="0" w:beforeAutospacing="0" w:after="0" w:afterAutospacing="0"/>
        <w:jc w:val="both"/>
        <w:textAlignment w:val="baseline"/>
        <w:rPr>
          <w:sz w:val="28"/>
          <w:szCs w:val="28"/>
        </w:rPr>
      </w:pPr>
      <w:r w:rsidRPr="003A6E5A">
        <w:rPr>
          <w:sz w:val="28"/>
          <w:szCs w:val="28"/>
        </w:rPr>
        <w:t xml:space="preserve">Представленные ДИС </w:t>
      </w:r>
      <w:r w:rsidR="00BD257E" w:rsidRPr="003A6E5A">
        <w:rPr>
          <w:sz w:val="28"/>
          <w:szCs w:val="28"/>
        </w:rPr>
        <w:t xml:space="preserve">в таблице 3 </w:t>
      </w:r>
      <w:r w:rsidRPr="003A6E5A">
        <w:rPr>
          <w:sz w:val="28"/>
          <w:szCs w:val="28"/>
        </w:rPr>
        <w:t xml:space="preserve">содержат комплекс ключевых гарантий, формирующих унифицированный международно-правовой стандарт защиты иностранных инвестиций. К их числу относятся защита от экспроприации, принцип справедливого и равноправного режима, а также режим наибольшего благоприятствования, которые в совокупности создают стабильную регуляторную среду для иностранных инвесторов. Особое значение в этой системе гарантий занимает институционализация механизма разрешения споров </w:t>
      </w:r>
      <w:r w:rsidRPr="003A6E5A">
        <w:rPr>
          <w:sz w:val="28"/>
          <w:szCs w:val="28"/>
        </w:rPr>
        <w:lastRenderedPageBreak/>
        <w:t>через международные арбитражи, что обеспечивает деполитизацию конфликтов и повышает доверие к инвестиционному климату Казахстана.</w:t>
      </w:r>
    </w:p>
    <w:p w14:paraId="68B356A0" w14:textId="77777777" w:rsidR="00BD257E" w:rsidRPr="003A6E5A" w:rsidRDefault="00BD257E" w:rsidP="00BD257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Помимо правовых аспектов, стратегическая значимость ДИС проявляется в диверсификации экономического партнерства страны. Заключение соглашений с государствами-членами ЕС создало прочный фундамент для расширенного сотрудничества, при этом эволюция содержания договоров – от рамочных соглашений 1990-х годов к отраслевым партнерствам – отражает усложнение экономических связей Казахстана с мировым сообществом. Примечательно, что парадоксальным, но значимым эффектом ДИС стала возможность для казахстанских предпринимателей использовать предоставляемые гарантии через структурирование инвестиций под юрисдикцией стран с развитой договорной сетью.</w:t>
      </w:r>
    </w:p>
    <w:p w14:paraId="3836141B" w14:textId="77777777" w:rsidR="00BD257E" w:rsidRPr="003A6E5A" w:rsidRDefault="00BD257E" w:rsidP="00BD257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Столь сложная эволюция инвестиционных отношений закономерно требует переосмысления их правовой природы. Для дальнейшего развития инвестиционного сотрудничества особое значение приобретает модернизация устаревших соглашений и выработка сбалансированного подхода, учитывающего как интересы инвесторов, так и регулятивный суверенитет государства. В этом контексте инвестиционное сотрудничество выполняет многогранную функцию, выступая не только юридическим механизмом, регламентирующим параметры сотрудничества, но и инструментом баланса интересов, способным стимулировать долгосрочные капиталовложения в приоритетные сектора экономики.</w:t>
      </w:r>
    </w:p>
    <w:p w14:paraId="6ACEB603" w14:textId="77777777" w:rsidR="00BD257E" w:rsidRPr="003A6E5A" w:rsidRDefault="00BD257E" w:rsidP="00BD257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Подобная трансформация функционального назначения инвестиционного сотрудничества сопровождается изменением его содержательных характеристик. Современное понимание природы инвестиционных отношений требует учета их трансформировавшегося характера. Как справедливо отмечает С. Фролова, инвестиционное сотрудничество часто приобретает асимметричный характер, отражающий различия в уровнях экономического и технологического развития стран. Для Казахстана такое сотрудничество представляет собой не только источник финансовых ресурсов, но и канал передачи технологий и управленческих компетенций, что в конечном итоге усиливает долгосрочную инвестиционную привлекательность страны и создает основу для устойчивого экономического роста.</w:t>
      </w:r>
    </w:p>
    <w:p w14:paraId="2889B75D" w14:textId="08867BED" w:rsidR="00F743BE" w:rsidRPr="003A6E5A" w:rsidRDefault="00BD257E" w:rsidP="00BD257E">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lang w:eastAsia="ru-RU"/>
        </w:rPr>
        <w:t xml:space="preserve">Вместе с тем, усложнение природы инвестиционного сотрудничества порождает дискуссию в научном сообществе относительно его сущности. В научной литературе, однако, отсутствует единый подход к пониманию сущности данного феномена. Ряд исследователей, включая Л.И. Юзвовича и его соавторов, рассматривают инвестиционное сотрудничество преимущественно как факультативную или ситуативную форму предпринимательской активности, обусловленную краткосрочными рыночными колебаниями. В то же время данная точка зрения представляется ограниченной, поскольку не отражает происходящие в мировой инвестиционной системе структурные и институциональные трансформации. Более того, в противовес ситуативному подходу, современные исследования всё чаще указывают, что инвестиционное </w:t>
      </w:r>
      <w:r w:rsidRPr="003A6E5A">
        <w:rPr>
          <w:rFonts w:ascii="Times New Roman" w:eastAsia="Times New Roman" w:hAnsi="Times New Roman" w:cs="Times New Roman"/>
          <w:sz w:val="28"/>
          <w:szCs w:val="28"/>
          <w:lang w:eastAsia="ru-RU"/>
        </w:rPr>
        <w:lastRenderedPageBreak/>
        <w:t>сотрудничество эволюционирует в устойчивый, стратегически ориентированный механизм, интегрированный в национальные и транснациональные модели экономического развития [</w:t>
      </w:r>
      <w:r w:rsidR="00336BBF" w:rsidRPr="003A6E5A">
        <w:rPr>
          <w:rFonts w:ascii="Times New Roman" w:eastAsia="Times New Roman" w:hAnsi="Times New Roman" w:cs="Times New Roman"/>
          <w:sz w:val="28"/>
          <w:szCs w:val="28"/>
          <w:lang w:eastAsia="ru-RU"/>
        </w:rPr>
        <w:t>6</w:t>
      </w:r>
      <w:r w:rsidR="00A822BB" w:rsidRPr="003A6E5A">
        <w:rPr>
          <w:rFonts w:ascii="Times New Roman" w:eastAsia="Times New Roman" w:hAnsi="Times New Roman" w:cs="Times New Roman"/>
          <w:sz w:val="28"/>
          <w:szCs w:val="28"/>
          <w:lang w:eastAsia="ru-RU"/>
        </w:rPr>
        <w:t>8</w:t>
      </w:r>
      <w:r w:rsidRPr="003A6E5A">
        <w:rPr>
          <w:rFonts w:ascii="Times New Roman" w:eastAsia="Times New Roman" w:hAnsi="Times New Roman" w:cs="Times New Roman"/>
          <w:sz w:val="28"/>
          <w:szCs w:val="28"/>
          <w:lang w:eastAsia="ru-RU"/>
        </w:rPr>
        <w:t>]. Этот процесс сопровождается формированием новых форм взаимодействия между государством, бизнесом и международными институтами, что усиливает взаимозависимость и комплексность инвестиционных связей.</w:t>
      </w:r>
      <w:r w:rsidR="005C73A9" w:rsidRPr="003A6E5A">
        <w:rPr>
          <w:rFonts w:ascii="Times New Roman" w:eastAsia="Times New Roman" w:hAnsi="Times New Roman" w:cs="Times New Roman"/>
          <w:sz w:val="28"/>
          <w:szCs w:val="28"/>
          <w:lang w:eastAsia="ru-RU"/>
        </w:rPr>
        <w:t xml:space="preserve"> </w:t>
      </w:r>
      <w:r w:rsidR="00F743BE" w:rsidRPr="003A6E5A">
        <w:rPr>
          <w:rFonts w:ascii="Times New Roman" w:eastAsia="Times New Roman" w:hAnsi="Times New Roman" w:cs="Times New Roman"/>
          <w:sz w:val="28"/>
          <w:szCs w:val="28"/>
        </w:rPr>
        <w:t>Исходя из данного понимания, инвестиционное сотрудничество правомерно определить как многоуровневую и долговременную форму экономического партнёрства, обеспечивающую взаимную выгоду для всех участников. Оно способствует не только росту производственного и инновационного потенциала, но и достижению долгосрочных целей устойчивого развития, повышая системную конкурентоспособность и устойчивость национальной экономики.</w:t>
      </w:r>
    </w:p>
    <w:p w14:paraId="4731DC73" w14:textId="2AA0E5F3" w:rsidR="006A7CE6" w:rsidRPr="003A6E5A" w:rsidRDefault="00F743BE" w:rsidP="00F743BE">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 xml:space="preserve">В целях операционализации данного определения для последующего теоретического анализа и систематизации эмпирических данных сформулируем его развернутую дефиницию. По нашему мнению, </w:t>
      </w:r>
      <w:r w:rsidR="006A7CE6" w:rsidRPr="003A6E5A">
        <w:rPr>
          <w:rFonts w:ascii="Times New Roman" w:eastAsia="Times New Roman" w:hAnsi="Times New Roman" w:cs="Times New Roman"/>
          <w:sz w:val="28"/>
          <w:szCs w:val="28"/>
        </w:rPr>
        <w:t xml:space="preserve">инвестиционное сотрудничество в условиях глобализации следует трактовать как </w:t>
      </w:r>
      <w:r w:rsidR="00B41E1A" w:rsidRPr="003A6E5A">
        <w:rPr>
          <w:rFonts w:ascii="Times New Roman" w:eastAsia="Times New Roman" w:hAnsi="Times New Roman" w:cs="Times New Roman"/>
          <w:sz w:val="28"/>
          <w:szCs w:val="28"/>
        </w:rPr>
        <w:t>«</w:t>
      </w:r>
      <w:r w:rsidR="006A7CE6" w:rsidRPr="003A6E5A">
        <w:rPr>
          <w:rFonts w:ascii="Times New Roman" w:eastAsia="Times New Roman" w:hAnsi="Times New Roman" w:cs="Times New Roman"/>
          <w:sz w:val="28"/>
          <w:szCs w:val="28"/>
        </w:rPr>
        <w:t>институционально оформленную, устойчивую и стратегически ориентированную форму взаимодействия между экономическими субъектами (государствами, предприятиями, транснациональными корпорациями, финансовыми институтами и иными акторами), реализуемую посредством целевых вложений материальных, финансовых, интеллектуальных и иных ресурсов в экономическую, производственную, социальную либо инновационную деятельность с целью формирования, сохранения и приумножения капитала, получения экономических, социальных или синергетических эффектов, а также диверсификации и сбалансированного распределения инвестиционных рисков».</w:t>
      </w:r>
    </w:p>
    <w:p w14:paraId="62781C2E" w14:textId="61F7556D" w:rsidR="006A7CE6" w:rsidRPr="003A6E5A" w:rsidRDefault="00F743BE" w:rsidP="00F743BE">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 xml:space="preserve">Предложенное широкое понятийное понимание требует соотнесения с действующим правовым полем. Несмотря на отсутствие в национальном законодательстве легального определения «инвестиционного сотрудничества», его частная правовая форма закреплена в пункте 1 статьи 295-2 Предпринимательского кодекса РК, где приведено определение «инвестиционного соглашения». Важно подчеркнуть, что данное соглашение представляет собой лишь одну из форм инвестиционного сотрудничества и не может охватить всё многообразие его видов </w:t>
      </w:r>
      <w:r w:rsidR="00997465" w:rsidRPr="003A6E5A">
        <w:rPr>
          <w:rFonts w:ascii="Times New Roman" w:eastAsia="Times New Roman" w:hAnsi="Times New Roman" w:cs="Times New Roman"/>
          <w:sz w:val="28"/>
          <w:szCs w:val="28"/>
        </w:rPr>
        <w:t>[46]</w:t>
      </w:r>
      <w:r w:rsidRPr="003A6E5A">
        <w:rPr>
          <w:rFonts w:ascii="Times New Roman" w:eastAsia="Times New Roman" w:hAnsi="Times New Roman" w:cs="Times New Roman"/>
          <w:sz w:val="28"/>
          <w:szCs w:val="28"/>
        </w:rPr>
        <w:t>. Это нормативное ограничение компенсируется на практике, где, как отмечает профессор М.К. Сулейменов, применяются гибридные механизмы, сочетающие элементы классических договоров с отраслевой спецификой и стратегическими приоритетами государства [</w:t>
      </w:r>
      <w:r w:rsidR="00336BBF" w:rsidRPr="003A6E5A">
        <w:rPr>
          <w:rFonts w:ascii="Times New Roman" w:eastAsia="Times New Roman" w:hAnsi="Times New Roman" w:cs="Times New Roman"/>
          <w:sz w:val="28"/>
          <w:szCs w:val="28"/>
        </w:rPr>
        <w:t>6</w:t>
      </w:r>
      <w:r w:rsidR="00A822BB" w:rsidRPr="003A6E5A">
        <w:rPr>
          <w:rFonts w:ascii="Times New Roman" w:eastAsia="Times New Roman" w:hAnsi="Times New Roman" w:cs="Times New Roman"/>
          <w:sz w:val="28"/>
          <w:szCs w:val="28"/>
        </w:rPr>
        <w:t>9</w:t>
      </w:r>
      <w:r w:rsidRPr="003A6E5A">
        <w:rPr>
          <w:rFonts w:ascii="Times New Roman" w:eastAsia="Times New Roman" w:hAnsi="Times New Roman" w:cs="Times New Roman"/>
          <w:sz w:val="28"/>
          <w:szCs w:val="28"/>
        </w:rPr>
        <w:t>, c. 1].</w:t>
      </w:r>
      <w:r w:rsidR="005C73A9" w:rsidRPr="003A6E5A">
        <w:rPr>
          <w:rFonts w:ascii="Times New Roman" w:eastAsia="Times New Roman" w:hAnsi="Times New Roman" w:cs="Times New Roman"/>
          <w:sz w:val="28"/>
          <w:szCs w:val="28"/>
        </w:rPr>
        <w:t xml:space="preserve"> </w:t>
      </w:r>
      <w:r w:rsidRPr="003A6E5A">
        <w:rPr>
          <w:rFonts w:ascii="Times New Roman" w:eastAsia="Times New Roman" w:hAnsi="Times New Roman" w:cs="Times New Roman"/>
          <w:sz w:val="28"/>
          <w:szCs w:val="28"/>
        </w:rPr>
        <w:t xml:space="preserve">Таким образом, возникает объективная необходимость в систематизации всего спектра форм инвестиционного сотрудничества. Для решения этой задачи в таблице </w:t>
      </w:r>
      <w:r w:rsidR="005C73A9" w:rsidRPr="003A6E5A">
        <w:rPr>
          <w:rFonts w:ascii="Times New Roman" w:eastAsia="Times New Roman" w:hAnsi="Times New Roman" w:cs="Times New Roman"/>
          <w:sz w:val="28"/>
          <w:szCs w:val="28"/>
        </w:rPr>
        <w:t>4</w:t>
      </w:r>
      <w:r w:rsidRPr="003A6E5A">
        <w:rPr>
          <w:rFonts w:ascii="Times New Roman" w:eastAsia="Times New Roman" w:hAnsi="Times New Roman" w:cs="Times New Roman"/>
          <w:sz w:val="28"/>
          <w:szCs w:val="28"/>
        </w:rPr>
        <w:t xml:space="preserve"> представлена их классификация, структурированная по критериям правового содержания, институциональной вовлеченности и функционального назначения. При этом следует подчеркнуть, что предложенная типология, отражая текущий уровень развития, не является </w:t>
      </w:r>
      <w:r w:rsidRPr="003A6E5A">
        <w:rPr>
          <w:rFonts w:ascii="Times New Roman" w:eastAsia="Times New Roman" w:hAnsi="Times New Roman" w:cs="Times New Roman"/>
          <w:sz w:val="28"/>
          <w:szCs w:val="28"/>
        </w:rPr>
        <w:lastRenderedPageBreak/>
        <w:t>исчерпывающей и требует постоянного уточнения в свете непрерывной эволюции глобальной инвестиционной архитектуры.</w:t>
      </w:r>
    </w:p>
    <w:p w14:paraId="337639D0" w14:textId="77777777" w:rsidR="00BD257E" w:rsidRPr="003A6E5A" w:rsidRDefault="00BD257E" w:rsidP="00F743BE">
      <w:pPr>
        <w:spacing w:after="0" w:line="240" w:lineRule="auto"/>
        <w:ind w:firstLine="709"/>
        <w:jc w:val="both"/>
        <w:rPr>
          <w:rFonts w:ascii="Times New Roman" w:eastAsia="Times New Roman" w:hAnsi="Times New Roman" w:cs="Times New Roman"/>
          <w:sz w:val="28"/>
          <w:szCs w:val="28"/>
        </w:rPr>
      </w:pPr>
    </w:p>
    <w:p w14:paraId="740812DB" w14:textId="260EDE95" w:rsidR="0003217D" w:rsidRPr="003A6E5A" w:rsidRDefault="00FC275D" w:rsidP="005621D1">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Таблица </w:t>
      </w:r>
      <w:r w:rsidR="005C73A9" w:rsidRPr="003A6E5A">
        <w:rPr>
          <w:rFonts w:ascii="Times New Roman" w:hAnsi="Times New Roman" w:cs="Times New Roman"/>
          <w:sz w:val="28"/>
          <w:szCs w:val="28"/>
          <w:lang w:val="kk-KZ"/>
        </w:rPr>
        <w:t>4</w:t>
      </w:r>
      <w:r w:rsidRPr="003A6E5A">
        <w:rPr>
          <w:rFonts w:ascii="Times New Roman" w:hAnsi="Times New Roman" w:cs="Times New Roman"/>
          <w:sz w:val="28"/>
          <w:szCs w:val="28"/>
        </w:rPr>
        <w:t>. Формы инвестиционных соглашений</w:t>
      </w:r>
    </w:p>
    <w:tbl>
      <w:tblPr>
        <w:tblStyle w:val="ac"/>
        <w:tblW w:w="0" w:type="auto"/>
        <w:tblLook w:val="04A0" w:firstRow="1" w:lastRow="0" w:firstColumn="1" w:lastColumn="0" w:noHBand="0" w:noVBand="1"/>
      </w:tblPr>
      <w:tblGrid>
        <w:gridCol w:w="466"/>
        <w:gridCol w:w="2248"/>
        <w:gridCol w:w="4357"/>
        <w:gridCol w:w="2521"/>
      </w:tblGrid>
      <w:tr w:rsidR="00B02CF8" w:rsidRPr="003A6E5A" w14:paraId="3A56E177" w14:textId="77777777" w:rsidTr="00BD257E">
        <w:tc>
          <w:tcPr>
            <w:tcW w:w="472" w:type="dxa"/>
          </w:tcPr>
          <w:p w14:paraId="74C83F0F" w14:textId="77777777" w:rsidR="0003217D" w:rsidRPr="003A6E5A" w:rsidRDefault="00FC275D" w:rsidP="001608EA">
            <w:pPr>
              <w:spacing w:after="0" w:line="240" w:lineRule="auto"/>
              <w:jc w:val="center"/>
              <w:rPr>
                <w:rFonts w:ascii="Times New Roman" w:hAnsi="Times New Roman" w:cs="Times New Roman"/>
                <w:bCs/>
                <w:sz w:val="20"/>
                <w:szCs w:val="20"/>
              </w:rPr>
            </w:pPr>
            <w:r w:rsidRPr="003A6E5A">
              <w:rPr>
                <w:rFonts w:ascii="Times New Roman" w:hAnsi="Times New Roman" w:cs="Times New Roman"/>
                <w:bCs/>
                <w:sz w:val="20"/>
                <w:szCs w:val="20"/>
              </w:rPr>
              <w:t>№</w:t>
            </w:r>
          </w:p>
        </w:tc>
        <w:tc>
          <w:tcPr>
            <w:tcW w:w="1933" w:type="dxa"/>
          </w:tcPr>
          <w:p w14:paraId="41282B0B" w14:textId="77777777" w:rsidR="0003217D" w:rsidRPr="003A6E5A" w:rsidRDefault="00FC275D" w:rsidP="001608EA">
            <w:pPr>
              <w:spacing w:after="0" w:line="240" w:lineRule="auto"/>
              <w:jc w:val="center"/>
              <w:rPr>
                <w:rFonts w:ascii="Times New Roman" w:hAnsi="Times New Roman" w:cs="Times New Roman"/>
                <w:bCs/>
                <w:sz w:val="20"/>
                <w:szCs w:val="20"/>
              </w:rPr>
            </w:pPr>
            <w:r w:rsidRPr="003A6E5A">
              <w:rPr>
                <w:rFonts w:ascii="Times New Roman" w:hAnsi="Times New Roman" w:cs="Times New Roman"/>
                <w:bCs/>
                <w:sz w:val="20"/>
                <w:szCs w:val="20"/>
              </w:rPr>
              <w:t>Форма инвестиционного соглашения</w:t>
            </w:r>
          </w:p>
        </w:tc>
        <w:tc>
          <w:tcPr>
            <w:tcW w:w="4605" w:type="dxa"/>
          </w:tcPr>
          <w:p w14:paraId="3D0823EE" w14:textId="77777777" w:rsidR="0003217D" w:rsidRPr="003A6E5A" w:rsidRDefault="00FC275D" w:rsidP="001608EA">
            <w:pPr>
              <w:spacing w:after="0" w:line="240" w:lineRule="auto"/>
              <w:jc w:val="center"/>
              <w:rPr>
                <w:rFonts w:ascii="Times New Roman" w:hAnsi="Times New Roman" w:cs="Times New Roman"/>
                <w:bCs/>
                <w:sz w:val="20"/>
                <w:szCs w:val="20"/>
              </w:rPr>
            </w:pPr>
            <w:r w:rsidRPr="003A6E5A">
              <w:rPr>
                <w:rFonts w:ascii="Times New Roman" w:hAnsi="Times New Roman" w:cs="Times New Roman"/>
                <w:bCs/>
                <w:sz w:val="20"/>
                <w:szCs w:val="20"/>
              </w:rPr>
              <w:t>Краткая характеристика</w:t>
            </w:r>
          </w:p>
        </w:tc>
        <w:tc>
          <w:tcPr>
            <w:tcW w:w="2582" w:type="dxa"/>
          </w:tcPr>
          <w:p w14:paraId="7C57409E" w14:textId="77777777" w:rsidR="0003217D" w:rsidRPr="003A6E5A" w:rsidRDefault="00FC275D" w:rsidP="001608EA">
            <w:pPr>
              <w:spacing w:after="0" w:line="240" w:lineRule="auto"/>
              <w:jc w:val="center"/>
              <w:rPr>
                <w:rFonts w:ascii="Times New Roman" w:hAnsi="Times New Roman" w:cs="Times New Roman"/>
                <w:bCs/>
                <w:sz w:val="20"/>
                <w:szCs w:val="20"/>
              </w:rPr>
            </w:pPr>
            <w:r w:rsidRPr="003A6E5A">
              <w:rPr>
                <w:rFonts w:ascii="Times New Roman" w:hAnsi="Times New Roman" w:cs="Times New Roman"/>
                <w:bCs/>
                <w:sz w:val="20"/>
                <w:szCs w:val="20"/>
              </w:rPr>
              <w:t>Примеры применения</w:t>
            </w:r>
          </w:p>
        </w:tc>
      </w:tr>
      <w:tr w:rsidR="00B02CF8" w:rsidRPr="003A6E5A" w14:paraId="04E9851B" w14:textId="77777777" w:rsidTr="00BD257E">
        <w:tc>
          <w:tcPr>
            <w:tcW w:w="472" w:type="dxa"/>
          </w:tcPr>
          <w:p w14:paraId="321453A5"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1</w:t>
            </w:r>
          </w:p>
        </w:tc>
        <w:tc>
          <w:tcPr>
            <w:tcW w:w="1933" w:type="dxa"/>
          </w:tcPr>
          <w:p w14:paraId="50D9AA5F"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eastAsia="Times New Roman" w:hAnsi="Times New Roman" w:cs="Times New Roman"/>
                <w:sz w:val="20"/>
                <w:szCs w:val="20"/>
                <w:lang w:eastAsia="ru-RU"/>
              </w:rPr>
              <w:t>Концессионное соглашение</w:t>
            </w:r>
          </w:p>
        </w:tc>
        <w:tc>
          <w:tcPr>
            <w:tcW w:w="4605" w:type="dxa"/>
          </w:tcPr>
          <w:p w14:paraId="4969D8A6" w14:textId="721B475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Долгосрочное соглашение, в рамках которого инвестор осуществляет строительство, модернизацию и (или) эксплуатацию объектов инфраструктуры или пользование природными ресурсами, с последующей передачей объекта государству. Отличается высокой капиталоёмкостью, технологической сложностью и необходимостью соблюдения баланса интересов сторон (распределение рисков, доходов, ответственности).</w:t>
            </w:r>
          </w:p>
        </w:tc>
        <w:tc>
          <w:tcPr>
            <w:tcW w:w="2582" w:type="dxa"/>
          </w:tcPr>
          <w:p w14:paraId="7CA945D9" w14:textId="1E044FC1"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Проекты: газотранспортная система при участии Tractebel (Бельгия), расширение морского порта Актау с участием Mobilex Energy Ltd.</w:t>
            </w:r>
            <w:r w:rsidR="00307F78" w:rsidRPr="003A6E5A">
              <w:rPr>
                <w:rFonts w:ascii="Times New Roman" w:hAnsi="Times New Roman" w:cs="Times New Roman"/>
                <w:sz w:val="20"/>
                <w:szCs w:val="20"/>
              </w:rPr>
              <w:t xml:space="preserve"> </w:t>
            </w:r>
            <w:r w:rsidR="00336BBF" w:rsidRPr="003A6E5A">
              <w:rPr>
                <w:rFonts w:ascii="Times New Roman" w:hAnsi="Times New Roman" w:cs="Times New Roman"/>
                <w:sz w:val="20"/>
                <w:szCs w:val="20"/>
              </w:rPr>
              <w:t>[</w:t>
            </w:r>
            <w:r w:rsidR="00A822BB" w:rsidRPr="003A6E5A">
              <w:rPr>
                <w:rFonts w:ascii="Times New Roman" w:hAnsi="Times New Roman" w:cs="Times New Roman"/>
                <w:sz w:val="20"/>
                <w:szCs w:val="20"/>
                <w:lang w:val="en-US"/>
              </w:rPr>
              <w:t>70</w:t>
            </w:r>
            <w:r w:rsidR="00336BBF" w:rsidRPr="003A6E5A">
              <w:rPr>
                <w:rFonts w:ascii="Times New Roman" w:hAnsi="Times New Roman" w:cs="Times New Roman"/>
                <w:sz w:val="20"/>
                <w:szCs w:val="20"/>
              </w:rPr>
              <w:t>]</w:t>
            </w:r>
          </w:p>
        </w:tc>
      </w:tr>
      <w:tr w:rsidR="00B02CF8" w:rsidRPr="003A6E5A" w14:paraId="53423DD9" w14:textId="77777777" w:rsidTr="00BD257E">
        <w:tc>
          <w:tcPr>
            <w:tcW w:w="472" w:type="dxa"/>
          </w:tcPr>
          <w:p w14:paraId="0DA4063F"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2</w:t>
            </w:r>
          </w:p>
        </w:tc>
        <w:tc>
          <w:tcPr>
            <w:tcW w:w="1933" w:type="dxa"/>
          </w:tcPr>
          <w:p w14:paraId="68906385" w14:textId="73CD1B32"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Соглашения о разделе продукции</w:t>
            </w:r>
          </w:p>
        </w:tc>
        <w:tc>
          <w:tcPr>
            <w:tcW w:w="4605" w:type="dxa"/>
          </w:tcPr>
          <w:p w14:paraId="0646CDD8"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Особый договорный режим, в рамках которого инвестор за свой счёт осуществляет разведку и добычу полезных ископаемых, передавая установленную долю продукции государству. Продукт добычи остаётся государственной собственностью. Характеризуется льготным налогообложением (освобождение от налога на прибыль), повышая привлекательность для иностранных инвесторов.</w:t>
            </w:r>
          </w:p>
        </w:tc>
        <w:tc>
          <w:tcPr>
            <w:tcW w:w="2582" w:type="dxa"/>
          </w:tcPr>
          <w:p w14:paraId="655399DA" w14:textId="561A7A00"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Тенгизшевройл, Karachaganak Petroleum Operating B.V., North Caspian Operating Company B.V., СНПС-Актобемунайгаз, Мангистаумунайгаз</w:t>
            </w:r>
            <w:r w:rsidR="00307F78" w:rsidRPr="003A6E5A">
              <w:rPr>
                <w:rFonts w:ascii="Times New Roman" w:hAnsi="Times New Roman" w:cs="Times New Roman"/>
                <w:sz w:val="20"/>
                <w:szCs w:val="20"/>
              </w:rPr>
              <w:t xml:space="preserve"> </w:t>
            </w:r>
            <w:r w:rsidR="00336BBF" w:rsidRPr="003A6E5A">
              <w:rPr>
                <w:rFonts w:ascii="Times New Roman" w:hAnsi="Times New Roman" w:cs="Times New Roman"/>
                <w:sz w:val="20"/>
                <w:szCs w:val="20"/>
              </w:rPr>
              <w:t>[</w:t>
            </w:r>
            <w:r w:rsidR="00A822BB" w:rsidRPr="003A6E5A">
              <w:rPr>
                <w:rFonts w:ascii="Times New Roman" w:hAnsi="Times New Roman" w:cs="Times New Roman"/>
                <w:sz w:val="20"/>
                <w:szCs w:val="20"/>
              </w:rPr>
              <w:t>70</w:t>
            </w:r>
            <w:r w:rsidR="00336BBF" w:rsidRPr="003A6E5A">
              <w:rPr>
                <w:rFonts w:ascii="Times New Roman" w:hAnsi="Times New Roman" w:cs="Times New Roman"/>
                <w:sz w:val="20"/>
                <w:szCs w:val="20"/>
              </w:rPr>
              <w:t>]</w:t>
            </w:r>
            <w:r w:rsidRPr="003A6E5A">
              <w:rPr>
                <w:rFonts w:ascii="Times New Roman" w:hAnsi="Times New Roman" w:cs="Times New Roman"/>
                <w:sz w:val="20"/>
                <w:szCs w:val="20"/>
              </w:rPr>
              <w:t>.</w:t>
            </w:r>
          </w:p>
        </w:tc>
      </w:tr>
      <w:tr w:rsidR="00B02CF8" w:rsidRPr="003A6E5A" w14:paraId="26BBAF9F" w14:textId="77777777" w:rsidTr="00BD257E">
        <w:tc>
          <w:tcPr>
            <w:tcW w:w="472" w:type="dxa"/>
          </w:tcPr>
          <w:p w14:paraId="2F4B9F20"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3</w:t>
            </w:r>
          </w:p>
        </w:tc>
        <w:tc>
          <w:tcPr>
            <w:tcW w:w="1933" w:type="dxa"/>
          </w:tcPr>
          <w:p w14:paraId="03245AAE"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Государственно-частное партнёрство</w:t>
            </w:r>
          </w:p>
        </w:tc>
        <w:tc>
          <w:tcPr>
            <w:tcW w:w="4605" w:type="dxa"/>
          </w:tcPr>
          <w:p w14:paraId="24B786B3"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Институциональная форма взаимодействия государства и частного сектора, предусматривающая совместную реализацию инфраструктурных проектов с распределением рисков, затрат и выгод. Применяется преимущественно в социально значимых отраслях.</w:t>
            </w:r>
          </w:p>
        </w:tc>
        <w:tc>
          <w:tcPr>
            <w:tcW w:w="2582" w:type="dxa"/>
          </w:tcPr>
          <w:p w14:paraId="2FB7516E" w14:textId="320FCE73"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Строительство и эксплуатация медицинских центров, образовательных учреждений, систем водоочистки и ЖКХ</w:t>
            </w:r>
            <w:r w:rsidR="00307F78" w:rsidRPr="003A6E5A">
              <w:rPr>
                <w:rFonts w:ascii="Times New Roman" w:hAnsi="Times New Roman" w:cs="Times New Roman"/>
                <w:sz w:val="20"/>
                <w:szCs w:val="20"/>
              </w:rPr>
              <w:t xml:space="preserve"> [</w:t>
            </w:r>
            <w:r w:rsidR="00A822BB" w:rsidRPr="003A6E5A">
              <w:rPr>
                <w:rFonts w:ascii="Times New Roman" w:hAnsi="Times New Roman" w:cs="Times New Roman"/>
                <w:sz w:val="20"/>
                <w:szCs w:val="20"/>
              </w:rPr>
              <w:t>70</w:t>
            </w:r>
            <w:r w:rsidR="00307F78" w:rsidRPr="003A6E5A">
              <w:rPr>
                <w:rFonts w:ascii="Times New Roman" w:hAnsi="Times New Roman" w:cs="Times New Roman"/>
                <w:sz w:val="20"/>
                <w:szCs w:val="20"/>
              </w:rPr>
              <w:t>]</w:t>
            </w:r>
            <w:r w:rsidRPr="003A6E5A">
              <w:rPr>
                <w:rFonts w:ascii="Times New Roman" w:hAnsi="Times New Roman" w:cs="Times New Roman"/>
                <w:sz w:val="20"/>
                <w:szCs w:val="20"/>
              </w:rPr>
              <w:t>.</w:t>
            </w:r>
          </w:p>
        </w:tc>
      </w:tr>
      <w:tr w:rsidR="00B02CF8" w:rsidRPr="003A6E5A" w14:paraId="2A50F0BE" w14:textId="77777777" w:rsidTr="00BD257E">
        <w:tc>
          <w:tcPr>
            <w:tcW w:w="472" w:type="dxa"/>
          </w:tcPr>
          <w:p w14:paraId="094D2541"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4</w:t>
            </w:r>
          </w:p>
        </w:tc>
        <w:tc>
          <w:tcPr>
            <w:tcW w:w="1933" w:type="dxa"/>
          </w:tcPr>
          <w:p w14:paraId="6F9AF4D2"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Соглашение о прямых иностранных инвестициях</w:t>
            </w:r>
          </w:p>
        </w:tc>
        <w:tc>
          <w:tcPr>
            <w:tcW w:w="4605" w:type="dxa"/>
          </w:tcPr>
          <w:p w14:paraId="26AEFDB3"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Регламентирует правовой режим функционирования иностранных инвесторов, их прав, гарантий, а также применимых льгот и обязательств в рамках инвестиционной деятельности. Обычно применяется при создании предприятий в приоритетных зонах.</w:t>
            </w:r>
          </w:p>
        </w:tc>
        <w:tc>
          <w:tcPr>
            <w:tcW w:w="2582" w:type="dxa"/>
          </w:tcPr>
          <w:p w14:paraId="2247749A" w14:textId="52479AB4"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rPr>
              <w:t>Регистрация компаний в специальных экономических зонах, таких как СЭЗ «Астана-Технополис», «Хоргос» и др.</w:t>
            </w:r>
            <w:r w:rsidR="00307F78" w:rsidRPr="003A6E5A">
              <w:rPr>
                <w:rFonts w:ascii="Times New Roman" w:hAnsi="Times New Roman" w:cs="Times New Roman"/>
                <w:sz w:val="20"/>
                <w:szCs w:val="20"/>
              </w:rPr>
              <w:t xml:space="preserve"> </w:t>
            </w:r>
            <w:r w:rsidR="00307F78" w:rsidRPr="003A6E5A">
              <w:rPr>
                <w:rFonts w:ascii="Times New Roman" w:hAnsi="Times New Roman" w:cs="Times New Roman"/>
                <w:sz w:val="20"/>
                <w:szCs w:val="20"/>
                <w:lang w:val="en-US"/>
              </w:rPr>
              <w:t>[</w:t>
            </w:r>
            <w:r w:rsidR="00A822BB" w:rsidRPr="003A6E5A">
              <w:rPr>
                <w:rFonts w:ascii="Times New Roman" w:hAnsi="Times New Roman" w:cs="Times New Roman"/>
                <w:sz w:val="20"/>
                <w:szCs w:val="20"/>
                <w:lang w:val="en-US"/>
              </w:rPr>
              <w:t>70</w:t>
            </w:r>
            <w:r w:rsidR="00307F78" w:rsidRPr="003A6E5A">
              <w:rPr>
                <w:rFonts w:ascii="Times New Roman" w:hAnsi="Times New Roman" w:cs="Times New Roman"/>
                <w:sz w:val="20"/>
                <w:szCs w:val="20"/>
                <w:lang w:val="en-US"/>
              </w:rPr>
              <w:t>]</w:t>
            </w:r>
          </w:p>
        </w:tc>
      </w:tr>
      <w:tr w:rsidR="00B02CF8" w:rsidRPr="003A6E5A" w14:paraId="7AEDC658" w14:textId="77777777" w:rsidTr="00BD257E">
        <w:tc>
          <w:tcPr>
            <w:tcW w:w="472" w:type="dxa"/>
          </w:tcPr>
          <w:p w14:paraId="7E3076B8"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5</w:t>
            </w:r>
          </w:p>
        </w:tc>
        <w:tc>
          <w:tcPr>
            <w:tcW w:w="1933" w:type="dxa"/>
          </w:tcPr>
          <w:p w14:paraId="24477EE9"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Долевое инвестиционное соглашение</w:t>
            </w:r>
          </w:p>
        </w:tc>
        <w:tc>
          <w:tcPr>
            <w:tcW w:w="4605" w:type="dxa"/>
          </w:tcPr>
          <w:p w14:paraId="65DC731B"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Инвестор приобретает долю в уставном капитале предприятия в обмен на предоставленные инвестиции, становясь соучастником управления и распределения прибыли. Широко используется в инновационных отраслях.</w:t>
            </w:r>
          </w:p>
        </w:tc>
        <w:tc>
          <w:tcPr>
            <w:tcW w:w="2582" w:type="dxa"/>
          </w:tcPr>
          <w:p w14:paraId="5538B111" w14:textId="647F760D"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В</w:t>
            </w:r>
            <w:r w:rsidRPr="003A6E5A">
              <w:rPr>
                <w:rFonts w:ascii="Times New Roman" w:hAnsi="Times New Roman" w:cs="Times New Roman"/>
                <w:sz w:val="20"/>
                <w:szCs w:val="20"/>
              </w:rPr>
              <w:t>енчурное финансирование, инвестиции в стартапы, инновационные кластеры</w:t>
            </w:r>
            <w:r w:rsidR="00307F78" w:rsidRPr="003A6E5A">
              <w:rPr>
                <w:rFonts w:ascii="Times New Roman" w:hAnsi="Times New Roman" w:cs="Times New Roman"/>
                <w:sz w:val="20"/>
                <w:szCs w:val="20"/>
              </w:rPr>
              <w:t xml:space="preserve"> [</w:t>
            </w:r>
            <w:r w:rsidR="00A822BB" w:rsidRPr="003A6E5A">
              <w:rPr>
                <w:rFonts w:ascii="Times New Roman" w:hAnsi="Times New Roman" w:cs="Times New Roman"/>
                <w:sz w:val="20"/>
                <w:szCs w:val="20"/>
              </w:rPr>
              <w:t>70</w:t>
            </w:r>
            <w:r w:rsidR="00307F78" w:rsidRPr="003A6E5A">
              <w:rPr>
                <w:rFonts w:ascii="Times New Roman" w:hAnsi="Times New Roman" w:cs="Times New Roman"/>
                <w:sz w:val="20"/>
                <w:szCs w:val="20"/>
              </w:rPr>
              <w:t>]</w:t>
            </w:r>
            <w:r w:rsidRPr="003A6E5A">
              <w:rPr>
                <w:rFonts w:ascii="Times New Roman" w:hAnsi="Times New Roman" w:cs="Times New Roman"/>
                <w:sz w:val="20"/>
                <w:szCs w:val="20"/>
              </w:rPr>
              <w:t>.</w:t>
            </w:r>
          </w:p>
        </w:tc>
      </w:tr>
      <w:tr w:rsidR="00B02CF8" w:rsidRPr="003A6E5A" w14:paraId="62A90DA5" w14:textId="77777777" w:rsidTr="00BD257E">
        <w:tc>
          <w:tcPr>
            <w:tcW w:w="472" w:type="dxa"/>
          </w:tcPr>
          <w:p w14:paraId="0EDF10C3"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6</w:t>
            </w:r>
          </w:p>
        </w:tc>
        <w:tc>
          <w:tcPr>
            <w:tcW w:w="1933" w:type="dxa"/>
          </w:tcPr>
          <w:p w14:paraId="1E92C6CF" w14:textId="0F2D89A3"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Соглашение об инвестициях (инвестиционное соглашение)</w:t>
            </w:r>
          </w:p>
        </w:tc>
        <w:tc>
          <w:tcPr>
            <w:tcW w:w="4605" w:type="dxa"/>
          </w:tcPr>
          <w:p w14:paraId="7FE1AEFD"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Двусторонний юридический договор, заключаемый между иностранным инвестором и уполномоченным органом Республики Казахстан. Применяется к крупным проектам (от 7,5 млн МРП). Предусматривает налоговые льготы, стабильность условий, правовые гарантии, срок действия до 25 лет.</w:t>
            </w:r>
          </w:p>
        </w:tc>
        <w:tc>
          <w:tcPr>
            <w:tcW w:w="2582" w:type="dxa"/>
          </w:tcPr>
          <w:p w14:paraId="10031E2B" w14:textId="61E5D979"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Применяется для проектов в обрабатывающей промышленности, логистике, агропромышленном комплексе, энергетике</w:t>
            </w:r>
            <w:r w:rsidR="00307F78" w:rsidRPr="003A6E5A">
              <w:rPr>
                <w:rFonts w:ascii="Times New Roman" w:hAnsi="Times New Roman" w:cs="Times New Roman"/>
                <w:sz w:val="20"/>
                <w:szCs w:val="20"/>
              </w:rPr>
              <w:t xml:space="preserve"> [</w:t>
            </w:r>
            <w:r w:rsidR="00A822BB" w:rsidRPr="003A6E5A">
              <w:rPr>
                <w:rFonts w:ascii="Times New Roman" w:hAnsi="Times New Roman" w:cs="Times New Roman"/>
                <w:sz w:val="20"/>
                <w:szCs w:val="20"/>
              </w:rPr>
              <w:t>70</w:t>
            </w:r>
            <w:r w:rsidR="00307F78" w:rsidRPr="003A6E5A">
              <w:rPr>
                <w:rFonts w:ascii="Times New Roman" w:hAnsi="Times New Roman" w:cs="Times New Roman"/>
                <w:sz w:val="20"/>
                <w:szCs w:val="20"/>
              </w:rPr>
              <w:t>]</w:t>
            </w:r>
            <w:r w:rsidRPr="003A6E5A">
              <w:rPr>
                <w:rFonts w:ascii="Times New Roman" w:hAnsi="Times New Roman" w:cs="Times New Roman"/>
                <w:sz w:val="20"/>
                <w:szCs w:val="20"/>
              </w:rPr>
              <w:t>.</w:t>
            </w:r>
          </w:p>
        </w:tc>
      </w:tr>
      <w:tr w:rsidR="00B02CF8" w:rsidRPr="003A6E5A" w14:paraId="599479F8" w14:textId="77777777" w:rsidTr="00BD257E">
        <w:tc>
          <w:tcPr>
            <w:tcW w:w="472" w:type="dxa"/>
          </w:tcPr>
          <w:p w14:paraId="0A7D4B5C"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7</w:t>
            </w:r>
          </w:p>
        </w:tc>
        <w:tc>
          <w:tcPr>
            <w:tcW w:w="1933" w:type="dxa"/>
          </w:tcPr>
          <w:p w14:paraId="03C0C8CA" w14:textId="2880D295" w:rsidR="0003217D" w:rsidRPr="003A6E5A" w:rsidRDefault="00F743BE"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Специальный инвестиционный контракт</w:t>
            </w:r>
          </w:p>
        </w:tc>
        <w:tc>
          <w:tcPr>
            <w:tcW w:w="4605" w:type="dxa"/>
          </w:tcPr>
          <w:p w14:paraId="15E3A1FC"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Соглашение, предусматривающее реализацию инвестиционного проекта с объёмом инвестиций не менее 7,5 млн МРП (по состоянию на 1 января соответствующего финансового года). Содержит налоговые и таможенные льготы, а также институциональные гарантии.</w:t>
            </w:r>
          </w:p>
        </w:tc>
        <w:tc>
          <w:tcPr>
            <w:tcW w:w="2582" w:type="dxa"/>
          </w:tcPr>
          <w:p w14:paraId="58CA07A7" w14:textId="6E2D4629" w:rsidR="0003217D" w:rsidRPr="003A6E5A" w:rsidRDefault="00277AC0"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Освобождается от обложения таможенными пошлинами при импорте технологического оборудования, комплектующих и запасных частей к нему в соответствии с </w:t>
            </w:r>
            <w:r w:rsidRPr="003A6E5A">
              <w:rPr>
                <w:rFonts w:ascii="Times New Roman" w:hAnsi="Times New Roman" w:cs="Times New Roman"/>
                <w:sz w:val="20"/>
                <w:szCs w:val="20"/>
              </w:rPr>
              <w:lastRenderedPageBreak/>
              <w:t xml:space="preserve">законодательством РК. </w:t>
            </w:r>
            <w:r w:rsidR="00997465" w:rsidRPr="003A6E5A">
              <w:rPr>
                <w:rFonts w:ascii="Times New Roman" w:hAnsi="Times New Roman" w:cs="Times New Roman"/>
                <w:sz w:val="20"/>
                <w:szCs w:val="20"/>
              </w:rPr>
              <w:t>[46]</w:t>
            </w:r>
            <w:r w:rsidR="00FC275D" w:rsidRPr="003A6E5A">
              <w:rPr>
                <w:rFonts w:ascii="Times New Roman" w:hAnsi="Times New Roman" w:cs="Times New Roman"/>
                <w:sz w:val="20"/>
                <w:szCs w:val="20"/>
              </w:rPr>
              <w:t>.</w:t>
            </w:r>
          </w:p>
        </w:tc>
      </w:tr>
      <w:tr w:rsidR="00B02CF8" w:rsidRPr="003A6E5A" w14:paraId="742B654C" w14:textId="77777777" w:rsidTr="00BD257E">
        <w:tc>
          <w:tcPr>
            <w:tcW w:w="472" w:type="dxa"/>
          </w:tcPr>
          <w:p w14:paraId="3017F2F1"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lastRenderedPageBreak/>
              <w:t>8</w:t>
            </w:r>
          </w:p>
        </w:tc>
        <w:tc>
          <w:tcPr>
            <w:tcW w:w="1933" w:type="dxa"/>
          </w:tcPr>
          <w:p w14:paraId="21CFC4D8"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Межправительственное Соглашения о поощрении и взаимной защите инвестиций</w:t>
            </w:r>
          </w:p>
        </w:tc>
        <w:tc>
          <w:tcPr>
            <w:tcW w:w="4605" w:type="dxa"/>
          </w:tcPr>
          <w:p w14:paraId="3ABF5C46"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Международные соглашения, заключаемые между двумя или более государствами, направленные на взаимное поощрение и защиту инвестиций. Предусматривают гарантии от экспроприации, национальный режим, справедливый и равноправный доступ.</w:t>
            </w:r>
          </w:p>
        </w:tc>
        <w:tc>
          <w:tcPr>
            <w:tcW w:w="2582" w:type="dxa"/>
          </w:tcPr>
          <w:p w14:paraId="5A43C00C" w14:textId="721F86EC"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rPr>
              <w:t>Казахстан заключил около 50 таких соглашений, в т.ч. с 19 странами Европейского союза, Китаем, США, Японией и др.</w:t>
            </w:r>
            <w:r w:rsidR="00336BBF" w:rsidRPr="003A6E5A">
              <w:rPr>
                <w:rFonts w:ascii="Times New Roman" w:hAnsi="Times New Roman" w:cs="Times New Roman"/>
                <w:sz w:val="20"/>
                <w:szCs w:val="20"/>
              </w:rPr>
              <w:t xml:space="preserve"> </w:t>
            </w:r>
            <w:r w:rsidR="00336BBF" w:rsidRPr="003A6E5A">
              <w:rPr>
                <w:rFonts w:ascii="Times New Roman" w:hAnsi="Times New Roman" w:cs="Times New Roman"/>
                <w:sz w:val="20"/>
                <w:szCs w:val="20"/>
                <w:lang w:val="en-US"/>
              </w:rPr>
              <w:t>[47]</w:t>
            </w:r>
          </w:p>
        </w:tc>
      </w:tr>
    </w:tbl>
    <w:p w14:paraId="2A1B7B61" w14:textId="40846C3E" w:rsidR="0003217D" w:rsidRPr="003A6E5A" w:rsidRDefault="003D43A8" w:rsidP="001608EA">
      <w:pPr>
        <w:spacing w:after="0" w:line="240" w:lineRule="auto"/>
        <w:jc w:val="both"/>
        <w:rPr>
          <w:rFonts w:ascii="Times New Roman" w:hAnsi="Times New Roman" w:cs="Times New Roman"/>
          <w:sz w:val="20"/>
          <w:szCs w:val="20"/>
          <w:lang w:val="kk-KZ"/>
        </w:rPr>
      </w:pPr>
      <w:r w:rsidRPr="003A6E5A">
        <w:rPr>
          <w:rFonts w:ascii="Times New Roman" w:hAnsi="Times New Roman" w:cs="Times New Roman"/>
          <w:sz w:val="20"/>
          <w:szCs w:val="20"/>
          <w:lang w:val="kk-KZ"/>
        </w:rPr>
        <w:t>Примечание: таблица составлена автором исследования</w:t>
      </w:r>
    </w:p>
    <w:p w14:paraId="333964C9" w14:textId="77777777" w:rsidR="00DF46D3" w:rsidRPr="003A6E5A" w:rsidRDefault="00DF46D3" w:rsidP="001608EA">
      <w:pPr>
        <w:spacing w:after="0" w:line="240" w:lineRule="auto"/>
        <w:jc w:val="both"/>
        <w:rPr>
          <w:rFonts w:ascii="Times New Roman" w:hAnsi="Times New Roman" w:cs="Times New Roman"/>
          <w:sz w:val="20"/>
          <w:szCs w:val="20"/>
        </w:rPr>
      </w:pPr>
    </w:p>
    <w:p w14:paraId="312BD06A" w14:textId="3497D3A9" w:rsidR="00077BAA" w:rsidRPr="003A6E5A" w:rsidRDefault="00077BAA" w:rsidP="005C73A9">
      <w:pPr>
        <w:spacing w:after="0" w:line="240" w:lineRule="auto"/>
        <w:jc w:val="both"/>
        <w:rPr>
          <w:rStyle w:val="markedcontent"/>
          <w:rFonts w:ascii="Times New Roman" w:eastAsia="SimSun" w:hAnsi="Times New Roman" w:cs="Times New Roman"/>
          <w:sz w:val="28"/>
          <w:szCs w:val="28"/>
          <w:lang w:val="kk-KZ" w:eastAsia="zh-CN"/>
        </w:rPr>
      </w:pPr>
      <w:r w:rsidRPr="003A6E5A">
        <w:rPr>
          <w:rStyle w:val="markedcontent"/>
          <w:rFonts w:ascii="Times New Roman" w:eastAsia="SimSun" w:hAnsi="Times New Roman" w:cs="Times New Roman"/>
          <w:sz w:val="28"/>
          <w:szCs w:val="28"/>
          <w:lang w:val="kk-KZ" w:eastAsia="zh-CN"/>
        </w:rPr>
        <w:t>В Казахстане концессионные соглашения исторически применялись как механизм распределения рисков и компетенций между государством и частным инвестором при реализации капиталоемких инфраструктурных проектов</w:t>
      </w:r>
      <w:r w:rsidR="00631518" w:rsidRPr="003A6E5A">
        <w:rPr>
          <w:rStyle w:val="markedcontent"/>
          <w:rFonts w:ascii="Times New Roman" w:eastAsia="SimSun" w:hAnsi="Times New Roman" w:cs="Times New Roman"/>
          <w:sz w:val="28"/>
          <w:szCs w:val="28"/>
          <w:lang w:eastAsia="zh-CN"/>
        </w:rPr>
        <w:t xml:space="preserve"> [</w:t>
      </w:r>
      <w:r w:rsidR="00A822BB" w:rsidRPr="003A6E5A">
        <w:rPr>
          <w:rStyle w:val="markedcontent"/>
          <w:rFonts w:ascii="Times New Roman" w:eastAsia="SimSun" w:hAnsi="Times New Roman" w:cs="Times New Roman"/>
          <w:sz w:val="28"/>
          <w:szCs w:val="28"/>
          <w:lang w:eastAsia="zh-CN"/>
        </w:rPr>
        <w:t>71</w:t>
      </w:r>
      <w:r w:rsidR="00631518" w:rsidRPr="003A6E5A">
        <w:rPr>
          <w:rStyle w:val="markedcontent"/>
          <w:rFonts w:ascii="Times New Roman" w:eastAsia="SimSun" w:hAnsi="Times New Roman" w:cs="Times New Roman"/>
          <w:sz w:val="28"/>
          <w:szCs w:val="28"/>
          <w:lang w:eastAsia="zh-CN"/>
        </w:rPr>
        <w:t>]</w:t>
      </w:r>
      <w:r w:rsidRPr="003A6E5A">
        <w:rPr>
          <w:rStyle w:val="markedcontent"/>
          <w:rFonts w:ascii="Times New Roman" w:eastAsia="SimSun" w:hAnsi="Times New Roman" w:cs="Times New Roman"/>
          <w:sz w:val="28"/>
          <w:szCs w:val="28"/>
          <w:lang w:val="kk-KZ" w:eastAsia="zh-CN"/>
        </w:rPr>
        <w:t>. В рамках данной модели государство сохраняло право собственности на объект, делегируя партнеру на долгосрочной основе функции финансирования, строительства, эксплуатации и технического обслуживания с последующей передачей актива по истечении срока действия соглашения. Эволюция правового регулирования данного института демонстрирует переход от отраслевых норм, основанных на Законе «О концессиях» от 23 декабря 1991 года</w:t>
      </w:r>
      <w:r w:rsidR="00B34F3B" w:rsidRPr="003A6E5A">
        <w:rPr>
          <w:rStyle w:val="markedcontent"/>
          <w:rFonts w:ascii="Times New Roman" w:eastAsia="SimSun" w:hAnsi="Times New Roman" w:cs="Times New Roman"/>
          <w:sz w:val="28"/>
          <w:szCs w:val="28"/>
          <w:lang w:val="kk-KZ" w:eastAsia="zh-CN"/>
        </w:rPr>
        <w:t xml:space="preserve"> № 1021-XII</w:t>
      </w:r>
      <w:r w:rsidR="009F56B7" w:rsidRPr="003A6E5A">
        <w:rPr>
          <w:rStyle w:val="markedcontent"/>
          <w:rFonts w:ascii="Times New Roman" w:eastAsia="SimSun" w:hAnsi="Times New Roman" w:cs="Times New Roman"/>
          <w:sz w:val="28"/>
          <w:szCs w:val="28"/>
          <w:lang w:val="kk-KZ" w:eastAsia="zh-CN"/>
        </w:rPr>
        <w:t xml:space="preserve"> </w:t>
      </w:r>
      <w:r w:rsidR="00631518" w:rsidRPr="003A6E5A">
        <w:rPr>
          <w:rStyle w:val="markedcontent"/>
          <w:rFonts w:ascii="Times New Roman" w:eastAsia="SimSun" w:hAnsi="Times New Roman" w:cs="Times New Roman"/>
          <w:sz w:val="28"/>
          <w:szCs w:val="28"/>
          <w:lang w:eastAsia="zh-CN"/>
        </w:rPr>
        <w:t>[</w:t>
      </w:r>
      <w:r w:rsidR="00A822BB" w:rsidRPr="003A6E5A">
        <w:rPr>
          <w:rStyle w:val="markedcontent"/>
          <w:rFonts w:ascii="Times New Roman" w:eastAsia="SimSun" w:hAnsi="Times New Roman" w:cs="Times New Roman"/>
          <w:sz w:val="28"/>
          <w:szCs w:val="28"/>
          <w:lang w:eastAsia="zh-CN"/>
        </w:rPr>
        <w:t>72</w:t>
      </w:r>
      <w:r w:rsidR="00631518" w:rsidRPr="003A6E5A">
        <w:rPr>
          <w:rStyle w:val="markedcontent"/>
          <w:rFonts w:ascii="Times New Roman" w:eastAsia="SimSun" w:hAnsi="Times New Roman" w:cs="Times New Roman"/>
          <w:sz w:val="28"/>
          <w:szCs w:val="28"/>
          <w:lang w:eastAsia="zh-CN"/>
        </w:rPr>
        <w:t>]</w:t>
      </w:r>
      <w:r w:rsidRPr="003A6E5A">
        <w:rPr>
          <w:rStyle w:val="markedcontent"/>
          <w:rFonts w:ascii="Times New Roman" w:eastAsia="SimSun" w:hAnsi="Times New Roman" w:cs="Times New Roman"/>
          <w:sz w:val="28"/>
          <w:szCs w:val="28"/>
          <w:lang w:val="kk-KZ" w:eastAsia="zh-CN"/>
        </w:rPr>
        <w:t xml:space="preserve">, к комплексной законодательной базе, сформированной Законом «О государственно-частном партнерстве» от </w:t>
      </w:r>
      <w:r w:rsidR="00B34F3B" w:rsidRPr="003A6E5A">
        <w:rPr>
          <w:rStyle w:val="markedcontent"/>
          <w:rFonts w:ascii="Times New Roman" w:eastAsia="SimSun" w:hAnsi="Times New Roman" w:cs="Times New Roman"/>
          <w:sz w:val="28"/>
          <w:szCs w:val="28"/>
          <w:lang w:val="kk-KZ" w:eastAsia="zh-CN"/>
        </w:rPr>
        <w:t>3</w:t>
      </w:r>
      <w:r w:rsidRPr="003A6E5A">
        <w:rPr>
          <w:rStyle w:val="markedcontent"/>
          <w:rFonts w:ascii="Times New Roman" w:eastAsia="SimSun" w:hAnsi="Times New Roman" w:cs="Times New Roman"/>
          <w:sz w:val="28"/>
          <w:szCs w:val="28"/>
          <w:lang w:val="kk-KZ" w:eastAsia="zh-CN"/>
        </w:rPr>
        <w:t xml:space="preserve">1 </w:t>
      </w:r>
      <w:r w:rsidR="00B34F3B" w:rsidRPr="003A6E5A">
        <w:rPr>
          <w:rStyle w:val="markedcontent"/>
          <w:rFonts w:ascii="Times New Roman" w:eastAsia="SimSun" w:hAnsi="Times New Roman" w:cs="Times New Roman"/>
          <w:sz w:val="28"/>
          <w:szCs w:val="28"/>
          <w:lang w:val="kk-KZ" w:eastAsia="zh-CN"/>
        </w:rPr>
        <w:t>октяб</w:t>
      </w:r>
      <w:r w:rsidRPr="003A6E5A">
        <w:rPr>
          <w:rStyle w:val="markedcontent"/>
          <w:rFonts w:ascii="Times New Roman" w:eastAsia="SimSun" w:hAnsi="Times New Roman" w:cs="Times New Roman"/>
          <w:sz w:val="28"/>
          <w:szCs w:val="28"/>
          <w:lang w:val="kk-KZ" w:eastAsia="zh-CN"/>
        </w:rPr>
        <w:t>ря 2015 года</w:t>
      </w:r>
      <w:r w:rsidR="00B34F3B" w:rsidRPr="003A6E5A">
        <w:rPr>
          <w:rStyle w:val="markedcontent"/>
          <w:rFonts w:ascii="Times New Roman" w:eastAsia="SimSun" w:hAnsi="Times New Roman" w:cs="Times New Roman"/>
          <w:sz w:val="28"/>
          <w:szCs w:val="28"/>
          <w:lang w:val="kk-KZ" w:eastAsia="zh-CN"/>
        </w:rPr>
        <w:t xml:space="preserve"> № 379-V ЗРК</w:t>
      </w:r>
      <w:r w:rsidR="009F56B7" w:rsidRPr="003A6E5A">
        <w:rPr>
          <w:rStyle w:val="markedcontent"/>
          <w:rFonts w:ascii="Times New Roman" w:eastAsia="SimSun" w:hAnsi="Times New Roman" w:cs="Times New Roman"/>
          <w:sz w:val="28"/>
          <w:szCs w:val="28"/>
          <w:lang w:val="kk-KZ" w:eastAsia="zh-CN"/>
        </w:rPr>
        <w:t xml:space="preserve"> </w:t>
      </w:r>
      <w:r w:rsidR="00631518" w:rsidRPr="003A6E5A">
        <w:rPr>
          <w:rStyle w:val="markedcontent"/>
          <w:rFonts w:ascii="Times New Roman" w:eastAsia="SimSun" w:hAnsi="Times New Roman" w:cs="Times New Roman"/>
          <w:sz w:val="28"/>
          <w:szCs w:val="28"/>
          <w:lang w:eastAsia="zh-CN"/>
        </w:rPr>
        <w:t>[</w:t>
      </w:r>
      <w:r w:rsidR="00A822BB" w:rsidRPr="003A6E5A">
        <w:rPr>
          <w:rStyle w:val="markedcontent"/>
          <w:rFonts w:ascii="Times New Roman" w:eastAsia="SimSun" w:hAnsi="Times New Roman" w:cs="Times New Roman"/>
          <w:sz w:val="28"/>
          <w:szCs w:val="28"/>
          <w:lang w:eastAsia="zh-CN"/>
        </w:rPr>
        <w:t>73</w:t>
      </w:r>
      <w:r w:rsidR="00631518" w:rsidRPr="003A6E5A">
        <w:rPr>
          <w:rStyle w:val="markedcontent"/>
          <w:rFonts w:ascii="Times New Roman" w:eastAsia="SimSun" w:hAnsi="Times New Roman" w:cs="Times New Roman"/>
          <w:sz w:val="28"/>
          <w:szCs w:val="28"/>
          <w:lang w:eastAsia="zh-CN"/>
        </w:rPr>
        <w:t>]</w:t>
      </w:r>
      <w:r w:rsidRPr="003A6E5A">
        <w:rPr>
          <w:rStyle w:val="markedcontent"/>
          <w:rFonts w:ascii="Times New Roman" w:eastAsia="SimSun" w:hAnsi="Times New Roman" w:cs="Times New Roman"/>
          <w:sz w:val="28"/>
          <w:szCs w:val="28"/>
          <w:lang w:val="kk-KZ" w:eastAsia="zh-CN"/>
        </w:rPr>
        <w:t>, который существенно расширил сферу применения государсвтенного частного партнерства за пределы традиционной инфраструктуры и ввел новые формы контрактов.</w:t>
      </w:r>
    </w:p>
    <w:p w14:paraId="5AE4B576" w14:textId="0E438602" w:rsidR="00077BAA" w:rsidRPr="003A6E5A" w:rsidRDefault="00077BAA" w:rsidP="00077BAA">
      <w:pPr>
        <w:spacing w:after="0" w:line="240" w:lineRule="auto"/>
        <w:ind w:firstLine="709"/>
        <w:jc w:val="both"/>
        <w:rPr>
          <w:rStyle w:val="markedcontent"/>
          <w:rFonts w:ascii="Times New Roman" w:eastAsia="SimSun" w:hAnsi="Times New Roman" w:cs="Times New Roman"/>
          <w:sz w:val="28"/>
          <w:szCs w:val="28"/>
          <w:lang w:val="kk-KZ" w:eastAsia="zh-CN"/>
        </w:rPr>
      </w:pPr>
      <w:r w:rsidRPr="003A6E5A">
        <w:rPr>
          <w:rStyle w:val="markedcontent"/>
          <w:rFonts w:ascii="Times New Roman" w:eastAsia="SimSun" w:hAnsi="Times New Roman" w:cs="Times New Roman"/>
          <w:sz w:val="28"/>
          <w:szCs w:val="28"/>
          <w:lang w:val="kk-KZ" w:eastAsia="zh-CN"/>
        </w:rPr>
        <w:t xml:space="preserve">Несмотря на очевидные преимущества, включая возможность привлечения внебюджетных инвестиций в условиях фискальных ограничений, трансфер технологий и повышение операционной эффективности, практическая реализация концессионной модели выявила системные проблемы. Среди них </w:t>
      </w:r>
      <w:r w:rsidR="009F27D4" w:rsidRPr="003A6E5A">
        <w:rPr>
          <w:rStyle w:val="markedcontent"/>
          <w:rFonts w:ascii="Times New Roman" w:eastAsia="SimSun" w:hAnsi="Times New Roman" w:cs="Times New Roman"/>
          <w:sz w:val="28"/>
          <w:szCs w:val="28"/>
          <w:lang w:eastAsia="zh-CN"/>
        </w:rPr>
        <w:t>–</w:t>
      </w:r>
      <w:r w:rsidRPr="003A6E5A">
        <w:rPr>
          <w:rStyle w:val="markedcontent"/>
          <w:rFonts w:ascii="Times New Roman" w:eastAsia="SimSun" w:hAnsi="Times New Roman" w:cs="Times New Roman"/>
          <w:sz w:val="28"/>
          <w:szCs w:val="28"/>
          <w:lang w:val="kk-KZ" w:eastAsia="zh-CN"/>
        </w:rPr>
        <w:t xml:space="preserve"> недостаточная проработка условий контрактов, непрозрачность выбора концессионера, сложности тарифного регулирования и отсутствие независимого регуляторного органа. Ключевым аспектом, отличающим концессионную модель от других форм сотрудничества, является кардинальное различие между концессионной системой и Соглашением о разделе продукции (</w:t>
      </w:r>
      <w:r w:rsidR="0072544A" w:rsidRPr="003A6E5A">
        <w:rPr>
          <w:rFonts w:ascii="Times New Roman" w:hAnsi="Times New Roman" w:cs="Times New Roman"/>
          <w:sz w:val="28"/>
          <w:szCs w:val="28"/>
        </w:rPr>
        <w:t xml:space="preserve">далее – </w:t>
      </w:r>
      <w:r w:rsidRPr="003A6E5A">
        <w:rPr>
          <w:rStyle w:val="markedcontent"/>
          <w:rFonts w:ascii="Times New Roman" w:eastAsia="SimSun" w:hAnsi="Times New Roman" w:cs="Times New Roman"/>
          <w:sz w:val="28"/>
          <w:szCs w:val="28"/>
          <w:lang w:val="kk-KZ" w:eastAsia="zh-CN"/>
        </w:rPr>
        <w:t>СРП). Если при концессионной системе концессионер приобретает право собственности на ресурсы (включая нефть в устье скважины) и реализует их как собственник, неся все риски и уплачивая налоги, то в рамках СРП контрактор становится собственником лишь той части продукции, которая причитается ему после раздела в согласованной точке. Именно эта сложность правовой конструкции обуславливает ограниченное применение концессионных соглашений на практике, поскольку они предполагают полную передачу частному партнеру не только обязанностей по эксплуатации и обслуживанию объекта, но и рисков, связанных с его финансированием и строительством.</w:t>
      </w:r>
    </w:p>
    <w:p w14:paraId="6CDCE48F" w14:textId="3F43762F" w:rsidR="00C246CF" w:rsidRPr="003A6E5A" w:rsidRDefault="00C246CF" w:rsidP="00C246CF">
      <w:pPr>
        <w:spacing w:after="0" w:line="240" w:lineRule="auto"/>
        <w:ind w:firstLine="709"/>
        <w:jc w:val="both"/>
        <w:rPr>
          <w:rStyle w:val="markedcontent"/>
          <w:rFonts w:ascii="Times New Roman" w:eastAsia="SimSun" w:hAnsi="Times New Roman" w:cs="Times New Roman"/>
          <w:sz w:val="28"/>
          <w:szCs w:val="28"/>
          <w:lang w:val="kk-KZ" w:eastAsia="zh-CN"/>
        </w:rPr>
      </w:pPr>
      <w:bookmarkStart w:id="16" w:name="_Toc209538977"/>
      <w:r w:rsidRPr="003A6E5A">
        <w:rPr>
          <w:rStyle w:val="markedcontent"/>
          <w:rFonts w:ascii="Times New Roman" w:eastAsia="SimSun" w:hAnsi="Times New Roman" w:cs="Times New Roman"/>
          <w:sz w:val="28"/>
          <w:szCs w:val="28"/>
          <w:lang w:val="kk-KZ" w:eastAsia="zh-CN"/>
        </w:rPr>
        <w:t xml:space="preserve">В противовес сложным концессионным механизмам, в Казахстане получила широкое распространение более гибкая контрактная система на основе СРП, которая стала ответом на потребность в эффективном инструменте привлечения иностранных инвестиций. Как свидетельствует анализ М.К. Сулейменова и Е.Б. Осипова, в первые годы независимости республика активно </w:t>
      </w:r>
      <w:r w:rsidRPr="003A6E5A">
        <w:rPr>
          <w:rStyle w:val="markedcontent"/>
          <w:rFonts w:ascii="Times New Roman" w:eastAsia="SimSun" w:hAnsi="Times New Roman" w:cs="Times New Roman"/>
          <w:sz w:val="28"/>
          <w:szCs w:val="28"/>
          <w:lang w:val="kk-KZ" w:eastAsia="zh-CN"/>
        </w:rPr>
        <w:lastRenderedPageBreak/>
        <w:t xml:space="preserve">использовала СРП для развития стратегически важного нефтегазового сектора </w:t>
      </w:r>
      <w:r w:rsidR="00336BBF" w:rsidRPr="003A6E5A">
        <w:rPr>
          <w:rStyle w:val="markedcontent"/>
          <w:rFonts w:ascii="Times New Roman" w:eastAsia="SimSun" w:hAnsi="Times New Roman" w:cs="Times New Roman"/>
          <w:sz w:val="28"/>
          <w:szCs w:val="28"/>
          <w:lang w:val="kk-KZ" w:eastAsia="zh-CN"/>
        </w:rPr>
        <w:t>[</w:t>
      </w:r>
      <w:r w:rsidR="00A822BB" w:rsidRPr="003A6E5A">
        <w:rPr>
          <w:rStyle w:val="markedcontent"/>
          <w:rFonts w:ascii="Times New Roman" w:eastAsia="SimSun" w:hAnsi="Times New Roman" w:cs="Times New Roman"/>
          <w:sz w:val="28"/>
          <w:szCs w:val="28"/>
          <w:lang w:eastAsia="zh-CN"/>
        </w:rPr>
        <w:t>64</w:t>
      </w:r>
      <w:r w:rsidR="00336BBF" w:rsidRPr="003A6E5A">
        <w:rPr>
          <w:rStyle w:val="markedcontent"/>
          <w:rFonts w:ascii="Times New Roman" w:eastAsia="SimSun" w:hAnsi="Times New Roman" w:cs="Times New Roman"/>
          <w:sz w:val="28"/>
          <w:szCs w:val="28"/>
          <w:lang w:val="kk-KZ" w:eastAsia="zh-CN"/>
        </w:rPr>
        <w:t>]</w:t>
      </w:r>
      <w:r w:rsidRPr="003A6E5A">
        <w:rPr>
          <w:rStyle w:val="markedcontent"/>
          <w:rFonts w:ascii="Times New Roman" w:eastAsia="SimSun" w:hAnsi="Times New Roman" w:cs="Times New Roman"/>
          <w:sz w:val="28"/>
          <w:szCs w:val="28"/>
          <w:lang w:val="kk-KZ" w:eastAsia="zh-CN"/>
        </w:rPr>
        <w:t xml:space="preserve">. Ключевым преимуществом данного механизма стала его привлекательность для инвесторов, благодаря долгосрочному характеру и льготному налоговому режиму: согласно общему правилу, СРП освобождали инвестора от налога на прибыль и большинства других фискальных обязательств, за исключением роялти и доли продукции, передаваемой государству </w:t>
      </w:r>
      <w:r w:rsidR="00336BBF" w:rsidRPr="003A6E5A">
        <w:rPr>
          <w:rStyle w:val="markedcontent"/>
          <w:rFonts w:ascii="Times New Roman" w:eastAsia="SimSun" w:hAnsi="Times New Roman" w:cs="Times New Roman"/>
          <w:sz w:val="28"/>
          <w:szCs w:val="28"/>
          <w:lang w:val="kk-KZ" w:eastAsia="zh-CN"/>
        </w:rPr>
        <w:t>[</w:t>
      </w:r>
      <w:r w:rsidR="00A822BB" w:rsidRPr="003A6E5A">
        <w:rPr>
          <w:rStyle w:val="markedcontent"/>
          <w:rFonts w:ascii="Times New Roman" w:eastAsia="SimSun" w:hAnsi="Times New Roman" w:cs="Times New Roman"/>
          <w:sz w:val="28"/>
          <w:szCs w:val="28"/>
          <w:lang w:eastAsia="zh-CN"/>
        </w:rPr>
        <w:t>70</w:t>
      </w:r>
      <w:r w:rsidR="00336BBF" w:rsidRPr="003A6E5A">
        <w:rPr>
          <w:rStyle w:val="markedcontent"/>
          <w:rFonts w:ascii="Times New Roman" w:eastAsia="SimSun" w:hAnsi="Times New Roman" w:cs="Times New Roman"/>
          <w:sz w:val="28"/>
          <w:szCs w:val="28"/>
          <w:lang w:val="kk-KZ" w:eastAsia="zh-CN"/>
        </w:rPr>
        <w:t>]</w:t>
      </w:r>
      <w:r w:rsidRPr="003A6E5A">
        <w:rPr>
          <w:rStyle w:val="markedcontent"/>
          <w:rFonts w:ascii="Times New Roman" w:eastAsia="SimSun" w:hAnsi="Times New Roman" w:cs="Times New Roman"/>
          <w:sz w:val="28"/>
          <w:szCs w:val="28"/>
          <w:lang w:val="kk-KZ" w:eastAsia="zh-CN"/>
        </w:rPr>
        <w:t>. Практическим подтверждением эффективности этой политики стало одно из первых СРП, заключенных после обретения суверенитета – соглашение с французской компанией «Эльф Нефтегаз» по Актюбинской области. Успешное применение данной модели впоследствии обусловило её распространение в качестве основной для крупных проектов, таких как освоение Карачаганакского месторождения.</w:t>
      </w:r>
    </w:p>
    <w:p w14:paraId="37B51D14" w14:textId="3E501020" w:rsidR="00C246CF" w:rsidRPr="003A6E5A" w:rsidRDefault="00C246CF" w:rsidP="00C246CF">
      <w:pPr>
        <w:spacing w:after="0" w:line="240" w:lineRule="auto"/>
        <w:ind w:firstLine="709"/>
        <w:jc w:val="both"/>
        <w:rPr>
          <w:rStyle w:val="markedcontent"/>
          <w:rFonts w:ascii="Times New Roman" w:eastAsia="SimSun" w:hAnsi="Times New Roman" w:cs="Times New Roman"/>
          <w:sz w:val="28"/>
          <w:szCs w:val="28"/>
          <w:lang w:val="kk-KZ" w:eastAsia="zh-CN"/>
        </w:rPr>
      </w:pPr>
      <w:r w:rsidRPr="003A6E5A">
        <w:rPr>
          <w:rStyle w:val="markedcontent"/>
          <w:rFonts w:ascii="Times New Roman" w:eastAsia="SimSun" w:hAnsi="Times New Roman" w:cs="Times New Roman"/>
          <w:sz w:val="28"/>
          <w:szCs w:val="28"/>
          <w:lang w:val="kk-KZ" w:eastAsia="zh-CN"/>
        </w:rPr>
        <w:t>Таким образом, СРП стали наиболее институционально устойчивой формой привлечения транснационального бизнеса в нефтегазовый сектор. Их правовой режим обеспечивал предсказуемые условия функционирования иностранных компаний и создавал благоприятную основу для реализации масштабных проектов в сфере недропользования. Согласно актуальным данным аналитического обзора нефтяного сектора за 2023 год, подготовленного Halyk Finance, именно в рамках СРП были реализованы крупнейшие инвестиционные проекты с участием ведущих транснациональных корпораций, включая Chevron, ExxonMobil (США), Eni, Shell (Европа), CNPC (КНР) и других [</w:t>
      </w:r>
      <w:r w:rsidR="00A822BB" w:rsidRPr="003A6E5A">
        <w:rPr>
          <w:rStyle w:val="markedcontent"/>
          <w:rFonts w:ascii="Times New Roman" w:eastAsia="SimSun" w:hAnsi="Times New Roman" w:cs="Times New Roman"/>
          <w:sz w:val="28"/>
          <w:szCs w:val="28"/>
          <w:lang w:eastAsia="zh-CN"/>
        </w:rPr>
        <w:t>74</w:t>
      </w:r>
      <w:r w:rsidRPr="003A6E5A">
        <w:rPr>
          <w:rStyle w:val="markedcontent"/>
          <w:rFonts w:ascii="Times New Roman" w:eastAsia="SimSun" w:hAnsi="Times New Roman" w:cs="Times New Roman"/>
          <w:sz w:val="28"/>
          <w:szCs w:val="28"/>
          <w:lang w:val="kk-KZ" w:eastAsia="zh-CN"/>
        </w:rPr>
        <w:t xml:space="preserve">]. Важно подчеркнуть, что результаты реализации данных проектов вышли далеко за рамки непосредственных задач недропользования: они не только способствовали существенному расширению экспортного потенциала нефтегазовой отрасли, но и стали катализатором инфраструктурной модернизации, развития индустриальной кооперации, внедрения передовых технологий и формирования человеческого капитала, что в совокупности заложило основу для устойчивого экономического роста страны </w:t>
      </w:r>
      <w:r w:rsidRPr="003A6E5A">
        <w:rPr>
          <w:rStyle w:val="markedcontent"/>
          <w:rFonts w:ascii="Times New Roman" w:eastAsia="SimSun" w:hAnsi="Times New Roman" w:cs="Times New Roman"/>
          <w:sz w:val="28"/>
          <w:szCs w:val="28"/>
          <w:lang w:eastAsia="zh-CN"/>
        </w:rPr>
        <w:t>[</w:t>
      </w:r>
      <w:r w:rsidR="00ED5BB7" w:rsidRPr="003A6E5A">
        <w:rPr>
          <w:rStyle w:val="markedcontent"/>
          <w:rFonts w:ascii="Times New Roman" w:eastAsia="SimSun" w:hAnsi="Times New Roman" w:cs="Times New Roman"/>
          <w:sz w:val="28"/>
          <w:szCs w:val="28"/>
          <w:lang w:eastAsia="zh-CN"/>
        </w:rPr>
        <w:t>7</w:t>
      </w:r>
      <w:r w:rsidR="00A822BB" w:rsidRPr="003A6E5A">
        <w:rPr>
          <w:rStyle w:val="markedcontent"/>
          <w:rFonts w:ascii="Times New Roman" w:eastAsia="SimSun" w:hAnsi="Times New Roman" w:cs="Times New Roman"/>
          <w:sz w:val="28"/>
          <w:szCs w:val="28"/>
          <w:lang w:eastAsia="zh-CN"/>
        </w:rPr>
        <w:t>5</w:t>
      </w:r>
      <w:r w:rsidRPr="003A6E5A">
        <w:rPr>
          <w:rStyle w:val="markedcontent"/>
          <w:rFonts w:ascii="Times New Roman" w:eastAsia="SimSun" w:hAnsi="Times New Roman" w:cs="Times New Roman"/>
          <w:sz w:val="28"/>
          <w:szCs w:val="28"/>
          <w:lang w:eastAsia="zh-CN"/>
        </w:rPr>
        <w:t>]</w:t>
      </w:r>
      <w:r w:rsidRPr="003A6E5A">
        <w:rPr>
          <w:rStyle w:val="markedcontent"/>
          <w:rFonts w:ascii="Times New Roman" w:eastAsia="SimSun" w:hAnsi="Times New Roman" w:cs="Times New Roman"/>
          <w:sz w:val="28"/>
          <w:szCs w:val="28"/>
          <w:lang w:val="kk-KZ" w:eastAsia="zh-CN"/>
        </w:rPr>
        <w:t>.</w:t>
      </w:r>
    </w:p>
    <w:p w14:paraId="63751EA0" w14:textId="1C96AF90" w:rsidR="00B41E1A" w:rsidRPr="003A6E5A" w:rsidRDefault="00B41E1A" w:rsidP="00B41E1A">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В последние годы в Казахстане наблюдается институциональное обновление правового режима инвестиционного сотрудничества, выразившееся во введении специального порядка заключения соглашений об инвестициях. Данный механизм, закрепленный в пункте 1 статьи 295-2 Предпринимательского кодекса РК, представляет собой шаг к системной трансформации инвестиционного регулирования. В соответствии с этим положением, соглашения об инвестициях заключаются между уполномоченным органом и юридическим лицом на основании решения Правительства РК и предполагают реализацию инвестиционного проекта с установленным минимальным объемом инвестиций [</w:t>
      </w:r>
      <w:r w:rsidR="00A822BB" w:rsidRPr="003A6E5A">
        <w:rPr>
          <w:rFonts w:ascii="Times New Roman" w:eastAsia="Times New Roman" w:hAnsi="Times New Roman" w:cs="Times New Roman"/>
          <w:sz w:val="28"/>
          <w:szCs w:val="28"/>
          <w:lang w:eastAsia="ru-RU"/>
        </w:rPr>
        <w:t>70</w:t>
      </w:r>
      <w:r w:rsidRPr="003A6E5A">
        <w:rPr>
          <w:rFonts w:ascii="Times New Roman" w:eastAsia="Times New Roman" w:hAnsi="Times New Roman" w:cs="Times New Roman"/>
          <w:sz w:val="28"/>
          <w:szCs w:val="28"/>
          <w:lang w:eastAsia="ru-RU"/>
        </w:rPr>
        <w:t>]. Дальнейшая детализация процедуры осуществлена через подзаконный акт - Приказ и.о. Министра иностранных дел РК от 17 марта 2023 года № 11-1-4/113 «Об утверждении Правил заключения, изменения и расторжения соглашений об инвестициях» [</w:t>
      </w:r>
      <w:r w:rsidR="00ED5BB7" w:rsidRPr="003A6E5A">
        <w:rPr>
          <w:rFonts w:ascii="Times New Roman" w:eastAsia="Times New Roman" w:hAnsi="Times New Roman" w:cs="Times New Roman"/>
          <w:sz w:val="28"/>
          <w:szCs w:val="28"/>
          <w:lang w:eastAsia="ru-RU"/>
        </w:rPr>
        <w:t>7</w:t>
      </w:r>
      <w:r w:rsidR="00A822BB" w:rsidRPr="003A6E5A">
        <w:rPr>
          <w:rFonts w:ascii="Times New Roman" w:eastAsia="Times New Roman" w:hAnsi="Times New Roman" w:cs="Times New Roman"/>
          <w:sz w:val="28"/>
          <w:szCs w:val="28"/>
          <w:lang w:eastAsia="ru-RU"/>
        </w:rPr>
        <w:t>6</w:t>
      </w:r>
      <w:r w:rsidRPr="003A6E5A">
        <w:rPr>
          <w:rFonts w:ascii="Times New Roman" w:eastAsia="Times New Roman" w:hAnsi="Times New Roman" w:cs="Times New Roman"/>
          <w:sz w:val="28"/>
          <w:szCs w:val="28"/>
          <w:lang w:eastAsia="ru-RU"/>
        </w:rPr>
        <w:t>], что усилило нормативную определенность и процедурную прозрачность.</w:t>
      </w:r>
    </w:p>
    <w:p w14:paraId="55350526" w14:textId="380BE856" w:rsidR="00830FCE" w:rsidRPr="003A6E5A" w:rsidRDefault="00830FCE" w:rsidP="00830FC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Практическая реализация нового института свидетельствует о стремительном росте его востребованности. Если в 2024 году было заключено 6 </w:t>
      </w:r>
      <w:r w:rsidRPr="003A6E5A">
        <w:rPr>
          <w:rFonts w:ascii="Times New Roman" w:eastAsia="Times New Roman" w:hAnsi="Times New Roman" w:cs="Times New Roman"/>
          <w:sz w:val="28"/>
          <w:szCs w:val="28"/>
          <w:lang w:eastAsia="ru-RU"/>
        </w:rPr>
        <w:lastRenderedPageBreak/>
        <w:t xml:space="preserve">соответствующих соглашений, то в 2025 году их число достигло 21 </w:t>
      </w:r>
      <w:r w:rsidR="00ED5BB7" w:rsidRPr="003A6E5A">
        <w:rPr>
          <w:rFonts w:ascii="Times New Roman" w:eastAsia="Times New Roman" w:hAnsi="Times New Roman" w:cs="Times New Roman"/>
          <w:sz w:val="28"/>
          <w:szCs w:val="28"/>
          <w:lang w:eastAsia="ru-RU"/>
        </w:rPr>
        <w:t>[</w:t>
      </w:r>
      <w:r w:rsidR="00A822BB" w:rsidRPr="003A6E5A">
        <w:rPr>
          <w:rFonts w:ascii="Times New Roman" w:eastAsia="Times New Roman" w:hAnsi="Times New Roman" w:cs="Times New Roman"/>
          <w:sz w:val="28"/>
          <w:szCs w:val="28"/>
          <w:lang w:eastAsia="ru-RU"/>
        </w:rPr>
        <w:t>70</w:t>
      </w:r>
      <w:r w:rsidR="00ED5BB7"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Нормативной основой для данной деятельности служат Правила заключения, изменения и расторжения соглашений об инвестициях, утверждённые приказом и.о. Министра иностранных дел РК от 17 марта 2023 года № 11-1-4/113 (далее – Правила). Содержание 27 уже подписанных соглашений является конфиденциальным и, безусловно, индивидуализированным, однако анализ законодательно установленных Правил позволяет выделить стандартный пакет предоставляемых преференций. Согласно Правилам, инвесторам предоставляется освобождение от корпоративного подоходного налога, нулевые ставки по налогу на имущество и земельному налогу, отмена таможенных пошлин и НДС при ввозе оборудования, а также гарантия стабильности законодательства сроком до 25 лет (п. 4 Правил).</w:t>
      </w:r>
    </w:p>
    <w:p w14:paraId="189313B9" w14:textId="212975F7" w:rsidR="005C73A9" w:rsidRPr="003A6E5A" w:rsidRDefault="005C73A9" w:rsidP="005C73A9">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Предоставление долгосрочных гарантий инвесторам формирует системные риски для экономики. Фиксация налоговых льгот на 25 лет ограничивает бюджетную гибкость </w:t>
      </w:r>
      <w:r w:rsidR="00A822BB"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 даже при неэффективности проекта государство обязано сохранять льготный режим, что создаёт почву для международных арбитражных споров. Одновременно возникает регуляторный дуализм: иностранные инвесторы получают стабильность на четверть века, тогда как местные компании работают в условиях постоянных изменений законодательства.</w:t>
      </w:r>
    </w:p>
    <w:p w14:paraId="7944B74A" w14:textId="77777777" w:rsidR="005C73A9" w:rsidRPr="003A6E5A" w:rsidRDefault="005C73A9" w:rsidP="005C73A9">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Новая модель демонстрирует преемственность с ранее действовавшими механизмами СРП. В обмен на гарантии инвестор принимает встречные обязательства по созданию рабочих мест, локализации и технологической модернизации, выполняемые преимущественно на этапе строительства. Однако если в 1990-е годы такая система была оправдана задачами восстановления экономики, то сегодня её целесообразность требует переосмысления с учётом современных экономических реалий.</w:t>
      </w:r>
    </w:p>
    <w:p w14:paraId="641378F4" w14:textId="323547E6" w:rsidR="0042048C" w:rsidRPr="003A6E5A" w:rsidRDefault="0042048C" w:rsidP="005C73A9">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Государственно-частное партнерство представляет собой действенный механизм привлечения частных инвестиций в социальную инфраструктуру, однако создает значительные долгосрочные обязательства для государства в связи с продолжительностью договоров, которые заключаются на срок от пяти до тридцати лет</w:t>
      </w:r>
      <w:r w:rsidR="00631518" w:rsidRPr="003A6E5A">
        <w:rPr>
          <w:rFonts w:ascii="Times New Roman" w:eastAsia="Times New Roman" w:hAnsi="Times New Roman" w:cs="Times New Roman"/>
          <w:sz w:val="28"/>
          <w:szCs w:val="28"/>
          <w:lang w:eastAsia="ru-RU"/>
        </w:rPr>
        <w:t xml:space="preserve"> [</w:t>
      </w:r>
      <w:r w:rsidR="00A822BB" w:rsidRPr="003A6E5A">
        <w:rPr>
          <w:rFonts w:ascii="Times New Roman" w:eastAsia="Times New Roman" w:hAnsi="Times New Roman" w:cs="Times New Roman"/>
          <w:sz w:val="28"/>
          <w:szCs w:val="28"/>
          <w:lang w:eastAsia="ru-RU"/>
        </w:rPr>
        <w:t>73</w:t>
      </w:r>
      <w:r w:rsidR="00631518"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Демонстрируя высокую эффективность в решении социальных задач, как показал пример дошкольного образования, где благодаря реализации 240 договоров ГЧП удалось достичь 98,5% охвата детей детскими садами, данный институт тем не менее обладает существенными недостатками</w:t>
      </w:r>
      <w:r w:rsidR="000829FA" w:rsidRPr="003A6E5A">
        <w:rPr>
          <w:rFonts w:ascii="Times New Roman" w:eastAsia="Times New Roman" w:hAnsi="Times New Roman" w:cs="Times New Roman"/>
          <w:sz w:val="28"/>
          <w:szCs w:val="28"/>
          <w:lang w:eastAsia="ru-RU"/>
        </w:rPr>
        <w:t xml:space="preserve"> [</w:t>
      </w:r>
      <w:r w:rsidR="00ED5BB7" w:rsidRPr="003A6E5A">
        <w:rPr>
          <w:rFonts w:ascii="Times New Roman" w:eastAsia="Times New Roman" w:hAnsi="Times New Roman" w:cs="Times New Roman"/>
          <w:sz w:val="28"/>
          <w:szCs w:val="28"/>
          <w:lang w:eastAsia="ru-RU"/>
        </w:rPr>
        <w:t>7</w:t>
      </w:r>
      <w:r w:rsidR="00A822BB" w:rsidRPr="003A6E5A">
        <w:rPr>
          <w:rFonts w:ascii="Times New Roman" w:eastAsia="Times New Roman" w:hAnsi="Times New Roman" w:cs="Times New Roman"/>
          <w:sz w:val="28"/>
          <w:szCs w:val="28"/>
          <w:lang w:eastAsia="ru-RU"/>
        </w:rPr>
        <w:t>7</w:t>
      </w:r>
      <w:r w:rsidR="000829FA"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К ним относятся многолетняя бюджетная нагрузка в форме компенсаций инвестиционных затрат и платы за доступность, сложность администрирования и контроля качества услуг, а также риски недобросовестного исполнения обязательств частными партнерами. Таким образом, успешная реализация проектов ГЧП требует сбалансированного подхода, учитывающего как достигаемый социальный эффект, так и долгосрочные финансовые последствия для государства.</w:t>
      </w:r>
    </w:p>
    <w:p w14:paraId="45BFE358" w14:textId="4F78ACB4" w:rsidR="009F27D4" w:rsidRPr="003A6E5A" w:rsidRDefault="009F27D4" w:rsidP="009F27D4">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Специальный инвестиционный контракт (</w:t>
      </w:r>
      <w:r w:rsidR="0072544A" w:rsidRPr="003A6E5A">
        <w:rPr>
          <w:rFonts w:ascii="Times New Roman" w:hAnsi="Times New Roman" w:cs="Times New Roman"/>
          <w:sz w:val="28"/>
          <w:szCs w:val="28"/>
        </w:rPr>
        <w:t xml:space="preserve">далее – </w:t>
      </w:r>
      <w:r w:rsidRPr="003A6E5A">
        <w:rPr>
          <w:rFonts w:ascii="Times New Roman" w:eastAsia="Times New Roman" w:hAnsi="Times New Roman" w:cs="Times New Roman"/>
          <w:sz w:val="28"/>
          <w:szCs w:val="28"/>
          <w:lang w:eastAsia="ru-RU"/>
        </w:rPr>
        <w:t xml:space="preserve">СПИК) в Казахстане представляет собой целевой инструмент государственной поддержки, </w:t>
      </w:r>
      <w:r w:rsidRPr="003A6E5A">
        <w:rPr>
          <w:rFonts w:ascii="Times New Roman" w:eastAsia="Times New Roman" w:hAnsi="Times New Roman" w:cs="Times New Roman"/>
          <w:sz w:val="28"/>
          <w:szCs w:val="28"/>
          <w:lang w:eastAsia="ru-RU"/>
        </w:rPr>
        <w:lastRenderedPageBreak/>
        <w:t xml:space="preserve">ориентированный исключительно на резидентов специальных экономических зон, владельцев свободных складов и предприятия, осуществляющие промышленную сборку транспортных средств. Его ключевым преимуществом является предоставление существенных налоговых и таможенных преференций, включая освобождение от уплаты таможенных пошлин на импортируемые сырье и материалы (при условии их идентификации в готовой продукции) и освобождение от НДС при импорте товаров, а также при реализации определенных категорий готовой продукции, что создает прямые финансовые стимулы для запуска и развития промышленных проектов. Однако данный механизм характеризуется ограниченной сферой применения и значительными рисками для инвестора, связанными с жесткими условиями расторжения контракта </w:t>
      </w:r>
      <w:r w:rsidR="005C73A9"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 нарушение таможенного законодательства или отмена регистрации в СЭЗ автоматически ведет к прекращению действия льгот, а исключение из типовой формы раздела о гарантиях стабильности законодательства создает потенциальную угрозу изменения условий реализации проекта в неблагоприятную для инвестора сторону.</w:t>
      </w:r>
    </w:p>
    <w:p w14:paraId="030975FA" w14:textId="6CA6A6E7" w:rsidR="00DF56B0" w:rsidRPr="003A6E5A" w:rsidRDefault="00DF56B0" w:rsidP="00DF56B0">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СПИК, регламентированный статьей 295-1 Предпринимательского кодекса РК, представляет собой целевой инструмент государственной поддержки, предоставляющий резидентам специальных экономических зон и предприятиям промышленной сборки комплексные налоговые льготы. Ключевыми преференциями выступают нулевая ставка корпоративного подоходного налога на срок до 10 лет, освобождение от земельного налога на период до 10 лет и от налога на имущество до 8 лет, а также льготы по НДС, что в совокупности направлено на существенное снижение фискальной нагрузки и повышение рентабельности капиталоемких проектов</w:t>
      </w:r>
      <w:r w:rsidR="00631518" w:rsidRPr="003A6E5A">
        <w:rPr>
          <w:rFonts w:ascii="Times New Roman" w:eastAsia="Times New Roman" w:hAnsi="Times New Roman" w:cs="Times New Roman"/>
          <w:sz w:val="28"/>
          <w:szCs w:val="28"/>
        </w:rPr>
        <w:t xml:space="preserve"> </w:t>
      </w:r>
      <w:r w:rsidR="00997465" w:rsidRPr="003A6E5A">
        <w:rPr>
          <w:rFonts w:ascii="Times New Roman" w:eastAsia="Times New Roman" w:hAnsi="Times New Roman" w:cs="Times New Roman"/>
          <w:sz w:val="28"/>
          <w:szCs w:val="28"/>
        </w:rPr>
        <w:t>[46]</w:t>
      </w:r>
      <w:r w:rsidRPr="003A6E5A">
        <w:rPr>
          <w:rFonts w:ascii="Times New Roman" w:eastAsia="Times New Roman" w:hAnsi="Times New Roman" w:cs="Times New Roman"/>
          <w:sz w:val="28"/>
          <w:szCs w:val="28"/>
        </w:rPr>
        <w:t>. Однако, несмотря на значительный объем предоставляемых налоговых преимуществ, их практическая реализация осложняется системными правовыми рисками, возникающими из-за рамочного характера контракта и отсутствия гарантий стабильности налогового режима.</w:t>
      </w:r>
    </w:p>
    <w:p w14:paraId="15A0A834" w14:textId="77777777" w:rsidR="00DF56B0" w:rsidRPr="003A6E5A" w:rsidRDefault="00DF56B0" w:rsidP="00DF56B0">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Именно в правовых аспектах конструкции СПИК проявляется фундаментальный дисбаланс между объемом предоставляемых налоговых льгот и уровнем защиты прав инвестора. Данный дисбаланс выражается в исключении из типового контракта раздела о стабильности законодательства, жестких условиях расторжения (например, при единичном нарушении таможенных правил) и закреплении исключительной юрисдикции казахстанских судов. Указанные ограничения, в совокупности с отсутствием доступа к международному арбитражу, нивелируют преимущества налоговых льгот для иностранных инвесторов, поскольку последние лишаются надежных механизмов защиты от изменений в законодательстве и потенциальных споров с государственными органами, что в конечном итоге снижает инвестиционную привлекательность данного инструмента для масштабных международных проектов.</w:t>
      </w:r>
    </w:p>
    <w:p w14:paraId="3B2E2DEC" w14:textId="37C8DB66" w:rsidR="00A50517" w:rsidRPr="003A6E5A" w:rsidRDefault="00A50517" w:rsidP="00A50517">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На основании проведенного анализа можно сделать вывод, что эволюция понятия «инвестиции» в законодательстве Республики Казахстан демонстрирует </w:t>
      </w:r>
      <w:r w:rsidRPr="003A6E5A">
        <w:rPr>
          <w:rFonts w:ascii="Times New Roman" w:eastAsia="Times New Roman" w:hAnsi="Times New Roman" w:cs="Times New Roman"/>
          <w:sz w:val="28"/>
          <w:szCs w:val="28"/>
          <w:lang w:eastAsia="ru-RU"/>
        </w:rPr>
        <w:lastRenderedPageBreak/>
        <w:t>сложную диалектику между доктринальными подходами и практикой правового регулирования. Многочисленные исследования в инвестиционной сфере убедительно показывают фундаментальную изменчивость данного понятия, которая отражает трансформацию экономических парадигм - от классической трактовки инвестиций как прироста капитала до современных моделей, охватывающих интеллектуальный, человеческий и венчурный капитал. Доктринальный подход, представленный в работах казахстанских и зарубежных исследователей, последовательно расширяет понятийные границы, включая в инвестиционную деятельность социальные, экологические и инновационные аспекты, что, однако, находит лишь ограниченное отражение в национальном законодательстве.</w:t>
      </w:r>
    </w:p>
    <w:p w14:paraId="46AF990A" w14:textId="501918DF" w:rsidR="00A50517" w:rsidRPr="003A6E5A" w:rsidRDefault="00A50517" w:rsidP="00A50517">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Важно отметить, что в действующем законодательстве </w:t>
      </w:r>
      <w:r w:rsidR="003465F9" w:rsidRPr="003A6E5A">
        <w:rPr>
          <w:rFonts w:ascii="Times New Roman" w:eastAsia="Times New Roman" w:hAnsi="Times New Roman" w:cs="Times New Roman"/>
          <w:sz w:val="28"/>
          <w:szCs w:val="28"/>
          <w:lang w:eastAsia="ru-RU"/>
        </w:rPr>
        <w:t>РК</w:t>
      </w:r>
      <w:r w:rsidRPr="003A6E5A">
        <w:rPr>
          <w:rFonts w:ascii="Times New Roman" w:eastAsia="Times New Roman" w:hAnsi="Times New Roman" w:cs="Times New Roman"/>
          <w:sz w:val="28"/>
          <w:szCs w:val="28"/>
          <w:lang w:eastAsia="ru-RU"/>
        </w:rPr>
        <w:t xml:space="preserve"> отсутствует легальное определение «инвестиционного сотрудничества», однако системный анализ нормативно-правовой базы в данной сфере позволяет выделить конкретные формы его реализации. К ним относятся: концессионное соглашение, соглашения о разделе продукции, государственно-частное партнёрство, соглашение о прямых иностранных инвестициях, долевое инвестиционное соглашение, соглашение об инвестициях (инвестиционное соглашение) и специальный инвестиционный контракт. Каждая из этих форм представляет собой специальный правовой механизм, опосредующий инвестиционное сотрудничество между государством и частными инвесторами.</w:t>
      </w:r>
    </w:p>
    <w:p w14:paraId="2F36769E" w14:textId="77777777" w:rsidR="009E19E4" w:rsidRPr="003A6E5A" w:rsidRDefault="009E19E4" w:rsidP="00A50517">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Эволюция правового регулирования инвестиций в Казахстане характеризуется значительной изменчивостью, что проявляется в шести масштабных редакциях инвестиционного законодательства за период независимости. Эта динамика отражает последовательный поиск баланса между различными целями государственной политики - от создания преференциальных условий для иностранных инвесторов в 1990-е годы до формирования унифицированного правового поля в 2000-е и дальнейшей интеграции инвестиционного регулирования в общую систему предпринимательского права. Сформировавшаяся в результате этого процесса правовая система демонстрирует последовательную дифференциацию подходов к защите прав инвесторов, которая варьируется в зависимости от области вложения капитала и объема инвестиций. Важную роль в становлении этой дифференцированной модели сыграли двусторонние инвестиционные соглашения со странами ЕС, заложившие международно-правовые стандарты защиты. Наиболее существенные гарантии, включая стабилизационные оговорки сроком до 25 лет, предоставляются крупным инвесторам в рамках соглашений об инвестициях с минимальным порогом в 7,5 млн МРП, тогда как для участников специальных экономических зон и субъектов промышленной сборки действуют специальные инвестиционные контракты с более ограниченными преференциями.</w:t>
      </w:r>
    </w:p>
    <w:p w14:paraId="31721693" w14:textId="2E403606" w:rsidR="0077331F" w:rsidRPr="003A6E5A" w:rsidRDefault="00A50517" w:rsidP="00A50517">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Таким образом, сложившаяся в Казахстане система инвестиционного регулирования представляет собой многоуровневую конструкцию, предоставляющую различный уровень защиты в зависимости от сектора экономики и масштаба инвестиционного проекта. Этот дифференцированный </w:t>
      </w:r>
      <w:r w:rsidRPr="003A6E5A">
        <w:rPr>
          <w:rFonts w:ascii="Times New Roman" w:eastAsia="Times New Roman" w:hAnsi="Times New Roman" w:cs="Times New Roman"/>
          <w:sz w:val="28"/>
          <w:szCs w:val="28"/>
          <w:lang w:eastAsia="ru-RU"/>
        </w:rPr>
        <w:lastRenderedPageBreak/>
        <w:t xml:space="preserve">подход, с одной стороны, позволяет гибко стимулировать инвестиции в приоритетные отрасли, но с другой </w:t>
      </w:r>
      <w:r w:rsidR="00ED5BB7"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 создает правовую асимметрию и потенциальные риски для инвесторов, особенно в контексте отсутствия единого доктринального понимания инвестиционной деятельности и легального определения инвестиционного сотрудничества. </w:t>
      </w:r>
      <w:r w:rsidR="003465F9" w:rsidRPr="003A6E5A">
        <w:rPr>
          <w:rFonts w:ascii="Times New Roman" w:eastAsia="Times New Roman" w:hAnsi="Times New Roman" w:cs="Times New Roman"/>
          <w:sz w:val="28"/>
          <w:szCs w:val="28"/>
          <w:lang w:eastAsia="ru-RU"/>
        </w:rPr>
        <w:t>Дальнейшее развитие инвестиционного законодательства требует преодоления разрыва между широкой экономической сущностью инвестиций и их узкоотраслевым правовым пониманием через разработку комплексной концепции, интегрирующей современную доктрину и практические нужды.</w:t>
      </w:r>
    </w:p>
    <w:p w14:paraId="178C66A4" w14:textId="77777777" w:rsidR="0077331F" w:rsidRPr="003A6E5A" w:rsidRDefault="0077331F" w:rsidP="0077331F">
      <w:pPr>
        <w:spacing w:after="0" w:line="240" w:lineRule="auto"/>
        <w:ind w:firstLine="709"/>
        <w:jc w:val="both"/>
        <w:rPr>
          <w:rFonts w:ascii="Times New Roman" w:hAnsi="Times New Roman" w:cs="Times New Roman"/>
          <w:b/>
          <w:sz w:val="28"/>
          <w:szCs w:val="28"/>
        </w:rPr>
      </w:pPr>
    </w:p>
    <w:p w14:paraId="43008578" w14:textId="77777777" w:rsidR="0077331F" w:rsidRPr="003A6E5A" w:rsidRDefault="0077331F" w:rsidP="0077331F">
      <w:pPr>
        <w:spacing w:after="0" w:line="240" w:lineRule="auto"/>
        <w:ind w:firstLine="709"/>
        <w:jc w:val="both"/>
        <w:rPr>
          <w:rFonts w:ascii="Times New Roman" w:hAnsi="Times New Roman" w:cs="Times New Roman"/>
          <w:b/>
          <w:sz w:val="28"/>
          <w:szCs w:val="28"/>
        </w:rPr>
      </w:pPr>
    </w:p>
    <w:p w14:paraId="6F0EF325" w14:textId="77777777" w:rsidR="0077331F" w:rsidRPr="003A6E5A" w:rsidRDefault="00FC275D" w:rsidP="0077331F">
      <w:pPr>
        <w:spacing w:after="0" w:line="240" w:lineRule="auto"/>
        <w:ind w:firstLine="709"/>
        <w:jc w:val="both"/>
        <w:rPr>
          <w:rFonts w:ascii="Times New Roman" w:hAnsi="Times New Roman" w:cs="Times New Roman"/>
          <w:b/>
          <w:sz w:val="28"/>
          <w:szCs w:val="28"/>
        </w:rPr>
      </w:pPr>
      <w:r w:rsidRPr="003A6E5A">
        <w:rPr>
          <w:rFonts w:ascii="Times New Roman" w:hAnsi="Times New Roman" w:cs="Times New Roman"/>
          <w:b/>
          <w:sz w:val="28"/>
          <w:szCs w:val="28"/>
        </w:rPr>
        <w:t>1.</w:t>
      </w:r>
      <w:r w:rsidR="00FC5A0E" w:rsidRPr="003A6E5A">
        <w:rPr>
          <w:rFonts w:ascii="Times New Roman" w:hAnsi="Times New Roman" w:cs="Times New Roman"/>
          <w:b/>
          <w:sz w:val="28"/>
          <w:szCs w:val="28"/>
        </w:rPr>
        <w:t>2</w:t>
      </w:r>
      <w:r w:rsidRPr="003A6E5A">
        <w:rPr>
          <w:rFonts w:ascii="Times New Roman" w:hAnsi="Times New Roman" w:cs="Times New Roman"/>
          <w:b/>
          <w:sz w:val="28"/>
          <w:szCs w:val="28"/>
        </w:rPr>
        <w:t xml:space="preserve"> </w:t>
      </w:r>
      <w:bookmarkStart w:id="17" w:name="_Hlk213167986"/>
      <w:r w:rsidRPr="003A6E5A">
        <w:rPr>
          <w:rFonts w:ascii="Times New Roman" w:hAnsi="Times New Roman" w:cs="Times New Roman"/>
          <w:b/>
          <w:sz w:val="28"/>
          <w:szCs w:val="28"/>
        </w:rPr>
        <w:t>Методологические подходы к оценке инвестиционного потенциала и разработке интегральных показателей</w:t>
      </w:r>
      <w:bookmarkEnd w:id="16"/>
      <w:bookmarkEnd w:id="17"/>
    </w:p>
    <w:p w14:paraId="3A1DDBE6" w14:textId="77777777" w:rsidR="0077331F" w:rsidRPr="003A6E5A" w:rsidRDefault="0077331F" w:rsidP="0077331F">
      <w:pPr>
        <w:spacing w:after="0" w:line="240" w:lineRule="auto"/>
        <w:ind w:firstLine="709"/>
        <w:jc w:val="both"/>
        <w:rPr>
          <w:rFonts w:ascii="Times New Roman" w:eastAsia="SimSun" w:hAnsi="Times New Roman" w:cs="Times New Roman"/>
          <w:sz w:val="28"/>
          <w:szCs w:val="28"/>
          <w:lang w:eastAsia="ru-RU"/>
        </w:rPr>
      </w:pPr>
    </w:p>
    <w:p w14:paraId="18A786F1" w14:textId="2F6A2E9C" w:rsidR="00465215" w:rsidRPr="003A6E5A" w:rsidRDefault="00465215" w:rsidP="0077331F">
      <w:pPr>
        <w:spacing w:after="0" w:line="240" w:lineRule="auto"/>
        <w:ind w:firstLine="709"/>
        <w:jc w:val="both"/>
        <w:rPr>
          <w:rFonts w:ascii="Times New Roman" w:eastAsiaTheme="majorEastAsia" w:hAnsi="Times New Roman" w:cs="Times New Roman"/>
          <w:b/>
          <w:sz w:val="28"/>
          <w:szCs w:val="28"/>
        </w:rPr>
      </w:pPr>
      <w:r w:rsidRPr="003A6E5A">
        <w:rPr>
          <w:rFonts w:ascii="Times New Roman" w:eastAsia="SimSun" w:hAnsi="Times New Roman" w:cs="Times New Roman"/>
          <w:sz w:val="28"/>
          <w:szCs w:val="28"/>
          <w:lang w:eastAsia="ru-RU"/>
        </w:rPr>
        <w:t xml:space="preserve">Разработка эффективных методик оценки инвестиционной привлекательности сохраняет свою актуальность для экономической политики Казахстана, поскольку именно комплекс объективных условий определяет объем и направление инвестиционных потоков. Особую значимость этот вопрос приобретает на региональном уровне, где выявление ключевых детерминант позволяет максимально реализовать специфический потенциал каждой территории в рамках единой инвестиционной стратегии. </w:t>
      </w:r>
      <w:r w:rsidR="00225182" w:rsidRPr="003A6E5A">
        <w:rPr>
          <w:rFonts w:ascii="Times New Roman" w:eastAsia="SimSun" w:hAnsi="Times New Roman" w:cs="Times New Roman"/>
          <w:sz w:val="28"/>
          <w:szCs w:val="28"/>
          <w:lang w:val="kk-KZ" w:eastAsia="ru-RU"/>
        </w:rPr>
        <w:t>При этом п</w:t>
      </w:r>
      <w:r w:rsidRPr="003A6E5A">
        <w:rPr>
          <w:rFonts w:ascii="Times New Roman" w:eastAsia="SimSun" w:hAnsi="Times New Roman" w:cs="Times New Roman"/>
          <w:sz w:val="28"/>
          <w:szCs w:val="28"/>
          <w:lang w:eastAsia="ru-RU"/>
        </w:rPr>
        <w:t xml:space="preserve">онимание состава и значимости этих детерминантов претерпело существенную эволюцию в международных исследованиях. Для систематизации современных методологических подходов к их анализу в работе представлена таблица </w:t>
      </w:r>
      <w:r w:rsidR="007205A3" w:rsidRPr="003A6E5A">
        <w:rPr>
          <w:rFonts w:ascii="Times New Roman" w:eastAsia="SimSun" w:hAnsi="Times New Roman" w:cs="Times New Roman"/>
          <w:sz w:val="28"/>
          <w:szCs w:val="28"/>
          <w:lang w:eastAsia="ru-RU"/>
        </w:rPr>
        <w:t>5</w:t>
      </w:r>
      <w:r w:rsidRPr="003A6E5A">
        <w:rPr>
          <w:rFonts w:ascii="Times New Roman" w:eastAsia="SimSun" w:hAnsi="Times New Roman" w:cs="Times New Roman"/>
          <w:sz w:val="28"/>
          <w:szCs w:val="28"/>
          <w:lang w:eastAsia="ru-RU"/>
        </w:rPr>
        <w:t>, которая отражает ключевые тенденции в изучении факторов прямых иностранных инвестиций.</w:t>
      </w:r>
    </w:p>
    <w:p w14:paraId="64672B3F" w14:textId="77777777" w:rsidR="00A97F2A" w:rsidRPr="003A6E5A" w:rsidRDefault="00A97F2A" w:rsidP="00682AE8">
      <w:pPr>
        <w:spacing w:after="0" w:line="240" w:lineRule="auto"/>
        <w:ind w:firstLine="706"/>
        <w:jc w:val="both"/>
        <w:rPr>
          <w:rFonts w:ascii="Times New Roman" w:eastAsia="Times New Roman" w:hAnsi="Times New Roman" w:cs="Times New Roman"/>
          <w:i/>
          <w:iCs/>
          <w:sz w:val="28"/>
          <w:szCs w:val="28"/>
          <w:lang w:eastAsia="ru-RU"/>
        </w:rPr>
      </w:pPr>
    </w:p>
    <w:p w14:paraId="222C484F" w14:textId="47FA661B" w:rsidR="00682AE8" w:rsidRPr="003A6E5A" w:rsidRDefault="00682AE8" w:rsidP="00682AE8">
      <w:pPr>
        <w:spacing w:after="0" w:line="240" w:lineRule="auto"/>
        <w:jc w:val="both"/>
        <w:rPr>
          <w:rFonts w:ascii="Times New Roman" w:eastAsia="Times New Roman" w:hAnsi="Times New Roman" w:cs="Times New Roman"/>
          <w:iCs/>
          <w:sz w:val="28"/>
          <w:szCs w:val="28"/>
          <w:lang w:eastAsia="ru-RU"/>
        </w:rPr>
      </w:pPr>
      <w:r w:rsidRPr="003A6E5A">
        <w:rPr>
          <w:rFonts w:ascii="Times New Roman" w:eastAsia="Times New Roman" w:hAnsi="Times New Roman" w:cs="Times New Roman"/>
          <w:iCs/>
          <w:sz w:val="28"/>
          <w:szCs w:val="28"/>
          <w:lang w:eastAsia="ru-RU"/>
        </w:rPr>
        <w:t xml:space="preserve">Таблица </w:t>
      </w:r>
      <w:r w:rsidR="007205A3" w:rsidRPr="003A6E5A">
        <w:rPr>
          <w:rFonts w:ascii="Times New Roman" w:eastAsia="Times New Roman" w:hAnsi="Times New Roman" w:cs="Times New Roman"/>
          <w:iCs/>
          <w:sz w:val="28"/>
          <w:szCs w:val="28"/>
          <w:lang w:eastAsia="ru-RU"/>
        </w:rPr>
        <w:t>5</w:t>
      </w:r>
      <w:r w:rsidRPr="003A6E5A">
        <w:rPr>
          <w:rFonts w:ascii="Times New Roman" w:eastAsia="Times New Roman" w:hAnsi="Times New Roman" w:cs="Times New Roman"/>
          <w:iCs/>
          <w:sz w:val="28"/>
          <w:szCs w:val="28"/>
          <w:lang w:eastAsia="ru-RU"/>
        </w:rPr>
        <w:t>. Эволюция эмпирических и методологических подходов к исследованию детерминант ПИИ</w:t>
      </w:r>
    </w:p>
    <w:tbl>
      <w:tblPr>
        <w:tblStyle w:val="ac"/>
        <w:tblW w:w="0" w:type="auto"/>
        <w:tblLook w:val="04A0" w:firstRow="1" w:lastRow="0" w:firstColumn="1" w:lastColumn="0" w:noHBand="0" w:noVBand="1"/>
      </w:tblPr>
      <w:tblGrid>
        <w:gridCol w:w="1554"/>
        <w:gridCol w:w="2551"/>
        <w:gridCol w:w="20"/>
        <w:gridCol w:w="2532"/>
        <w:gridCol w:w="11"/>
        <w:gridCol w:w="2924"/>
      </w:tblGrid>
      <w:tr w:rsidR="00B02CF8" w:rsidRPr="003A6E5A" w14:paraId="5D1E726B" w14:textId="77777777" w:rsidTr="001C709D">
        <w:tc>
          <w:tcPr>
            <w:tcW w:w="1554" w:type="dxa"/>
            <w:vAlign w:val="center"/>
          </w:tcPr>
          <w:p w14:paraId="3E8AEDEF"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bCs/>
                <w:sz w:val="20"/>
                <w:szCs w:val="20"/>
              </w:rPr>
              <w:t>Автор</w:t>
            </w:r>
          </w:p>
        </w:tc>
        <w:tc>
          <w:tcPr>
            <w:tcW w:w="2571" w:type="dxa"/>
            <w:gridSpan w:val="2"/>
            <w:vAlign w:val="center"/>
          </w:tcPr>
          <w:p w14:paraId="72D6B98C"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bCs/>
                <w:sz w:val="20"/>
                <w:szCs w:val="20"/>
              </w:rPr>
              <w:t>Ключевые детерминанты</w:t>
            </w:r>
          </w:p>
        </w:tc>
        <w:tc>
          <w:tcPr>
            <w:tcW w:w="2543" w:type="dxa"/>
            <w:gridSpan w:val="2"/>
            <w:vAlign w:val="center"/>
          </w:tcPr>
          <w:p w14:paraId="329913E4"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bCs/>
                <w:sz w:val="20"/>
                <w:szCs w:val="20"/>
              </w:rPr>
              <w:t>Методологический вклад и критика</w:t>
            </w:r>
          </w:p>
        </w:tc>
        <w:tc>
          <w:tcPr>
            <w:tcW w:w="2924" w:type="dxa"/>
            <w:vAlign w:val="center"/>
          </w:tcPr>
          <w:p w14:paraId="359CD830"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bCs/>
                <w:sz w:val="20"/>
                <w:szCs w:val="20"/>
              </w:rPr>
              <w:t>Научный вклад и эволюция мысли</w:t>
            </w:r>
          </w:p>
        </w:tc>
      </w:tr>
      <w:tr w:rsidR="00B02CF8" w:rsidRPr="003A6E5A" w14:paraId="291DA76E" w14:textId="77777777" w:rsidTr="001C709D">
        <w:tc>
          <w:tcPr>
            <w:tcW w:w="1554" w:type="dxa"/>
            <w:vAlign w:val="center"/>
          </w:tcPr>
          <w:p w14:paraId="7418498F" w14:textId="6902D23E" w:rsidR="008C2B2E" w:rsidRPr="003A6E5A" w:rsidRDefault="008C2B2E" w:rsidP="001C709D">
            <w:pPr>
              <w:spacing w:after="0" w:line="240" w:lineRule="auto"/>
              <w:rPr>
                <w:rFonts w:ascii="Times New Roman" w:eastAsia="Times New Roman" w:hAnsi="Times New Roman" w:cs="Times New Roman"/>
                <w:i/>
                <w:iCs/>
                <w:sz w:val="20"/>
                <w:szCs w:val="20"/>
                <w:lang w:val="en-US" w:eastAsia="ru-RU"/>
              </w:rPr>
            </w:pPr>
            <w:r w:rsidRPr="003A6E5A">
              <w:rPr>
                <w:rFonts w:ascii="Times New Roman" w:hAnsi="Times New Roman" w:cs="Times New Roman"/>
                <w:sz w:val="20"/>
                <w:szCs w:val="20"/>
                <w:lang w:val="kk-KZ"/>
              </w:rPr>
              <w:t xml:space="preserve">Шнайдер и Фрей </w:t>
            </w:r>
            <w:r w:rsidRPr="003A6E5A">
              <w:rPr>
                <w:rStyle w:val="ab"/>
                <w:rFonts w:ascii="Times New Roman" w:hAnsi="Times New Roman" w:cs="Times New Roman"/>
                <w:b w:val="0"/>
                <w:sz w:val="20"/>
                <w:szCs w:val="20"/>
                <w:lang w:val="en-US"/>
              </w:rPr>
              <w:t>[3</w:t>
            </w:r>
            <w:r w:rsidR="00FD6B6F" w:rsidRPr="003A6E5A">
              <w:rPr>
                <w:rStyle w:val="ab"/>
                <w:rFonts w:ascii="Times New Roman" w:hAnsi="Times New Roman" w:cs="Times New Roman"/>
                <w:b w:val="0"/>
                <w:sz w:val="20"/>
                <w:szCs w:val="20"/>
                <w:lang w:val="en-US"/>
              </w:rPr>
              <w:t>2</w:t>
            </w:r>
            <w:r w:rsidRPr="003A6E5A">
              <w:rPr>
                <w:rStyle w:val="ab"/>
                <w:rFonts w:ascii="Times New Roman" w:hAnsi="Times New Roman" w:cs="Times New Roman"/>
                <w:b w:val="0"/>
                <w:sz w:val="20"/>
                <w:szCs w:val="20"/>
                <w:lang w:val="en-US"/>
              </w:rPr>
              <w:t>]</w:t>
            </w:r>
          </w:p>
        </w:tc>
        <w:tc>
          <w:tcPr>
            <w:tcW w:w="2551" w:type="dxa"/>
          </w:tcPr>
          <w:p w14:paraId="62CAF938"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ВВП на душу населения (+)</w:t>
            </w:r>
          </w:p>
          <w:p w14:paraId="1FC7C65E"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sz w:val="20"/>
                <w:szCs w:val="20"/>
              </w:rPr>
              <w:t>Политическая стабильность (+)</w:t>
            </w:r>
          </w:p>
        </w:tc>
        <w:tc>
          <w:tcPr>
            <w:tcW w:w="2552" w:type="dxa"/>
            <w:gridSpan w:val="2"/>
          </w:tcPr>
          <w:p w14:paraId="4E11C2A3"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sz w:val="20"/>
                <w:szCs w:val="20"/>
              </w:rPr>
              <w:t>Кросс-секционный регрессионный анализ. Критика: статичный подход, не отражает динамику.</w:t>
            </w:r>
          </w:p>
        </w:tc>
        <w:tc>
          <w:tcPr>
            <w:tcW w:w="2935" w:type="dxa"/>
            <w:gridSpan w:val="2"/>
          </w:tcPr>
          <w:p w14:paraId="1A64D3CA"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sz w:val="20"/>
                <w:szCs w:val="20"/>
              </w:rPr>
              <w:t>Формирование эмпирической базы. Первые количественные доказательства важности политических факторов наряду с экономическими.</w:t>
            </w:r>
          </w:p>
        </w:tc>
      </w:tr>
      <w:tr w:rsidR="00B02CF8" w:rsidRPr="003A6E5A" w14:paraId="1F9BBD03" w14:textId="77777777" w:rsidTr="001C709D">
        <w:tc>
          <w:tcPr>
            <w:tcW w:w="1554" w:type="dxa"/>
            <w:vAlign w:val="center"/>
          </w:tcPr>
          <w:p w14:paraId="71ACDF87" w14:textId="75EEE737" w:rsidR="008C2B2E" w:rsidRPr="003A6E5A" w:rsidRDefault="008C2B2E" w:rsidP="001C709D">
            <w:pPr>
              <w:spacing w:after="0" w:line="240" w:lineRule="auto"/>
              <w:rPr>
                <w:rStyle w:val="ab"/>
                <w:rFonts w:ascii="Times New Roman" w:hAnsi="Times New Roman" w:cs="Times New Roman"/>
                <w:sz w:val="20"/>
                <w:szCs w:val="20"/>
                <w:lang w:val="en-US"/>
              </w:rPr>
            </w:pPr>
            <w:r w:rsidRPr="003A6E5A">
              <w:rPr>
                <w:rFonts w:ascii="Times New Roman" w:eastAsia="Times New Roman" w:hAnsi="Times New Roman" w:cs="Times New Roman"/>
                <w:bCs/>
                <w:sz w:val="20"/>
                <w:szCs w:val="20"/>
                <w:lang w:val="kk-KZ"/>
              </w:rPr>
              <w:t>Бивас</w:t>
            </w:r>
            <w:r w:rsidRPr="003A6E5A">
              <w:rPr>
                <w:rFonts w:ascii="Times New Roman" w:eastAsia="Times New Roman" w:hAnsi="Times New Roman" w:cs="Times New Roman"/>
                <w:bCs/>
                <w:sz w:val="20"/>
                <w:szCs w:val="20"/>
              </w:rPr>
              <w:t xml:space="preserve"> </w:t>
            </w:r>
            <w:r w:rsidRPr="003A6E5A">
              <w:rPr>
                <w:rFonts w:ascii="Times New Roman" w:eastAsia="Times New Roman" w:hAnsi="Times New Roman" w:cs="Times New Roman"/>
                <w:bCs/>
                <w:sz w:val="20"/>
                <w:szCs w:val="20"/>
                <w:lang w:val="en-US"/>
              </w:rPr>
              <w:t>[3</w:t>
            </w:r>
            <w:r w:rsidR="00FD6B6F" w:rsidRPr="003A6E5A">
              <w:rPr>
                <w:rFonts w:ascii="Times New Roman" w:eastAsia="Times New Roman" w:hAnsi="Times New Roman" w:cs="Times New Roman"/>
                <w:bCs/>
                <w:sz w:val="20"/>
                <w:szCs w:val="20"/>
                <w:lang w:val="en-US"/>
              </w:rPr>
              <w:t>3</w:t>
            </w:r>
            <w:r w:rsidRPr="003A6E5A">
              <w:rPr>
                <w:rFonts w:ascii="Times New Roman" w:eastAsia="Times New Roman" w:hAnsi="Times New Roman" w:cs="Times New Roman"/>
                <w:bCs/>
                <w:sz w:val="20"/>
                <w:szCs w:val="20"/>
                <w:lang w:val="en-US"/>
              </w:rPr>
              <w:t>]</w:t>
            </w:r>
          </w:p>
        </w:tc>
        <w:tc>
          <w:tcPr>
            <w:tcW w:w="2551" w:type="dxa"/>
          </w:tcPr>
          <w:p w14:paraId="10084392" w14:textId="77777777" w:rsidR="008C2B2E" w:rsidRPr="003A6E5A" w:rsidRDefault="008C2B2E" w:rsidP="001C709D">
            <w:pPr>
              <w:spacing w:after="0" w:line="240" w:lineRule="auto"/>
              <w:rPr>
                <w:rStyle w:val="ab"/>
                <w:rFonts w:ascii="Times New Roman" w:hAnsi="Times New Roman" w:cs="Times New Roman"/>
                <w:sz w:val="20"/>
                <w:szCs w:val="20"/>
              </w:rPr>
            </w:pPr>
            <w:r w:rsidRPr="003A6E5A">
              <w:rPr>
                <w:rFonts w:ascii="Times New Roman" w:hAnsi="Times New Roman" w:cs="Times New Roman"/>
                <w:sz w:val="20"/>
                <w:szCs w:val="20"/>
              </w:rPr>
              <w:t>Затраты на труд (–) Вступление в ЕС (+)</w:t>
            </w:r>
          </w:p>
        </w:tc>
        <w:tc>
          <w:tcPr>
            <w:tcW w:w="2552" w:type="dxa"/>
            <w:gridSpan w:val="2"/>
          </w:tcPr>
          <w:p w14:paraId="2814DF87"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Панельные данные с фиктивными переменными для сигналов о присоединении к ЕС.</w:t>
            </w:r>
          </w:p>
        </w:tc>
        <w:tc>
          <w:tcPr>
            <w:tcW w:w="2935" w:type="dxa"/>
            <w:gridSpan w:val="2"/>
          </w:tcPr>
          <w:p w14:paraId="43D00D51"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Анализ на мезоуровне. Показано, что ожидания политической интеграции могут быть важнее текущего институционального качества.</w:t>
            </w:r>
          </w:p>
        </w:tc>
      </w:tr>
      <w:tr w:rsidR="00B02CF8" w:rsidRPr="003A6E5A" w14:paraId="6877E810" w14:textId="77777777" w:rsidTr="001C709D">
        <w:tc>
          <w:tcPr>
            <w:tcW w:w="1554" w:type="dxa"/>
            <w:vAlign w:val="center"/>
          </w:tcPr>
          <w:p w14:paraId="34AED4BD" w14:textId="6AA7E732" w:rsidR="008C2B2E" w:rsidRPr="003A6E5A" w:rsidRDefault="008C2B2E" w:rsidP="001C709D">
            <w:pPr>
              <w:spacing w:after="0" w:line="240" w:lineRule="auto"/>
              <w:rPr>
                <w:rFonts w:ascii="Times New Roman" w:eastAsia="Times New Roman" w:hAnsi="Times New Roman" w:cs="Times New Roman"/>
                <w:i/>
                <w:iCs/>
                <w:sz w:val="20"/>
                <w:szCs w:val="20"/>
                <w:lang w:val="en-US" w:eastAsia="ru-RU"/>
              </w:rPr>
            </w:pPr>
            <w:r w:rsidRPr="003A6E5A">
              <w:rPr>
                <w:rStyle w:val="ab"/>
                <w:rFonts w:ascii="Times New Roman" w:hAnsi="Times New Roman" w:cs="Times New Roman"/>
                <w:b w:val="0"/>
                <w:sz w:val="20"/>
                <w:szCs w:val="20"/>
              </w:rPr>
              <w:t xml:space="preserve">Беван и Эстрин </w:t>
            </w:r>
            <w:r w:rsidRPr="003A6E5A">
              <w:rPr>
                <w:rStyle w:val="ab"/>
                <w:rFonts w:ascii="Times New Roman" w:hAnsi="Times New Roman" w:cs="Times New Roman"/>
                <w:b w:val="0"/>
                <w:sz w:val="20"/>
                <w:szCs w:val="20"/>
                <w:lang w:val="en-US"/>
              </w:rPr>
              <w:t>[3</w:t>
            </w:r>
            <w:r w:rsidR="00FD6B6F" w:rsidRPr="003A6E5A">
              <w:rPr>
                <w:rStyle w:val="ab"/>
                <w:rFonts w:ascii="Times New Roman" w:hAnsi="Times New Roman" w:cs="Times New Roman"/>
                <w:b w:val="0"/>
                <w:sz w:val="20"/>
                <w:szCs w:val="20"/>
                <w:lang w:val="en-US"/>
              </w:rPr>
              <w:t>4</w:t>
            </w:r>
            <w:r w:rsidRPr="003A6E5A">
              <w:rPr>
                <w:rStyle w:val="ab"/>
                <w:rFonts w:ascii="Times New Roman" w:hAnsi="Times New Roman" w:cs="Times New Roman"/>
                <w:sz w:val="20"/>
                <w:szCs w:val="20"/>
                <w:lang w:val="en-US"/>
              </w:rPr>
              <w:t>]</w:t>
            </w:r>
          </w:p>
        </w:tc>
        <w:tc>
          <w:tcPr>
            <w:tcW w:w="2551" w:type="dxa"/>
          </w:tcPr>
          <w:p w14:paraId="3224166D"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Инфраструктура (+), Затраты на труд (–)</w:t>
            </w:r>
          </w:p>
          <w:p w14:paraId="2D7D1D2E"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Защита прав собственности (+)</w:t>
            </w:r>
          </w:p>
          <w:p w14:paraId="33D52F6D"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sz w:val="20"/>
                <w:szCs w:val="20"/>
              </w:rPr>
              <w:t>Тип режима (+), Продолжительность режима (–)</w:t>
            </w:r>
          </w:p>
        </w:tc>
        <w:tc>
          <w:tcPr>
            <w:tcW w:w="2552" w:type="dxa"/>
            <w:gridSpan w:val="2"/>
          </w:tcPr>
          <w:p w14:paraId="1489278A"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sz w:val="20"/>
                <w:szCs w:val="20"/>
              </w:rPr>
              <w:t>Панельные данные с фиксированными эффектами, тестирование взаимодействия факторов.</w:t>
            </w:r>
          </w:p>
        </w:tc>
        <w:tc>
          <w:tcPr>
            <w:tcW w:w="2935" w:type="dxa"/>
            <w:gridSpan w:val="2"/>
          </w:tcPr>
          <w:p w14:paraId="6CBEA2C9"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hAnsi="Times New Roman" w:cs="Times New Roman"/>
                <w:sz w:val="20"/>
                <w:szCs w:val="20"/>
              </w:rPr>
              <w:t>Углубление институционального анализа. Связь политических рисков с доходностью инвестиций; выявлено двойственное влияние стабильности.</w:t>
            </w:r>
          </w:p>
        </w:tc>
      </w:tr>
      <w:tr w:rsidR="00B02CF8" w:rsidRPr="003A6E5A" w14:paraId="00540701" w14:textId="77777777" w:rsidTr="001C709D">
        <w:tc>
          <w:tcPr>
            <w:tcW w:w="1554" w:type="dxa"/>
            <w:vAlign w:val="center"/>
          </w:tcPr>
          <w:p w14:paraId="5B0E8F25" w14:textId="0738BCFD" w:rsidR="008C2B2E" w:rsidRPr="003A6E5A" w:rsidRDefault="008C2B2E" w:rsidP="001C709D">
            <w:pPr>
              <w:spacing w:after="0" w:line="240" w:lineRule="auto"/>
              <w:rPr>
                <w:rStyle w:val="ab"/>
                <w:rFonts w:ascii="Times New Roman" w:hAnsi="Times New Roman" w:cs="Times New Roman"/>
                <w:sz w:val="20"/>
                <w:szCs w:val="20"/>
                <w:lang w:val="en-US"/>
              </w:rPr>
            </w:pPr>
            <w:r w:rsidRPr="003A6E5A">
              <w:rPr>
                <w:rFonts w:ascii="Times New Roman" w:eastAsia="Times New Roman" w:hAnsi="Times New Roman" w:cs="Times New Roman"/>
                <w:bCs/>
                <w:sz w:val="20"/>
                <w:szCs w:val="20"/>
              </w:rPr>
              <w:t xml:space="preserve">Мотталеб и Калираджан </w:t>
            </w:r>
            <w:r w:rsidRPr="003A6E5A">
              <w:rPr>
                <w:rFonts w:ascii="Times New Roman" w:eastAsia="Times New Roman" w:hAnsi="Times New Roman" w:cs="Times New Roman"/>
                <w:bCs/>
                <w:sz w:val="20"/>
                <w:szCs w:val="20"/>
                <w:lang w:val="en-US"/>
              </w:rPr>
              <w:t>[3</w:t>
            </w:r>
            <w:r w:rsidR="00FD6B6F" w:rsidRPr="003A6E5A">
              <w:rPr>
                <w:rFonts w:ascii="Times New Roman" w:eastAsia="Times New Roman" w:hAnsi="Times New Roman" w:cs="Times New Roman"/>
                <w:bCs/>
                <w:sz w:val="20"/>
                <w:szCs w:val="20"/>
                <w:lang w:val="en-US"/>
              </w:rPr>
              <w:t>5</w:t>
            </w:r>
            <w:r w:rsidRPr="003A6E5A">
              <w:rPr>
                <w:rFonts w:ascii="Times New Roman" w:eastAsia="Times New Roman" w:hAnsi="Times New Roman" w:cs="Times New Roman"/>
                <w:bCs/>
                <w:sz w:val="20"/>
                <w:szCs w:val="20"/>
                <w:lang w:val="en-US"/>
              </w:rPr>
              <w:t>]</w:t>
            </w:r>
          </w:p>
        </w:tc>
        <w:tc>
          <w:tcPr>
            <w:tcW w:w="2571" w:type="dxa"/>
            <w:gridSpan w:val="2"/>
            <w:vAlign w:val="center"/>
          </w:tcPr>
          <w:p w14:paraId="58965668"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Торговая открытость (+)</w:t>
            </w:r>
          </w:p>
          <w:p w14:paraId="1A7DB710" w14:textId="77777777" w:rsidR="008C2B2E" w:rsidRPr="003A6E5A" w:rsidRDefault="008C2B2E" w:rsidP="001C709D">
            <w:pPr>
              <w:spacing w:after="0" w:line="240" w:lineRule="auto"/>
              <w:rPr>
                <w:rFonts w:ascii="Times New Roman" w:eastAsia="Times New Roman" w:hAnsi="Times New Roman" w:cs="Times New Roman"/>
                <w:bCs/>
                <w:sz w:val="20"/>
                <w:szCs w:val="20"/>
              </w:rPr>
            </w:pPr>
            <w:r w:rsidRPr="003A6E5A">
              <w:rPr>
                <w:rFonts w:ascii="Times New Roman" w:eastAsia="Times New Roman" w:hAnsi="Times New Roman" w:cs="Times New Roman"/>
                <w:sz w:val="20"/>
                <w:szCs w:val="20"/>
              </w:rPr>
              <w:t xml:space="preserve">Качество бизнес-среды (+) </w:t>
            </w:r>
          </w:p>
          <w:p w14:paraId="63E4AE23" w14:textId="77777777" w:rsidR="008C2B2E" w:rsidRPr="003A6E5A" w:rsidRDefault="008C2B2E" w:rsidP="001C709D">
            <w:pPr>
              <w:spacing w:after="0" w:line="240" w:lineRule="auto"/>
              <w:rPr>
                <w:rStyle w:val="ab"/>
                <w:rFonts w:ascii="Times New Roman" w:hAnsi="Times New Roman" w:cs="Times New Roman"/>
                <w:sz w:val="20"/>
                <w:szCs w:val="20"/>
              </w:rPr>
            </w:pPr>
            <w:r w:rsidRPr="003A6E5A">
              <w:rPr>
                <w:rFonts w:ascii="Times New Roman" w:eastAsia="Times New Roman" w:hAnsi="Times New Roman" w:cs="Times New Roman"/>
                <w:sz w:val="20"/>
                <w:szCs w:val="20"/>
              </w:rPr>
              <w:t>Иностранная помощь (+)</w:t>
            </w:r>
          </w:p>
        </w:tc>
        <w:tc>
          <w:tcPr>
            <w:tcW w:w="2543" w:type="dxa"/>
            <w:gridSpan w:val="2"/>
            <w:vAlign w:val="center"/>
          </w:tcPr>
          <w:p w14:paraId="56F95FF0"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eastAsia="Times New Roman" w:hAnsi="Times New Roman" w:cs="Times New Roman"/>
                <w:sz w:val="20"/>
                <w:szCs w:val="20"/>
              </w:rPr>
              <w:t xml:space="preserve">Сравнительный анализ групп стран, использование конкретных </w:t>
            </w:r>
            <w:r w:rsidRPr="003A6E5A">
              <w:rPr>
                <w:rFonts w:ascii="Times New Roman" w:eastAsia="Times New Roman" w:hAnsi="Times New Roman" w:cs="Times New Roman"/>
                <w:sz w:val="20"/>
                <w:szCs w:val="20"/>
              </w:rPr>
              <w:lastRenderedPageBreak/>
              <w:t>показателей бизнес-среды (например, количество дней для регистрации бизнеса).</w:t>
            </w:r>
          </w:p>
        </w:tc>
        <w:tc>
          <w:tcPr>
            <w:tcW w:w="2924" w:type="dxa"/>
            <w:vAlign w:val="center"/>
          </w:tcPr>
          <w:p w14:paraId="37E25141"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eastAsia="Times New Roman" w:hAnsi="Times New Roman" w:cs="Times New Roman"/>
                <w:sz w:val="20"/>
                <w:szCs w:val="20"/>
              </w:rPr>
              <w:lastRenderedPageBreak/>
              <w:t xml:space="preserve">Региональный и операционный фокус. Подтверждена ключевая роль операционных издержек </w:t>
            </w:r>
            <w:r w:rsidRPr="003A6E5A">
              <w:rPr>
                <w:rFonts w:ascii="Times New Roman" w:eastAsia="Times New Roman" w:hAnsi="Times New Roman" w:cs="Times New Roman"/>
                <w:sz w:val="20"/>
                <w:szCs w:val="20"/>
              </w:rPr>
              <w:lastRenderedPageBreak/>
              <w:t>ведения бизнеса для ПИИ в наименее развитых странах.</w:t>
            </w:r>
          </w:p>
        </w:tc>
      </w:tr>
      <w:tr w:rsidR="00B02CF8" w:rsidRPr="003A6E5A" w14:paraId="0CEAD528" w14:textId="77777777" w:rsidTr="001C709D">
        <w:tc>
          <w:tcPr>
            <w:tcW w:w="1554" w:type="dxa"/>
            <w:vAlign w:val="center"/>
          </w:tcPr>
          <w:p w14:paraId="329D636B" w14:textId="54889117" w:rsidR="008C2B2E" w:rsidRPr="003A6E5A" w:rsidRDefault="008C2B2E" w:rsidP="001C709D">
            <w:pPr>
              <w:spacing w:after="0" w:line="240" w:lineRule="auto"/>
              <w:rPr>
                <w:rFonts w:ascii="Times New Roman" w:eastAsia="Times New Roman" w:hAnsi="Times New Roman" w:cs="Times New Roman"/>
                <w:i/>
                <w:iCs/>
                <w:sz w:val="20"/>
                <w:szCs w:val="20"/>
                <w:lang w:val="en-US" w:eastAsia="ru-RU"/>
              </w:rPr>
            </w:pPr>
            <w:r w:rsidRPr="003A6E5A">
              <w:rPr>
                <w:rStyle w:val="ab"/>
                <w:rFonts w:ascii="Times New Roman" w:hAnsi="Times New Roman" w:cs="Times New Roman"/>
                <w:b w:val="0"/>
                <w:sz w:val="20"/>
                <w:szCs w:val="20"/>
              </w:rPr>
              <w:lastRenderedPageBreak/>
              <w:t xml:space="preserve">Блониген и Пайгер </w:t>
            </w:r>
            <w:r w:rsidRPr="003A6E5A">
              <w:rPr>
                <w:rStyle w:val="ab"/>
                <w:rFonts w:ascii="Times New Roman" w:hAnsi="Times New Roman" w:cs="Times New Roman"/>
                <w:b w:val="0"/>
                <w:sz w:val="20"/>
                <w:szCs w:val="20"/>
                <w:lang w:val="en-US"/>
              </w:rPr>
              <w:t>[3</w:t>
            </w:r>
            <w:r w:rsidR="00FD6B6F" w:rsidRPr="003A6E5A">
              <w:rPr>
                <w:rStyle w:val="ab"/>
                <w:rFonts w:ascii="Times New Roman" w:hAnsi="Times New Roman" w:cs="Times New Roman"/>
                <w:b w:val="0"/>
                <w:sz w:val="20"/>
                <w:szCs w:val="20"/>
                <w:lang w:val="en-US"/>
              </w:rPr>
              <w:t>6</w:t>
            </w:r>
            <w:r w:rsidRPr="003A6E5A">
              <w:rPr>
                <w:rStyle w:val="ab"/>
                <w:rFonts w:ascii="Times New Roman" w:hAnsi="Times New Roman" w:cs="Times New Roman"/>
                <w:sz w:val="20"/>
                <w:szCs w:val="20"/>
                <w:lang w:val="en-US"/>
              </w:rPr>
              <w:t>]</w:t>
            </w:r>
          </w:p>
        </w:tc>
        <w:tc>
          <w:tcPr>
            <w:tcW w:w="2571" w:type="dxa"/>
            <w:gridSpan w:val="2"/>
            <w:vAlign w:val="center"/>
          </w:tcPr>
          <w:p w14:paraId="5AFBC03C"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Гравитационные (расстояние, ВВП)</w:t>
            </w:r>
          </w:p>
          <w:p w14:paraId="070AA726"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Культурная близость</w:t>
            </w:r>
          </w:p>
          <w:p w14:paraId="3EBB1F1E"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eastAsia="Times New Roman" w:hAnsi="Times New Roman" w:cs="Times New Roman"/>
                <w:sz w:val="20"/>
                <w:szCs w:val="20"/>
              </w:rPr>
              <w:t>ВВП на душу населения страны-донора.</w:t>
            </w:r>
          </w:p>
        </w:tc>
        <w:tc>
          <w:tcPr>
            <w:tcW w:w="2543" w:type="dxa"/>
            <w:gridSpan w:val="2"/>
            <w:vAlign w:val="center"/>
          </w:tcPr>
          <w:p w14:paraId="2BA59239" w14:textId="337D71E4"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eastAsia="Times New Roman" w:hAnsi="Times New Roman" w:cs="Times New Roman"/>
                <w:sz w:val="20"/>
                <w:szCs w:val="20"/>
              </w:rPr>
              <w:t>Байесовское усреднение моделей для оценки устойчивости детерминант, это способствовал методологическому прорыву в отборе переменных.</w:t>
            </w:r>
          </w:p>
        </w:tc>
        <w:tc>
          <w:tcPr>
            <w:tcW w:w="2924" w:type="dxa"/>
            <w:vAlign w:val="center"/>
          </w:tcPr>
          <w:p w14:paraId="09E763C3"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eastAsia="Times New Roman" w:hAnsi="Times New Roman" w:cs="Times New Roman"/>
                <w:sz w:val="20"/>
                <w:szCs w:val="20"/>
              </w:rPr>
              <w:t>Методологическая рефлексия. Критика надёжности ранее признанных факторов. Выделение ядра действительно значимых детерминант.</w:t>
            </w:r>
          </w:p>
        </w:tc>
      </w:tr>
      <w:tr w:rsidR="00B02CF8" w:rsidRPr="003A6E5A" w14:paraId="0E382E0B" w14:textId="77777777" w:rsidTr="001C709D">
        <w:tc>
          <w:tcPr>
            <w:tcW w:w="1554" w:type="dxa"/>
            <w:vAlign w:val="center"/>
          </w:tcPr>
          <w:p w14:paraId="2800248B" w14:textId="3D2CDDB9" w:rsidR="008C2B2E" w:rsidRPr="003A6E5A" w:rsidRDefault="008C2B2E" w:rsidP="001C709D">
            <w:pPr>
              <w:spacing w:after="0" w:line="240" w:lineRule="auto"/>
              <w:rPr>
                <w:rStyle w:val="ab"/>
                <w:rFonts w:ascii="Times New Roman" w:hAnsi="Times New Roman" w:cs="Times New Roman"/>
                <w:b w:val="0"/>
                <w:sz w:val="20"/>
                <w:szCs w:val="20"/>
                <w:lang w:val="en-US"/>
              </w:rPr>
            </w:pPr>
            <w:r w:rsidRPr="003A6E5A">
              <w:rPr>
                <w:rStyle w:val="ab"/>
                <w:rFonts w:ascii="Times New Roman" w:hAnsi="Times New Roman" w:cs="Times New Roman"/>
                <w:b w:val="0"/>
                <w:sz w:val="20"/>
                <w:szCs w:val="20"/>
              </w:rPr>
              <w:t xml:space="preserve">Джара </w:t>
            </w:r>
            <w:r w:rsidRPr="003A6E5A">
              <w:rPr>
                <w:rStyle w:val="ab"/>
                <w:rFonts w:ascii="Times New Roman" w:hAnsi="Times New Roman" w:cs="Times New Roman"/>
                <w:b w:val="0"/>
                <w:sz w:val="20"/>
                <w:szCs w:val="20"/>
                <w:lang w:val="en-US"/>
              </w:rPr>
              <w:t>[3</w:t>
            </w:r>
            <w:r w:rsidR="00FD6B6F" w:rsidRPr="003A6E5A">
              <w:rPr>
                <w:rStyle w:val="ab"/>
                <w:rFonts w:ascii="Times New Roman" w:hAnsi="Times New Roman" w:cs="Times New Roman"/>
                <w:b w:val="0"/>
                <w:sz w:val="20"/>
                <w:szCs w:val="20"/>
                <w:lang w:val="en-US"/>
              </w:rPr>
              <w:t>7</w:t>
            </w:r>
            <w:r w:rsidRPr="003A6E5A">
              <w:rPr>
                <w:rStyle w:val="ab"/>
                <w:rFonts w:ascii="Times New Roman" w:hAnsi="Times New Roman" w:cs="Times New Roman"/>
                <w:b w:val="0"/>
                <w:sz w:val="20"/>
                <w:szCs w:val="20"/>
                <w:lang w:val="en-US"/>
              </w:rPr>
              <w:t>]</w:t>
            </w:r>
          </w:p>
        </w:tc>
        <w:tc>
          <w:tcPr>
            <w:tcW w:w="2571" w:type="dxa"/>
            <w:gridSpan w:val="2"/>
            <w:vAlign w:val="center"/>
          </w:tcPr>
          <w:p w14:paraId="2886A723" w14:textId="77777777" w:rsidR="008C2B2E" w:rsidRPr="003A6E5A" w:rsidRDefault="008C2B2E" w:rsidP="001C709D">
            <w:pPr>
              <w:spacing w:after="0" w:line="240" w:lineRule="auto"/>
              <w:rPr>
                <w:rFonts w:ascii="Times New Roman" w:eastAsia="Times New Roman" w:hAnsi="Times New Roman" w:cs="Times New Roman"/>
                <w:bCs/>
                <w:sz w:val="20"/>
                <w:szCs w:val="20"/>
              </w:rPr>
            </w:pPr>
            <w:r w:rsidRPr="003A6E5A">
              <w:rPr>
                <w:rFonts w:ascii="Times New Roman" w:eastAsia="Times New Roman" w:hAnsi="Times New Roman" w:cs="Times New Roman"/>
                <w:sz w:val="20"/>
                <w:szCs w:val="20"/>
              </w:rPr>
              <w:t xml:space="preserve">Геология × Инвестиционный климат </w:t>
            </w:r>
          </w:p>
          <w:p w14:paraId="50C6BDDC"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Пороговые эффекты</w:t>
            </w:r>
          </w:p>
        </w:tc>
        <w:tc>
          <w:tcPr>
            <w:tcW w:w="2543" w:type="dxa"/>
            <w:gridSpan w:val="2"/>
            <w:vAlign w:val="center"/>
          </w:tcPr>
          <w:p w14:paraId="736E7A15"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Моделирование неаддитивных эффектов и структурных разрывов.</w:t>
            </w:r>
          </w:p>
        </w:tc>
        <w:tc>
          <w:tcPr>
            <w:tcW w:w="2924" w:type="dxa"/>
            <w:vAlign w:val="center"/>
          </w:tcPr>
          <w:p w14:paraId="704E7DAC"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Введение нелинейности. Показано, что институциональные улучшения не всегда стимулируют ПИИ в ресурсный сектор (эффект убывающей отдачи).</w:t>
            </w:r>
          </w:p>
        </w:tc>
      </w:tr>
      <w:tr w:rsidR="00B02CF8" w:rsidRPr="003A6E5A" w14:paraId="5EE12F8E" w14:textId="77777777" w:rsidTr="001C709D">
        <w:tc>
          <w:tcPr>
            <w:tcW w:w="1554" w:type="dxa"/>
            <w:vAlign w:val="center"/>
          </w:tcPr>
          <w:p w14:paraId="1C4B0788" w14:textId="097664BC" w:rsidR="008C2B2E" w:rsidRPr="003A6E5A" w:rsidRDefault="008C2B2E" w:rsidP="001C709D">
            <w:pPr>
              <w:spacing w:after="0" w:line="240" w:lineRule="auto"/>
              <w:rPr>
                <w:rStyle w:val="ab"/>
                <w:rFonts w:ascii="Times New Roman" w:hAnsi="Times New Roman" w:cs="Times New Roman"/>
                <w:sz w:val="20"/>
                <w:szCs w:val="20"/>
                <w:lang w:val="en-US"/>
              </w:rPr>
            </w:pPr>
            <w:r w:rsidRPr="003A6E5A">
              <w:rPr>
                <w:rFonts w:ascii="Times New Roman" w:eastAsia="Times New Roman" w:hAnsi="Times New Roman" w:cs="Times New Roman"/>
                <w:bCs/>
                <w:sz w:val="20"/>
                <w:szCs w:val="20"/>
              </w:rPr>
              <w:t xml:space="preserve">Tocar </w:t>
            </w:r>
            <w:r w:rsidRPr="003A6E5A">
              <w:rPr>
                <w:rFonts w:ascii="Times New Roman" w:eastAsia="Times New Roman" w:hAnsi="Times New Roman" w:cs="Times New Roman"/>
                <w:bCs/>
                <w:sz w:val="20"/>
                <w:szCs w:val="20"/>
                <w:lang w:val="en-US"/>
              </w:rPr>
              <w:t>[3</w:t>
            </w:r>
            <w:r w:rsidR="00FD6B6F" w:rsidRPr="003A6E5A">
              <w:rPr>
                <w:rFonts w:ascii="Times New Roman" w:eastAsia="Times New Roman" w:hAnsi="Times New Roman" w:cs="Times New Roman"/>
                <w:bCs/>
                <w:sz w:val="20"/>
                <w:szCs w:val="20"/>
                <w:lang w:val="en-US"/>
              </w:rPr>
              <w:t>8</w:t>
            </w:r>
            <w:r w:rsidRPr="003A6E5A">
              <w:rPr>
                <w:rFonts w:ascii="Times New Roman" w:eastAsia="Times New Roman" w:hAnsi="Times New Roman" w:cs="Times New Roman"/>
                <w:bCs/>
                <w:sz w:val="20"/>
                <w:szCs w:val="20"/>
                <w:lang w:val="en-US"/>
              </w:rPr>
              <w:t>]</w:t>
            </w:r>
          </w:p>
        </w:tc>
        <w:tc>
          <w:tcPr>
            <w:tcW w:w="2571" w:type="dxa"/>
            <w:gridSpan w:val="2"/>
            <w:vAlign w:val="center"/>
          </w:tcPr>
          <w:p w14:paraId="056CB457"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 xml:space="preserve">Размер рынка (+), </w:t>
            </w:r>
          </w:p>
          <w:p w14:paraId="364F2F78" w14:textId="77777777" w:rsidR="008C2B2E" w:rsidRPr="003A6E5A" w:rsidRDefault="008C2B2E" w:rsidP="001C709D">
            <w:pPr>
              <w:spacing w:after="0" w:line="240" w:lineRule="auto"/>
              <w:rPr>
                <w:rFonts w:ascii="Times New Roman" w:eastAsia="Times New Roman" w:hAnsi="Times New Roman" w:cs="Times New Roman"/>
                <w:bCs/>
                <w:sz w:val="20"/>
                <w:szCs w:val="20"/>
              </w:rPr>
            </w:pPr>
            <w:r w:rsidRPr="003A6E5A">
              <w:rPr>
                <w:rFonts w:ascii="Times New Roman" w:eastAsia="Times New Roman" w:hAnsi="Times New Roman" w:cs="Times New Roman"/>
                <w:sz w:val="20"/>
                <w:szCs w:val="20"/>
              </w:rPr>
              <w:t>Затраты на труд (–)</w:t>
            </w:r>
          </w:p>
          <w:p w14:paraId="16DCDB79" w14:textId="77777777" w:rsidR="008C2B2E" w:rsidRPr="003A6E5A" w:rsidRDefault="008C2B2E" w:rsidP="001C709D">
            <w:pPr>
              <w:spacing w:after="0" w:line="240" w:lineRule="auto"/>
              <w:rPr>
                <w:rFonts w:ascii="Times New Roman" w:eastAsia="Times New Roman" w:hAnsi="Times New Roman" w:cs="Times New Roman"/>
                <w:bCs/>
                <w:sz w:val="20"/>
                <w:szCs w:val="20"/>
              </w:rPr>
            </w:pPr>
            <w:r w:rsidRPr="003A6E5A">
              <w:rPr>
                <w:rFonts w:ascii="Times New Roman" w:eastAsia="Times New Roman" w:hAnsi="Times New Roman" w:cs="Times New Roman"/>
                <w:sz w:val="20"/>
                <w:szCs w:val="20"/>
              </w:rPr>
              <w:t xml:space="preserve">Инфраструктура (+), Низкий уровень коррупции (+) </w:t>
            </w:r>
          </w:p>
          <w:p w14:paraId="31DC725F" w14:textId="77777777" w:rsidR="008C2B2E" w:rsidRPr="003A6E5A" w:rsidRDefault="008C2B2E" w:rsidP="001C709D">
            <w:pPr>
              <w:spacing w:after="0" w:line="240" w:lineRule="auto"/>
              <w:rPr>
                <w:rStyle w:val="ab"/>
                <w:rFonts w:ascii="Times New Roman" w:hAnsi="Times New Roman" w:cs="Times New Roman"/>
                <w:sz w:val="20"/>
                <w:szCs w:val="20"/>
              </w:rPr>
            </w:pPr>
            <w:r w:rsidRPr="003A6E5A">
              <w:rPr>
                <w:rFonts w:ascii="Times New Roman" w:eastAsia="Times New Roman" w:hAnsi="Times New Roman" w:cs="Times New Roman"/>
                <w:sz w:val="20"/>
                <w:szCs w:val="20"/>
              </w:rPr>
              <w:t xml:space="preserve"> Культурная близость (+)</w:t>
            </w:r>
          </w:p>
        </w:tc>
        <w:tc>
          <w:tcPr>
            <w:tcW w:w="2543" w:type="dxa"/>
            <w:gridSpan w:val="2"/>
            <w:vAlign w:val="center"/>
          </w:tcPr>
          <w:p w14:paraId="711C6FF0"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eastAsia="Times New Roman" w:hAnsi="Times New Roman" w:cs="Times New Roman"/>
                <w:sz w:val="20"/>
                <w:szCs w:val="20"/>
              </w:rPr>
              <w:t>Систематический мета-анализ, формулирование гипотез на основе консенсусных результатов.</w:t>
            </w:r>
          </w:p>
        </w:tc>
        <w:tc>
          <w:tcPr>
            <w:tcW w:w="2924" w:type="dxa"/>
            <w:vAlign w:val="center"/>
          </w:tcPr>
          <w:p w14:paraId="6AFF4AB0" w14:textId="77777777" w:rsidR="008C2B2E" w:rsidRPr="003A6E5A" w:rsidRDefault="008C2B2E" w:rsidP="001C709D">
            <w:pPr>
              <w:spacing w:after="0" w:line="240" w:lineRule="auto"/>
              <w:rPr>
                <w:rFonts w:ascii="Times New Roman" w:hAnsi="Times New Roman" w:cs="Times New Roman"/>
                <w:sz w:val="20"/>
                <w:szCs w:val="20"/>
              </w:rPr>
            </w:pPr>
            <w:r w:rsidRPr="003A6E5A">
              <w:rPr>
                <w:rFonts w:ascii="Times New Roman" w:eastAsia="Times New Roman" w:hAnsi="Times New Roman" w:cs="Times New Roman"/>
                <w:sz w:val="20"/>
                <w:szCs w:val="20"/>
              </w:rPr>
              <w:t>Систематизация и консолидация исследований. Сдвиг акцента на институциональные и культурные детерминанты.</w:t>
            </w:r>
          </w:p>
        </w:tc>
      </w:tr>
      <w:tr w:rsidR="00B02CF8" w:rsidRPr="003A6E5A" w14:paraId="0949D079" w14:textId="77777777" w:rsidTr="001C709D">
        <w:tc>
          <w:tcPr>
            <w:tcW w:w="1554" w:type="dxa"/>
            <w:vAlign w:val="center"/>
          </w:tcPr>
          <w:p w14:paraId="7FEA50E5" w14:textId="7984A004" w:rsidR="008C2B2E" w:rsidRPr="003A6E5A" w:rsidRDefault="008C2B2E" w:rsidP="001C709D">
            <w:pPr>
              <w:spacing w:after="0" w:line="240" w:lineRule="auto"/>
              <w:rPr>
                <w:rFonts w:ascii="Times New Roman" w:eastAsia="Times New Roman" w:hAnsi="Times New Roman" w:cs="Times New Roman"/>
                <w:i/>
                <w:iCs/>
                <w:sz w:val="20"/>
                <w:szCs w:val="20"/>
                <w:lang w:val="en-US" w:eastAsia="ru-RU"/>
              </w:rPr>
            </w:pPr>
            <w:r w:rsidRPr="003A6E5A">
              <w:rPr>
                <w:rFonts w:ascii="Times New Roman" w:hAnsi="Times New Roman" w:cs="Times New Roman"/>
                <w:sz w:val="20"/>
                <w:szCs w:val="20"/>
                <w:lang w:val="kk-KZ"/>
              </w:rPr>
              <w:t>Петрески</w:t>
            </w:r>
            <w:r w:rsidRPr="003A6E5A">
              <w:rPr>
                <w:rFonts w:ascii="Times New Roman" w:hAnsi="Times New Roman" w:cs="Times New Roman"/>
                <w:sz w:val="20"/>
                <w:szCs w:val="20"/>
                <w:shd w:val="clear" w:color="auto" w:fill="FFFFFF"/>
                <w:lang w:val="en-US"/>
              </w:rPr>
              <w:t xml:space="preserve"> [3</w:t>
            </w:r>
            <w:r w:rsidR="00FD6B6F" w:rsidRPr="003A6E5A">
              <w:rPr>
                <w:rFonts w:ascii="Times New Roman" w:hAnsi="Times New Roman" w:cs="Times New Roman"/>
                <w:sz w:val="20"/>
                <w:szCs w:val="20"/>
                <w:shd w:val="clear" w:color="auto" w:fill="FFFFFF"/>
                <w:lang w:val="en-US"/>
              </w:rPr>
              <w:t>9</w:t>
            </w:r>
            <w:r w:rsidRPr="003A6E5A">
              <w:rPr>
                <w:rFonts w:ascii="Times New Roman" w:hAnsi="Times New Roman" w:cs="Times New Roman"/>
                <w:sz w:val="20"/>
                <w:szCs w:val="20"/>
                <w:shd w:val="clear" w:color="auto" w:fill="FFFFFF"/>
                <w:lang w:val="en-US"/>
              </w:rPr>
              <w:t>]</w:t>
            </w:r>
          </w:p>
        </w:tc>
        <w:tc>
          <w:tcPr>
            <w:tcW w:w="2571" w:type="dxa"/>
            <w:gridSpan w:val="2"/>
            <w:vAlign w:val="center"/>
          </w:tcPr>
          <w:p w14:paraId="5B2E5A20"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Пространственный лаг ПИИ (ρ -)</w:t>
            </w:r>
          </w:p>
          <w:p w14:paraId="1C445E0F"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Секторальная концентрация (+)</w:t>
            </w:r>
          </w:p>
          <w:p w14:paraId="05D93687"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Запас ПИИ (-)</w:t>
            </w:r>
          </w:p>
          <w:p w14:paraId="790D7AAF"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Торговая открытость (+)</w:t>
            </w:r>
          </w:p>
          <w:p w14:paraId="15287AC5"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Рост ВВП (+)</w:t>
            </w:r>
          </w:p>
          <w:p w14:paraId="4CFAA052"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eastAsia="Times New Roman" w:hAnsi="Times New Roman" w:cs="Times New Roman"/>
                <w:sz w:val="20"/>
                <w:szCs w:val="20"/>
              </w:rPr>
              <w:t>Институциональное качество (-)</w:t>
            </w:r>
          </w:p>
        </w:tc>
        <w:tc>
          <w:tcPr>
            <w:tcW w:w="2543" w:type="dxa"/>
            <w:gridSpan w:val="2"/>
            <w:vAlign w:val="center"/>
          </w:tcPr>
          <w:p w14:paraId="45E551F0"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Пространственные панельные модели (SDM/SLM/SEM) с QML-оценкой</w:t>
            </w:r>
          </w:p>
          <w:p w14:paraId="09855076"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Матрица смежности первого порядка</w:t>
            </w:r>
          </w:p>
          <w:p w14:paraId="5A6C8466"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eastAsia="Times New Roman" w:hAnsi="Times New Roman" w:cs="Times New Roman"/>
                <w:sz w:val="20"/>
                <w:szCs w:val="20"/>
              </w:rPr>
              <w:t>Фиксированные эффекты</w:t>
            </w:r>
          </w:p>
        </w:tc>
        <w:tc>
          <w:tcPr>
            <w:tcW w:w="2924" w:type="dxa"/>
            <w:vAlign w:val="center"/>
          </w:tcPr>
          <w:p w14:paraId="10202C7A"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Доказательство конкурентного эффекта ПИИ в Юго-Восточной Европе</w:t>
            </w:r>
          </w:p>
          <w:p w14:paraId="3D56FB9E" w14:textId="77777777" w:rsidR="008C2B2E" w:rsidRPr="003A6E5A" w:rsidRDefault="008C2B2E" w:rsidP="001C709D">
            <w:pPr>
              <w:spacing w:after="0" w:line="240" w:lineRule="auto"/>
              <w:rPr>
                <w:rFonts w:ascii="Times New Roman" w:eastAsia="Times New Roman" w:hAnsi="Times New Roman" w:cs="Times New Roman"/>
                <w:sz w:val="20"/>
                <w:szCs w:val="20"/>
              </w:rPr>
            </w:pPr>
            <w:r w:rsidRPr="003A6E5A">
              <w:rPr>
                <w:rFonts w:ascii="Times New Roman" w:eastAsia="Times New Roman" w:hAnsi="Times New Roman" w:cs="Times New Roman"/>
                <w:sz w:val="20"/>
                <w:szCs w:val="20"/>
              </w:rPr>
              <w:t>Выявление «гонки на дно» в региональной инвестиционной политике</w:t>
            </w:r>
          </w:p>
          <w:p w14:paraId="4CFFB82F" w14:textId="77777777" w:rsidR="008C2B2E" w:rsidRPr="003A6E5A" w:rsidRDefault="008C2B2E" w:rsidP="001C709D">
            <w:pPr>
              <w:spacing w:after="0" w:line="240" w:lineRule="auto"/>
              <w:rPr>
                <w:rFonts w:ascii="Times New Roman" w:eastAsia="Times New Roman" w:hAnsi="Times New Roman" w:cs="Times New Roman"/>
                <w:i/>
                <w:iCs/>
                <w:sz w:val="20"/>
                <w:szCs w:val="20"/>
                <w:lang w:eastAsia="ru-RU"/>
              </w:rPr>
            </w:pPr>
            <w:r w:rsidRPr="003A6E5A">
              <w:rPr>
                <w:rFonts w:ascii="Times New Roman" w:eastAsia="Times New Roman" w:hAnsi="Times New Roman" w:cs="Times New Roman"/>
                <w:sz w:val="20"/>
                <w:szCs w:val="20"/>
              </w:rPr>
              <w:t>Разработка рекомендаций по координации инвестиционной политики</w:t>
            </w:r>
          </w:p>
        </w:tc>
      </w:tr>
    </w:tbl>
    <w:p w14:paraId="58FE1517" w14:textId="35C7DAAE" w:rsidR="00682AE8" w:rsidRPr="003A6E5A" w:rsidRDefault="008C2B2E" w:rsidP="00682AE8">
      <w:pPr>
        <w:spacing w:after="0" w:line="240" w:lineRule="auto"/>
        <w:rPr>
          <w:rFonts w:ascii="Times New Roman" w:eastAsia="Times New Roman" w:hAnsi="Times New Roman" w:cs="Times New Roman"/>
          <w:iCs/>
          <w:sz w:val="20"/>
          <w:szCs w:val="20"/>
          <w:lang w:eastAsia="ru-RU"/>
        </w:rPr>
      </w:pPr>
      <w:r w:rsidRPr="003A6E5A">
        <w:rPr>
          <w:rFonts w:ascii="Times New Roman" w:eastAsia="Times New Roman" w:hAnsi="Times New Roman" w:cs="Times New Roman"/>
          <w:iCs/>
          <w:sz w:val="20"/>
          <w:szCs w:val="20"/>
          <w:lang w:eastAsia="ru-RU"/>
        </w:rPr>
        <w:t xml:space="preserve">Примечание: в таблице использованы следующие обозначения: (+) </w:t>
      </w:r>
      <w:r w:rsidR="00B83FA5" w:rsidRPr="003A6E5A">
        <w:rPr>
          <w:rFonts w:ascii="Times New Roman" w:eastAsia="Times New Roman" w:hAnsi="Times New Roman" w:cs="Times New Roman"/>
          <w:iCs/>
          <w:sz w:val="20"/>
          <w:szCs w:val="20"/>
          <w:lang w:eastAsia="ru-RU"/>
        </w:rPr>
        <w:t xml:space="preserve">– </w:t>
      </w:r>
      <w:r w:rsidRPr="003A6E5A">
        <w:rPr>
          <w:rFonts w:ascii="Times New Roman" w:eastAsia="Times New Roman" w:hAnsi="Times New Roman" w:cs="Times New Roman"/>
          <w:iCs/>
          <w:sz w:val="20"/>
          <w:szCs w:val="20"/>
          <w:lang w:eastAsia="ru-RU"/>
        </w:rPr>
        <w:t>фактор оказывает положительное влияние на приток ПИИ; (-) – фактор оказывает отрицательное влияние на приток ПИИ.</w:t>
      </w:r>
    </w:p>
    <w:p w14:paraId="3F506B80" w14:textId="2012D1A9" w:rsidR="008C2B2E" w:rsidRPr="003A6E5A" w:rsidRDefault="008C2B2E" w:rsidP="008C2B2E">
      <w:pPr>
        <w:spacing w:after="0" w:line="240" w:lineRule="auto"/>
        <w:jc w:val="both"/>
        <w:rPr>
          <w:rFonts w:ascii="Times New Roman" w:hAnsi="Times New Roman" w:cs="Times New Roman"/>
          <w:sz w:val="20"/>
          <w:szCs w:val="20"/>
          <w:lang w:val="kk-KZ"/>
        </w:rPr>
      </w:pPr>
      <w:r w:rsidRPr="003A6E5A">
        <w:rPr>
          <w:rFonts w:ascii="Times New Roman" w:hAnsi="Times New Roman" w:cs="Times New Roman"/>
          <w:sz w:val="20"/>
          <w:szCs w:val="20"/>
          <w:lang w:val="kk-KZ"/>
        </w:rPr>
        <w:t>Таблица составлена автором исследования</w:t>
      </w:r>
    </w:p>
    <w:p w14:paraId="18C6DFB7" w14:textId="77777777" w:rsidR="008C2B2E" w:rsidRPr="003A6E5A" w:rsidRDefault="008C2B2E" w:rsidP="00682AE8">
      <w:pPr>
        <w:spacing w:after="0" w:line="240" w:lineRule="auto"/>
        <w:rPr>
          <w:rFonts w:ascii="Times New Roman" w:eastAsia="Times New Roman" w:hAnsi="Times New Roman" w:cs="Times New Roman"/>
          <w:iCs/>
          <w:sz w:val="28"/>
          <w:szCs w:val="28"/>
          <w:lang w:eastAsia="ru-RU"/>
        </w:rPr>
      </w:pPr>
    </w:p>
    <w:p w14:paraId="267BFFDB" w14:textId="6F3461B2" w:rsidR="00682AE8" w:rsidRPr="003A6E5A" w:rsidRDefault="00682AE8" w:rsidP="007205A3">
      <w:pPr>
        <w:spacing w:after="0" w:line="240" w:lineRule="auto"/>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 xml:space="preserve">Таблица </w:t>
      </w:r>
      <w:r w:rsidR="007205A3" w:rsidRPr="003A6E5A">
        <w:rPr>
          <w:rFonts w:ascii="Times New Roman" w:eastAsiaTheme="majorEastAsia" w:hAnsi="Times New Roman" w:cs="Times New Roman"/>
          <w:iCs/>
          <w:sz w:val="28"/>
          <w:szCs w:val="28"/>
        </w:rPr>
        <w:t>5</w:t>
      </w:r>
      <w:r w:rsidRPr="003A6E5A">
        <w:rPr>
          <w:rFonts w:ascii="Times New Roman" w:eastAsiaTheme="majorEastAsia" w:hAnsi="Times New Roman" w:cs="Times New Roman"/>
          <w:iCs/>
          <w:sz w:val="28"/>
          <w:szCs w:val="28"/>
        </w:rPr>
        <w:t xml:space="preserve"> демонстрирует последовательную эволюцию в понимании факторов, определяющих инвестиционную привлекательность стран, – от простых линейных моделей к более сложным нелинейным спецификациям, учитывающим институциональные, пространственные и временные зависимости. Ранние исследования, такие как работа </w:t>
      </w:r>
      <w:r w:rsidR="008C2B2E" w:rsidRPr="003A6E5A">
        <w:rPr>
          <w:rFonts w:ascii="Times New Roman" w:eastAsiaTheme="majorEastAsia" w:hAnsi="Times New Roman" w:cs="Times New Roman"/>
          <w:iCs/>
          <w:sz w:val="28"/>
          <w:szCs w:val="28"/>
        </w:rPr>
        <w:t>Шнайдер и Фрей</w:t>
      </w:r>
      <w:r w:rsidRPr="003A6E5A">
        <w:rPr>
          <w:rFonts w:ascii="Times New Roman" w:eastAsiaTheme="majorEastAsia" w:hAnsi="Times New Roman" w:cs="Times New Roman"/>
          <w:iCs/>
          <w:sz w:val="28"/>
          <w:szCs w:val="28"/>
        </w:rPr>
        <w:t>, заложили теоретические основы анализа на базе неоклассической теории инвестиций, акцентируя внимание на макроэкономической стабильности, уровне инфляции и политических рисках. В этих моделях привлекательность страны для инвесторов рассматривалась преимущественно через призму экономических показателей, отражающих предсказуемость и устойчивость национальной экономики. Однако ограниченность кросс-секционного подхода и статичность подобных моделей стимулировали переход к более гибким методологиям, способным учитывать неоднородность стран и влияние институциональных факторов.</w:t>
      </w:r>
    </w:p>
    <w:p w14:paraId="7E1328A1" w14:textId="2B509BFC" w:rsidR="00682AE8" w:rsidRPr="003A6E5A" w:rsidRDefault="00682AE8" w:rsidP="00682AE8">
      <w:pPr>
        <w:spacing w:after="0" w:line="240" w:lineRule="auto"/>
        <w:ind w:firstLine="706"/>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Значительный прогресс в понимании инвестиционной привлекательности был достигнут благодаря внедрению панельных моделей с фиксированными эффектами (</w:t>
      </w:r>
      <w:r w:rsidR="008C2B2E" w:rsidRPr="003A6E5A">
        <w:rPr>
          <w:rFonts w:ascii="Times New Roman" w:eastAsiaTheme="majorEastAsia" w:hAnsi="Times New Roman" w:cs="Times New Roman"/>
          <w:iCs/>
          <w:sz w:val="28"/>
          <w:szCs w:val="28"/>
        </w:rPr>
        <w:t>Беван и Эстрин</w:t>
      </w:r>
      <w:r w:rsidRPr="003A6E5A">
        <w:rPr>
          <w:rFonts w:ascii="Times New Roman" w:eastAsiaTheme="majorEastAsia" w:hAnsi="Times New Roman" w:cs="Times New Roman"/>
          <w:iCs/>
          <w:sz w:val="28"/>
          <w:szCs w:val="28"/>
        </w:rPr>
        <w:t xml:space="preserve">), позволивших учитывать скрытые различия между странами. Эти исследования показали, что политическая интеграция, </w:t>
      </w:r>
      <w:r w:rsidRPr="003A6E5A">
        <w:rPr>
          <w:rFonts w:ascii="Times New Roman" w:eastAsiaTheme="majorEastAsia" w:hAnsi="Times New Roman" w:cs="Times New Roman"/>
          <w:iCs/>
          <w:sz w:val="28"/>
          <w:szCs w:val="28"/>
        </w:rPr>
        <w:lastRenderedPageBreak/>
        <w:t>региональная стабильность и качество институтов оказывают системное влияние на решения инвесторов. Таким образом, инвестиционная привлекательность стала рассматриваться не как статическое свойство экономики, а как результат комплексного взаимодействия макроэкономических и институциональных характеристик.</w:t>
      </w:r>
    </w:p>
    <w:p w14:paraId="400AB1E8" w14:textId="1D3DA582" w:rsidR="00682AE8" w:rsidRPr="003A6E5A" w:rsidRDefault="00682AE8" w:rsidP="00682AE8">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 xml:space="preserve">Дальнейшая методологическая эволюция связана с применением байесовского подхода к усреднению моделей (Bayesian Model Averaging, </w:t>
      </w:r>
      <w:r w:rsidR="008C2B2E" w:rsidRPr="003A6E5A">
        <w:rPr>
          <w:rFonts w:ascii="Times New Roman" w:eastAsiaTheme="majorEastAsia" w:hAnsi="Times New Roman" w:cs="Times New Roman"/>
          <w:iCs/>
          <w:sz w:val="28"/>
          <w:szCs w:val="28"/>
        </w:rPr>
        <w:t>Блониген и Пайгер</w:t>
      </w:r>
      <w:r w:rsidRPr="003A6E5A">
        <w:rPr>
          <w:rFonts w:ascii="Times New Roman" w:eastAsiaTheme="majorEastAsia" w:hAnsi="Times New Roman" w:cs="Times New Roman"/>
          <w:iCs/>
          <w:sz w:val="28"/>
          <w:szCs w:val="28"/>
        </w:rPr>
        <w:t xml:space="preserve">), который позволил по-новому оценить устойчивость традиционных факторов инвестиционной привлекательности. Суть данного подхода заключается в сравнении большого числа эконометрических моделей и вычислении усреднённых вероятностей значимости каждой переменной. Результаты показали, что многие детерминанты, ранее считавшиеся ключевыми </w:t>
      </w:r>
      <w:r w:rsidR="00FA1611" w:rsidRPr="003A6E5A">
        <w:rPr>
          <w:rFonts w:ascii="Times New Roman" w:eastAsiaTheme="majorEastAsia" w:hAnsi="Times New Roman" w:cs="Times New Roman"/>
          <w:iCs/>
          <w:sz w:val="28"/>
          <w:szCs w:val="28"/>
        </w:rPr>
        <w:t>–</w:t>
      </w:r>
      <w:r w:rsidRPr="003A6E5A">
        <w:rPr>
          <w:rFonts w:ascii="Times New Roman" w:eastAsiaTheme="majorEastAsia" w:hAnsi="Times New Roman" w:cs="Times New Roman"/>
          <w:iCs/>
          <w:sz w:val="28"/>
          <w:szCs w:val="28"/>
        </w:rPr>
        <w:t xml:space="preserve"> например, уровень коррупции, политические риски и качество регулирования, </w:t>
      </w:r>
      <w:r w:rsidR="00FA1611" w:rsidRPr="003A6E5A">
        <w:rPr>
          <w:rFonts w:ascii="Times New Roman" w:eastAsiaTheme="majorEastAsia" w:hAnsi="Times New Roman" w:cs="Times New Roman"/>
          <w:iCs/>
          <w:sz w:val="28"/>
          <w:szCs w:val="28"/>
        </w:rPr>
        <w:t>–</w:t>
      </w:r>
      <w:r w:rsidRPr="003A6E5A">
        <w:rPr>
          <w:rFonts w:ascii="Times New Roman" w:eastAsiaTheme="majorEastAsia" w:hAnsi="Times New Roman" w:cs="Times New Roman"/>
          <w:iCs/>
          <w:sz w:val="28"/>
          <w:szCs w:val="28"/>
        </w:rPr>
        <w:t xml:space="preserve"> не обладают статистической устойчивостью во всех выборках. Это означает, что их влияние на инвестиционную привлекательность стран неоднозначно и контекстуально обусловлено. Таким образом, применение байесовского усреднения позволило выделить действительно надёжные и долгосрочные факторы, формирующие устойчивый интерес иностранных инвесторов – среди них инфраструктурная обеспеченность, прозрачность рыночных институтов и предсказуемость макроэкономической политики.</w:t>
      </w:r>
    </w:p>
    <w:p w14:paraId="6EAC461B" w14:textId="67ACD2A2" w:rsidR="00FA1611" w:rsidRPr="003A6E5A" w:rsidRDefault="00FA1611"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 xml:space="preserve">Современный этап развития теории характеризуется переходом к нелинейным моделям и пространственным зависимостям, что значительно расширяет возможности анализа инвестиционной привлекательности. Так, исследование </w:t>
      </w:r>
      <w:r w:rsidR="008C2B2E" w:rsidRPr="003A6E5A">
        <w:rPr>
          <w:rFonts w:ascii="Times New Roman" w:eastAsiaTheme="majorEastAsia" w:hAnsi="Times New Roman" w:cs="Times New Roman"/>
          <w:iCs/>
          <w:sz w:val="28"/>
          <w:szCs w:val="28"/>
          <w:lang w:val="kk-KZ"/>
        </w:rPr>
        <w:t>Джара</w:t>
      </w:r>
      <w:r w:rsidRPr="003A6E5A">
        <w:rPr>
          <w:rFonts w:ascii="Times New Roman" w:eastAsiaTheme="majorEastAsia" w:hAnsi="Times New Roman" w:cs="Times New Roman"/>
          <w:iCs/>
          <w:sz w:val="28"/>
          <w:szCs w:val="28"/>
        </w:rPr>
        <w:t xml:space="preserve"> представляет концептуальный прорыв, вводя понятие «инвестиционного климатического порога», отражающего неаддитивное взаимодействие между природно-ресурсным потенциалом и институциональным качеством. Эти результаты показывают, что наличие богатой ресурсной базы само по себе не гарантирует привлекательности для инвестиций – решающую роль играет институциональная среда, способная трансформировать природные преимущества в устойчивое развитие.</w:t>
      </w:r>
    </w:p>
    <w:p w14:paraId="4428F72B" w14:textId="3BB04E5E" w:rsidR="00FA1611" w:rsidRPr="003A6E5A" w:rsidRDefault="00FA1611"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 xml:space="preserve">Параллельно развитие пространственной эконометрики позволило учесть эффекты взаимного влияния стран. Эмпирическое исследование </w:t>
      </w:r>
      <w:r w:rsidR="008C2B2E" w:rsidRPr="003A6E5A">
        <w:rPr>
          <w:rFonts w:ascii="Times New Roman" w:eastAsiaTheme="majorEastAsia" w:hAnsi="Times New Roman" w:cs="Times New Roman"/>
          <w:iCs/>
          <w:sz w:val="28"/>
          <w:szCs w:val="28"/>
        </w:rPr>
        <w:t>Петрески</w:t>
      </w:r>
      <w:r w:rsidRPr="003A6E5A">
        <w:rPr>
          <w:rFonts w:ascii="Times New Roman" w:eastAsiaTheme="majorEastAsia" w:hAnsi="Times New Roman" w:cs="Times New Roman"/>
          <w:iCs/>
          <w:sz w:val="28"/>
          <w:szCs w:val="28"/>
        </w:rPr>
        <w:t xml:space="preserve"> на примере стран Юго-Восточной Европы выявило, что инвестиционные потоки в регионе носят не взаимодополняющий, а конкурентный характер: увеличение ПИИ в одной стране приводит к их сокращению в соседних странах. Этот эффект «гонки на дно», демонстрирует, что пространственная зависимость может проявляться не только через положительные эффекты агломерации, но и через механизмы конкуренции за ограниченный пул иностранного капитала.</w:t>
      </w:r>
    </w:p>
    <w:p w14:paraId="7EF50595" w14:textId="77777777" w:rsidR="00FA1611" w:rsidRPr="003A6E5A" w:rsidRDefault="00FA1611"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Этот методологический прорыв, связанный с внедрением нелинейных моделей и учётом пространственных зависимостей, создаёт предпосылки для формирования новых исследовательских программ в области анализа инвестиционной привлекательности. Синтез современных подходов позволяет не только констатировать существующие закономерности, но и выявить перспективные направления для дальнейшего научного поиска.</w:t>
      </w:r>
    </w:p>
    <w:p w14:paraId="03BB1CBB" w14:textId="0E07DC31" w:rsidR="00FA1611" w:rsidRPr="003A6E5A" w:rsidRDefault="00FA1611"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lastRenderedPageBreak/>
        <w:t xml:space="preserve">В рамках этого синтеза, во-первых, становится очевидной необходимость перехода от оценки усреднённых эффектов к исследованию контекстуальных факторов, отражающих отраслевую и региональную специфику прямых иностранных инвестиций. Выявленные </w:t>
      </w:r>
      <w:r w:rsidR="008C2B2E" w:rsidRPr="003A6E5A">
        <w:rPr>
          <w:rFonts w:ascii="Times New Roman" w:hAnsi="Times New Roman" w:cs="Times New Roman"/>
          <w:sz w:val="28"/>
          <w:szCs w:val="28"/>
          <w:lang w:val="kk-KZ"/>
        </w:rPr>
        <w:t>Петрески</w:t>
      </w:r>
      <w:r w:rsidRPr="003A6E5A">
        <w:rPr>
          <w:rFonts w:ascii="Times New Roman" w:eastAsiaTheme="majorEastAsia" w:hAnsi="Times New Roman" w:cs="Times New Roman"/>
          <w:iCs/>
          <w:sz w:val="28"/>
          <w:szCs w:val="28"/>
        </w:rPr>
        <w:t xml:space="preserve"> конкурентные эффекты и пороговые значения </w:t>
      </w:r>
      <w:r w:rsidR="008C2B2E" w:rsidRPr="003A6E5A">
        <w:rPr>
          <w:rFonts w:ascii="Times New Roman" w:eastAsiaTheme="majorEastAsia" w:hAnsi="Times New Roman" w:cs="Times New Roman"/>
          <w:iCs/>
          <w:sz w:val="28"/>
          <w:szCs w:val="28"/>
          <w:lang w:val="kk-KZ"/>
        </w:rPr>
        <w:t>Джара</w:t>
      </w:r>
      <w:r w:rsidRPr="003A6E5A">
        <w:rPr>
          <w:rFonts w:ascii="Times New Roman" w:eastAsiaTheme="majorEastAsia" w:hAnsi="Times New Roman" w:cs="Times New Roman"/>
          <w:iCs/>
          <w:sz w:val="28"/>
          <w:szCs w:val="28"/>
        </w:rPr>
        <w:t xml:space="preserve"> наглядно демонстрируют, что детерминанты ПИИ проявляются по-разному в зависимости от экономического контекста. Такой подход позволяет точнее выявить условия, при которых инвестиции становятся наиболее эффективными и устойчивыми, отказавшись от универсальных рецептов в пользу адресной диагностики.</w:t>
      </w:r>
    </w:p>
    <w:p w14:paraId="794366B4" w14:textId="77777777" w:rsidR="00FA1611" w:rsidRPr="003A6E5A" w:rsidRDefault="00FA1611"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Во-вторых, по мере усложнения методологического инструментария и расширения объёмов данных возникает насущная потребность в разработке специализированных методов верификации и сопоставления различных эконометрических моделей. Противопоставление выводов, полученных с помощью классических панельных моделей, пространственных регрессий и нелинейных спецификаций, делает особо актуальной задачу создания единых стандартов для их валидации. Решение этой задачи позволит обеспечить большую достоверность выводов и повысить степень доверия к результатам анализа, особенно при выработке рекомендаций для экономической политики.</w:t>
      </w:r>
    </w:p>
    <w:p w14:paraId="483E8212" w14:textId="77777777" w:rsidR="00FA1611" w:rsidRPr="003A6E5A" w:rsidRDefault="00FA1611"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Наконец, в-третьих, современный этап развития экономической науки демонстрирует возрастающее значение интеграции микроуровневых данных о поведении фирм, структурах собственности и мотивации инвесторов с макроэкономическими индикаторами. Такой многоуровневый подход способствует преодолению «экологической ошибки», возникающей при некорректном переносе агрегированных закономерностей на индивидуальный уровень. Именно на стыке макроэкономических трендов и микроэкономических решений можно раскрыть каузальные механизмы формирования инвестиционной привлекательности, объясняя, почему одни регионы успешно конкурируют за капитал, а другие сталкиваются с устойчивым оттоком инвестиций.</w:t>
      </w:r>
    </w:p>
    <w:p w14:paraId="22AAB6D5" w14:textId="3A2510CA" w:rsidR="00FC77CF" w:rsidRPr="003A6E5A" w:rsidRDefault="00FC77CF" w:rsidP="00FA1611">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Эти глобальные тренды находят свое отражение в национальной практике. В Республике Казахстан оценка инвестиционной привлекательности регионов регламентирована Приказом Министра национальной экономики от 18 января 2023 года № 5</w:t>
      </w:r>
      <w:r w:rsidR="00D62AA0" w:rsidRPr="003A6E5A">
        <w:rPr>
          <w:rFonts w:ascii="Times New Roman" w:eastAsiaTheme="majorEastAsia" w:hAnsi="Times New Roman" w:cs="Times New Roman"/>
          <w:iCs/>
          <w:sz w:val="28"/>
          <w:szCs w:val="28"/>
        </w:rPr>
        <w:t xml:space="preserve"> [</w:t>
      </w:r>
      <w:r w:rsidR="00631518" w:rsidRPr="003A6E5A">
        <w:rPr>
          <w:rFonts w:ascii="Times New Roman" w:eastAsiaTheme="majorEastAsia" w:hAnsi="Times New Roman" w:cs="Times New Roman"/>
          <w:iCs/>
          <w:sz w:val="28"/>
          <w:szCs w:val="28"/>
        </w:rPr>
        <w:t>7</w:t>
      </w:r>
      <w:r w:rsidR="00A822BB" w:rsidRPr="003A6E5A">
        <w:rPr>
          <w:rFonts w:ascii="Times New Roman" w:eastAsiaTheme="majorEastAsia" w:hAnsi="Times New Roman" w:cs="Times New Roman"/>
          <w:iCs/>
          <w:sz w:val="28"/>
          <w:szCs w:val="28"/>
        </w:rPr>
        <w:t>8</w:t>
      </w:r>
      <w:r w:rsidR="00D62AA0" w:rsidRPr="003A6E5A">
        <w:rPr>
          <w:rFonts w:ascii="Times New Roman" w:eastAsiaTheme="majorEastAsia" w:hAnsi="Times New Roman" w:cs="Times New Roman"/>
          <w:iCs/>
          <w:sz w:val="28"/>
          <w:szCs w:val="28"/>
        </w:rPr>
        <w:t>]</w:t>
      </w:r>
      <w:r w:rsidRPr="003A6E5A">
        <w:rPr>
          <w:rFonts w:ascii="Times New Roman" w:eastAsiaTheme="majorEastAsia" w:hAnsi="Times New Roman" w:cs="Times New Roman"/>
          <w:iCs/>
          <w:sz w:val="28"/>
          <w:szCs w:val="28"/>
        </w:rPr>
        <w:t xml:space="preserve">. Предложенная методика, включающая девять направлений оценки (от темпа роста инвестиций до административного давления на бизнес), демонстрирует попытку учесть многогранность проблемы. Однако, по нашему мнению, данная </w:t>
      </w:r>
      <w:bookmarkStart w:id="18" w:name="_Hlk214190693"/>
      <w:r w:rsidRPr="003A6E5A">
        <w:rPr>
          <w:rFonts w:ascii="Times New Roman" w:eastAsiaTheme="majorEastAsia" w:hAnsi="Times New Roman" w:cs="Times New Roman"/>
          <w:iCs/>
          <w:sz w:val="28"/>
          <w:szCs w:val="28"/>
        </w:rPr>
        <w:t xml:space="preserve">методика требует дальнейшего развития в русле </w:t>
      </w:r>
      <w:bookmarkEnd w:id="18"/>
      <w:r w:rsidRPr="003A6E5A">
        <w:rPr>
          <w:rFonts w:ascii="Times New Roman" w:eastAsiaTheme="majorEastAsia" w:hAnsi="Times New Roman" w:cs="Times New Roman"/>
          <w:iCs/>
          <w:sz w:val="28"/>
          <w:szCs w:val="28"/>
        </w:rPr>
        <w:t>обозначенных международных трендов.</w:t>
      </w:r>
    </w:p>
    <w:p w14:paraId="26AAD34C" w14:textId="77777777" w:rsidR="00FC77CF" w:rsidRPr="003A6E5A" w:rsidRDefault="00FC77CF" w:rsidP="00FC77CF">
      <w:pPr>
        <w:spacing w:after="0" w:line="240" w:lineRule="auto"/>
        <w:ind w:firstLine="709"/>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 xml:space="preserve">В частности, ее совершенствование видится в применении интегративного подхода, который предполагает использование множества показателей, отражающих различные аспекты изучаемого явления. Это особенно актуально для анализа сложных систем, которые не могут быть адекватно охарактеризованы с помощью одного параметра. Интеграция многопараметрических данных способствует формированию целостного </w:t>
      </w:r>
      <w:r w:rsidRPr="003A6E5A">
        <w:rPr>
          <w:rFonts w:ascii="Times New Roman" w:eastAsiaTheme="majorEastAsia" w:hAnsi="Times New Roman" w:cs="Times New Roman"/>
          <w:iCs/>
          <w:sz w:val="28"/>
          <w:szCs w:val="28"/>
        </w:rPr>
        <w:lastRenderedPageBreak/>
        <w:t>представления и выявлению ключевых факторов, влияющих на инвестиции в основной капитал в Казахстане.</w:t>
      </w:r>
    </w:p>
    <w:p w14:paraId="1642BFC3" w14:textId="77777777" w:rsidR="00FC77CF" w:rsidRPr="003A6E5A" w:rsidRDefault="00FC77CF" w:rsidP="00FC77CF">
      <w:pPr>
        <w:spacing w:after="0" w:line="240" w:lineRule="auto"/>
        <w:ind w:firstLine="708"/>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Таким образом, оценка инвестиционного потенциала представляет собой сложную многогранную задачу, требующую синтеза всестороннего методологического подхода. Учет широкого спектра факторов – от макроэкономических условий до специфики отрасли и институциональной среды – является важным условием для разработки эффективных стратегий управления и принятия обоснованных решений.</w:t>
      </w:r>
    </w:p>
    <w:p w14:paraId="7778890E" w14:textId="77777777" w:rsidR="00FC77CF" w:rsidRPr="003A6E5A" w:rsidRDefault="00FC77CF" w:rsidP="00FC77CF">
      <w:pPr>
        <w:spacing w:after="0" w:line="240" w:lineRule="auto"/>
        <w:ind w:firstLine="708"/>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В этой связи необходимо критически переосмыслить традиционные подходы к оценке, которые в значительной степени базируются на инструментах финансового анализа, таких как расчет коэффициентов ликвидности, рентабельности и финансовой устойчивости. Несмотря на свою значимость, эти показатели дают представление лишь о ретроспективном финансовом состоянии объекта и имеют существенные ограничения. Они, как правило, не отражают структурные, институциональные и внешнеэкономические особенности, оказывающие прямое влияние на инвестиционные процессы, а в условиях нестабильной макроэкономической среды могут давать искаженные результаты, не учитывающие потенциальные точки роста или скрытые риски.</w:t>
      </w:r>
    </w:p>
    <w:p w14:paraId="304340EC" w14:textId="5223E7D2" w:rsidR="00FC77CF" w:rsidRPr="003A6E5A" w:rsidRDefault="00FC77CF" w:rsidP="00FC77CF">
      <w:pPr>
        <w:spacing w:after="0" w:line="240" w:lineRule="auto"/>
        <w:ind w:firstLine="708"/>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Преодоление указанных ограничений обуславливает растущую актуальность системных и интегративных подходов, направленных на комплексное осмысление инвестиционного потенциала. Одним из таких методов является метод экспертных оценок [</w:t>
      </w:r>
      <w:r w:rsidR="005A1742" w:rsidRPr="003A6E5A">
        <w:rPr>
          <w:rFonts w:ascii="Times New Roman" w:eastAsiaTheme="majorEastAsia" w:hAnsi="Times New Roman" w:cs="Times New Roman"/>
          <w:iCs/>
          <w:sz w:val="28"/>
          <w:szCs w:val="28"/>
        </w:rPr>
        <w:t>7</w:t>
      </w:r>
      <w:r w:rsidR="00A822BB" w:rsidRPr="003A6E5A">
        <w:rPr>
          <w:rFonts w:ascii="Times New Roman" w:eastAsiaTheme="majorEastAsia" w:hAnsi="Times New Roman" w:cs="Times New Roman"/>
          <w:iCs/>
          <w:sz w:val="28"/>
          <w:szCs w:val="28"/>
        </w:rPr>
        <w:t>9</w:t>
      </w:r>
      <w:r w:rsidRPr="003A6E5A">
        <w:rPr>
          <w:rFonts w:ascii="Times New Roman" w:eastAsiaTheme="majorEastAsia" w:hAnsi="Times New Roman" w:cs="Times New Roman"/>
          <w:iCs/>
          <w:sz w:val="28"/>
          <w:szCs w:val="28"/>
        </w:rPr>
        <w:t>], предполагающий привлечение специалистов с глубокими знаниями в соответствующих отраслях. Его ключевое преимущество заключается в возможности включения в аналитическую модель качественных параметров, которые сложно или невозможно измерить количественно, таких как уровень управленческой компетенции или репутация на рынке. В то же время, для минимизации субъективности, присущей данному методу, необходимо применение дополнительных процедур верификации, например, метода Дельфи или последующего факторного анализа.</w:t>
      </w:r>
    </w:p>
    <w:p w14:paraId="64833819" w14:textId="0B098A7F" w:rsidR="00225182" w:rsidRPr="003A6E5A" w:rsidRDefault="00FC77CF" w:rsidP="00FC77CF">
      <w:pPr>
        <w:spacing w:after="0" w:line="240" w:lineRule="auto"/>
        <w:ind w:firstLine="708"/>
        <w:jc w:val="both"/>
        <w:rPr>
          <w:rFonts w:ascii="Times New Roman" w:eastAsiaTheme="majorEastAsia" w:hAnsi="Times New Roman" w:cs="Times New Roman"/>
          <w:iCs/>
          <w:sz w:val="28"/>
          <w:szCs w:val="28"/>
        </w:rPr>
      </w:pPr>
      <w:r w:rsidRPr="003A6E5A">
        <w:rPr>
          <w:rFonts w:ascii="Times New Roman" w:eastAsiaTheme="majorEastAsia" w:hAnsi="Times New Roman" w:cs="Times New Roman"/>
          <w:iCs/>
          <w:sz w:val="28"/>
          <w:szCs w:val="28"/>
        </w:rPr>
        <w:t>Для дальнейшей формализации и структурирования разнородных данных, получаемых от экспертов, широкое применение находят методы многокритериального анализа [</w:t>
      </w:r>
      <w:r w:rsidR="00A822BB" w:rsidRPr="003A6E5A">
        <w:rPr>
          <w:rFonts w:ascii="Times New Roman" w:eastAsiaTheme="majorEastAsia" w:hAnsi="Times New Roman" w:cs="Times New Roman"/>
          <w:iCs/>
          <w:sz w:val="28"/>
          <w:szCs w:val="28"/>
        </w:rPr>
        <w:t>80</w:t>
      </w:r>
      <w:r w:rsidRPr="003A6E5A">
        <w:rPr>
          <w:rFonts w:ascii="Times New Roman" w:eastAsiaTheme="majorEastAsia" w:hAnsi="Times New Roman" w:cs="Times New Roman"/>
          <w:iCs/>
          <w:sz w:val="28"/>
          <w:szCs w:val="28"/>
        </w:rPr>
        <w:t>] (далее – МКА). Данные методы позволяют перейти от качественных суждений к количественным оценкам, учитывая комплекс разнонаправленных и разнородных показателей, которые ранжируются по степени значимости. Методология МКА требует четкого определения системы критериев, их весов и логики сопоставления, что влечет за собой необходимость использования математических моделей и статистических инструментов. Использование специализированных программных продуктов позволяет автоматизировать этот процесс и повысить точность итоговых оценок, обеспечивая более обоснованное ранжирование инвестиционных альтернатив.</w:t>
      </w:r>
    </w:p>
    <w:p w14:paraId="677BD79A" w14:textId="1CD8B99E" w:rsidR="0003217D" w:rsidRPr="003A6E5A" w:rsidRDefault="00FC275D" w:rsidP="00FC77CF">
      <w:pPr>
        <w:spacing w:after="0" w:line="240" w:lineRule="auto"/>
        <w:ind w:firstLine="708"/>
        <w:jc w:val="both"/>
        <w:rPr>
          <w:rFonts w:ascii="Times New Roman" w:eastAsiaTheme="minorEastAsia" w:hAnsi="Times New Roman" w:cs="Times New Roman"/>
          <w:sz w:val="28"/>
          <w:szCs w:val="28"/>
        </w:rPr>
      </w:pPr>
      <w:r w:rsidRPr="003A6E5A">
        <w:rPr>
          <w:rFonts w:ascii="Times New Roman" w:hAnsi="Times New Roman" w:cs="Times New Roman"/>
          <w:sz w:val="28"/>
          <w:szCs w:val="28"/>
        </w:rPr>
        <w:t xml:space="preserve">В условиях многофакторности инвестиционной среды важном этапом анализа становится разработка и использование интегральных показателей инвестиционного потенциала. Такие показатели формируется на основе агрегирования отдельных характеристик объекта оценки, предварительно </w:t>
      </w:r>
      <w:r w:rsidRPr="003A6E5A">
        <w:rPr>
          <w:rFonts w:ascii="Times New Roman" w:hAnsi="Times New Roman" w:cs="Times New Roman"/>
          <w:sz w:val="28"/>
          <w:szCs w:val="28"/>
        </w:rPr>
        <w:lastRenderedPageBreak/>
        <w:t xml:space="preserve">нормализованных и стандартизированных по единой шакале. Применение методов статистического анализа, в частности анализа главных компонент (далее – АГП), факторного анализа, </w:t>
      </w:r>
      <m:oMath>
        <m:r>
          <w:rPr>
            <w:rFonts w:ascii="Cambria Math" w:hAnsi="Cambria Math" w:cs="Times New Roman"/>
            <w:sz w:val="28"/>
            <w:szCs w:val="28"/>
          </w:rPr>
          <m:t>z-</m:t>
        </m:r>
      </m:oMath>
      <w:r w:rsidRPr="003A6E5A">
        <w:rPr>
          <w:rFonts w:ascii="Times New Roman" w:eastAsiaTheme="minorEastAsia" w:hAnsi="Times New Roman" w:cs="Times New Roman"/>
          <w:sz w:val="28"/>
          <w:szCs w:val="28"/>
        </w:rPr>
        <w:t xml:space="preserve"> </w:t>
      </w:r>
      <w:r w:rsidRPr="003A6E5A">
        <w:rPr>
          <w:rFonts w:ascii="Times New Roman" w:eastAsiaTheme="minorEastAsia" w:hAnsi="Times New Roman" w:cs="Times New Roman"/>
          <w:sz w:val="28"/>
          <w:szCs w:val="28"/>
          <w:lang w:val="kk-KZ"/>
        </w:rPr>
        <w:t>преобразования</w:t>
      </w:r>
      <w:r w:rsidRPr="003A6E5A">
        <w:rPr>
          <w:rFonts w:ascii="Times New Roman" w:eastAsiaTheme="minorEastAsia" w:hAnsi="Times New Roman" w:cs="Times New Roman"/>
          <w:sz w:val="28"/>
          <w:szCs w:val="28"/>
        </w:rPr>
        <w:t>, позволяет сократить количество переменных, устранить мультиколлинеарность и обеспечить корректность сравнений между объектами (регионами)</w:t>
      </w:r>
      <w:r w:rsidR="00413058" w:rsidRPr="003A6E5A">
        <w:rPr>
          <w:rFonts w:ascii="Times New Roman" w:eastAsiaTheme="minorEastAsia" w:hAnsi="Times New Roman" w:cs="Times New Roman"/>
          <w:sz w:val="28"/>
          <w:szCs w:val="28"/>
        </w:rPr>
        <w:t xml:space="preserve"> [</w:t>
      </w:r>
      <w:r w:rsidR="00A822BB" w:rsidRPr="003A6E5A">
        <w:rPr>
          <w:rFonts w:ascii="Times New Roman" w:eastAsiaTheme="minorEastAsia" w:hAnsi="Times New Roman" w:cs="Times New Roman"/>
          <w:sz w:val="28"/>
          <w:szCs w:val="28"/>
        </w:rPr>
        <w:t>81</w:t>
      </w:r>
      <w:r w:rsidR="00413058" w:rsidRPr="003A6E5A">
        <w:rPr>
          <w:rFonts w:ascii="Times New Roman" w:eastAsiaTheme="minorEastAsia" w:hAnsi="Times New Roman" w:cs="Times New Roman"/>
          <w:sz w:val="28"/>
          <w:szCs w:val="28"/>
        </w:rPr>
        <w:t>]</w:t>
      </w:r>
      <w:r w:rsidRPr="003A6E5A">
        <w:rPr>
          <w:rFonts w:ascii="Times New Roman" w:eastAsiaTheme="minorEastAsia" w:hAnsi="Times New Roman" w:cs="Times New Roman"/>
          <w:sz w:val="28"/>
          <w:szCs w:val="28"/>
        </w:rPr>
        <w:t>. В результате получается обобщенный индекс, способный отразить совокупное влияние множества факторов на инвестиционную привлекательность а также обеспечить сопоставимость различных объектов (регионов, предприятий, проектов), в рамках единой системы координат. Однако следует подчеркнуть что интегральные показатели не заменяют собой детального анализа, а лишь являются его инструментом синтеза и агрегирования информации. Их основное название – служить ориентиром для предварительного ранжирования и идентификации наиболее перспективных объектов (регионов и т.д.) для дальнейшего изучения. При этом необходимо соблюдать принципы транспарентности, воспроизводимости, и методологической обоснованности, чтобы избежать произвольности в выборе исходных переменных и весовых коэффициентов. Критически важно, чтобы выбор факторов и метод агрегирования отражали специфику исследуемой сферы и были обоснованы с учетом теоретических подходов и эмпирических данных.</w:t>
      </w:r>
    </w:p>
    <w:p w14:paraId="150B2975" w14:textId="3E70CE0E" w:rsidR="0003217D" w:rsidRPr="003A6E5A" w:rsidRDefault="00FC275D" w:rsidP="001608EA">
      <w:pPr>
        <w:spacing w:after="0" w:line="240" w:lineRule="auto"/>
        <w:ind w:firstLine="708"/>
        <w:jc w:val="both"/>
        <w:rPr>
          <w:rFonts w:ascii="Times New Roman" w:eastAsiaTheme="minorEastAsia" w:hAnsi="Times New Roman" w:cs="Times New Roman"/>
          <w:sz w:val="28"/>
          <w:szCs w:val="28"/>
        </w:rPr>
      </w:pPr>
      <w:r w:rsidRPr="003A6E5A">
        <w:rPr>
          <w:rFonts w:ascii="Times New Roman" w:eastAsiaTheme="minorEastAsia" w:hAnsi="Times New Roman" w:cs="Times New Roman"/>
          <w:sz w:val="28"/>
          <w:szCs w:val="28"/>
        </w:rPr>
        <w:t>Интегральные подходы особенно востребованы в ситуациях, когда анализ охватывает большое количество объектов, например, при сравнении инвестиционного потенциала регионов, стран, отраслей или групп предприятий. В таких случаях невозможно использовать исключительно индивидуальные оценки, и возникает необходимость в стандартизации подходов</w:t>
      </w:r>
      <w:r w:rsidR="00413058" w:rsidRPr="003A6E5A">
        <w:rPr>
          <w:rFonts w:ascii="Times New Roman" w:eastAsiaTheme="minorEastAsia" w:hAnsi="Times New Roman" w:cs="Times New Roman"/>
          <w:sz w:val="28"/>
          <w:szCs w:val="28"/>
        </w:rPr>
        <w:t xml:space="preserve"> [</w:t>
      </w:r>
      <w:r w:rsidR="00A822BB" w:rsidRPr="003A6E5A">
        <w:rPr>
          <w:rFonts w:ascii="Times New Roman" w:eastAsiaTheme="minorEastAsia" w:hAnsi="Times New Roman" w:cs="Times New Roman"/>
          <w:sz w:val="28"/>
          <w:szCs w:val="28"/>
        </w:rPr>
        <w:t>82</w:t>
      </w:r>
      <w:r w:rsidR="00413058" w:rsidRPr="003A6E5A">
        <w:rPr>
          <w:rFonts w:ascii="Times New Roman" w:eastAsiaTheme="minorEastAsia" w:hAnsi="Times New Roman" w:cs="Times New Roman"/>
          <w:sz w:val="28"/>
          <w:szCs w:val="28"/>
        </w:rPr>
        <w:t>]</w:t>
      </w:r>
      <w:r w:rsidRPr="003A6E5A">
        <w:rPr>
          <w:rFonts w:ascii="Times New Roman" w:eastAsiaTheme="minorEastAsia" w:hAnsi="Times New Roman" w:cs="Times New Roman"/>
          <w:sz w:val="28"/>
          <w:szCs w:val="28"/>
        </w:rPr>
        <w:t xml:space="preserve">. Кроме того, интегральные показатели широко применяются в инвестиционном проектировании, когда требуется оперативно оценить риски, рентабельность и устойчивость проекта без глубокого погружения в каждый параметр в отдельности. Такие индексы также находят применение в системах инвестиционного мониторинга и стратегического планирования, поскольку позволяют отслеживать динамику изменения инвестиционного климата и оперативно реагировать на возникающую угрозу. </w:t>
      </w:r>
    </w:p>
    <w:p w14:paraId="6842204E" w14:textId="0F744E78" w:rsidR="0003217D" w:rsidRPr="003A6E5A" w:rsidRDefault="00E933F4" w:rsidP="001608EA">
      <w:pPr>
        <w:spacing w:after="0" w:line="240" w:lineRule="auto"/>
        <w:ind w:firstLine="708"/>
        <w:jc w:val="both"/>
        <w:rPr>
          <w:rFonts w:ascii="Times New Roman" w:eastAsiaTheme="minorEastAsia" w:hAnsi="Times New Roman" w:cs="Times New Roman"/>
          <w:sz w:val="28"/>
          <w:szCs w:val="28"/>
        </w:rPr>
      </w:pPr>
      <w:r w:rsidRPr="003A6E5A">
        <w:rPr>
          <w:rFonts w:ascii="Times New Roman" w:eastAsiaTheme="minorEastAsia" w:hAnsi="Times New Roman" w:cs="Times New Roman"/>
          <w:sz w:val="28"/>
          <w:szCs w:val="28"/>
        </w:rPr>
        <w:t>Современные вызовы,</w:t>
      </w:r>
      <w:r w:rsidR="00FC275D" w:rsidRPr="003A6E5A">
        <w:rPr>
          <w:rFonts w:ascii="Times New Roman" w:eastAsiaTheme="minorEastAsia" w:hAnsi="Times New Roman" w:cs="Times New Roman"/>
          <w:sz w:val="28"/>
          <w:szCs w:val="28"/>
        </w:rPr>
        <w:t xml:space="preserve"> связанные с нестабильностью глобальных рынков, трансформацией экономических моделей, цифровизацией и усилением роли </w:t>
      </w:r>
      <w:r w:rsidR="00FC275D" w:rsidRPr="003A6E5A">
        <w:rPr>
          <w:rFonts w:ascii="Times New Roman" w:eastAsiaTheme="minorEastAsia" w:hAnsi="Times New Roman" w:cs="Times New Roman"/>
          <w:sz w:val="28"/>
          <w:szCs w:val="28"/>
          <w:lang w:val="en-US"/>
        </w:rPr>
        <w:t>ESG</w:t>
      </w:r>
      <w:r w:rsidR="00FC275D" w:rsidRPr="003A6E5A">
        <w:rPr>
          <w:rFonts w:ascii="Times New Roman" w:eastAsiaTheme="minorEastAsia" w:hAnsi="Times New Roman" w:cs="Times New Roman"/>
          <w:sz w:val="28"/>
          <w:szCs w:val="28"/>
        </w:rPr>
        <w:t xml:space="preserve"> – факторов, требует постоянного совершенствования методических основ оценки инвестиционного потенциала. Это предполагает разработку адаптивных моделей, способных учитывать не только статистические характеристики, но и динамические изменения, а также высокий уровень неопределенности. В этой связи возрастают требования к качеству исходных данных, прозрачности модели и способности учитывать широкие контексты (от технологических трендов до геополитических рисков). Таким образом, методологические подходы инвестиционного потенциала и разработке интегральных показателей формируют основу для принятия обоснованных и стратегически выверенных инвестиционных решений. Они представляют собой результат синтеза различных дисциплин – экономики, статистики, математики, управленческих и </w:t>
      </w:r>
      <w:r w:rsidR="00FC275D" w:rsidRPr="003A6E5A">
        <w:rPr>
          <w:rFonts w:ascii="Times New Roman" w:eastAsiaTheme="minorEastAsia" w:hAnsi="Times New Roman" w:cs="Times New Roman"/>
          <w:sz w:val="28"/>
          <w:szCs w:val="28"/>
        </w:rPr>
        <w:lastRenderedPageBreak/>
        <w:t>социальных наук, что обеспечивает многоуровневое и гибкое понимание инвестиционных процессов. Только при условиях постоянной методологической рефлексии, адаптации инструментов к изменяющейся реальности и учета всех аспектов инвестиционного климата можно обеспечить адекватную оценку инвестиционного потенциала и сформировать устойчивую стратегию его развития.</w:t>
      </w:r>
    </w:p>
    <w:p w14:paraId="4BDE3005"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Особенно важным данный подход становится при оценке инвестиционной привлекательности регионов, где необходимо учитывать как стимулирующие, так и сдерживающие факторы. Эти факторы могут включать экономические, социальные, инфраструктурные и экологические характеристики, каждая из которых по отдельности лишь частично отражает реальное состояние региона. Для получения объективной картины требуется построение интегрального показателя, который объединяет разнообразные параметры в единую систему оценки. Разработка такой методики требует детального изучения структуры факторов, их взаимосвязей и влияния на общий результат. Это позволяет не только оценить текущее положение региона, но и выявить приоритетные направления для улучшения. Это, в свою очередь, имеет ключевое значение для привлечения инвестиций и повышения конкурентоспособности страны в целом. </w:t>
      </w:r>
    </w:p>
    <w:p w14:paraId="25E507EF" w14:textId="67C7A064"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Интегральный показатель должен основываться на объективных данных и быть адаптированным к специфике регионов, учитывая их уникальные особенности и условия</w:t>
      </w:r>
      <w:r w:rsidR="00413058" w:rsidRPr="003A6E5A">
        <w:rPr>
          <w:rFonts w:ascii="Times New Roman" w:hAnsi="Times New Roman" w:cs="Times New Roman"/>
          <w:sz w:val="28"/>
          <w:szCs w:val="28"/>
        </w:rPr>
        <w:t xml:space="preserve"> [</w:t>
      </w:r>
      <w:r w:rsidR="00A822BB" w:rsidRPr="003A6E5A">
        <w:rPr>
          <w:rFonts w:ascii="Times New Roman" w:hAnsi="Times New Roman" w:cs="Times New Roman"/>
          <w:sz w:val="28"/>
          <w:szCs w:val="28"/>
        </w:rPr>
        <w:t>83</w:t>
      </w:r>
      <w:r w:rsidR="00413058" w:rsidRPr="003A6E5A">
        <w:rPr>
          <w:rFonts w:ascii="Times New Roman" w:hAnsi="Times New Roman" w:cs="Times New Roman"/>
          <w:sz w:val="28"/>
          <w:szCs w:val="28"/>
        </w:rPr>
        <w:t>]</w:t>
      </w:r>
      <w:r w:rsidRPr="003A6E5A">
        <w:rPr>
          <w:rFonts w:ascii="Times New Roman" w:hAnsi="Times New Roman" w:cs="Times New Roman"/>
          <w:sz w:val="28"/>
          <w:szCs w:val="28"/>
        </w:rPr>
        <w:t>. Например, при оценке инвестиционной привлекательности необходимо учитывать такие факторы, как валовый региональный продукт, численность персонала, занятого в научно-исследовательско</w:t>
      </w:r>
      <w:r w:rsidRPr="003A6E5A">
        <w:rPr>
          <w:rFonts w:ascii="Times New Roman" w:hAnsi="Times New Roman" w:cs="Times New Roman"/>
          <w:sz w:val="28"/>
          <w:szCs w:val="28"/>
        </w:rPr>
        <w:tab/>
        <w:t xml:space="preserve">и опытно-конструкторских работах (далее </w:t>
      </w:r>
      <w:r w:rsidR="00413058" w:rsidRPr="003A6E5A">
        <w:rPr>
          <w:rFonts w:ascii="Times New Roman" w:hAnsi="Times New Roman" w:cs="Times New Roman"/>
          <w:sz w:val="28"/>
          <w:szCs w:val="28"/>
        </w:rPr>
        <w:t>–</w:t>
      </w:r>
      <w:r w:rsidRPr="003A6E5A">
        <w:rPr>
          <w:rFonts w:ascii="Times New Roman" w:hAnsi="Times New Roman" w:cs="Times New Roman"/>
          <w:sz w:val="28"/>
          <w:szCs w:val="28"/>
        </w:rPr>
        <w:t xml:space="preserve"> НИОКР), и их внутренние затраты, объем инновационной продукции, среднемесячная заработная плата, инновационная активность предприятий, уровень экономической активности, состояние инфраструктуры, а также социально-политическую стабильность. Каждый из этих факторов имеет разный вес и значение, что требует разработки взвешенной методологии их учета. Кроме того, важно выбрать такие критерии и методы оценки, которые позволят получить объективные, сопоставимые и легко интерпретируемые результаты. Это может включать использование математического моделирования, экспертных оценок, статистических методов и многомерного анализа. Итоговый интегральный показатель становится универсальным инструментом для сравнения регионов и принятия стратегических решений, направленных на их развитие и привлечение инвестиций. Таким образом, разработка методологии построения интегрального показателя представляет собой сложный, но крайне важный процесс. Он позволяет систематизировать данные, объективно оценить конкурентные преимущества рассматриваемого региона и определить направления для их улучшения. </w:t>
      </w:r>
    </w:p>
    <w:p w14:paraId="5E6E26AD"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В основе такой методологии лежит интеграция количественных и качественных данных, что требует тщательной обработки информации и выбора адекватных методов анализа. Важным этапом является нормализация показателей, поскольку используемые данные часто имеют разные единицы </w:t>
      </w:r>
      <w:r w:rsidRPr="003A6E5A">
        <w:rPr>
          <w:rFonts w:ascii="Times New Roman" w:hAnsi="Times New Roman" w:cs="Times New Roman"/>
          <w:sz w:val="28"/>
          <w:szCs w:val="28"/>
        </w:rPr>
        <w:lastRenderedPageBreak/>
        <w:t>измерения и диапазоны. Нормализация позволяет привести их к сопоставимому виду и устранить возможные искажения в итоговой оценке. Кроме того, определение весовых коэффициентов играет ключевую роль. Эти коэффициенты отражают степень влияния каждого показателя на общий результат и могут быть определены с использованием вышеописанных методов. Такой процесс обеспечивает сбалансированность итогового индекса инвестиционного потенциала исследуемого региона.</w:t>
      </w:r>
    </w:p>
    <w:p w14:paraId="42CEA64C"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Далее представлена методология построения интегрального показателя для оценки стимулирующих и сдерживающих факторов, влияющих на инвестиционную привлекательность регионов Казахстана.</w:t>
      </w:r>
    </w:p>
    <w:p w14:paraId="67C06F5D" w14:textId="094D16A6"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Общая характеристика </w:t>
      </w:r>
      <m:oMath>
        <m:r>
          <w:rPr>
            <w:rFonts w:ascii="Cambria Math" w:hAnsi="Cambria Math" w:cs="Times New Roman"/>
            <w:sz w:val="28"/>
            <w:szCs w:val="28"/>
          </w:rPr>
          <m:t>f</m:t>
        </m:r>
      </m:oMath>
      <w:r w:rsidRPr="003A6E5A">
        <w:rPr>
          <w:rFonts w:ascii="Times New Roman" w:eastAsiaTheme="minorEastAsia" w:hAnsi="Times New Roman" w:cs="Times New Roman"/>
          <w:sz w:val="28"/>
          <w:szCs w:val="28"/>
        </w:rPr>
        <w:t xml:space="preserve"> исследуемого свойства объекта основывается на наборе измеряемых критериев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(1)</m:t>
            </m:r>
          </m:sup>
        </m:sSup>
      </m:oMath>
      <w:r w:rsidRPr="003A6E5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oMath>
      <w:r w:rsidRPr="003A6E5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m:t>
            </m:r>
          </m:sup>
        </m:sSup>
      </m:oMath>
      <w:r w:rsidRPr="003A6E5A">
        <w:rPr>
          <w:rFonts w:ascii="Times New Roman" w:eastAsiaTheme="minorEastAsia" w:hAnsi="Times New Roman" w:cs="Times New Roman"/>
          <w:sz w:val="28"/>
          <w:szCs w:val="28"/>
        </w:rPr>
        <w:t xml:space="preserve">. В то же время сама характеристика </w:t>
      </w:r>
      <m:oMath>
        <m:r>
          <w:rPr>
            <w:rFonts w:ascii="Cambria Math" w:hAnsi="Cambria Math" w:cs="Times New Roman"/>
            <w:sz w:val="28"/>
            <w:szCs w:val="28"/>
          </w:rPr>
          <m:t xml:space="preserve">f </m:t>
        </m:r>
      </m:oMath>
      <w:r w:rsidRPr="003A6E5A">
        <w:rPr>
          <w:rFonts w:ascii="Times New Roman" w:eastAsiaTheme="minorEastAsia" w:hAnsi="Times New Roman" w:cs="Times New Roman"/>
          <w:sz w:val="28"/>
          <w:szCs w:val="28"/>
        </w:rPr>
        <w:t xml:space="preserve">считается скрытой и не имеет объективной шкалы для измерения. Можно предположить, что восприятие этой характеристики экспертами </w:t>
      </w:r>
      <m:oMath>
        <m:r>
          <w:rPr>
            <w:rFonts w:ascii="Cambria Math" w:hAnsi="Cambria Math" w:cs="Times New Roman"/>
            <w:sz w:val="28"/>
            <w:szCs w:val="28"/>
          </w:rPr>
          <m:t xml:space="preserve">y </m:t>
        </m:r>
      </m:oMath>
      <w:r w:rsidRPr="003A6E5A">
        <w:rPr>
          <w:rFonts w:ascii="Times New Roman" w:eastAsiaTheme="minorEastAsia" w:hAnsi="Times New Roman" w:cs="Times New Roman"/>
          <w:sz w:val="28"/>
          <w:szCs w:val="28"/>
        </w:rPr>
        <w:t xml:space="preserve"> можно представить как искаженное значение </w:t>
      </w:r>
      <m:oMath>
        <m:r>
          <w:rPr>
            <w:rFonts w:ascii="Cambria Math" w:hAnsi="Cambria Math" w:cs="Times New Roman"/>
            <w:sz w:val="28"/>
            <w:szCs w:val="28"/>
          </w:rPr>
          <m:t>f(</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(1)</m:t>
            </m:r>
          </m:sup>
        </m:sSup>
      </m:oMath>
      <w:r w:rsidRPr="003A6E5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oMath>
      <w:r w:rsidRPr="003A6E5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oMath>
      <w:r w:rsidRPr="003A6E5A">
        <w:rPr>
          <w:rFonts w:ascii="Times New Roman" w:eastAsiaTheme="minorEastAsia" w:hAnsi="Times New Roman" w:cs="Times New Roman"/>
          <w:sz w:val="28"/>
          <w:szCs w:val="28"/>
        </w:rPr>
        <w:t xml:space="preserve">, в котором искажение </w:t>
      </w:r>
      <m:oMath>
        <m:r>
          <w:rPr>
            <w:rFonts w:ascii="Cambria Math" w:eastAsiaTheme="minorEastAsia" w:hAnsi="Cambria Math" w:cs="Times New Roman"/>
            <w:sz w:val="28"/>
            <w:szCs w:val="28"/>
          </w:rPr>
          <m:t>δ</m:t>
        </m:r>
      </m:oMath>
      <w:r w:rsidRPr="003A6E5A">
        <w:rPr>
          <w:rFonts w:ascii="Times New Roman" w:eastAsiaTheme="minorEastAsia" w:hAnsi="Times New Roman" w:cs="Times New Roman"/>
          <w:sz w:val="28"/>
          <w:szCs w:val="28"/>
        </w:rPr>
        <w:t xml:space="preserve"> является случайным и связано как с ограничениями восприятия эксперта, так и с влиянием факторов, к</w:t>
      </w:r>
      <w:r w:rsidRPr="003A6E5A">
        <w:rPr>
          <w:rFonts w:ascii="Times New Roman" w:hAnsi="Times New Roman" w:cs="Times New Roman"/>
          <w:sz w:val="28"/>
          <w:szCs w:val="28"/>
        </w:rPr>
        <w:t>ями, как себестоимость, рентабельность активов и уров</w:t>
      </w:r>
      <w:r w:rsidRPr="003A6E5A">
        <w:rPr>
          <w:rFonts w:ascii="Times New Roman" w:eastAsiaTheme="minorEastAsia" w:hAnsi="Times New Roman" w:cs="Times New Roman"/>
          <w:sz w:val="28"/>
          <w:szCs w:val="28"/>
        </w:rPr>
        <w:t xml:space="preserve">оторые не были учтены. Следовательно, связь между экспертной оценкой </w:t>
      </w:r>
      <m:oMath>
        <m:r>
          <w:rPr>
            <w:rFonts w:ascii="Cambria Math" w:hAnsi="Cambria Math" w:cs="Times New Roman"/>
            <w:sz w:val="28"/>
            <w:szCs w:val="28"/>
          </w:rPr>
          <m:t>y=</m:t>
        </m:r>
        <m:r>
          <w:rPr>
            <w:rFonts w:ascii="Cambria Math" w:hAnsi="Cambria Math" w:cs="Times New Roman"/>
            <w:sz w:val="28"/>
            <w:szCs w:val="28"/>
            <w:lang w:val="en-US"/>
          </w:rPr>
          <m:t>f</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oMath>
      <w:r w:rsidRPr="003A6E5A">
        <w:rPr>
          <w:rFonts w:ascii="Times New Roman" w:eastAsiaTheme="minorEastAsia" w:hAnsi="Times New Roman" w:cs="Times New Roman"/>
          <w:sz w:val="28"/>
          <w:szCs w:val="28"/>
        </w:rPr>
        <w:t xml:space="preserve"> </w:t>
      </w:r>
      <w:r w:rsidRPr="003A6E5A">
        <w:rPr>
          <w:rFonts w:ascii="Times New Roman" w:eastAsiaTheme="minorEastAsia" w:hAnsi="Times New Roman" w:cs="Times New Roman"/>
          <w:sz w:val="28"/>
          <w:szCs w:val="28"/>
          <w:lang w:val="kk-KZ"/>
        </w:rPr>
        <w:t xml:space="preserve">и </w:t>
      </w:r>
      <w:r w:rsidRPr="003A6E5A">
        <w:rPr>
          <w:rFonts w:ascii="Times New Roman" w:eastAsiaTheme="minorEastAsia" w:hAnsi="Times New Roman" w:cs="Times New Roman"/>
          <w:sz w:val="28"/>
          <w:szCs w:val="28"/>
        </w:rPr>
        <w:t xml:space="preserve">случайной ошибкой </w:t>
      </w:r>
      <m:oMath>
        <m:r>
          <w:rPr>
            <w:rFonts w:ascii="Cambria Math" w:eastAsiaTheme="minorEastAsia" w:hAnsi="Cambria Math" w:cs="Times New Roman"/>
            <w:sz w:val="28"/>
            <w:szCs w:val="28"/>
          </w:rPr>
          <m:t>δ(X)</m:t>
        </m:r>
      </m:oMath>
      <w:r w:rsidRPr="003A6E5A">
        <w:rPr>
          <w:rFonts w:ascii="Times New Roman" w:eastAsiaTheme="minorEastAsia" w:hAnsi="Times New Roman" w:cs="Times New Roman"/>
          <w:sz w:val="28"/>
          <w:szCs w:val="28"/>
        </w:rPr>
        <w:t xml:space="preserve"> может быть записана как </w:t>
      </w:r>
      <m:oMath>
        <m:r>
          <w:rPr>
            <w:rFonts w:ascii="Cambria Math" w:hAnsi="Cambria Math" w:cs="Times New Roman"/>
            <w:sz w:val="28"/>
            <w:szCs w:val="28"/>
          </w:rPr>
          <m:t>y=</m:t>
        </m:r>
        <m:r>
          <w:rPr>
            <w:rFonts w:ascii="Cambria Math" w:hAnsi="Cambria Math" w:cs="Times New Roman"/>
            <w:sz w:val="28"/>
            <w:szCs w:val="28"/>
            <w:lang w:val="en-US"/>
          </w:rPr>
          <m:t>f</m:t>
        </m:r>
        <m:d>
          <m:dPr>
            <m:ctrlPr>
              <w:rPr>
                <w:rFonts w:ascii="Cambria Math" w:hAnsi="Cambria Math" w:cs="Times New Roman"/>
                <w:i/>
                <w:sz w:val="28"/>
                <w:szCs w:val="28"/>
              </w:rPr>
            </m:ctrlPr>
          </m:dPr>
          <m:e>
            <m:r>
              <w:rPr>
                <w:rFonts w:ascii="Cambria Math" w:hAnsi="Cambria Math" w:cs="Times New Roman"/>
                <w:sz w:val="28"/>
                <w:szCs w:val="28"/>
                <w:lang w:val="en-US"/>
              </w:rPr>
              <m:t>X</m:t>
            </m:r>
          </m:e>
        </m:d>
        <m:r>
          <w:rPr>
            <w:rFonts w:ascii="Cambria Math" w:hAnsi="Cambria Math" w:cs="Times New Roman"/>
            <w:sz w:val="28"/>
            <w:szCs w:val="28"/>
          </w:rPr>
          <m:t>+</m:t>
        </m:r>
        <m:r>
          <w:rPr>
            <w:rFonts w:ascii="Cambria Math" w:eastAsiaTheme="minorEastAsia" w:hAnsi="Cambria Math" w:cs="Times New Roman"/>
            <w:sz w:val="28"/>
            <w:szCs w:val="28"/>
          </w:rPr>
          <m:t>δ(X)</m:t>
        </m:r>
      </m:oMath>
      <w:r w:rsidRPr="003A6E5A">
        <w:rPr>
          <w:rFonts w:ascii="Times New Roman" w:eastAsiaTheme="minorEastAsia" w:hAnsi="Times New Roman" w:cs="Times New Roman"/>
          <w:sz w:val="28"/>
          <w:szCs w:val="28"/>
        </w:rPr>
        <w:t xml:space="preserve">. Без утраты общности можно считать, что первые два момента случайной величины </w:t>
      </w:r>
      <m:oMath>
        <m:r>
          <w:rPr>
            <w:rFonts w:ascii="Cambria Math" w:eastAsiaTheme="minorEastAsia" w:hAnsi="Cambria Math" w:cs="Times New Roman"/>
            <w:sz w:val="28"/>
            <w:szCs w:val="28"/>
          </w:rPr>
          <m:t>δ(X)</m:t>
        </m:r>
      </m:oMath>
      <w:r w:rsidRPr="003A6E5A">
        <w:rPr>
          <w:rFonts w:ascii="Times New Roman" w:eastAsiaTheme="minorEastAsia" w:hAnsi="Times New Roman" w:cs="Times New Roman"/>
          <w:sz w:val="28"/>
          <w:szCs w:val="28"/>
        </w:rPr>
        <w:t xml:space="preserve"> имеют такие свойства: </w:t>
      </w:r>
      <m:oMath>
        <m:r>
          <w:rPr>
            <w:rFonts w:ascii="Cambria Math" w:eastAsiaTheme="minorEastAsia" w:hAnsi="Cambria Math" w:cs="Times New Roman"/>
            <w:sz w:val="28"/>
            <w:szCs w:val="28"/>
          </w:rPr>
          <m:t>E</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δ(X)</m:t>
            </m:r>
          </m:e>
        </m:d>
        <m:r>
          <w:rPr>
            <w:rFonts w:ascii="Cambria Math" w:eastAsiaTheme="minorEastAsia" w:hAnsi="Cambria Math" w:cs="Times New Roman"/>
            <w:sz w:val="28"/>
            <w:szCs w:val="28"/>
          </w:rPr>
          <m:t>≡0</m:t>
        </m:r>
      </m:oMath>
      <w:r w:rsidRPr="003A6E5A">
        <w:rPr>
          <w:rFonts w:ascii="Times New Roman" w:eastAsiaTheme="minorEastAsia" w:hAnsi="Times New Roman" w:cs="Times New Roman"/>
          <w:sz w:val="28"/>
          <w:szCs w:val="28"/>
        </w:rPr>
        <w:t xml:space="preserve"> и </w:t>
      </w:r>
      <m:oMath>
        <m:r>
          <w:rPr>
            <w:rFonts w:ascii="Cambria Math" w:eastAsiaTheme="minorEastAsia" w:hAnsi="Cambria Math" w:cs="Times New Roman"/>
            <w:sz w:val="28"/>
            <w:szCs w:val="28"/>
          </w:rPr>
          <m:t>D</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δ(X)</m:t>
            </m:r>
          </m:e>
        </m:d>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σ</m:t>
            </m:r>
          </m:e>
          <m:sup>
            <m:r>
              <w:rPr>
                <w:rFonts w:ascii="Cambria Math" w:eastAsiaTheme="minorEastAsia" w:hAnsi="Cambria Math" w:cs="Times New Roman"/>
                <w:sz w:val="28"/>
                <w:szCs w:val="28"/>
              </w:rPr>
              <m:t>2</m:t>
            </m:r>
          </m:sup>
        </m:s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r>
          <w:rPr>
            <w:rFonts w:ascii="Cambria Math" w:eastAsiaTheme="minorEastAsia" w:hAnsi="Cambria Math" w:cs="Times New Roman"/>
            <w:sz w:val="28"/>
            <w:szCs w:val="28"/>
          </w:rPr>
          <m:t>&lt;∞</m:t>
        </m:r>
      </m:oMath>
      <w:r w:rsidRPr="003A6E5A">
        <w:rPr>
          <w:rFonts w:ascii="Times New Roman" w:eastAsiaTheme="minorEastAsia" w:hAnsi="Times New Roman" w:cs="Times New Roman"/>
          <w:sz w:val="28"/>
          <w:szCs w:val="28"/>
        </w:rPr>
        <w:t xml:space="preserve">. Таким образом, общую характеристику </w:t>
      </w:r>
      <m:oMath>
        <m:r>
          <w:rPr>
            <w:rFonts w:ascii="Cambria Math" w:hAnsi="Cambria Math" w:cs="Times New Roman"/>
            <w:sz w:val="28"/>
            <w:szCs w:val="28"/>
            <w:lang w:val="en-US"/>
          </w:rPr>
          <m:t>f</m:t>
        </m:r>
        <m:d>
          <m:dPr>
            <m:ctrlPr>
              <w:rPr>
                <w:rFonts w:ascii="Cambria Math" w:hAnsi="Cambria Math" w:cs="Times New Roman"/>
                <w:i/>
                <w:sz w:val="28"/>
                <w:szCs w:val="28"/>
              </w:rPr>
            </m:ctrlPr>
          </m:dPr>
          <m:e>
            <m:r>
              <w:rPr>
                <w:rFonts w:ascii="Cambria Math" w:hAnsi="Cambria Math" w:cs="Times New Roman"/>
                <w:sz w:val="28"/>
                <w:szCs w:val="28"/>
                <w:lang w:val="en-US"/>
              </w:rPr>
              <m:t>X</m:t>
            </m:r>
          </m:e>
        </m:d>
      </m:oMath>
      <w:r w:rsidRPr="003A6E5A">
        <w:rPr>
          <w:rFonts w:ascii="Times New Roman" w:eastAsiaTheme="minorEastAsia" w:hAnsi="Times New Roman" w:cs="Times New Roman"/>
          <w:sz w:val="28"/>
          <w:szCs w:val="28"/>
        </w:rPr>
        <w:t xml:space="preserve"> можно интерпретировать как регрессию </w:t>
      </w:r>
      <m:oMath>
        <m:r>
          <w:rPr>
            <w:rFonts w:ascii="Cambria Math" w:hAnsi="Cambria Math" w:cs="Times New Roman"/>
            <w:sz w:val="28"/>
            <w:szCs w:val="28"/>
          </w:rPr>
          <m:t>y</m:t>
        </m:r>
      </m:oMath>
      <w:r w:rsidRPr="003A6E5A">
        <w:rPr>
          <w:rFonts w:ascii="Times New Roman" w:eastAsiaTheme="minorEastAsia" w:hAnsi="Times New Roman" w:cs="Times New Roman"/>
          <w:sz w:val="28"/>
          <w:szCs w:val="28"/>
        </w:rPr>
        <w:t xml:space="preserve"> на </w:t>
      </w:r>
      <m:oMath>
        <m:r>
          <w:rPr>
            <w:rFonts w:ascii="Cambria Math" w:eastAsiaTheme="minorEastAsia" w:hAnsi="Cambria Math" w:cs="Times New Roman"/>
            <w:sz w:val="28"/>
            <w:szCs w:val="28"/>
          </w:rPr>
          <m:t>X</m:t>
        </m:r>
      </m:oMath>
      <w:r w:rsidRPr="003A6E5A">
        <w:rPr>
          <w:rFonts w:ascii="Times New Roman" w:eastAsiaTheme="minorEastAsia" w:hAnsi="Times New Roman" w:cs="Times New Roman"/>
          <w:sz w:val="28"/>
          <w:szCs w:val="28"/>
        </w:rPr>
        <w:t xml:space="preserve">. Если имеются данные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e>
                </m:d>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m:t>
                    </m:r>
                  </m:e>
                </m:d>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i</m:t>
                </m:r>
              </m:sub>
              <m:sup>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p</m:t>
                    </m:r>
                  </m:e>
                </m:d>
              </m:sup>
            </m:sSubSup>
            <m:r>
              <w:rPr>
                <w:rFonts w:ascii="Cambria Math" w:eastAsiaTheme="minorEastAsia" w:hAnsi="Cambria Math" w:cs="Times New Roman"/>
                <w:sz w:val="28"/>
                <w:szCs w:val="28"/>
              </w:rPr>
              <m:t>)</m:t>
            </m:r>
          </m:e>
          <m:sup>
            <m:r>
              <w:rPr>
                <w:rFonts w:ascii="Cambria Math" w:eastAsiaTheme="minorEastAsia" w:hAnsi="Cambria Math" w:cs="Times New Roman"/>
                <w:sz w:val="28"/>
                <w:szCs w:val="28"/>
              </w:rPr>
              <m:t>T</m:t>
            </m:r>
          </m:sup>
        </m:sSup>
        <m:r>
          <w:rPr>
            <w:rFonts w:ascii="Cambria Math" w:eastAsiaTheme="minorEastAsia" w:hAnsi="Cambria Math" w:cs="Times New Roman"/>
            <w:sz w:val="28"/>
            <w:szCs w:val="28"/>
          </w:rPr>
          <m:t xml:space="preserve"> </m:t>
        </m:r>
      </m:oMath>
      <w:r w:rsidRPr="003A6E5A">
        <w:rPr>
          <w:rFonts w:ascii="Times New Roman" w:eastAsiaTheme="minorEastAsia" w:hAnsi="Times New Roman" w:cs="Times New Roman"/>
          <w:sz w:val="28"/>
          <w:szCs w:val="28"/>
        </w:rPr>
        <w:t xml:space="preserve"> и соответствующие значения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y</m:t>
            </m:r>
          </m:e>
          <m:sub>
            <m:r>
              <w:rPr>
                <w:rFonts w:ascii="Cambria Math" w:eastAsiaTheme="minorEastAsia" w:hAnsi="Cambria Math" w:cs="Times New Roman"/>
                <w:sz w:val="28"/>
                <w:szCs w:val="28"/>
              </w:rPr>
              <m:t>i</m:t>
            </m:r>
          </m:sub>
        </m:sSub>
      </m:oMath>
      <w:r w:rsidRPr="003A6E5A">
        <w:rPr>
          <w:rFonts w:ascii="Times New Roman" w:eastAsiaTheme="minorEastAsia" w:hAnsi="Times New Roman" w:cs="Times New Roman"/>
          <w:sz w:val="28"/>
          <w:szCs w:val="28"/>
        </w:rPr>
        <w:t xml:space="preserve"> (где </w:t>
      </w:r>
      <m:oMath>
        <m:r>
          <w:rPr>
            <w:rFonts w:ascii="Cambria Math" w:eastAsiaTheme="minorEastAsia" w:hAnsi="Cambria Math" w:cs="Times New Roman"/>
            <w:sz w:val="28"/>
            <w:szCs w:val="28"/>
          </w:rPr>
          <m:t>i</m:t>
        </m:r>
      </m:oMath>
      <w:r w:rsidRPr="003A6E5A">
        <w:rPr>
          <w:rFonts w:ascii="Times New Roman" w:eastAsiaTheme="minorEastAsia" w:hAnsi="Times New Roman" w:cs="Times New Roman"/>
          <w:sz w:val="28"/>
          <w:szCs w:val="28"/>
        </w:rPr>
        <w:t xml:space="preserve"> – номер наблюдения), то модель сводится к стандартному регрессионному уравнению. В статье С.В. Закускина подчеркивается, что весовые коэффициенты могут быть определены экспертным методом, например, с использованием балльной оценки</w:t>
      </w:r>
      <w:r w:rsidR="008D3972" w:rsidRPr="003A6E5A">
        <w:rPr>
          <w:rFonts w:ascii="Times New Roman" w:eastAsiaTheme="minorEastAsia" w:hAnsi="Times New Roman" w:cs="Times New Roman"/>
          <w:sz w:val="28"/>
          <w:szCs w:val="28"/>
          <w:lang w:val="kk-KZ"/>
        </w:rPr>
        <w:t xml:space="preserve"> </w:t>
      </w:r>
      <w:r w:rsidR="008D3972" w:rsidRPr="003A6E5A">
        <w:rPr>
          <w:rFonts w:ascii="Times New Roman" w:eastAsiaTheme="minorEastAsia" w:hAnsi="Times New Roman" w:cs="Times New Roman"/>
          <w:sz w:val="28"/>
          <w:szCs w:val="28"/>
        </w:rPr>
        <w:t>[</w:t>
      </w:r>
      <w:r w:rsidR="00A822BB" w:rsidRPr="003A6E5A">
        <w:rPr>
          <w:rFonts w:ascii="Times New Roman" w:eastAsiaTheme="minorEastAsia" w:hAnsi="Times New Roman" w:cs="Times New Roman"/>
          <w:sz w:val="28"/>
          <w:szCs w:val="28"/>
        </w:rPr>
        <w:t>84]</w:t>
      </w:r>
      <w:r w:rsidRPr="003A6E5A">
        <w:rPr>
          <w:rFonts w:ascii="Times New Roman" w:eastAsiaTheme="minorEastAsia" w:hAnsi="Times New Roman" w:cs="Times New Roman"/>
          <w:sz w:val="28"/>
          <w:szCs w:val="28"/>
        </w:rPr>
        <w:t xml:space="preserve">. Также иногда применяется метод простого среднего, при котором всем весам присваивается значения </w:t>
      </w:r>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lang w:val="en-US"/>
              </w:rPr>
              <m:t>n</m:t>
            </m:r>
          </m:den>
        </m:f>
      </m:oMath>
      <w:r w:rsidRPr="003A6E5A">
        <w:rPr>
          <w:rFonts w:ascii="Times New Roman" w:eastAsiaTheme="minorEastAsia" w:hAnsi="Times New Roman" w:cs="Times New Roman"/>
          <w:sz w:val="28"/>
          <w:szCs w:val="28"/>
        </w:rPr>
        <w:t xml:space="preserve"> при расчете интегрального показателя </w:t>
      </w:r>
      <m:oMath>
        <m:r>
          <w:rPr>
            <w:rFonts w:ascii="Cambria Math" w:eastAsiaTheme="minorEastAsia" w:hAnsi="Cambria Math" w:cs="Times New Roman"/>
            <w:sz w:val="28"/>
            <w:szCs w:val="28"/>
          </w:rPr>
          <m:t>I=</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e>
        </m:nary>
      </m:oMath>
      <w:r w:rsidRPr="003A6E5A">
        <w:rPr>
          <w:rFonts w:ascii="Times New Roman" w:eastAsiaTheme="minorEastAsia" w:hAnsi="Times New Roman" w:cs="Times New Roman"/>
          <w:sz w:val="28"/>
          <w:szCs w:val="28"/>
        </w:rPr>
        <w:t xml:space="preserve">, </w:t>
      </w:r>
      <w:r w:rsidRPr="003A6E5A">
        <w:rPr>
          <w:rFonts w:ascii="Times New Roman" w:eastAsiaTheme="minorEastAsia" w:hAnsi="Times New Roman" w:cs="Times New Roman"/>
          <w:sz w:val="28"/>
          <w:szCs w:val="28"/>
          <w:lang w:val="kk-KZ"/>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i</m:t>
            </m:r>
          </m:sub>
        </m:sSub>
      </m:oMath>
      <w:r w:rsidRPr="003A6E5A">
        <w:rPr>
          <w:rFonts w:ascii="Times New Roman" w:eastAsiaTheme="minorEastAsia" w:hAnsi="Times New Roman" w:cs="Times New Roman"/>
          <w:sz w:val="28"/>
          <w:szCs w:val="28"/>
          <w:lang w:val="kk-KZ"/>
        </w:rPr>
        <w:t xml:space="preserve"> – </w:t>
      </w:r>
      <w:r w:rsidRPr="003A6E5A">
        <w:rPr>
          <w:rFonts w:ascii="Times New Roman" w:eastAsiaTheme="minorEastAsia" w:hAnsi="Times New Roman" w:cs="Times New Roman"/>
          <w:sz w:val="28"/>
          <w:szCs w:val="28"/>
        </w:rPr>
        <w:t xml:space="preserve">вес </w:t>
      </w:r>
      <m:oMath>
        <m:r>
          <w:rPr>
            <w:rFonts w:ascii="Cambria Math" w:eastAsiaTheme="minorEastAsia" w:hAnsi="Cambria Math" w:cs="Times New Roman"/>
            <w:sz w:val="28"/>
            <w:szCs w:val="28"/>
          </w:rPr>
          <m:t>i</m:t>
        </m:r>
      </m:oMath>
      <w:r w:rsidRPr="003A6E5A">
        <w:rPr>
          <w:rFonts w:ascii="Times New Roman" w:eastAsiaTheme="minorEastAsia" w:hAnsi="Times New Roman" w:cs="Times New Roman"/>
          <w:sz w:val="28"/>
          <w:szCs w:val="28"/>
        </w:rPr>
        <w:t xml:space="preserve"> –</w:t>
      </w:r>
      <w:r w:rsidRPr="003A6E5A">
        <w:rPr>
          <w:rFonts w:ascii="Times New Roman" w:eastAsiaTheme="minorEastAsia" w:hAnsi="Times New Roman" w:cs="Times New Roman"/>
          <w:sz w:val="28"/>
          <w:szCs w:val="28"/>
          <w:lang w:val="kk-KZ"/>
        </w:rPr>
        <w:t xml:space="preserve">го </w:t>
      </w:r>
      <w:r w:rsidRPr="003A6E5A">
        <w:rPr>
          <w:rFonts w:ascii="Times New Roman" w:eastAsiaTheme="minorEastAsia" w:hAnsi="Times New Roman" w:cs="Times New Roman"/>
          <w:sz w:val="28"/>
          <w:szCs w:val="28"/>
        </w:rPr>
        <w:t xml:space="preserve">показателя, 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p</m:t>
            </m:r>
          </m:e>
          <m:sub>
            <m:r>
              <w:rPr>
                <w:rFonts w:ascii="Cambria Math" w:eastAsiaTheme="minorEastAsia" w:hAnsi="Cambria Math" w:cs="Times New Roman"/>
                <w:sz w:val="28"/>
                <w:szCs w:val="28"/>
              </w:rPr>
              <m:t>i</m:t>
            </m:r>
          </m:sub>
        </m:sSub>
      </m:oMath>
      <w:r w:rsidRPr="003A6E5A">
        <w:rPr>
          <w:rFonts w:ascii="Times New Roman" w:eastAsiaTheme="minorEastAsia" w:hAnsi="Times New Roman" w:cs="Times New Roman"/>
          <w:sz w:val="28"/>
          <w:szCs w:val="28"/>
        </w:rPr>
        <w:t xml:space="preserve"> – его значение.</w:t>
      </w:r>
    </w:p>
    <w:p w14:paraId="5C7D42B0" w14:textId="0E6489EE"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В соответствии с фундаментальными работами Т.В. Жгуна</w:t>
      </w:r>
      <w:r w:rsidR="002E786E" w:rsidRPr="003A6E5A">
        <w:rPr>
          <w:rFonts w:ascii="Times New Roman" w:hAnsi="Times New Roman" w:cs="Times New Roman"/>
          <w:sz w:val="28"/>
          <w:szCs w:val="28"/>
          <w:lang w:val="kk-KZ"/>
        </w:rPr>
        <w:t xml:space="preserve"> </w:t>
      </w:r>
      <w:r w:rsidR="002E786E" w:rsidRPr="003A6E5A">
        <w:rPr>
          <w:rFonts w:ascii="Times New Roman" w:hAnsi="Times New Roman" w:cs="Times New Roman"/>
          <w:sz w:val="28"/>
          <w:szCs w:val="28"/>
        </w:rPr>
        <w:t>[</w:t>
      </w:r>
      <w:r w:rsidR="005A1742" w:rsidRPr="003A6E5A">
        <w:rPr>
          <w:rFonts w:ascii="Times New Roman" w:hAnsi="Times New Roman" w:cs="Times New Roman"/>
          <w:sz w:val="28"/>
          <w:szCs w:val="28"/>
        </w:rPr>
        <w:t>8</w:t>
      </w:r>
      <w:r w:rsidR="00A822BB" w:rsidRPr="003A6E5A">
        <w:rPr>
          <w:rFonts w:ascii="Times New Roman" w:hAnsi="Times New Roman" w:cs="Times New Roman"/>
          <w:sz w:val="28"/>
          <w:szCs w:val="28"/>
        </w:rPr>
        <w:t>5</w:t>
      </w:r>
      <w:r w:rsidR="002E786E" w:rsidRPr="003A6E5A">
        <w:rPr>
          <w:rFonts w:ascii="Times New Roman" w:hAnsi="Times New Roman" w:cs="Times New Roman"/>
          <w:sz w:val="28"/>
          <w:szCs w:val="28"/>
        </w:rPr>
        <w:t>]</w:t>
      </w:r>
      <w:r w:rsidRPr="003A6E5A">
        <w:rPr>
          <w:rFonts w:ascii="Times New Roman" w:hAnsi="Times New Roman" w:cs="Times New Roman"/>
          <w:sz w:val="28"/>
          <w:szCs w:val="28"/>
        </w:rPr>
        <w:t>, И.В. Гайдамака</w:t>
      </w:r>
      <w:r w:rsidR="002E786E" w:rsidRPr="003A6E5A">
        <w:rPr>
          <w:rFonts w:ascii="Times New Roman" w:hAnsi="Times New Roman" w:cs="Times New Roman"/>
          <w:sz w:val="28"/>
          <w:szCs w:val="28"/>
          <w:lang w:val="kk-KZ"/>
        </w:rPr>
        <w:t xml:space="preserve"> и А.Г. Хохлова </w:t>
      </w:r>
      <w:r w:rsidR="002E786E" w:rsidRPr="003A6E5A">
        <w:rPr>
          <w:rFonts w:ascii="Times New Roman" w:hAnsi="Times New Roman" w:cs="Times New Roman"/>
          <w:sz w:val="28"/>
          <w:szCs w:val="28"/>
        </w:rPr>
        <w:t>[</w:t>
      </w:r>
      <w:r w:rsidR="005A1742" w:rsidRPr="003A6E5A">
        <w:rPr>
          <w:rFonts w:ascii="Times New Roman" w:hAnsi="Times New Roman" w:cs="Times New Roman"/>
          <w:sz w:val="28"/>
          <w:szCs w:val="28"/>
        </w:rPr>
        <w:t>8</w:t>
      </w:r>
      <w:r w:rsidR="00A822BB" w:rsidRPr="003A6E5A">
        <w:rPr>
          <w:rFonts w:ascii="Times New Roman" w:hAnsi="Times New Roman" w:cs="Times New Roman"/>
          <w:sz w:val="28"/>
          <w:szCs w:val="28"/>
        </w:rPr>
        <w:t>6</w:t>
      </w:r>
      <w:r w:rsidR="002E786E" w:rsidRPr="003A6E5A">
        <w:rPr>
          <w:rFonts w:ascii="Times New Roman" w:hAnsi="Times New Roman" w:cs="Times New Roman"/>
          <w:sz w:val="28"/>
          <w:szCs w:val="28"/>
        </w:rPr>
        <w:t>]</w:t>
      </w:r>
      <w:r w:rsidRPr="003A6E5A">
        <w:rPr>
          <w:rFonts w:ascii="Times New Roman" w:hAnsi="Times New Roman" w:cs="Times New Roman"/>
          <w:sz w:val="28"/>
          <w:szCs w:val="28"/>
        </w:rPr>
        <w:t xml:space="preserve"> и других исследователей, интегральный показатель представляет собой обобщенное значение, полученное путем объединения оценок частных критериев на основе методов многомерного статистического анализа. Формирование такого показателя осуществляется с использованием метода главных компонент, который позволяет идентифицировать наиболее значимые латентные факторы, обуславливающие вариативность исследуемых данных. Данный показатель выражается следующим образом: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03217D" w:rsidRPr="003A6E5A" w14:paraId="064AF1BC" w14:textId="77777777">
        <w:tc>
          <w:tcPr>
            <w:tcW w:w="9196" w:type="dxa"/>
            <w:vAlign w:val="center"/>
          </w:tcPr>
          <w:p w14:paraId="4C743619"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rPr>
                  <m:t>y</m:t>
                </m:r>
                <m:r>
                  <m:rPr>
                    <m:sty m:val="p"/>
                  </m:rPr>
                  <w:rPr>
                    <w:rFonts w:ascii="Cambria Math" w:hAnsi="Cambria Math" w:cs="Times New Roman"/>
                    <w:sz w:val="28"/>
                    <w:szCs w:val="28"/>
                    <w:lang w:val="en-US"/>
                  </w:rPr>
                  <m:t>=</m:t>
                </m:r>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j=1</m:t>
                    </m:r>
                  </m:sub>
                  <m:sup>
                    <m:r>
                      <m:rPr>
                        <m:sty m:val="p"/>
                      </m:rPr>
                      <w:rPr>
                        <w:rFonts w:ascii="Cambria Math" w:hAnsi="Cambria Math" w:cs="Times New Roman"/>
                        <w:sz w:val="28"/>
                        <w:szCs w:val="28"/>
                        <w:lang w:val="en-US"/>
                      </w:rPr>
                      <m:t>p</m:t>
                    </m:r>
                  </m:sup>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j</m:t>
                        </m:r>
                      </m:sub>
                    </m:sSub>
                    <m:r>
                      <m:rPr>
                        <m:sty m:val="p"/>
                      </m:rPr>
                      <w:rPr>
                        <w:rFonts w:ascii="Cambria Math" w:hAnsi="Cambria Math" w:cs="Times New Roman"/>
                        <w:sz w:val="28"/>
                        <w:szCs w:val="28"/>
                        <w:lang w:val="en-US"/>
                      </w:rPr>
                      <m:t>∙</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lang w:val="en-US"/>
                          </w:rPr>
                          <m:t>(j)</m:t>
                        </m:r>
                      </m:sup>
                    </m:sSup>
                  </m:e>
                </m:nary>
              </m:oMath>
            </m:oMathPara>
          </w:p>
        </w:tc>
        <w:tc>
          <w:tcPr>
            <w:tcW w:w="622" w:type="dxa"/>
            <w:vAlign w:val="center"/>
          </w:tcPr>
          <w:p w14:paraId="214C46F5"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kk-KZ"/>
              </w:rPr>
              <w:t>1</w:t>
            </w:r>
            <w:r w:rsidRPr="003A6E5A">
              <w:rPr>
                <w:rFonts w:ascii="Times New Roman" w:hAnsi="Times New Roman" w:cs="Times New Roman"/>
                <w:sz w:val="28"/>
                <w:szCs w:val="28"/>
              </w:rPr>
              <w:t>)</w:t>
            </w:r>
          </w:p>
        </w:tc>
      </w:tr>
    </w:tbl>
    <w:p w14:paraId="04286CC7" w14:textId="77777777" w:rsidR="0003217D" w:rsidRPr="003A6E5A" w:rsidRDefault="0003217D" w:rsidP="001608EA">
      <w:pPr>
        <w:spacing w:after="0" w:line="240" w:lineRule="auto"/>
        <w:jc w:val="both"/>
        <w:rPr>
          <w:rFonts w:ascii="Times New Roman" w:hAnsi="Times New Roman" w:cs="Times New Roman"/>
          <w:sz w:val="28"/>
          <w:szCs w:val="28"/>
        </w:rPr>
      </w:pPr>
    </w:p>
    <w:p w14:paraId="1DE1B99B" w14:textId="6620E8CE" w:rsidR="0003217D" w:rsidRPr="003A6E5A" w:rsidRDefault="00FC275D" w:rsidP="001608EA">
      <w:pPr>
        <w:spacing w:after="0" w:line="240" w:lineRule="auto"/>
        <w:jc w:val="both"/>
        <w:rPr>
          <w:rFonts w:ascii="Times New Roman" w:hAnsi="Times New Roman" w:cs="Times New Roman"/>
          <w:sz w:val="28"/>
          <w:szCs w:val="28"/>
          <w:lang w:val="kk-KZ"/>
        </w:rPr>
      </w:pPr>
      <w:r w:rsidRPr="003A6E5A">
        <w:rPr>
          <w:rFonts w:ascii="Times New Roman" w:hAnsi="Times New Roman" w:cs="Times New Roman"/>
          <w:sz w:val="28"/>
          <w:szCs w:val="28"/>
        </w:rPr>
        <w:lastRenderedPageBreak/>
        <w:t xml:space="preserve">где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j</m:t>
            </m:r>
          </m:sub>
        </m:sSub>
      </m:oMath>
      <w:r w:rsidRPr="003A6E5A">
        <w:rPr>
          <w:rFonts w:ascii="Times New Roman" w:hAnsi="Times New Roman" w:cs="Times New Roman"/>
          <w:sz w:val="28"/>
          <w:szCs w:val="28"/>
        </w:rPr>
        <w:t xml:space="preserve"> - некоторые весовые коэффициенты, удовлетворяющие условия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j</m:t>
            </m:r>
          </m:sub>
        </m:sSub>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0, </w:t>
      </w:r>
      <m:oMath>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p</m:t>
            </m:r>
          </m:sup>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j</m:t>
                </m:r>
              </m:sub>
            </m:sSub>
            <m:r>
              <m:rPr>
                <m:sty m:val="p"/>
              </m:rPr>
              <w:rPr>
                <w:rFonts w:ascii="Cambria Math" w:hAnsi="Cambria Math" w:cs="Times New Roman"/>
                <w:sz w:val="28"/>
                <w:szCs w:val="28"/>
              </w:rPr>
              <m:t>=1.</m:t>
            </m:r>
          </m:e>
        </m:nary>
      </m:oMath>
      <w:r w:rsidRPr="003A6E5A">
        <w:rPr>
          <w:rFonts w:ascii="Times New Roman" w:hAnsi="Times New Roman" w:cs="Times New Roman"/>
          <w:sz w:val="28"/>
          <w:szCs w:val="28"/>
        </w:rPr>
        <w:t xml:space="preserve"> Задачи определения интегрального показателя заключается в расчете соответствующих весов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rPr>
              <m:t>1</m:t>
            </m:r>
          </m:sub>
        </m:sSub>
      </m:oMath>
      <w:r w:rsidRPr="003A6E5A">
        <w:rPr>
          <w:rFonts w:ascii="Times New Roman" w:hAnsi="Times New Roman" w:cs="Times New Roman"/>
          <w:sz w:val="28"/>
          <w:szCs w:val="28"/>
        </w:rPr>
        <w:t xml:space="preserve">,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 xml:space="preserve">,..., </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p</m:t>
            </m:r>
          </m:sub>
        </m:sSub>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которые отражают значимость каждого частного критерия в формировании итогого показателя. Методика определения значений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j</m:t>
            </m:r>
          </m:sub>
        </m:sSub>
      </m:oMath>
      <w:r w:rsidRPr="003A6E5A">
        <w:rPr>
          <w:rFonts w:ascii="Times New Roman" w:hAnsi="Times New Roman" w:cs="Times New Roman"/>
          <w:sz w:val="28"/>
          <w:szCs w:val="28"/>
        </w:rPr>
        <w:t xml:space="preserve"> базируется на использовании метода главных компонент, детально рассмотренного в разделе 13.5 «Построение сводного латентного показателя качества (или эффективности функционирования) сложной системы» А.С. Айвазяна</w:t>
      </w:r>
      <w:r w:rsidR="002E786E" w:rsidRPr="003A6E5A">
        <w:rPr>
          <w:rFonts w:ascii="Times New Roman" w:hAnsi="Times New Roman" w:cs="Times New Roman"/>
          <w:sz w:val="28"/>
          <w:szCs w:val="28"/>
          <w:lang w:val="kk-KZ"/>
        </w:rPr>
        <w:t xml:space="preserve"> и Мхитаряна В.С.</w:t>
      </w:r>
      <w:r w:rsidR="008D3972" w:rsidRPr="003A6E5A">
        <w:rPr>
          <w:rFonts w:ascii="Times New Roman" w:hAnsi="Times New Roman" w:cs="Times New Roman"/>
          <w:sz w:val="28"/>
          <w:szCs w:val="28"/>
        </w:rPr>
        <w:t xml:space="preserve"> [</w:t>
      </w:r>
      <w:r w:rsidR="005A1742" w:rsidRPr="003A6E5A">
        <w:rPr>
          <w:rFonts w:ascii="Times New Roman" w:hAnsi="Times New Roman" w:cs="Times New Roman"/>
          <w:sz w:val="28"/>
          <w:szCs w:val="28"/>
        </w:rPr>
        <w:t>8</w:t>
      </w:r>
      <w:r w:rsidR="00A822BB" w:rsidRPr="003A6E5A">
        <w:rPr>
          <w:rFonts w:ascii="Times New Roman" w:hAnsi="Times New Roman" w:cs="Times New Roman"/>
          <w:sz w:val="28"/>
          <w:szCs w:val="28"/>
        </w:rPr>
        <w:t>7</w:t>
      </w:r>
      <w:r w:rsidR="008D3972" w:rsidRPr="003A6E5A">
        <w:rPr>
          <w:rFonts w:ascii="Times New Roman" w:hAnsi="Times New Roman" w:cs="Times New Roman"/>
          <w:sz w:val="28"/>
          <w:szCs w:val="28"/>
        </w:rPr>
        <w:t>].</w:t>
      </w:r>
      <w:r w:rsidRPr="003A6E5A">
        <w:rPr>
          <w:rFonts w:ascii="Times New Roman" w:hAnsi="Times New Roman" w:cs="Times New Roman"/>
          <w:sz w:val="28"/>
          <w:szCs w:val="28"/>
        </w:rPr>
        <w:t xml:space="preserve"> Основной принцип этого подхода заключается в следующем:</w:t>
      </w:r>
    </w:p>
    <w:p w14:paraId="779A2255" w14:textId="77777777" w:rsidR="0003217D" w:rsidRPr="003A6E5A" w:rsidRDefault="00FC275D" w:rsidP="001608EA">
      <w:pPr>
        <w:spacing w:after="0" w:line="240" w:lineRule="auto"/>
        <w:jc w:val="both"/>
        <w:rPr>
          <w:rFonts w:ascii="Times New Roman" w:eastAsiaTheme="minorEastAsia" w:hAnsi="Times New Roman" w:cs="Times New Roman"/>
          <w:sz w:val="28"/>
          <w:szCs w:val="28"/>
        </w:rPr>
      </w:pPr>
      <w:r w:rsidRPr="003A6E5A">
        <w:rPr>
          <w:rFonts w:ascii="Times New Roman" w:eastAsiaTheme="minorEastAsia" w:hAnsi="Times New Roman" w:cs="Times New Roman"/>
          <w:sz w:val="28"/>
          <w:szCs w:val="28"/>
          <w:lang w:val="kk-KZ"/>
        </w:rPr>
        <w:t>–</w:t>
      </w:r>
      <w:r w:rsidRPr="003A6E5A">
        <w:rPr>
          <w:rFonts w:ascii="Times New Roman" w:hAnsi="Times New Roman" w:cs="Times New Roman"/>
          <w:sz w:val="28"/>
          <w:szCs w:val="28"/>
        </w:rPr>
        <w:t xml:space="preserve"> сначала формируется ковариационная матрица </w:t>
      </w:r>
      <m:oMath>
        <m:r>
          <m:rPr>
            <m:sty m:val="p"/>
          </m:rPr>
          <w:rPr>
            <w:rFonts w:ascii="Cambria Math" w:hAnsi="Cambria Math" w:cs="Times New Roman"/>
            <w:sz w:val="28"/>
            <w:szCs w:val="28"/>
          </w:rPr>
          <m:t>Σ</m:t>
        </m:r>
      </m:oMath>
      <w:r w:rsidRPr="003A6E5A">
        <w:rPr>
          <w:rFonts w:ascii="Times New Roman" w:hAnsi="Times New Roman" w:cs="Times New Roman"/>
          <w:sz w:val="28"/>
          <w:szCs w:val="28"/>
        </w:rPr>
        <w:t xml:space="preserve"> переменных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(1)</m:t>
            </m:r>
          </m:sup>
        </m:sSup>
      </m:oMath>
      <w:r w:rsidRPr="003A6E5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(2)</m:t>
            </m:r>
          </m:sup>
        </m:sSup>
      </m:oMath>
      <w:r w:rsidRPr="003A6E5A">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x</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p</m:t>
            </m:r>
            <m:r>
              <w:rPr>
                <w:rFonts w:ascii="Cambria Math" w:eastAsiaTheme="minorEastAsia" w:hAnsi="Cambria Math" w:cs="Times New Roman"/>
                <w:sz w:val="28"/>
                <w:szCs w:val="28"/>
              </w:rPr>
              <m:t>)</m:t>
            </m:r>
          </m:sup>
        </m:sSup>
      </m:oMath>
      <w:r w:rsidRPr="003A6E5A">
        <w:rPr>
          <w:rFonts w:ascii="Times New Roman" w:eastAsiaTheme="minorEastAsia" w:hAnsi="Times New Roman" w:cs="Times New Roman"/>
          <w:sz w:val="28"/>
          <w:szCs w:val="28"/>
        </w:rPr>
        <w:t>);</w:t>
      </w:r>
    </w:p>
    <w:p w14:paraId="6F240B77"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Theme="minorEastAsia" w:hAnsi="Times New Roman" w:cs="Times New Roman"/>
          <w:sz w:val="28"/>
          <w:szCs w:val="28"/>
          <w:lang w:val="kk-KZ"/>
        </w:rPr>
        <w:t>–</w:t>
      </w:r>
      <w:r w:rsidRPr="003A6E5A">
        <w:rPr>
          <w:rFonts w:ascii="Times New Roman" w:eastAsiaTheme="minorEastAsia" w:hAnsi="Times New Roman" w:cs="Times New Roman"/>
          <w:sz w:val="28"/>
          <w:szCs w:val="28"/>
        </w:rPr>
        <w:t xml:space="preserve"> затем вычисляется собственные значения матрицы </w:t>
      </w:r>
      <m:oMath>
        <m:r>
          <m:rPr>
            <m:sty m:val="p"/>
          </m:rPr>
          <w:rPr>
            <w:rFonts w:ascii="Cambria Math" w:hAnsi="Cambria Math" w:cs="Times New Roman"/>
            <w:sz w:val="28"/>
            <w:szCs w:val="28"/>
          </w:rPr>
          <m:t>Σ.</m:t>
        </m:r>
      </m:oMath>
      <w:r w:rsidRPr="003A6E5A">
        <w:rPr>
          <w:rFonts w:ascii="Times New Roman" w:hAnsi="Times New Roman" w:cs="Times New Roman"/>
          <w:sz w:val="28"/>
          <w:szCs w:val="28"/>
        </w:rPr>
        <w:t xml:space="preserve"> Поскольку ковариационная матрица является симметричной и положительно определенной, ее собственные значения неотрицательны: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en-US"/>
              </w:rPr>
              <m:t>p</m:t>
            </m:r>
          </m:sub>
        </m:sSub>
        <m:r>
          <w:rPr>
            <w:rFonts w:ascii="Cambria Math" w:hAnsi="Cambria Math" w:cs="Times New Roman"/>
            <w:sz w:val="28"/>
            <w:szCs w:val="28"/>
          </w:rPr>
          <m:t>≥</m:t>
        </m:r>
      </m:oMath>
      <w:r w:rsidRPr="003A6E5A">
        <w:rPr>
          <w:rFonts w:ascii="Times New Roman" w:hAnsi="Times New Roman" w:cs="Times New Roman"/>
          <w:sz w:val="28"/>
          <w:szCs w:val="28"/>
        </w:rPr>
        <w:t xml:space="preserve">0. Для удобства анализа они упорядочиваются по убыванию, а их сумма ровна следу матрицы </w:t>
      </w:r>
      <m:oMath>
        <m:r>
          <m:rPr>
            <m:sty m:val="p"/>
          </m:rPr>
          <w:rPr>
            <w:rFonts w:ascii="Cambria Math" w:hAnsi="Cambria Math" w:cs="Times New Roman"/>
            <w:sz w:val="28"/>
            <w:szCs w:val="28"/>
          </w:rPr>
          <m:t>t</m:t>
        </m:r>
        <m:r>
          <m:rPr>
            <m:sty m:val="p"/>
          </m:rPr>
          <w:rPr>
            <w:rFonts w:ascii="Cambria Math" w:hAnsi="Cambria Math" w:cs="Times New Roman"/>
            <w:sz w:val="28"/>
            <w:szCs w:val="28"/>
            <w:lang w:val="en-US"/>
          </w:rPr>
          <m:t>r</m:t>
        </m:r>
        <m:r>
          <m:rPr>
            <m:sty m:val="p"/>
          </m:rPr>
          <w:rPr>
            <w:rFonts w:ascii="Cambria Math" w:hAnsi="Cambria Math" w:cs="Times New Roman"/>
            <w:sz w:val="28"/>
            <w:szCs w:val="28"/>
          </w:rPr>
          <m:t>(Σ</m:t>
        </m:r>
      </m:oMath>
      <w:r w:rsidRPr="003A6E5A">
        <w:rPr>
          <w:rFonts w:ascii="Times New Roman" w:hAnsi="Times New Roman" w:cs="Times New Roman"/>
          <w:sz w:val="28"/>
          <w:szCs w:val="28"/>
        </w:rPr>
        <w:t>)=</w:t>
      </w:r>
      <m:oMath>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p</m:t>
            </m:r>
          </m:sup>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λ</m:t>
                </m:r>
              </m:e>
              <m:sub>
                <m:r>
                  <m:rPr>
                    <m:sty m:val="p"/>
                  </m:rPr>
                  <w:rPr>
                    <w:rFonts w:ascii="Cambria Math" w:hAnsi="Cambria Math" w:cs="Times New Roman"/>
                    <w:sz w:val="28"/>
                    <w:szCs w:val="28"/>
                    <w:lang w:val="en-US"/>
                  </w:rPr>
                  <m:t>j</m:t>
                </m:r>
              </m:sub>
            </m:sSub>
          </m:e>
        </m:nary>
      </m:oMath>
      <w:r w:rsidRPr="003A6E5A">
        <w:rPr>
          <w:rFonts w:ascii="Times New Roman" w:hAnsi="Times New Roman" w:cs="Times New Roman"/>
          <w:sz w:val="28"/>
          <w:szCs w:val="28"/>
        </w:rPr>
        <w:t xml:space="preserve">. Отметим, что величина следа также ровна суммарной дисперсии всех частных критериев </w:t>
      </w:r>
      <m:oMath>
        <m:r>
          <m:rPr>
            <m:sty m:val="p"/>
          </m:rPr>
          <w:rPr>
            <w:rFonts w:ascii="Cambria Math" w:hAnsi="Cambria Math" w:cs="Times New Roman"/>
            <w:sz w:val="28"/>
            <w:szCs w:val="28"/>
          </w:rPr>
          <m:t>t</m:t>
        </m:r>
        <m:r>
          <m:rPr>
            <m:sty m:val="p"/>
          </m:rPr>
          <w:rPr>
            <w:rFonts w:ascii="Cambria Math" w:hAnsi="Cambria Math" w:cs="Times New Roman"/>
            <w:sz w:val="28"/>
            <w:szCs w:val="28"/>
            <w:lang w:val="en-US"/>
          </w:rPr>
          <m:t>r</m:t>
        </m:r>
        <m:r>
          <m:rPr>
            <m:sty m:val="p"/>
          </m:rPr>
          <w:rPr>
            <w:rFonts w:ascii="Cambria Math" w:hAnsi="Cambria Math" w:cs="Times New Roman"/>
            <w:sz w:val="28"/>
            <w:szCs w:val="28"/>
          </w:rPr>
          <m:t>(Σ</m:t>
        </m:r>
      </m:oMath>
      <w:r w:rsidRPr="003A6E5A">
        <w:rPr>
          <w:rFonts w:ascii="Times New Roman" w:hAnsi="Times New Roman" w:cs="Times New Roman"/>
          <w:sz w:val="28"/>
          <w:szCs w:val="28"/>
        </w:rPr>
        <w:t>)=</w:t>
      </w:r>
      <m:oMath>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m:t>
            </m:r>
            <m:r>
              <m:rPr>
                <m:sty m:val="p"/>
              </m:rPr>
              <w:rPr>
                <w:rFonts w:ascii="Cambria Math" w:hAnsi="Cambria Math" w:cs="Times New Roman"/>
                <w:sz w:val="28"/>
                <w:szCs w:val="28"/>
              </w:rPr>
              <m:t>=1</m:t>
            </m:r>
          </m:sub>
          <m:sup>
            <m:r>
              <m:rPr>
                <m:sty m:val="p"/>
              </m:rPr>
              <w:rPr>
                <w:rFonts w:ascii="Cambria Math" w:hAnsi="Cambria Math" w:cs="Times New Roman"/>
                <w:sz w:val="28"/>
                <w:szCs w:val="28"/>
                <w:lang w:val="en-US"/>
              </w:rPr>
              <m:t>p</m:t>
            </m:r>
          </m:sup>
          <m:e>
            <m:sSubSup>
              <m:sSubSupPr>
                <m:ctrlPr>
                  <w:rPr>
                    <w:rFonts w:ascii="Cambria Math" w:hAnsi="Cambria Math" w:cs="Times New Roman"/>
                    <w:sz w:val="28"/>
                    <w:szCs w:val="28"/>
                    <w:lang w:val="en-US"/>
                  </w:rPr>
                </m:ctrlPr>
              </m:sSubSupPr>
              <m:e>
                <m:r>
                  <m:rPr>
                    <m:sty m:val="p"/>
                  </m:rPr>
                  <w:rPr>
                    <w:rFonts w:ascii="Cambria Math" w:hAnsi="Cambria Math" w:cs="Times New Roman"/>
                    <w:sz w:val="28"/>
                    <w:szCs w:val="28"/>
                    <w:lang w:val="en-US"/>
                  </w:rPr>
                  <m:t>S</m:t>
                </m:r>
              </m:e>
              <m:sub>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rPr>
                      <m:t>(</m:t>
                    </m:r>
                    <m:r>
                      <m:rPr>
                        <m:sty m:val="p"/>
                      </m:rPr>
                      <w:rPr>
                        <w:rFonts w:ascii="Cambria Math" w:hAnsi="Cambria Math" w:cs="Times New Roman"/>
                        <w:sz w:val="28"/>
                        <w:szCs w:val="28"/>
                        <w:lang w:val="en-US"/>
                      </w:rPr>
                      <m:t>j</m:t>
                    </m:r>
                    <m:r>
                      <m:rPr>
                        <m:sty m:val="p"/>
                      </m:rPr>
                      <w:rPr>
                        <w:rFonts w:ascii="Cambria Math" w:hAnsi="Cambria Math" w:cs="Times New Roman"/>
                        <w:sz w:val="28"/>
                        <w:szCs w:val="28"/>
                      </w:rPr>
                      <m:t>)</m:t>
                    </m:r>
                  </m:sup>
                </m:sSup>
              </m:sub>
              <m:sup>
                <m:r>
                  <m:rPr>
                    <m:sty m:val="p"/>
                  </m:rPr>
                  <w:rPr>
                    <w:rFonts w:ascii="Cambria Math" w:hAnsi="Cambria Math" w:cs="Times New Roman"/>
                    <w:sz w:val="28"/>
                    <w:szCs w:val="28"/>
                  </w:rPr>
                  <m:t>2</m:t>
                </m:r>
              </m:sup>
            </m:sSubSup>
          </m:e>
        </m:nary>
      </m:oMath>
      <w:r w:rsidRPr="003A6E5A">
        <w:rPr>
          <w:rFonts w:ascii="Times New Roman" w:eastAsiaTheme="minorEastAsia" w:hAnsi="Times New Roman" w:cs="Times New Roman"/>
          <w:sz w:val="28"/>
          <w:szCs w:val="28"/>
        </w:rPr>
        <w:t>)</w:t>
      </w:r>
      <w:r w:rsidRPr="003A6E5A">
        <w:rPr>
          <w:rFonts w:ascii="Times New Roman" w:hAnsi="Times New Roman" w:cs="Times New Roman"/>
          <w:sz w:val="28"/>
          <w:szCs w:val="28"/>
        </w:rPr>
        <w:t xml:space="preserve">. Таким образом, можно определить долю общей дисперсии, приходящуюся на каждое собственное значение. Затем выбирается первая главная компонента, если она объясняет более 55% общей дисперсии частных критериев. В случае ее существования веса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j</m:t>
            </m:r>
          </m:sub>
        </m:sSub>
      </m:oMath>
      <w:r w:rsidRPr="003A6E5A">
        <w:rPr>
          <w:rFonts w:ascii="Times New Roman" w:hAnsi="Times New Roman" w:cs="Times New Roman"/>
          <w:sz w:val="28"/>
          <w:szCs w:val="28"/>
        </w:rPr>
        <w:t xml:space="preserve"> задаются квадратами данной компоненты собственного вектора, соответствующего наибольшему собственному значению </w:t>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oMath>
      <w:r w:rsidRPr="003A6E5A">
        <w:rPr>
          <w:rFonts w:ascii="Times New Roman" w:hAnsi="Times New Roman" w:cs="Times New Roman"/>
          <w:sz w:val="28"/>
          <w:szCs w:val="28"/>
        </w:rPr>
        <w:t xml:space="preserve">. Формула (1) в этом случае определяет значение искомого интегрального показателя. </w:t>
      </w:r>
    </w:p>
    <w:p w14:paraId="54D8C658" w14:textId="77777777" w:rsidR="0003217D" w:rsidRPr="003A6E5A" w:rsidRDefault="00FC275D" w:rsidP="001608EA">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 xml:space="preserve">Тем не менее, может возникнут ситуация, когда отношение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num>
          <m:den>
            <m:r>
              <m:rPr>
                <m:sty m:val="p"/>
              </m:rPr>
              <w:rPr>
                <w:rFonts w:ascii="Cambria Math" w:hAnsi="Cambria Math" w:cs="Times New Roman"/>
                <w:sz w:val="28"/>
                <w:szCs w:val="28"/>
                <w:lang w:val="en-US"/>
              </w:rPr>
              <m:t>tr</m:t>
            </m:r>
            <m:r>
              <m:rPr>
                <m:sty m:val="p"/>
              </m:rPr>
              <w:rPr>
                <w:rFonts w:ascii="Cambria Math" w:hAnsi="Cambria Math" w:cs="Times New Roman"/>
                <w:sz w:val="28"/>
                <w:szCs w:val="28"/>
              </w:rPr>
              <m:t>(Σ)</m:t>
            </m:r>
          </m:den>
        </m:f>
        <m:r>
          <w:rPr>
            <w:rFonts w:ascii="Cambria Math" w:hAnsi="Cambria Math" w:cs="Times New Roman"/>
            <w:sz w:val="28"/>
            <w:szCs w:val="28"/>
          </w:rPr>
          <m:t>&lt;0,55</m:t>
        </m:r>
      </m:oMath>
      <w:r w:rsidRPr="003A6E5A">
        <w:rPr>
          <w:rFonts w:ascii="Times New Roman" w:hAnsi="Times New Roman" w:cs="Times New Roman"/>
          <w:sz w:val="28"/>
          <w:szCs w:val="28"/>
        </w:rPr>
        <w:t xml:space="preserve">. В таком случае необходимо перейти к решению многокритериальной задачи, разделив частные критерии на несколько групп. Для каждой из этих групп определяется модифицированная первая главная компонента, после чего выполняется рейтингование на основе полученных результатов. Процесс выполняется по следующим этапам: </w:t>
      </w:r>
    </w:p>
    <w:p w14:paraId="1B3E1063"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Theme="minorEastAsia" w:hAnsi="Times New Roman" w:cs="Times New Roman"/>
          <w:sz w:val="28"/>
          <w:szCs w:val="28"/>
          <w:lang w:val="kk-KZ"/>
        </w:rPr>
        <w:t>–</w:t>
      </w:r>
      <w:r w:rsidRPr="003A6E5A">
        <w:rPr>
          <w:rFonts w:ascii="Times New Roman" w:hAnsi="Times New Roman" w:cs="Times New Roman"/>
          <w:sz w:val="28"/>
          <w:szCs w:val="28"/>
        </w:rPr>
        <w:t xml:space="preserve"> определяется минимальное число групп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3A6E5A">
        <w:rPr>
          <w:rFonts w:ascii="Times New Roman" w:hAnsi="Times New Roman" w:cs="Times New Roman"/>
          <w:sz w:val="28"/>
          <w:szCs w:val="28"/>
        </w:rPr>
        <w:t xml:space="preserve">, для которых сумма упорядоченных собственных значений превышает 55% дисперсии частных критериев, то есть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r>
          <w:rPr>
            <w:rFonts w:ascii="Cambria Math" w:hAnsi="Cambria Math" w:cs="Times New Roman"/>
            <w:sz w:val="28"/>
            <w:szCs w:val="28"/>
          </w:rPr>
          <m:t>=</m:t>
        </m:r>
        <m:func>
          <m:funcPr>
            <m:ctrlPr>
              <w:rPr>
                <w:rFonts w:ascii="Cambria Math" w:hAnsi="Cambria Math" w:cs="Times New Roman"/>
                <w:i/>
                <w:sz w:val="28"/>
                <w:szCs w:val="28"/>
              </w:rPr>
            </m:ctrlPr>
          </m:funcPr>
          <m:fName>
            <m:limLow>
              <m:limLowPr>
                <m:ctrlPr>
                  <w:rPr>
                    <w:rFonts w:ascii="Cambria Math" w:hAnsi="Cambria Math" w:cs="Times New Roman"/>
                    <w:sz w:val="28"/>
                    <w:szCs w:val="28"/>
                  </w:rPr>
                </m:ctrlPr>
              </m:limLowPr>
              <m:e>
                <m:r>
                  <m:rPr>
                    <m:sty m:val="p"/>
                  </m:rPr>
                  <w:rPr>
                    <w:rFonts w:ascii="Cambria Math" w:hAnsi="Cambria Math" w:cs="Times New Roman"/>
                    <w:sz w:val="28"/>
                    <w:szCs w:val="28"/>
                  </w:rPr>
                  <m:t>min</m:t>
                </m:r>
                <m:ctrlPr>
                  <w:rPr>
                    <w:rFonts w:ascii="Cambria Math" w:hAnsi="Cambria Math" w:cs="Times New Roman"/>
                    <w:i/>
                    <w:sz w:val="28"/>
                    <w:szCs w:val="28"/>
                  </w:rPr>
                </m:ctrlPr>
              </m:e>
              <m:lim>
                <m:r>
                  <w:rPr>
                    <w:rFonts w:ascii="Cambria Math" w:hAnsi="Cambria Math" w:cs="Times New Roman"/>
                    <w:sz w:val="28"/>
                    <w:szCs w:val="28"/>
                  </w:rPr>
                  <m:t>1≤</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p</m:t>
                </m:r>
                <m:r>
                  <w:rPr>
                    <w:rFonts w:ascii="Cambria Math" w:hAnsi="Cambria Math" w:cs="Times New Roman"/>
                    <w:sz w:val="28"/>
                    <w:szCs w:val="28"/>
                  </w:rPr>
                  <m:t>-1</m:t>
                </m:r>
                <m:ctrlPr>
                  <w:rPr>
                    <w:rFonts w:ascii="Cambria Math" w:hAnsi="Cambria Math" w:cs="Times New Roman"/>
                    <w:i/>
                    <w:sz w:val="28"/>
                    <w:szCs w:val="28"/>
                  </w:rPr>
                </m:ctrlPr>
              </m:lim>
            </m:limLow>
          </m:fName>
          <m:e>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m</m:t>
                </m:r>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lang w:val="en-US"/>
                          </w:rPr>
                          <m:t>m</m:t>
                        </m:r>
                      </m:sub>
                    </m:sSub>
                  </m:num>
                  <m:den>
                    <m:r>
                      <m:rPr>
                        <m:sty m:val="p"/>
                      </m:rPr>
                      <w:rPr>
                        <w:rFonts w:ascii="Cambria Math" w:hAnsi="Cambria Math" w:cs="Times New Roman"/>
                        <w:sz w:val="28"/>
                        <w:szCs w:val="28"/>
                        <w:lang w:val="en-US"/>
                      </w:rPr>
                      <m:t>tr</m:t>
                    </m:r>
                    <m:r>
                      <m:rPr>
                        <m:sty m:val="p"/>
                      </m:rPr>
                      <w:rPr>
                        <w:rFonts w:ascii="Cambria Math" w:hAnsi="Cambria Math" w:cs="Times New Roman"/>
                        <w:sz w:val="28"/>
                        <w:szCs w:val="28"/>
                      </w:rPr>
                      <m:t>(Σ)</m:t>
                    </m:r>
                  </m:den>
                </m:f>
                <m:r>
                  <w:rPr>
                    <w:rFonts w:ascii="Cambria Math" w:hAnsi="Cambria Math" w:cs="Times New Roman"/>
                    <w:sz w:val="28"/>
                    <w:szCs w:val="28"/>
                  </w:rPr>
                  <m:t>≥0,55</m:t>
                </m:r>
              </m:e>
            </m:d>
          </m:e>
        </m:func>
      </m:oMath>
      <w:r w:rsidRPr="003A6E5A">
        <w:rPr>
          <w:rFonts w:ascii="Times New Roman" w:hAnsi="Times New Roman" w:cs="Times New Roman"/>
          <w:sz w:val="28"/>
          <w:szCs w:val="28"/>
        </w:rPr>
        <w:t>;</w:t>
      </w:r>
    </w:p>
    <w:p w14:paraId="37076774"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Theme="minorEastAsia" w:hAnsi="Times New Roman" w:cs="Times New Roman"/>
          <w:sz w:val="28"/>
          <w:szCs w:val="28"/>
          <w:lang w:val="kk-KZ"/>
        </w:rPr>
        <w:t>–</w:t>
      </w:r>
      <w:r w:rsidRPr="003A6E5A">
        <w:rPr>
          <w:rFonts w:ascii="Times New Roman" w:hAnsi="Times New Roman" w:cs="Times New Roman"/>
          <w:sz w:val="28"/>
          <w:szCs w:val="28"/>
        </w:rPr>
        <w:t xml:space="preserve"> частые критерии распределяются на </w:t>
      </w: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3A6E5A">
        <w:rPr>
          <w:rFonts w:ascii="Times New Roman" w:hAnsi="Times New Roman" w:cs="Times New Roman"/>
          <w:sz w:val="28"/>
          <w:szCs w:val="28"/>
        </w:rPr>
        <w:t xml:space="preserve"> непересекающихся групп таким образом, чтобы каждая группа отражала один из аспектов изучаемого явления (к примеру, качество жизни, эффективность работы предприятии, инвестиции в основной капитал и т.д.), а критерии внутри группы были взаимнокоррелированы на высоком уровне;</w:t>
      </w:r>
    </w:p>
    <w:p w14:paraId="32189D8A"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Theme="minorEastAsia" w:hAnsi="Times New Roman" w:cs="Times New Roman"/>
          <w:sz w:val="28"/>
          <w:szCs w:val="28"/>
          <w:lang w:val="kk-KZ"/>
        </w:rPr>
        <w:t>–</w:t>
      </w:r>
      <w:r w:rsidRPr="003A6E5A">
        <w:rPr>
          <w:rFonts w:ascii="Times New Roman" w:hAnsi="Times New Roman" w:cs="Times New Roman"/>
          <w:sz w:val="28"/>
          <w:szCs w:val="28"/>
        </w:rPr>
        <w:t xml:space="preserve"> для каждой из групп выполняется описанная выше процедура: вычисляются ковариационные матрицы, собственные значения и их доли в общей дисперсии. Из каждой группы выбирается наибольшее собственное значение </w:t>
      </w:r>
      <m:oMath>
        <m:sSubSup>
          <m:sSubSupPr>
            <m:ctrlPr>
              <w:rPr>
                <w:rFonts w:ascii="Cambria Math" w:hAnsi="Cambria Math"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1</m:t>
            </m:r>
          </m:sub>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bSup>
      </m:oMath>
      <w:r w:rsidRPr="003A6E5A">
        <w:rPr>
          <w:rFonts w:ascii="Times New Roman" w:hAnsi="Times New Roman" w:cs="Times New Roman"/>
          <w:sz w:val="28"/>
          <w:szCs w:val="28"/>
        </w:rPr>
        <w:t xml:space="preserve"> для </w:t>
      </w:r>
      <m:oMath>
        <m:r>
          <w:rPr>
            <w:rFonts w:ascii="Cambria Math" w:hAnsi="Cambria Math" w:cs="Times New Roman"/>
            <w:sz w:val="28"/>
            <w:szCs w:val="28"/>
            <w:lang w:val="en-US"/>
          </w:rPr>
          <m:t>i</m:t>
        </m:r>
      </m:oMath>
      <w:r w:rsidRPr="003A6E5A">
        <w:rPr>
          <w:rFonts w:ascii="Times New Roman" w:hAnsi="Times New Roman" w:cs="Times New Roman"/>
          <w:sz w:val="28"/>
          <w:szCs w:val="28"/>
        </w:rPr>
        <w:t>-ой группы (</w:t>
      </w:r>
      <m:oMath>
        <m:r>
          <w:rPr>
            <w:rFonts w:ascii="Cambria Math" w:hAnsi="Cambria Math" w:cs="Times New Roman"/>
            <w:sz w:val="28"/>
            <w:szCs w:val="28"/>
            <w:lang w:val="en-US"/>
          </w:rPr>
          <m:t>i</m:t>
        </m:r>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3A6E5A">
        <w:rPr>
          <w:rFonts w:ascii="Times New Roman" w:hAnsi="Times New Roman" w:cs="Times New Roman"/>
          <w:sz w:val="28"/>
          <w:szCs w:val="28"/>
        </w:rPr>
        <w:t xml:space="preserve">) и соответствующий ему собственный вектор </w:t>
      </w:r>
      <m:oMath>
        <m:sSup>
          <m:sSupPr>
            <m:ctrlPr>
              <w:rPr>
                <w:rFonts w:ascii="Cambria Math" w:hAnsi="Cambria Math" w:cs="Times New Roman"/>
                <w:i/>
                <w:sz w:val="28"/>
                <w:szCs w:val="28"/>
              </w:rPr>
            </m:ctrlPr>
          </m:sSupPr>
          <m:e>
            <m:r>
              <w:rPr>
                <w:rFonts w:ascii="Cambria Math" w:hAnsi="Cambria Math" w:cs="Times New Roman"/>
                <w:sz w:val="28"/>
                <w:szCs w:val="28"/>
                <w:lang w:val="en-US"/>
              </w:rPr>
              <m:t>l</m:t>
            </m:r>
          </m:e>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p>
      </m:oMath>
      <w:r w:rsidRPr="003A6E5A">
        <w:rPr>
          <w:rFonts w:ascii="Times New Roman" w:hAnsi="Times New Roman" w:cs="Times New Roman"/>
          <w:sz w:val="28"/>
          <w:szCs w:val="28"/>
        </w:rPr>
        <w:t xml:space="preserve">. Это </w:t>
      </w:r>
      <w:r w:rsidRPr="003A6E5A">
        <w:rPr>
          <w:rFonts w:ascii="Times New Roman" w:hAnsi="Times New Roman" w:cs="Times New Roman"/>
          <w:sz w:val="28"/>
          <w:szCs w:val="28"/>
        </w:rPr>
        <w:lastRenderedPageBreak/>
        <w:t xml:space="preserve">позволяет определить значение модифицированной первой компоненты для частных критериев, входящих </w:t>
      </w:r>
      <m:oMath>
        <m:r>
          <w:rPr>
            <w:rFonts w:ascii="Cambria Math" w:hAnsi="Cambria Math" w:cs="Times New Roman"/>
            <w:sz w:val="28"/>
            <w:szCs w:val="28"/>
            <w:lang w:val="en-US"/>
          </w:rPr>
          <m:t>i</m:t>
        </m:r>
      </m:oMath>
      <w:r w:rsidRPr="003A6E5A">
        <w:rPr>
          <w:rFonts w:ascii="Times New Roman" w:hAnsi="Times New Roman" w:cs="Times New Roman"/>
          <w:sz w:val="28"/>
          <w:szCs w:val="28"/>
        </w:rPr>
        <w:t xml:space="preserve">-ую группу: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B02CF8" w:rsidRPr="003A6E5A" w14:paraId="586E1D07" w14:textId="77777777">
        <w:tc>
          <w:tcPr>
            <w:tcW w:w="9196" w:type="dxa"/>
            <w:vAlign w:val="center"/>
          </w:tcPr>
          <w:p w14:paraId="75608D26"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lang w:val="en-US"/>
                      </w:rPr>
                      <m:t>(i)</m:t>
                    </m:r>
                  </m:sup>
                </m:sSup>
                <m:r>
                  <w:rPr>
                    <w:rFonts w:ascii="Cambria Math" w:hAnsi="Cambria Math" w:cs="Times New Roman"/>
                    <w:sz w:val="28"/>
                    <w:szCs w:val="28"/>
                    <w:lang w:val="en-US"/>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j=1</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sup>
                  <m:e>
                    <m:sSup>
                      <m:sSupPr>
                        <m:ctrlPr>
                          <w:rPr>
                            <w:rFonts w:ascii="Cambria Math" w:hAnsi="Cambria Math" w:cs="Times New Roman"/>
                            <w:i/>
                            <w:sz w:val="28"/>
                            <w:szCs w:val="28"/>
                            <w:lang w:val="en-US"/>
                          </w:rPr>
                        </m:ctrlPr>
                      </m:sSupPr>
                      <m:e>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j</m:t>
                                </m:r>
                              </m:sub>
                              <m:sup>
                                <m:r>
                                  <w:rPr>
                                    <w:rFonts w:ascii="Cambria Math" w:hAnsi="Cambria Math" w:cs="Times New Roman"/>
                                    <w:sz w:val="28"/>
                                    <w:szCs w:val="28"/>
                                    <w:lang w:val="en-US"/>
                                  </w:rPr>
                                  <m:t>(i)</m:t>
                                </m:r>
                              </m:sup>
                            </m:sSubSup>
                          </m:e>
                        </m:d>
                      </m:e>
                      <m:sup>
                        <m:r>
                          <w:rPr>
                            <w:rFonts w:ascii="Cambria Math" w:hAnsi="Cambria Math" w:cs="Times New Roman"/>
                            <w:sz w:val="28"/>
                            <w:szCs w:val="28"/>
                            <w:lang w:val="en-US"/>
                          </w:rPr>
                          <m:t>2</m:t>
                        </m:r>
                      </m:sup>
                    </m:sSup>
                    <m:r>
                      <w:rPr>
                        <w:rFonts w:ascii="Cambria Math" w:hAnsi="Cambria Math" w:cs="Times New Roman"/>
                        <w:sz w:val="28"/>
                        <w:szCs w:val="28"/>
                        <w:lang w:val="en-US"/>
                      </w:rPr>
                      <m:t>∙</m:t>
                    </m:r>
                  </m:e>
                </m:nary>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x</m:t>
                    </m:r>
                  </m:e>
                  <m:sup>
                    <m:r>
                      <m:rPr>
                        <m:sty m:val="p"/>
                      </m:rPr>
                      <w:rPr>
                        <w:rFonts w:ascii="Cambria Math" w:hAnsi="Cambria Math" w:cs="Times New Roman"/>
                        <w:sz w:val="28"/>
                        <w:szCs w:val="28"/>
                        <w:lang w:val="en-US"/>
                      </w:rPr>
                      <m:t>(j)</m:t>
                    </m:r>
                  </m:sup>
                </m:sSup>
              </m:oMath>
            </m:oMathPara>
          </w:p>
        </w:tc>
        <w:tc>
          <w:tcPr>
            <w:tcW w:w="622" w:type="dxa"/>
            <w:vAlign w:val="center"/>
          </w:tcPr>
          <w:p w14:paraId="1413D8BA"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kk-KZ"/>
              </w:rPr>
              <w:t>2</w:t>
            </w:r>
            <w:r w:rsidRPr="003A6E5A">
              <w:rPr>
                <w:rFonts w:ascii="Times New Roman" w:hAnsi="Times New Roman" w:cs="Times New Roman"/>
                <w:sz w:val="28"/>
                <w:szCs w:val="28"/>
              </w:rPr>
              <w:t>)</w:t>
            </w:r>
          </w:p>
        </w:tc>
      </w:tr>
    </w:tbl>
    <w:p w14:paraId="135C7DFF"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r>
          <w:rPr>
            <w:rFonts w:ascii="Cambria Math" w:hAnsi="Cambria Math" w:cs="Times New Roman"/>
            <w:sz w:val="28"/>
            <w:szCs w:val="28"/>
            <w:lang w:val="en-US"/>
          </w:rPr>
          <m:t>i</m:t>
        </m:r>
        <m:r>
          <w:rPr>
            <w:rFonts w:ascii="Cambria Math" w:hAnsi="Cambria Math" w:cs="Times New Roman"/>
            <w:sz w:val="28"/>
            <w:szCs w:val="28"/>
          </w:rPr>
          <m:t xml:space="preserve">=1,..., </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oMath>
      <w:r w:rsidRPr="003A6E5A">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i</m:t>
            </m:r>
          </m:sub>
        </m:sSub>
      </m:oMath>
      <w:r w:rsidRPr="003A6E5A">
        <w:rPr>
          <w:rFonts w:ascii="Times New Roman" w:hAnsi="Times New Roman" w:cs="Times New Roman"/>
          <w:sz w:val="28"/>
          <w:szCs w:val="28"/>
        </w:rPr>
        <w:t xml:space="preserve"> </w:t>
      </w:r>
      <w:r w:rsidRPr="003A6E5A">
        <w:rPr>
          <w:rFonts w:ascii="Times New Roman" w:eastAsiaTheme="minorEastAsia" w:hAnsi="Times New Roman" w:cs="Times New Roman"/>
          <w:sz w:val="28"/>
          <w:szCs w:val="28"/>
          <w:lang w:val="kk-KZ"/>
        </w:rPr>
        <w:t>–</w:t>
      </w:r>
      <w:r w:rsidRPr="003A6E5A">
        <w:rPr>
          <w:rFonts w:ascii="Times New Roman" w:hAnsi="Times New Roman" w:cs="Times New Roman"/>
          <w:sz w:val="28"/>
          <w:szCs w:val="28"/>
        </w:rPr>
        <w:t xml:space="preserve"> количество частных критериев, вошедших в </w:t>
      </w:r>
      <m:oMath>
        <m:r>
          <w:rPr>
            <w:rFonts w:ascii="Cambria Math" w:hAnsi="Cambria Math" w:cs="Times New Roman"/>
            <w:sz w:val="28"/>
            <w:szCs w:val="28"/>
            <w:lang w:val="en-US"/>
          </w:rPr>
          <m:t>i</m:t>
        </m:r>
      </m:oMath>
      <w:r w:rsidRPr="003A6E5A">
        <w:rPr>
          <w:rFonts w:ascii="Times New Roman" w:hAnsi="Times New Roman" w:cs="Times New Roman"/>
          <w:sz w:val="28"/>
          <w:szCs w:val="28"/>
        </w:rPr>
        <w:t>-ую группу;</w:t>
      </w:r>
    </w:p>
    <w:p w14:paraId="5E5A5B0E"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Theme="minorEastAsia" w:hAnsi="Times New Roman" w:cs="Times New Roman"/>
          <w:sz w:val="28"/>
          <w:szCs w:val="28"/>
          <w:lang w:val="kk-KZ"/>
        </w:rPr>
        <w:t>–</w:t>
      </w:r>
      <w:r w:rsidRPr="003A6E5A">
        <w:rPr>
          <w:rFonts w:ascii="Times New Roman" w:eastAsiaTheme="minorEastAsia" w:hAnsi="Times New Roman" w:cs="Times New Roman"/>
          <w:sz w:val="28"/>
          <w:szCs w:val="28"/>
        </w:rPr>
        <w:t xml:space="preserve"> необходимо определить веса </w:t>
      </w:r>
      <m:oMath>
        <m:r>
          <m:rPr>
            <m:sty m:val="p"/>
          </m:rPr>
          <w:rPr>
            <w:rFonts w:ascii="Cambria Math" w:eastAsiaTheme="minorEastAsia" w:hAnsi="Cambria Math" w:cs="Times New Roman"/>
            <w:sz w:val="28"/>
            <w:szCs w:val="28"/>
          </w:rPr>
          <m:t>(</m:t>
        </m:r>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lang w:val="en-US"/>
              </w:rPr>
              <m:t>v</m:t>
            </m:r>
          </m:e>
          <m:sub>
            <m:r>
              <m:rPr>
                <m:sty m:val="p"/>
              </m:rPr>
              <w:rPr>
                <w:rFonts w:ascii="Cambria Math" w:eastAsiaTheme="minorEastAsia" w:hAnsi="Cambria Math" w:cs="Times New Roman"/>
                <w:sz w:val="28"/>
                <w:szCs w:val="28"/>
              </w:rPr>
              <m:t>1</m:t>
            </m:r>
          </m:sub>
        </m:sSub>
        <m:r>
          <m:rPr>
            <m:sty m:val="p"/>
          </m:rPr>
          <w:rPr>
            <w:rFonts w:ascii="Cambria Math" w:eastAsiaTheme="minorEastAsia" w:hAnsi="Cambria Math" w:cs="Times New Roman"/>
            <w:sz w:val="28"/>
            <w:szCs w:val="28"/>
          </w:rPr>
          <m:t xml:space="preserve">,..., </m:t>
        </m:r>
        <m:sSub>
          <m:sSubPr>
            <m:ctrlPr>
              <w:rPr>
                <w:rFonts w:ascii="Cambria Math" w:eastAsiaTheme="minorEastAsia" w:hAnsi="Cambria Math" w:cs="Times New Roman"/>
                <w:sz w:val="28"/>
                <w:szCs w:val="28"/>
                <w:lang w:val="en-US"/>
              </w:rPr>
            </m:ctrlPr>
          </m:sSubPr>
          <m:e>
            <m:r>
              <m:rPr>
                <m:sty m:val="p"/>
              </m:rPr>
              <w:rPr>
                <w:rFonts w:ascii="Cambria Math" w:eastAsiaTheme="minorEastAsia" w:hAnsi="Cambria Math" w:cs="Times New Roman"/>
                <w:sz w:val="28"/>
                <w:szCs w:val="28"/>
                <w:lang w:val="en-US"/>
              </w:rPr>
              <m:t>v</m:t>
            </m:r>
          </m:e>
          <m:sub>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sub>
        </m:sSub>
        <m:r>
          <m:rPr>
            <m:sty m:val="p"/>
          </m:rPr>
          <w:rPr>
            <w:rFonts w:ascii="Cambria Math" w:eastAsiaTheme="minorEastAsia" w:hAnsi="Cambria Math" w:cs="Times New Roman"/>
            <w:sz w:val="28"/>
            <w:szCs w:val="28"/>
          </w:rPr>
          <m:t>)</m:t>
        </m:r>
      </m:oMath>
      <w:r w:rsidRPr="003A6E5A">
        <w:rPr>
          <w:rFonts w:ascii="Times New Roman" w:eastAsiaTheme="minorEastAsia" w:hAnsi="Times New Roman" w:cs="Times New Roman"/>
          <w:sz w:val="28"/>
          <w:szCs w:val="28"/>
        </w:rPr>
        <w:t>, с которыми расчитанные компоненты (</w:t>
      </w: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rPr>
              <m:t>(1)</m:t>
            </m:r>
          </m:sup>
        </m:sSup>
        <m:r>
          <w:rPr>
            <w:rFonts w:ascii="Cambria Math" w:hAnsi="Cambria Math" w:cs="Times New Roman"/>
            <w:sz w:val="28"/>
            <w:szCs w:val="28"/>
          </w:rPr>
          <m:t xml:space="preserve">,..., </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r>
              <w:rPr>
                <w:rFonts w:ascii="Cambria Math" w:hAnsi="Cambria Math" w:cs="Times New Roman"/>
                <w:sz w:val="28"/>
                <w:szCs w:val="28"/>
              </w:rPr>
              <m:t>)</m:t>
            </m:r>
          </m:sup>
        </m:sSup>
      </m:oMath>
      <w:r w:rsidRPr="003A6E5A">
        <w:rPr>
          <w:rFonts w:ascii="Times New Roman" w:hAnsi="Times New Roman" w:cs="Times New Roman"/>
          <w:sz w:val="28"/>
          <w:szCs w:val="28"/>
        </w:rPr>
        <w:t>) включаются в окончательный индекс инвестиционного потенциала (интегральный показатель). Это выполняется по следующей формуле: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03217D" w:rsidRPr="003A6E5A" w14:paraId="795FB8A8" w14:textId="77777777">
        <w:tc>
          <w:tcPr>
            <w:tcW w:w="9196" w:type="dxa"/>
            <w:vAlign w:val="center"/>
          </w:tcPr>
          <w:p w14:paraId="4B640380"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i</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lang w:val="en-US"/>
                              </w:rPr>
                              <m:t>(i)</m:t>
                            </m:r>
                          </m:sup>
                        </m:sSup>
                      </m:sub>
                      <m:sup>
                        <m:r>
                          <w:rPr>
                            <w:rFonts w:ascii="Cambria Math" w:hAnsi="Cambria Math" w:cs="Times New Roman"/>
                            <w:sz w:val="28"/>
                            <w:szCs w:val="28"/>
                            <w:lang w:val="en-US"/>
                          </w:rPr>
                          <m:t>2</m:t>
                        </m:r>
                      </m:sup>
                    </m:sSubSup>
                  </m:num>
                  <m:den>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l=1</m:t>
                        </m:r>
                      </m:sub>
                      <m:sup>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0</m:t>
                            </m:r>
                          </m:sub>
                        </m:sSub>
                      </m:sup>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lang w:val="en-US"/>
                                  </w:rPr>
                                  <m:t>(l)</m:t>
                                </m:r>
                              </m:sup>
                            </m:sSup>
                          </m:sub>
                          <m:sup>
                            <m:r>
                              <w:rPr>
                                <w:rFonts w:ascii="Cambria Math" w:hAnsi="Cambria Math" w:cs="Times New Roman"/>
                                <w:sz w:val="28"/>
                                <w:szCs w:val="28"/>
                                <w:lang w:val="en-US"/>
                              </w:rPr>
                              <m:t>2</m:t>
                            </m:r>
                          </m:sup>
                        </m:sSubSup>
                      </m:e>
                    </m:nary>
                  </m:den>
                </m:f>
              </m:oMath>
            </m:oMathPara>
          </w:p>
        </w:tc>
        <w:tc>
          <w:tcPr>
            <w:tcW w:w="622" w:type="dxa"/>
            <w:vAlign w:val="center"/>
          </w:tcPr>
          <w:p w14:paraId="56E7100D"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kk-KZ"/>
              </w:rPr>
              <w:t>3</w:t>
            </w:r>
            <w:r w:rsidRPr="003A6E5A">
              <w:rPr>
                <w:rFonts w:ascii="Times New Roman" w:hAnsi="Times New Roman" w:cs="Times New Roman"/>
                <w:sz w:val="28"/>
                <w:szCs w:val="28"/>
              </w:rPr>
              <w:t>)</w:t>
            </w:r>
          </w:p>
        </w:tc>
      </w:tr>
    </w:tbl>
    <w:p w14:paraId="683C017C" w14:textId="77777777" w:rsidR="0003217D" w:rsidRPr="003A6E5A" w:rsidRDefault="0003217D" w:rsidP="001608EA">
      <w:pPr>
        <w:spacing w:after="0" w:line="240" w:lineRule="auto"/>
        <w:jc w:val="both"/>
        <w:rPr>
          <w:rFonts w:ascii="Times New Roman" w:hAnsi="Times New Roman" w:cs="Times New Roman"/>
          <w:sz w:val="28"/>
          <w:szCs w:val="28"/>
          <w:lang w:val="kk-KZ"/>
        </w:rPr>
      </w:pPr>
    </w:p>
    <w:p w14:paraId="6111E702"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p>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n</m:t>
            </m:r>
          </m:sup>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k</m:t>
                        </m:r>
                      </m:sub>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bSup>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p>
                  </m:e>
                </m:d>
              </m:e>
              <m:sup>
                <m:r>
                  <w:rPr>
                    <w:rFonts w:ascii="Cambria Math" w:hAnsi="Cambria Math" w:cs="Times New Roman"/>
                    <w:sz w:val="28"/>
                    <w:szCs w:val="28"/>
                  </w:rPr>
                  <m:t>2</m:t>
                </m:r>
              </m:sup>
            </m:sSup>
          </m:e>
        </m:nary>
      </m:oMath>
      <w:r w:rsidRPr="003A6E5A">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lang w:val="en-US"/>
                  </w:rPr>
                  <m:t>y</m:t>
                </m:r>
              </m:e>
            </m:acc>
          </m:e>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p>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n</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k</m:t>
            </m:r>
            <m:r>
              <w:rPr>
                <w:rFonts w:ascii="Cambria Math" w:hAnsi="Cambria Math" w:cs="Times New Roman"/>
                <w:sz w:val="28"/>
                <w:szCs w:val="28"/>
              </w:rPr>
              <m:t>=1</m:t>
            </m:r>
          </m:sub>
          <m:sup>
            <m:r>
              <w:rPr>
                <w:rFonts w:ascii="Cambria Math" w:hAnsi="Cambria Math" w:cs="Times New Roman"/>
                <w:sz w:val="28"/>
                <w:szCs w:val="28"/>
                <w:lang w:val="en-US"/>
              </w:rPr>
              <m:t>n</m:t>
            </m:r>
          </m:sup>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lang w:val="en-US"/>
                      </w:rPr>
                      <m:t>y</m:t>
                    </m:r>
                  </m:e>
                </m:acc>
              </m:e>
              <m:sub>
                <m:r>
                  <w:rPr>
                    <w:rFonts w:ascii="Cambria Math" w:hAnsi="Cambria Math" w:cs="Times New Roman"/>
                    <w:sz w:val="28"/>
                    <w:szCs w:val="28"/>
                    <w:lang w:val="en-US"/>
                  </w:rPr>
                  <m:t>k</m:t>
                </m:r>
              </m:sub>
              <m:sup>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sup>
            </m:sSubSup>
          </m:e>
        </m:nary>
      </m:oMath>
      <w:r w:rsidRPr="003A6E5A">
        <w:rPr>
          <w:rFonts w:ascii="Times New Roman" w:hAnsi="Times New Roman" w:cs="Times New Roman"/>
          <w:sz w:val="28"/>
          <w:szCs w:val="28"/>
        </w:rPr>
        <w:t>.</w:t>
      </w:r>
    </w:p>
    <w:p w14:paraId="06D82653" w14:textId="77777777" w:rsidR="0003217D" w:rsidRPr="003A6E5A" w:rsidRDefault="0003217D" w:rsidP="001608EA">
      <w:pPr>
        <w:spacing w:after="0" w:line="240" w:lineRule="auto"/>
        <w:ind w:firstLineChars="200" w:firstLine="560"/>
        <w:jc w:val="both"/>
        <w:rPr>
          <w:rFonts w:ascii="Times New Roman" w:hAnsi="Times New Roman" w:cs="Times New Roman"/>
          <w:sz w:val="28"/>
          <w:szCs w:val="28"/>
        </w:rPr>
      </w:pPr>
    </w:p>
    <w:p w14:paraId="2D42F587" w14:textId="19008780" w:rsidR="0003217D" w:rsidRPr="003A6E5A" w:rsidRDefault="00FC275D" w:rsidP="001608EA">
      <w:pPr>
        <w:spacing w:after="0" w:line="240" w:lineRule="auto"/>
        <w:ind w:firstLineChars="200" w:firstLine="560"/>
        <w:jc w:val="both"/>
        <w:rPr>
          <w:rFonts w:ascii="Times New Roman" w:hAnsi="Times New Roman" w:cs="Times New Roman"/>
          <w:sz w:val="28"/>
          <w:szCs w:val="28"/>
        </w:rPr>
      </w:pPr>
      <w:r w:rsidRPr="003A6E5A">
        <w:rPr>
          <w:rFonts w:ascii="Times New Roman" w:hAnsi="Times New Roman" w:cs="Times New Roman"/>
          <w:sz w:val="28"/>
          <w:szCs w:val="28"/>
        </w:rPr>
        <w:t xml:space="preserve">Также необходимо отметить работу Н.В. Кондрашова </w:t>
      </w:r>
      <w:r w:rsidRPr="003A6E5A">
        <w:rPr>
          <w:rFonts w:ascii="Times New Roman" w:hAnsi="Times New Roman" w:cs="Times New Roman"/>
          <w:sz w:val="28"/>
          <w:szCs w:val="28"/>
          <w:lang w:val="kk-KZ"/>
        </w:rPr>
        <w:t>и др.</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в которой </w:t>
      </w:r>
      <w:r w:rsidRPr="003A6E5A">
        <w:rPr>
          <w:rFonts w:ascii="Times New Roman" w:hAnsi="Times New Roman" w:cs="Times New Roman"/>
          <w:sz w:val="28"/>
          <w:szCs w:val="28"/>
        </w:rPr>
        <w:t>представлен алгоритм расчета интегрального показателя устойчивости развития исследуемого экономического субъекта</w:t>
      </w:r>
      <w:r w:rsidR="008D3972" w:rsidRPr="003A6E5A">
        <w:rPr>
          <w:rFonts w:ascii="Times New Roman" w:hAnsi="Times New Roman" w:cs="Times New Roman"/>
          <w:sz w:val="28"/>
          <w:szCs w:val="28"/>
        </w:rPr>
        <w:t xml:space="preserve"> [</w:t>
      </w:r>
      <w:r w:rsidR="005A1742" w:rsidRPr="003A6E5A">
        <w:rPr>
          <w:rFonts w:ascii="Times New Roman" w:hAnsi="Times New Roman" w:cs="Times New Roman"/>
          <w:sz w:val="28"/>
          <w:szCs w:val="28"/>
        </w:rPr>
        <w:t>8</w:t>
      </w:r>
      <w:r w:rsidR="00A822BB" w:rsidRPr="003A6E5A">
        <w:rPr>
          <w:rFonts w:ascii="Times New Roman" w:hAnsi="Times New Roman" w:cs="Times New Roman"/>
          <w:sz w:val="28"/>
          <w:szCs w:val="28"/>
        </w:rPr>
        <w:t>8</w:t>
      </w:r>
      <w:r w:rsidR="008D3972" w:rsidRPr="003A6E5A">
        <w:rPr>
          <w:rFonts w:ascii="Times New Roman" w:hAnsi="Times New Roman" w:cs="Times New Roman"/>
          <w:sz w:val="28"/>
          <w:szCs w:val="28"/>
        </w:rPr>
        <w:t>]</w:t>
      </w:r>
      <w:r w:rsidRPr="003A6E5A">
        <w:rPr>
          <w:rFonts w:ascii="Times New Roman" w:hAnsi="Times New Roman" w:cs="Times New Roman"/>
          <w:sz w:val="28"/>
          <w:szCs w:val="28"/>
        </w:rPr>
        <w:t xml:space="preserve">. В работе интегральный показатель учитывал группу экономических (15 показателей), экологических (8 показателей) и социальных (17 показателей) факторов. При этом веса для показателей, характеризующих тот или иной фактор, задавались постоянными. Учитывая, что в представленном исследовании использовались лишь экономические факторы, оказывающие влияние на инвестиции в основной капитал региона, было решено также рассмотреть вариант с использованием одинаковых весовых коэффициентов </w:t>
      </w:r>
      <w:r w:rsidR="00E933F4" w:rsidRPr="003A6E5A">
        <w:rPr>
          <w:rFonts w:ascii="Times New Roman" w:hAnsi="Times New Roman" w:cs="Times New Roman"/>
          <w:sz w:val="28"/>
          <w:szCs w:val="28"/>
        </w:rPr>
        <w:t>при построении</w:t>
      </w:r>
      <w:r w:rsidRPr="003A6E5A">
        <w:rPr>
          <w:rFonts w:ascii="Times New Roman" w:hAnsi="Times New Roman" w:cs="Times New Roman"/>
          <w:sz w:val="28"/>
          <w:szCs w:val="28"/>
        </w:rPr>
        <w:t xml:space="preserve"> индекса инвестиционного показателя (см. статью </w:t>
      </w:r>
      <w:r w:rsidR="002E786E" w:rsidRPr="003A6E5A">
        <w:rPr>
          <w:rFonts w:ascii="Times New Roman" w:hAnsi="Times New Roman" w:cs="Times New Roman"/>
          <w:sz w:val="28"/>
          <w:szCs w:val="28"/>
          <w:lang w:val="kk-KZ"/>
        </w:rPr>
        <w:t>Логинова</w:t>
      </w:r>
      <w:r w:rsidR="008D3972" w:rsidRPr="003A6E5A">
        <w:rPr>
          <w:rFonts w:ascii="Times New Roman" w:hAnsi="Times New Roman" w:cs="Times New Roman"/>
          <w:sz w:val="28"/>
          <w:szCs w:val="28"/>
        </w:rPr>
        <w:t xml:space="preserve"> [</w:t>
      </w:r>
      <w:r w:rsidR="005A1742" w:rsidRPr="003A6E5A">
        <w:rPr>
          <w:rFonts w:ascii="Times New Roman" w:hAnsi="Times New Roman" w:cs="Times New Roman"/>
          <w:sz w:val="28"/>
          <w:szCs w:val="28"/>
        </w:rPr>
        <w:t>8</w:t>
      </w:r>
      <w:r w:rsidR="00A822BB" w:rsidRPr="003A6E5A">
        <w:rPr>
          <w:rFonts w:ascii="Times New Roman" w:hAnsi="Times New Roman" w:cs="Times New Roman"/>
          <w:sz w:val="28"/>
          <w:szCs w:val="28"/>
        </w:rPr>
        <w:t>9</w:t>
      </w:r>
      <w:r w:rsidR="008D3972" w:rsidRPr="003A6E5A">
        <w:rPr>
          <w:rFonts w:ascii="Times New Roman" w:hAnsi="Times New Roman" w:cs="Times New Roman"/>
          <w:sz w:val="28"/>
          <w:szCs w:val="28"/>
        </w:rPr>
        <w:t>]</w:t>
      </w:r>
      <w:r w:rsidRPr="003A6E5A">
        <w:rPr>
          <w:rFonts w:ascii="Times New Roman" w:hAnsi="Times New Roman" w:cs="Times New Roman"/>
          <w:sz w:val="28"/>
          <w:szCs w:val="28"/>
        </w:rPr>
        <w:t>).</w:t>
      </w:r>
    </w:p>
    <w:p w14:paraId="7CD1F86F" w14:textId="09E5F2AA" w:rsidR="0003217D" w:rsidRPr="003A6E5A" w:rsidRDefault="00FC275D" w:rsidP="001608EA">
      <w:pPr>
        <w:spacing w:after="0" w:line="240" w:lineRule="auto"/>
        <w:ind w:firstLineChars="200" w:firstLine="560"/>
        <w:jc w:val="both"/>
        <w:rPr>
          <w:rFonts w:ascii="Times New Roman" w:hAnsi="Times New Roman" w:cs="Times New Roman"/>
          <w:sz w:val="28"/>
          <w:szCs w:val="28"/>
        </w:rPr>
      </w:pPr>
      <w:r w:rsidRPr="003A6E5A">
        <w:rPr>
          <w:rFonts w:ascii="Times New Roman" w:hAnsi="Times New Roman" w:cs="Times New Roman"/>
          <w:sz w:val="28"/>
          <w:szCs w:val="28"/>
        </w:rPr>
        <w:t>К примеру, в статье Касперовича подчеркивается, что конкурентный анализ является наиболее распространённым подходом для изучения социально-экономического развития области в сравнении с другими территориями</w:t>
      </w:r>
      <w:r w:rsidR="002E786E" w:rsidRPr="003A6E5A">
        <w:rPr>
          <w:rFonts w:ascii="Times New Roman" w:hAnsi="Times New Roman" w:cs="Times New Roman"/>
          <w:sz w:val="28"/>
          <w:szCs w:val="28"/>
          <w:lang w:val="kk-KZ"/>
        </w:rPr>
        <w:t xml:space="preserve"> </w:t>
      </w:r>
      <w:r w:rsidR="002E786E" w:rsidRPr="003A6E5A">
        <w:rPr>
          <w:rFonts w:ascii="Times New Roman" w:hAnsi="Times New Roman" w:cs="Times New Roman"/>
          <w:sz w:val="28"/>
          <w:szCs w:val="28"/>
        </w:rPr>
        <w:t>[</w:t>
      </w:r>
      <w:r w:rsidR="00A822BB" w:rsidRPr="003A6E5A">
        <w:rPr>
          <w:rFonts w:ascii="Times New Roman" w:hAnsi="Times New Roman" w:cs="Times New Roman"/>
          <w:sz w:val="28"/>
          <w:szCs w:val="28"/>
        </w:rPr>
        <w:t>90</w:t>
      </w:r>
      <w:r w:rsidR="002E786E" w:rsidRPr="003A6E5A">
        <w:rPr>
          <w:rFonts w:ascii="Times New Roman" w:hAnsi="Times New Roman" w:cs="Times New Roman"/>
          <w:sz w:val="28"/>
          <w:szCs w:val="28"/>
        </w:rPr>
        <w:t>]</w:t>
      </w:r>
      <w:r w:rsidRPr="003A6E5A">
        <w:rPr>
          <w:rFonts w:ascii="Times New Roman" w:hAnsi="Times New Roman" w:cs="Times New Roman"/>
          <w:sz w:val="28"/>
          <w:szCs w:val="28"/>
        </w:rPr>
        <w:t>. Этот подход позволяет провести сравнительную оценку и определить позицию исследуемой области в конкурентной среде.</w:t>
      </w:r>
    </w:p>
    <w:p w14:paraId="1E34A39A" w14:textId="77777777" w:rsidR="0003217D" w:rsidRPr="003A6E5A" w:rsidRDefault="00FC275D" w:rsidP="001608EA">
      <w:pPr>
        <w:spacing w:after="0" w:line="240" w:lineRule="auto"/>
        <w:ind w:firstLineChars="200" w:firstLine="560"/>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В рамках оценки инвестиционного потенциала регионов особое значение приобретает анализ того, на сколько инвестиций в основной капитал в отдельном регионе отличается от среднегосударственного значения. Один из распространенных статистических подходов для такой оценки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проверка гипотезы о равенстве средних значений. Целью является определение, являются ли наблюдаемые различия статистически значимыми или они могут быть объянены случайными колебаниями. Проверка осуществляется на основе выброчного среднего значения объемы инвестиций в основной капитал в конкретном регионе и среднего по стране. Формально нулевая и альтернативная гипотезы формулируются следующим образом</w:t>
      </w:r>
      <w:r w:rsidRPr="003A6E5A">
        <w:rPr>
          <w:rFonts w:ascii="Times New Roman" w:hAnsi="Times New Roman" w:cs="Times New Roman"/>
          <w:sz w:val="28"/>
          <w:szCs w:val="28"/>
          <w:lang w:val="kk-KZ"/>
        </w:rPr>
        <w:t>:</w:t>
      </w:r>
    </w:p>
    <w:p w14:paraId="6475065D" w14:textId="77777777" w:rsidR="0003217D" w:rsidRPr="003A6E5A" w:rsidRDefault="00FC275D" w:rsidP="001608EA">
      <w:pPr>
        <w:spacing w:after="0" w:line="240" w:lineRule="auto"/>
        <w:ind w:firstLineChars="200" w:firstLine="560"/>
        <w:jc w:val="both"/>
        <w:rPr>
          <w:rFonts w:ascii="Times New Roman" w:hAnsi="Times New Roman" w:cs="Times New Roman"/>
          <w:sz w:val="28"/>
          <w:szCs w:val="28"/>
        </w:rPr>
      </w:pPr>
      <w:r w:rsidRPr="003A6E5A">
        <w:rPr>
          <w:rFonts w:ascii="Times New Roman" w:hAnsi="Times New Roman" w:cs="Times New Roman"/>
          <w:sz w:val="28"/>
          <w:szCs w:val="28"/>
        </w:rPr>
        <w:lastRenderedPageBreak/>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0</m:t>
            </m:r>
          </m:sub>
        </m:sSub>
      </m:oMath>
      <w:r w:rsidRPr="003A6E5A">
        <w:rPr>
          <w:rFonts w:ascii="Times New Roman" w:hAnsi="Times New Roman" w:cs="Times New Roman"/>
          <w:sz w:val="28"/>
          <w:szCs w:val="28"/>
          <w:lang w:val="kk-KZ"/>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lang w:val="kk-KZ"/>
        </w:rPr>
        <w:t xml:space="preserve"> нулевая гипотеза</w:t>
      </w:r>
      <w:r w:rsidRPr="003A6E5A">
        <w:rPr>
          <w:rFonts w:ascii="Times New Roman" w:hAnsi="Times New Roman" w:cs="Times New Roman"/>
          <w:sz w:val="28"/>
          <w:szCs w:val="28"/>
        </w:rPr>
        <w:t xml:space="preserve">»: средний уровень инвестиций в основной капитал в регионе равен среднегосударственному уровню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kk-KZ"/>
              </w:rPr>
              <m:t>рег</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kk-KZ"/>
              </w:rPr>
              <m:t>гос</m:t>
            </m:r>
          </m:sub>
        </m:sSub>
      </m:oMath>
      <w:r w:rsidRPr="003A6E5A">
        <w:rPr>
          <w:rFonts w:ascii="Times New Roman" w:hAnsi="Times New Roman" w:cs="Times New Roman"/>
          <w:sz w:val="28"/>
          <w:szCs w:val="28"/>
        </w:rPr>
        <w:t>.</w:t>
      </w:r>
    </w:p>
    <w:p w14:paraId="7881F932" w14:textId="77777777" w:rsidR="0003217D" w:rsidRPr="003A6E5A" w:rsidRDefault="00FC275D" w:rsidP="001608EA">
      <w:pPr>
        <w:spacing w:after="0" w:line="240" w:lineRule="auto"/>
        <w:ind w:firstLineChars="200" w:firstLine="560"/>
        <w:jc w:val="both"/>
        <w:rPr>
          <w:rFonts w:ascii="Times New Roman" w:hAnsi="Times New Roman" w:cs="Times New Roman"/>
          <w:sz w:val="28"/>
          <w:szCs w:val="28"/>
        </w:rPr>
      </w:pPr>
      <w:r w:rsidRPr="003A6E5A">
        <w:rPr>
          <w:rFonts w:ascii="Times New Roman" w:hAnsi="Times New Roman" w:cs="Times New Roman"/>
          <w:sz w:val="28"/>
          <w:szCs w:val="28"/>
        </w:rPr>
        <w: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rPr>
              <m:t>1</m:t>
            </m:r>
          </m:sub>
        </m:sSub>
      </m:oMath>
      <w:r w:rsidRPr="003A6E5A">
        <w:rPr>
          <w:rFonts w:ascii="Times New Roman" w:hAnsi="Times New Roman" w:cs="Times New Roman"/>
          <w:sz w:val="28"/>
          <w:szCs w:val="28"/>
          <w:lang w:val="kk-KZ"/>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альтернативна</w:t>
      </w:r>
      <w:r w:rsidRPr="003A6E5A">
        <w:rPr>
          <w:rFonts w:ascii="Times New Roman" w:hAnsi="Times New Roman" w:cs="Times New Roman"/>
          <w:sz w:val="28"/>
          <w:szCs w:val="28"/>
          <w:lang w:val="kk-KZ"/>
        </w:rPr>
        <w:t>я гипотеза</w:t>
      </w:r>
      <w:r w:rsidRPr="003A6E5A">
        <w:rPr>
          <w:rFonts w:ascii="Times New Roman" w:hAnsi="Times New Roman" w:cs="Times New Roman"/>
          <w:sz w:val="28"/>
          <w:szCs w:val="28"/>
        </w:rPr>
        <w:t xml:space="preserve">»: среднее значения различаются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kk-KZ"/>
              </w:rPr>
              <m:t>рег</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kk-KZ"/>
              </w:rPr>
              <m:t>гос</m:t>
            </m:r>
          </m:sub>
        </m:sSub>
      </m:oMath>
      <w:r w:rsidRPr="003A6E5A">
        <w:rPr>
          <w:rFonts w:ascii="Times New Roman" w:hAnsi="Times New Roman" w:cs="Times New Roman"/>
          <w:sz w:val="28"/>
          <w:szCs w:val="28"/>
        </w:rPr>
        <w:t>.</w:t>
      </w:r>
    </w:p>
    <w:p w14:paraId="2D41E415" w14:textId="77777777" w:rsidR="0003217D" w:rsidRPr="003A6E5A" w:rsidRDefault="00FC275D" w:rsidP="001608EA">
      <w:pPr>
        <w:spacing w:after="0" w:line="240" w:lineRule="auto"/>
        <w:ind w:firstLineChars="200" w:firstLine="560"/>
        <w:jc w:val="both"/>
        <w:rPr>
          <w:rFonts w:ascii="Times New Roman" w:hAnsi="Times New Roman" w:cs="Times New Roman"/>
          <w:sz w:val="28"/>
          <w:szCs w:val="28"/>
        </w:rPr>
      </w:pPr>
      <w:r w:rsidRPr="003A6E5A">
        <w:rPr>
          <w:rFonts w:ascii="Times New Roman" w:hAnsi="Times New Roman" w:cs="Times New Roman"/>
          <w:sz w:val="28"/>
          <w:szCs w:val="28"/>
          <w:lang w:val="kk-KZ"/>
        </w:rPr>
        <w:t>В</w:t>
      </w:r>
      <w:r w:rsidRPr="003A6E5A">
        <w:rPr>
          <w:rFonts w:ascii="Times New Roman" w:hAnsi="Times New Roman" w:cs="Times New Roman"/>
          <w:sz w:val="28"/>
          <w:szCs w:val="28"/>
        </w:rPr>
        <w:t xml:space="preserve"> заисимости от цели исследования возможно также использование односторонне альтернативной гипотезы (например, </w:t>
      </w:r>
      <m:oMath>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kk-KZ"/>
              </w:rPr>
              <m:t>рег</m:t>
            </m:r>
          </m:sub>
        </m:sSub>
        <m:r>
          <w:rPr>
            <w:rFonts w:ascii="Cambria Math" w:hAnsi="Cambria Math" w:cs="Times New Roman"/>
            <w:sz w:val="28"/>
            <w:szCs w:val="28"/>
          </w:rPr>
          <m:t>&gt;</m:t>
        </m:r>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lang w:val="kk-KZ"/>
              </w:rPr>
              <m:t>гос</m:t>
            </m:r>
          </m:sub>
        </m:sSub>
      </m:oMath>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Как известно, наиболее часто для проверки данной гипотезы используется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критерий Стьюдента</w:t>
      </w:r>
      <w:r w:rsidRPr="003A6E5A">
        <w:rPr>
          <w:rFonts w:ascii="Times New Roman" w:hAnsi="Times New Roman" w:cs="Times New Roman"/>
          <w:sz w:val="28"/>
          <w:szCs w:val="28"/>
        </w:rPr>
        <w:t xml:space="preserve">, особенно в случаи малых или умеренных выборок и неизвестной дисперсий гинеральной совокупности. Если объемы выборок велики </w:t>
      </w:r>
      <w:r w:rsidRPr="003A6E5A">
        <w:rPr>
          <w:rFonts w:ascii="Times New Roman" w:hAnsi="Times New Roman" w:cs="Times New Roman"/>
          <w:sz w:val="28"/>
          <w:szCs w:val="28"/>
          <w:lang w:val="kk-KZ"/>
        </w:rPr>
        <w:t>(</w:t>
      </w:r>
      <m:oMath>
        <m:r>
          <m:rPr>
            <m:sty m:val="p"/>
          </m:rPr>
          <w:rPr>
            <w:rFonts w:ascii="Cambria Math" w:hAnsi="Cambria Math" w:cs="Times New Roman"/>
            <w:sz w:val="28"/>
            <w:szCs w:val="28"/>
          </w:rPr>
          <m:t>n&gt;30</m:t>
        </m:r>
      </m:oMath>
      <w:r w:rsidRPr="003A6E5A">
        <w:rPr>
          <w:rFonts w:ascii="Times New Roman" w:hAnsi="Times New Roman" w:cs="Times New Roman"/>
          <w:sz w:val="28"/>
          <w:szCs w:val="28"/>
        </w:rPr>
        <w:t xml:space="preserve">), можно также использовать </w:t>
      </w:r>
      <m:oMath>
        <m:r>
          <m:rPr>
            <m:sty m:val="p"/>
          </m:rPr>
          <w:rPr>
            <w:rFonts w:ascii="Cambria Math" w:hAnsi="Cambria Math" w:cs="Times New Roman"/>
            <w:sz w:val="28"/>
            <w:szCs w:val="28"/>
          </w:rPr>
          <m:t>z- критерий, опираясь на центральную предельную теорему.</m:t>
        </m:r>
      </m:oMath>
      <w:r w:rsidRPr="003A6E5A">
        <w:rPr>
          <w:rFonts w:ascii="Times New Roman" w:hAnsi="Times New Roman" w:cs="Times New Roman"/>
          <w:sz w:val="28"/>
          <w:szCs w:val="28"/>
        </w:rPr>
        <w:t xml:space="preserve"> Общезвестно,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статистика рассчитвается по формуле:</w:t>
      </w:r>
    </w:p>
    <w:p w14:paraId="53D7C947" w14:textId="77777777" w:rsidR="0003217D" w:rsidRPr="003A6E5A" w:rsidRDefault="0003217D" w:rsidP="001608EA">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5"/>
        <w:gridCol w:w="777"/>
      </w:tblGrid>
      <w:tr w:rsidR="0003217D" w:rsidRPr="003A6E5A" w14:paraId="41F7815E" w14:textId="77777777">
        <w:tc>
          <w:tcPr>
            <w:tcW w:w="8815" w:type="dxa"/>
          </w:tcPr>
          <w:p w14:paraId="185185DB" w14:textId="77777777" w:rsidR="0003217D" w:rsidRPr="003A6E5A" w:rsidRDefault="00FC275D" w:rsidP="001608EA">
            <w:pPr>
              <w:spacing w:after="0" w:line="240" w:lineRule="auto"/>
              <w:ind w:firstLineChars="200" w:firstLine="560"/>
              <w:rPr>
                <w:rFonts w:ascii="Times New Roman" w:hAnsi="Times New Roman" w:cs="Times New Roman"/>
                <w:sz w:val="28"/>
                <w:szCs w:val="28"/>
                <w:lang w:val="en-US"/>
              </w:rPr>
            </w:pPr>
            <m:oMathPara>
              <m:oMath>
                <m:r>
                  <m:rPr>
                    <m:sty m:val="p"/>
                  </m:rPr>
                  <w:rPr>
                    <w:rFonts w:ascii="Cambria Math" w:hAnsi="Cambria Math" w:cs="Times New Roman"/>
                    <w:sz w:val="28"/>
                    <w:szCs w:val="28"/>
                  </w:rPr>
                  <m:t>t</m:t>
                </m:r>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X</m:t>
                        </m:r>
                      </m:e>
                    </m:acc>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μ</m:t>
                        </m:r>
                      </m:e>
                      <m:sub>
                        <m:r>
                          <m:rPr>
                            <m:sty m:val="p"/>
                          </m:rPr>
                          <w:rPr>
                            <w:rFonts w:ascii="Cambria Math" w:hAnsi="Cambria Math" w:cs="Times New Roman"/>
                            <w:sz w:val="28"/>
                            <w:szCs w:val="28"/>
                            <w:lang w:val="en-US"/>
                          </w:rPr>
                          <m:t>0</m:t>
                        </m:r>
                      </m:sub>
                    </m:sSub>
                  </m:num>
                  <m:den>
                    <m:r>
                      <m:rPr>
                        <m:sty m:val="p"/>
                      </m:rPr>
                      <w:rPr>
                        <w:rFonts w:ascii="Cambria Math" w:hAnsi="Cambria Math" w:cs="Times New Roman"/>
                        <w:sz w:val="28"/>
                        <w:szCs w:val="28"/>
                        <w:lang w:val="en-US"/>
                      </w:rPr>
                      <m:t>s/</m:t>
                    </m:r>
                    <m:rad>
                      <m:radPr>
                        <m:degHide m:val="1"/>
                        <m:ctrlPr>
                          <w:rPr>
                            <w:rFonts w:ascii="Cambria Math" w:hAnsi="Cambria Math" w:cs="Times New Roman"/>
                            <w:sz w:val="28"/>
                            <w:szCs w:val="28"/>
                            <w:lang w:val="en-US"/>
                          </w:rPr>
                        </m:ctrlPr>
                      </m:radPr>
                      <m:deg/>
                      <m:e>
                        <m:r>
                          <m:rPr>
                            <m:sty m:val="p"/>
                          </m:rPr>
                          <w:rPr>
                            <w:rFonts w:ascii="Cambria Math" w:hAnsi="Cambria Math" w:cs="Times New Roman"/>
                            <w:sz w:val="28"/>
                            <w:szCs w:val="28"/>
                            <w:lang w:val="en-US"/>
                          </w:rPr>
                          <m:t>n</m:t>
                        </m:r>
                      </m:e>
                    </m:rad>
                  </m:den>
                </m:f>
              </m:oMath>
            </m:oMathPara>
          </w:p>
        </w:tc>
        <w:tc>
          <w:tcPr>
            <w:tcW w:w="777" w:type="dxa"/>
          </w:tcPr>
          <w:p w14:paraId="0A88ECF7"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(4)</w:t>
            </w:r>
          </w:p>
        </w:tc>
      </w:tr>
    </w:tbl>
    <w:p w14:paraId="4F2AD17C" w14:textId="77777777" w:rsidR="0003217D" w:rsidRPr="003A6E5A" w:rsidRDefault="0003217D" w:rsidP="001608EA">
      <w:pPr>
        <w:spacing w:after="0" w:line="240" w:lineRule="auto"/>
        <w:jc w:val="both"/>
        <w:rPr>
          <w:rFonts w:ascii="Times New Roman" w:hAnsi="Times New Roman" w:cs="Times New Roman"/>
          <w:sz w:val="28"/>
          <w:szCs w:val="28"/>
        </w:rPr>
      </w:pPr>
    </w:p>
    <w:p w14:paraId="38B34FD3" w14:textId="5E6B33C8" w:rsidR="0003217D" w:rsidRPr="003A6E5A" w:rsidRDefault="00790CB1" w:rsidP="001608EA">
      <w:pPr>
        <w:spacing w:after="0" w:line="240" w:lineRule="auto"/>
        <w:jc w:val="both"/>
        <w:rPr>
          <w:rFonts w:ascii="Times New Roman" w:hAnsi="Times New Roman" w:cs="Times New Roman"/>
          <w:sz w:val="28"/>
          <w:szCs w:val="28"/>
        </w:rPr>
      </w:pP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X</m:t>
            </m:r>
          </m:e>
        </m:acc>
      </m:oMath>
      <w:r w:rsidR="00FC275D" w:rsidRPr="003A6E5A">
        <w:rPr>
          <w:rFonts w:ascii="Times New Roman" w:hAnsi="Times New Roman" w:cs="Times New Roman"/>
          <w:sz w:val="28"/>
          <w:szCs w:val="28"/>
        </w:rPr>
        <w:t xml:space="preserve"> </w:t>
      </w:r>
      <w:r w:rsidR="00E933F4" w:rsidRPr="003A6E5A">
        <w:rPr>
          <w:rFonts w:ascii="Times New Roman" w:hAnsi="Times New Roman" w:cs="Times New Roman"/>
          <w:sz w:val="28"/>
          <w:szCs w:val="28"/>
        </w:rPr>
        <w:t>–</w:t>
      </w:r>
      <w:r w:rsidR="00FC275D" w:rsidRPr="003A6E5A">
        <w:rPr>
          <w:rFonts w:ascii="Times New Roman" w:hAnsi="Times New Roman" w:cs="Times New Roman"/>
          <w:sz w:val="28"/>
          <w:szCs w:val="28"/>
        </w:rPr>
        <w:t xml:space="preserve"> среднее значение инвестиций в основной капитал в выборке (регион), </w:t>
      </w:r>
      <m:oMath>
        <m:sSub>
          <m:sSubPr>
            <m:ctrlPr>
              <w:rPr>
                <w:rFonts w:ascii="Cambria Math" w:hAnsi="Cambria Math" w:cs="Times New Roman"/>
                <w:sz w:val="28"/>
                <w:szCs w:val="28"/>
              </w:rPr>
            </m:ctrlPr>
          </m:sSubPr>
          <m:e>
            <m:r>
              <m:rPr>
                <m:sty m:val="p"/>
              </m:rPr>
              <w:rPr>
                <w:rFonts w:ascii="Cambria Math" w:hAnsi="Cambria Math" w:cs="Times New Roman"/>
                <w:sz w:val="28"/>
                <w:szCs w:val="28"/>
              </w:rPr>
              <m:t>μ</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oMath>
      <w:r w:rsidR="00FC275D" w:rsidRPr="003A6E5A">
        <w:rPr>
          <w:rFonts w:ascii="Times New Roman" w:hAnsi="Times New Roman" w:cs="Times New Roman"/>
          <w:sz w:val="28"/>
          <w:szCs w:val="28"/>
        </w:rPr>
        <w:t xml:space="preserve"> среднее по стране, </w:t>
      </w:r>
      <w:r w:rsidR="00FC275D" w:rsidRPr="003A6E5A">
        <w:rPr>
          <w:rFonts w:ascii="Times New Roman" w:hAnsi="Times New Roman" w:cs="Times New Roman"/>
          <w:sz w:val="28"/>
          <w:szCs w:val="28"/>
          <w:lang w:val="en-US"/>
        </w:rPr>
        <w:t>s</w:t>
      </w:r>
      <w:r w:rsidR="00FC275D"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00FC275D" w:rsidRPr="003A6E5A">
        <w:rPr>
          <w:rFonts w:ascii="Times New Roman" w:hAnsi="Times New Roman" w:cs="Times New Roman"/>
          <w:sz w:val="28"/>
          <w:szCs w:val="28"/>
        </w:rPr>
        <w:t xml:space="preserve"> выборочное стандартное отклонение, </w:t>
      </w:r>
      <m:oMath>
        <m:r>
          <m:rPr>
            <m:sty m:val="p"/>
          </m:rPr>
          <w:rPr>
            <w:rFonts w:ascii="Cambria Math" w:hAnsi="Cambria Math" w:cs="Times New Roman"/>
            <w:sz w:val="28"/>
            <w:szCs w:val="28"/>
            <w:lang w:val="en-US"/>
          </w:rPr>
          <m:t>n</m:t>
        </m:r>
        <m:r>
          <m:rPr>
            <m:sty m:val="p"/>
          </m:rPr>
          <w:rPr>
            <w:rFonts w:ascii="Cambria Math" w:hAnsi="Cambria Math" w:cs="Times New Roman"/>
            <w:sz w:val="28"/>
            <w:szCs w:val="28"/>
          </w:rPr>
          <m:t>-</m:t>
        </m:r>
      </m:oMath>
      <w:r w:rsidR="00FC275D" w:rsidRPr="003A6E5A">
        <w:rPr>
          <w:rFonts w:ascii="Times New Roman" w:hAnsi="Times New Roman" w:cs="Times New Roman"/>
          <w:sz w:val="28"/>
          <w:szCs w:val="28"/>
        </w:rPr>
        <w:t xml:space="preserve"> объем выборки.</w:t>
      </w:r>
    </w:p>
    <w:p w14:paraId="3597404D" w14:textId="08E04708" w:rsidR="00396A0F"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Рассчитаны значения по Эвансу и Хаукинсу </w:t>
      </w:r>
      <w:r w:rsidR="002E786E" w:rsidRPr="003A6E5A">
        <w:rPr>
          <w:rFonts w:ascii="Times New Roman" w:hAnsi="Times New Roman" w:cs="Times New Roman"/>
          <w:sz w:val="28"/>
          <w:szCs w:val="28"/>
        </w:rPr>
        <w:t>[</w:t>
      </w:r>
      <w:r w:rsidR="00A822BB" w:rsidRPr="003A6E5A">
        <w:rPr>
          <w:rFonts w:ascii="Times New Roman" w:hAnsi="Times New Roman" w:cs="Times New Roman"/>
          <w:sz w:val="28"/>
          <w:szCs w:val="28"/>
        </w:rPr>
        <w:t>91</w:t>
      </w:r>
      <w:r w:rsidR="002E786E"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t</w:t>
      </w:r>
      <w:r w:rsidRPr="003A6E5A">
        <w:rPr>
          <w:rFonts w:ascii="Times New Roman" w:hAnsi="Times New Roman" w:cs="Times New Roman"/>
          <w:sz w:val="28"/>
          <w:szCs w:val="28"/>
          <w:lang w:val="kk-KZ"/>
        </w:rPr>
        <w:t xml:space="preserve"> - </w:t>
      </w:r>
      <w:r w:rsidRPr="003A6E5A">
        <w:rPr>
          <w:rFonts w:ascii="Times New Roman" w:hAnsi="Times New Roman" w:cs="Times New Roman"/>
          <w:sz w:val="28"/>
          <w:szCs w:val="28"/>
        </w:rPr>
        <w:t>сравнивается с табличным значением критерия Стьюдента. При заданным значимости (</w:t>
      </w:r>
      <m:oMath>
        <m:r>
          <m:rPr>
            <m:sty m:val="p"/>
          </m:rPr>
          <w:rPr>
            <w:rFonts w:ascii="Cambria Math" w:hAnsi="Cambria Math" w:cs="Times New Roman"/>
            <w:sz w:val="28"/>
            <w:szCs w:val="28"/>
          </w:rPr>
          <m:t>α=0,05</m:t>
        </m:r>
      </m:oMath>
      <w:r w:rsidRPr="003A6E5A">
        <w:rPr>
          <w:rFonts w:ascii="Times New Roman" w:hAnsi="Times New Roman" w:cs="Times New Roman"/>
          <w:sz w:val="28"/>
          <w:szCs w:val="28"/>
        </w:rPr>
        <w:t xml:space="preserve">) и соответствующей степени свободы. В соответствии терорией Дарвасула </w:t>
      </w:r>
      <w:r w:rsidR="002E786E" w:rsidRPr="003A6E5A">
        <w:rPr>
          <w:rFonts w:ascii="Times New Roman" w:hAnsi="Times New Roman" w:cs="Times New Roman"/>
          <w:sz w:val="28"/>
          <w:szCs w:val="28"/>
        </w:rPr>
        <w:t>[</w:t>
      </w:r>
      <w:r w:rsidR="00A822BB" w:rsidRPr="003A6E5A">
        <w:rPr>
          <w:rFonts w:ascii="Times New Roman" w:hAnsi="Times New Roman" w:cs="Times New Roman"/>
          <w:sz w:val="28"/>
          <w:szCs w:val="28"/>
        </w:rPr>
        <w:t>92</w:t>
      </w:r>
      <w:r w:rsidR="002E786E" w:rsidRPr="003A6E5A">
        <w:rPr>
          <w:rFonts w:ascii="Times New Roman" w:hAnsi="Times New Roman" w:cs="Times New Roman"/>
          <w:sz w:val="28"/>
          <w:szCs w:val="28"/>
        </w:rPr>
        <w:t>]</w:t>
      </w:r>
      <w:r w:rsidRPr="003A6E5A">
        <w:rPr>
          <w:rFonts w:ascii="Times New Roman" w:hAnsi="Times New Roman" w:cs="Times New Roman"/>
          <w:sz w:val="28"/>
          <w:szCs w:val="28"/>
        </w:rPr>
        <w:t xml:space="preserve"> если наблюдаемые значения превышает критическое, нулевая гипотеза отвергается, и делается вывод о статистически значимом различии между среднем уровнем инвестиций в основной капитал в регионе и по стране. Если гипотеза о равенстве средних отклоняется, данный факт свидетельствует о наличии существенных различий, требующих дальнейшего анализа. Эмпирические результаты были получены для 14 областей и 2 городов республиканского значения на основе среднегодовых значений объемов инвестиций за 2014-2023 годы. Для каждой административной единицы были рассчитаны: среднее значение инвестиций (в мл</w:t>
      </w:r>
      <w:r w:rsidR="006251C2" w:rsidRPr="003A6E5A">
        <w:rPr>
          <w:rFonts w:ascii="Times New Roman" w:hAnsi="Times New Roman" w:cs="Times New Roman"/>
          <w:sz w:val="28"/>
          <w:szCs w:val="28"/>
        </w:rPr>
        <w:t>н</w:t>
      </w:r>
      <w:r w:rsidRPr="003A6E5A">
        <w:rPr>
          <w:rFonts w:ascii="Times New Roman" w:hAnsi="Times New Roman" w:cs="Times New Roman"/>
          <w:sz w:val="28"/>
          <w:szCs w:val="28"/>
        </w:rPr>
        <w:t xml:space="preserve"> тенге, дисперсия, значение </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статистики,</m:t>
        </m:r>
      </m:oMath>
      <w:r w:rsidRPr="003A6E5A">
        <w:rPr>
          <w:rFonts w:ascii="Times New Roman" w:hAnsi="Times New Roman" w:cs="Times New Roman"/>
          <w:sz w:val="28"/>
          <w:szCs w:val="28"/>
        </w:rPr>
        <w:t xml:space="preserve"> 95% доверительной интервал)</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и соответствующее заключение о принятии или отклонении нулевой гипотезы.</w:t>
      </w:r>
    </w:p>
    <w:p w14:paraId="6892B0B5" w14:textId="70DC36D6" w:rsidR="0003217D" w:rsidRPr="003A6E5A" w:rsidRDefault="00FC275D" w:rsidP="00396A0F">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Полученные результаты показывают существенную неоднородность региональных показателей. В соответствии с расчётами в таблице </w:t>
      </w:r>
      <w:r w:rsidR="0017058D" w:rsidRPr="003A6E5A">
        <w:rPr>
          <w:rFonts w:ascii="Times New Roman" w:hAnsi="Times New Roman" w:cs="Times New Roman"/>
          <w:sz w:val="28"/>
          <w:szCs w:val="28"/>
        </w:rPr>
        <w:t>20</w:t>
      </w:r>
      <w:r w:rsidRPr="003A6E5A">
        <w:rPr>
          <w:rFonts w:ascii="Times New Roman" w:hAnsi="Times New Roman" w:cs="Times New Roman"/>
          <w:sz w:val="28"/>
          <w:szCs w:val="28"/>
        </w:rPr>
        <w:t xml:space="preserve">, Атырауская область продемонстрировала чрезвычайно высокое значение инвестиций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в среднем 1603375 мл</w:t>
      </w:r>
      <w:r w:rsidR="003E4699" w:rsidRPr="003A6E5A">
        <w:rPr>
          <w:rFonts w:ascii="Times New Roman" w:hAnsi="Times New Roman" w:cs="Times New Roman"/>
          <w:sz w:val="28"/>
          <w:szCs w:val="28"/>
        </w:rPr>
        <w:t>н</w:t>
      </w:r>
      <w:r w:rsidRPr="003A6E5A">
        <w:rPr>
          <w:rFonts w:ascii="Times New Roman" w:hAnsi="Times New Roman" w:cs="Times New Roman"/>
          <w:sz w:val="28"/>
          <w:szCs w:val="28"/>
        </w:rPr>
        <w:t xml:space="preserve"> тенге, при этом рассчитанная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статистика 6,47, что значительно превышает критическое значение. Аналогичные выводы справедливы для таких регионов как Жамбылская (</w:t>
      </w:r>
      <m:oMath>
        <m:r>
          <m:rPr>
            <m:sty m:val="p"/>
          </m:rPr>
          <w:rPr>
            <w:rFonts w:ascii="Cambria Math" w:hAnsi="Cambria Math" w:cs="Times New Roman"/>
            <w:sz w:val="28"/>
            <w:szCs w:val="28"/>
          </w:rPr>
          <m:t>t=22,50</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Костанайская </w:t>
      </w:r>
      <w:r w:rsidRPr="003A6E5A">
        <w:rPr>
          <w:rFonts w:ascii="Times New Roman" w:hAnsi="Times New Roman" w:cs="Times New Roman"/>
          <w:sz w:val="28"/>
          <w:szCs w:val="28"/>
        </w:rPr>
        <w:t>(</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18</m:t>
        </m:r>
        <m:r>
          <m:rPr>
            <m:sty m:val="p"/>
          </m:rPr>
          <w:rPr>
            <w:rFonts w:ascii="Cambria Math" w:hAnsi="Cambria Math" w:cs="Times New Roman"/>
            <w:sz w:val="28"/>
            <w:szCs w:val="28"/>
          </w:rPr>
          <m:t>,5</m:t>
        </m:r>
        <m:r>
          <m:rPr>
            <m:sty m:val="p"/>
          </m:rPr>
          <w:rPr>
            <w:rFonts w:ascii="Cambria Math" w:hAnsi="Cambria Math" w:cs="Times New Roman"/>
            <w:sz w:val="28"/>
            <w:szCs w:val="28"/>
            <w:lang w:val="kk-KZ"/>
          </w:rPr>
          <m:t>5</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Северо-Казахстанская </w:t>
      </w:r>
      <w:r w:rsidRPr="003A6E5A">
        <w:rPr>
          <w:rFonts w:ascii="Times New Roman" w:hAnsi="Times New Roman" w:cs="Times New Roman"/>
          <w:sz w:val="28"/>
          <w:szCs w:val="28"/>
        </w:rPr>
        <w:t>(</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33</m:t>
        </m:r>
        <m:r>
          <m:rPr>
            <m:sty m:val="p"/>
          </m:rPr>
          <w:rPr>
            <w:rFonts w:ascii="Cambria Math" w:hAnsi="Cambria Math" w:cs="Times New Roman"/>
            <w:sz w:val="28"/>
            <w:szCs w:val="28"/>
          </w:rPr>
          <m:t>,</m:t>
        </m:r>
        <m:r>
          <m:rPr>
            <m:sty m:val="p"/>
          </m:rPr>
          <w:rPr>
            <w:rFonts w:ascii="Cambria Math" w:hAnsi="Cambria Math" w:cs="Times New Roman"/>
            <w:sz w:val="28"/>
            <w:szCs w:val="28"/>
            <w:lang w:val="kk-KZ"/>
          </w:rPr>
          <m:t>53</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и других. В то же время, в таких регионах, как Алматинская </w:t>
      </w:r>
      <w:r w:rsidRPr="003A6E5A">
        <w:rPr>
          <w:rFonts w:ascii="Times New Roman" w:hAnsi="Times New Roman" w:cs="Times New Roman"/>
          <w:sz w:val="28"/>
          <w:szCs w:val="28"/>
        </w:rPr>
        <w:t>(</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0,49</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Актюбинкая </w:t>
      </w:r>
      <w:r w:rsidRPr="003A6E5A">
        <w:rPr>
          <w:rFonts w:ascii="Times New Roman" w:hAnsi="Times New Roman" w:cs="Times New Roman"/>
          <w:sz w:val="28"/>
          <w:szCs w:val="28"/>
        </w:rPr>
        <w:t>(</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1</m:t>
        </m:r>
        <m:r>
          <m:rPr>
            <m:sty m:val="p"/>
          </m:rPr>
          <w:rPr>
            <w:rFonts w:ascii="Cambria Math" w:hAnsi="Cambria Math" w:cs="Times New Roman"/>
            <w:sz w:val="28"/>
            <w:szCs w:val="28"/>
          </w:rPr>
          <m:t>,</m:t>
        </m:r>
        <m:r>
          <m:rPr>
            <m:sty m:val="p"/>
          </m:rPr>
          <w:rPr>
            <w:rFonts w:ascii="Cambria Math" w:hAnsi="Cambria Math" w:cs="Times New Roman"/>
            <w:sz w:val="28"/>
            <w:szCs w:val="28"/>
            <w:lang w:val="kk-KZ"/>
          </w:rPr>
          <m:t>66</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Восточно-Казахстанкая </w:t>
      </w:r>
      <w:r w:rsidRPr="003A6E5A">
        <w:rPr>
          <w:rFonts w:ascii="Times New Roman" w:hAnsi="Times New Roman" w:cs="Times New Roman"/>
          <w:sz w:val="28"/>
          <w:szCs w:val="28"/>
        </w:rPr>
        <w:t>(</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1,80</m:t>
        </m:r>
      </m:oMath>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и</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Южго-Казахстанкая </w:t>
      </w:r>
      <w:r w:rsidRPr="003A6E5A">
        <w:rPr>
          <w:rFonts w:ascii="Times New Roman" w:hAnsi="Times New Roman" w:cs="Times New Roman"/>
          <w:sz w:val="28"/>
          <w:szCs w:val="28"/>
        </w:rPr>
        <w:t>(</w:t>
      </w:r>
      <m:oMath>
        <m:r>
          <m:rPr>
            <m:sty m:val="p"/>
          </m:rPr>
          <w:rPr>
            <w:rFonts w:ascii="Cambria Math" w:hAnsi="Cambria Math" w:cs="Times New Roman"/>
            <w:sz w:val="28"/>
            <w:szCs w:val="28"/>
          </w:rPr>
          <m:t>t=</m:t>
        </m:r>
        <m:r>
          <m:rPr>
            <m:sty m:val="p"/>
          </m:rPr>
          <w:rPr>
            <w:rFonts w:ascii="Cambria Math" w:hAnsi="Cambria Math" w:cs="Times New Roman"/>
            <w:sz w:val="28"/>
            <w:szCs w:val="28"/>
            <w:lang w:val="kk-KZ"/>
          </w:rPr>
          <m:t>1</m:t>
        </m:r>
        <m:r>
          <m:rPr>
            <m:sty m:val="p"/>
          </m:rPr>
          <w:rPr>
            <w:rFonts w:ascii="Cambria Math" w:hAnsi="Cambria Math" w:cs="Times New Roman"/>
            <w:sz w:val="28"/>
            <w:szCs w:val="28"/>
          </w:rPr>
          <m:t>,</m:t>
        </m:r>
        <m:r>
          <m:rPr>
            <m:sty m:val="p"/>
          </m:rPr>
          <w:rPr>
            <w:rFonts w:ascii="Cambria Math" w:hAnsi="Cambria Math" w:cs="Times New Roman"/>
            <w:sz w:val="28"/>
            <w:szCs w:val="28"/>
            <w:lang w:val="kk-KZ"/>
          </w:rPr>
          <m:t>46</m:t>
        </m:r>
      </m:oMath>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w:t>
      </w:r>
      <m:oMath>
        <m:r>
          <m:rPr>
            <m:sty m:val="p"/>
          </m:rPr>
          <w:rPr>
            <w:rFonts w:ascii="Cambria Math" w:hAnsi="Cambria Math" w:cs="Times New Roman"/>
            <w:sz w:val="28"/>
            <w:szCs w:val="28"/>
          </w:rPr>
          <m:t>t</m:t>
        </m:r>
      </m:oMath>
      <w:r w:rsidRPr="003A6E5A">
        <w:rPr>
          <w:rFonts w:ascii="Times New Roman" w:hAnsi="Times New Roman" w:cs="Times New Roman"/>
          <w:sz w:val="28"/>
          <w:szCs w:val="28"/>
          <w:lang w:val="kk-KZ"/>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lang w:val="kk-KZ"/>
        </w:rPr>
        <w:t xml:space="preserve"> статистика не превышает критического значения.</w:t>
      </w:r>
      <w:r w:rsidRPr="003A6E5A">
        <w:rPr>
          <w:rFonts w:ascii="Times New Roman" w:hAnsi="Times New Roman" w:cs="Times New Roman"/>
          <w:sz w:val="28"/>
          <w:szCs w:val="28"/>
        </w:rPr>
        <w:t xml:space="preserve"> Полученные результат свидетельствует о статистически значимом превышении среднегосударственного уровня, что говорить об отсутствии статистически </w:t>
      </w:r>
      <w:r w:rsidRPr="003A6E5A">
        <w:rPr>
          <w:rFonts w:ascii="Times New Roman" w:hAnsi="Times New Roman" w:cs="Times New Roman"/>
          <w:sz w:val="28"/>
          <w:szCs w:val="28"/>
        </w:rPr>
        <w:lastRenderedPageBreak/>
        <w:t>значимых различий между их уровнем инвестиций и среднем по стране. Город Астана имеет среднее значение 51811 мл</w:t>
      </w:r>
      <w:r w:rsidR="00A0418E" w:rsidRPr="003A6E5A">
        <w:rPr>
          <w:rFonts w:ascii="Times New Roman" w:hAnsi="Times New Roman" w:cs="Times New Roman"/>
          <w:sz w:val="28"/>
          <w:szCs w:val="28"/>
        </w:rPr>
        <w:t>н</w:t>
      </w:r>
      <w:r w:rsidRPr="003A6E5A">
        <w:rPr>
          <w:rFonts w:ascii="Times New Roman" w:hAnsi="Times New Roman" w:cs="Times New Roman"/>
          <w:sz w:val="28"/>
          <w:szCs w:val="28"/>
        </w:rPr>
        <w:t xml:space="preserve"> тенге, и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статистику 9,56 что также говорить о значительном положительном отклонении от среднего по Республики Казахстан.</w:t>
      </w:r>
    </w:p>
    <w:p w14:paraId="5E91EE63" w14:textId="77777777" w:rsidR="0003217D" w:rsidRPr="003A6E5A" w:rsidRDefault="00FC275D" w:rsidP="00104906">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Анализ выявил значительные территориальные различия в распределении инвестиции в основной капитал. В 9 из 14 регионов нулевая гипотеза о равенстве средних значений была отклонена, что свидетельствует о наличии устойчивых отклонений о среднегосударственного уровня, что указывает на диспропропорции в пространственном распределении инвестиционной активности, обусловленные различными ресурсной базе, градостроительном потенциале, и институциональных условиях привличения капитала. </w:t>
      </w:r>
    </w:p>
    <w:p w14:paraId="1F73359E" w14:textId="6AF06175" w:rsidR="0003217D" w:rsidRPr="003A6E5A" w:rsidRDefault="00FC275D" w:rsidP="00C14F0E">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Методологической основой расчета интегрально показателя «Индекс инвестиционного потенциала» Акмолинской области послужила модель основанная на агрегировании ряда экономических и инновационных переменных, отражающих как производственные, так и научно-технологические характеристики региона. Концептуальная структура показателя опирается на принцип относительных изменений (2014-2015 гг.), что позволяет учесть не только абсолютные значения факторов, но и их динамику во времени, обеспечивая тем самым чувствительность модели к изменениям внешней и внутренней среды. В числителе интегрального индекса были использованы показатели, положительно коррелирующие с ростом инвестиционной привлекательности, а именно: внутренние затраты на НИОКР, количество предприятий, осуществлявших НИОКР, а также валовый региональный продукт</w:t>
      </w:r>
      <w:r w:rsidRPr="003A6E5A">
        <w:rPr>
          <w:rFonts w:ascii="Times New Roman" w:hAnsi="Times New Roman" w:cs="Times New Roman"/>
          <w:sz w:val="28"/>
          <w:szCs w:val="28"/>
          <w:lang w:val="kk-KZ"/>
        </w:rPr>
        <w:t xml:space="preserve"> на душу населения. Данные параметры отражают инновационную направленность экономики Акмолинской области, масштабы и интенсивность научной деятельности, а также уровень экономического развития, и производительности. Их рост, как правило, свидетельствует о формировании благоприятной среды для инвестирования (2014-2015 гг.), что и обосновывает в числитель в модели. </w:t>
      </w:r>
    </w:p>
    <w:p w14:paraId="21DCA639" w14:textId="4FE4BD21" w:rsidR="0003217D" w:rsidRPr="003A6E5A" w:rsidRDefault="00FC275D" w:rsidP="006A3054">
      <w:pPr>
        <w:spacing w:after="0" w:line="240" w:lineRule="auto"/>
        <w:ind w:firstLine="708"/>
        <w:jc w:val="both"/>
        <w:rPr>
          <w:rFonts w:ascii="Times New Roman" w:eastAsiaTheme="minorEastAsia" w:hAnsi="Times New Roman" w:cs="Times New Roman"/>
          <w:sz w:val="28"/>
          <w:szCs w:val="28"/>
        </w:rPr>
      </w:pPr>
      <w:r w:rsidRPr="003A6E5A">
        <w:rPr>
          <w:rFonts w:ascii="Times New Roman" w:hAnsi="Times New Roman" w:cs="Times New Roman"/>
          <w:sz w:val="28"/>
          <w:szCs w:val="28"/>
        </w:rPr>
        <w:t xml:space="preserve">Знаменатель интегральной формулы включает переменные, которые могут выступать как сдерживающие факторы или как показатели относительных затрат и напряженности ресурсов: численность персонала занятого НИОКР, объем инновационной продукции, среднемесячная заработная плата, инновационную активность предприятий, численность персонала. Рост данных показателей может означать либо увеличение нагрузки на инфраструктуру и кадровые ресурсы, либо необходимость дополнительных инвестиций </w:t>
      </w:r>
      <w:r w:rsidR="001608EA" w:rsidRPr="003A6E5A">
        <w:rPr>
          <w:rFonts w:ascii="Times New Roman" w:hAnsi="Times New Roman" w:cs="Times New Roman"/>
          <w:sz w:val="28"/>
          <w:szCs w:val="28"/>
        </w:rPr>
        <w:t>для обеспечения</w:t>
      </w:r>
      <w:r w:rsidRPr="003A6E5A">
        <w:rPr>
          <w:rFonts w:ascii="Times New Roman" w:hAnsi="Times New Roman" w:cs="Times New Roman"/>
          <w:sz w:val="28"/>
          <w:szCs w:val="28"/>
        </w:rPr>
        <w:t xml:space="preserve"> устойчивости научно-образовательной базы. Таким образом, включение этих показателей в знаменатель позволяет улавливать эффект ресурсной обеспеченности и затратности инновационного процесса в Акмолинской области. Все переменные были приведены к сопоставимому виду путем расчета их относительного изменения: реальное значение в рассматриваемом периоде </w:t>
      </w:r>
      <m:oMath>
        <m:r>
          <w:rPr>
            <w:rFonts w:ascii="Cambria Math" w:hAnsi="Cambria Math" w:cs="Times New Roman"/>
            <w:sz w:val="28"/>
            <w:szCs w:val="28"/>
          </w:rPr>
          <m:t>(t)</m:t>
        </m:r>
      </m:oMath>
      <w:r w:rsidRPr="003A6E5A">
        <w:rPr>
          <w:rFonts w:ascii="Times New Roman" w:eastAsiaTheme="minorEastAsia" w:hAnsi="Times New Roman" w:cs="Times New Roman"/>
          <w:sz w:val="28"/>
          <w:szCs w:val="28"/>
        </w:rPr>
        <w:t xml:space="preserve"> делилось на соответствующее значение предыдущего периода </w:t>
      </w:r>
      <m:oMath>
        <m:r>
          <w:rPr>
            <w:rFonts w:ascii="Cambria Math" w:hAnsi="Cambria Math" w:cs="Times New Roman"/>
            <w:sz w:val="28"/>
            <w:szCs w:val="28"/>
          </w:rPr>
          <m:t>(t-1)</m:t>
        </m:r>
      </m:oMath>
      <w:r w:rsidR="008D3972" w:rsidRPr="003A6E5A">
        <w:rPr>
          <w:rFonts w:ascii="Times New Roman" w:eastAsiaTheme="minorEastAsia" w:hAnsi="Times New Roman" w:cs="Times New Roman"/>
          <w:sz w:val="28"/>
          <w:szCs w:val="28"/>
        </w:rPr>
        <w:t xml:space="preserve"> [</w:t>
      </w:r>
      <w:r w:rsidR="00A822BB" w:rsidRPr="003A6E5A">
        <w:rPr>
          <w:rFonts w:ascii="Times New Roman" w:eastAsiaTheme="minorEastAsia" w:hAnsi="Times New Roman" w:cs="Times New Roman"/>
          <w:sz w:val="28"/>
          <w:szCs w:val="28"/>
        </w:rPr>
        <w:t>93</w:t>
      </w:r>
      <w:r w:rsidR="008D3972" w:rsidRPr="003A6E5A">
        <w:rPr>
          <w:rFonts w:ascii="Times New Roman" w:eastAsiaTheme="minorEastAsia" w:hAnsi="Times New Roman" w:cs="Times New Roman"/>
          <w:sz w:val="28"/>
          <w:szCs w:val="28"/>
        </w:rPr>
        <w:t>]</w:t>
      </w:r>
      <w:r w:rsidRPr="003A6E5A">
        <w:rPr>
          <w:rFonts w:ascii="Times New Roman" w:eastAsiaTheme="minorEastAsia" w:hAnsi="Times New Roman" w:cs="Times New Roman"/>
          <w:sz w:val="28"/>
          <w:szCs w:val="28"/>
        </w:rPr>
        <w:t xml:space="preserve">. Такой подход позволил акцентировать внимание на динамике развития, а не на статическом уровне показателей, тем </w:t>
      </w:r>
      <w:r w:rsidRPr="003A6E5A">
        <w:rPr>
          <w:rFonts w:ascii="Times New Roman" w:eastAsiaTheme="minorEastAsia" w:hAnsi="Times New Roman" w:cs="Times New Roman"/>
          <w:sz w:val="28"/>
          <w:szCs w:val="28"/>
        </w:rPr>
        <w:lastRenderedPageBreak/>
        <w:t>самым устраняя внутри региональные различия в масштабах экономики и в структуре рассматриваемого региона. Для повышения достоверности и учета разной степени влияния от отдельных факторов, каждая переменная была умножена на соответствующий весовой коэффициент, определенной на основе метода главных компонент. Интегральный индекс инвестиционного потенциала (</w:t>
      </w:r>
      <m:oMath>
        <m:sSub>
          <m:sSubPr>
            <m:ctrlPr>
              <w:rPr>
                <w:rFonts w:ascii="Cambria Math" w:hAnsi="Cambria Math" w:cs="Times New Roman"/>
                <w:i/>
                <w:sz w:val="20"/>
                <w:szCs w:val="20"/>
              </w:rPr>
            </m:ctrlPr>
          </m:sSubPr>
          <m:e>
            <m:r>
              <w:rPr>
                <w:rFonts w:ascii="Cambria Math" w:hAnsi="Cambria Math" w:cs="Times New Roman"/>
                <w:sz w:val="20"/>
                <w:szCs w:val="20"/>
              </w:rPr>
              <m:t>ИИП</m:t>
            </m:r>
          </m:e>
          <m:sub>
            <m:sSub>
              <m:sSubPr>
                <m:ctrlPr>
                  <w:rPr>
                    <w:rFonts w:ascii="Cambria Math" w:hAnsi="Cambria Math" w:cs="Times New Roman"/>
                    <w:i/>
                    <w:sz w:val="20"/>
                    <w:szCs w:val="20"/>
                  </w:rPr>
                </m:ctrlPr>
              </m:sSubPr>
              <m:e>
                <m:r>
                  <w:rPr>
                    <w:rFonts w:ascii="Cambria Math" w:hAnsi="Cambria Math" w:cs="Times New Roman"/>
                    <w:sz w:val="20"/>
                    <w:szCs w:val="20"/>
                  </w:rPr>
                  <m:t>Акмол</m:t>
                </m:r>
              </m:e>
              <m:sub>
                <m:r>
                  <w:rPr>
                    <w:rFonts w:ascii="Cambria Math" w:hAnsi="Cambria Math" w:cs="Times New Roman"/>
                    <w:sz w:val="20"/>
                    <w:szCs w:val="20"/>
                  </w:rPr>
                  <m:t>2</m:t>
                </m:r>
              </m:sub>
            </m:sSub>
          </m:sub>
        </m:sSub>
      </m:oMath>
      <w:r w:rsidRPr="003A6E5A">
        <w:rPr>
          <w:rFonts w:ascii="Times New Roman" w:eastAsiaTheme="minorEastAsia" w:hAnsi="Times New Roman" w:cs="Times New Roman"/>
          <w:sz w:val="28"/>
          <w:szCs w:val="28"/>
        </w:rPr>
        <w:t>) в обобщенном виде может быть представлен в следующей формуле: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gridCol w:w="597"/>
      </w:tblGrid>
      <w:tr w:rsidR="00B02CF8" w:rsidRPr="003A6E5A" w14:paraId="0F2362BB" w14:textId="77777777">
        <w:tc>
          <w:tcPr>
            <w:tcW w:w="8995" w:type="dxa"/>
          </w:tcPr>
          <w:p w14:paraId="28E1988C" w14:textId="77777777" w:rsidR="0003217D" w:rsidRPr="003A6E5A" w:rsidRDefault="0003217D" w:rsidP="001608EA">
            <w:pPr>
              <w:spacing w:after="0" w:line="240" w:lineRule="auto"/>
              <w:rPr>
                <w:rFonts w:ascii="Times New Roman" w:hAnsi="Times New Roman" w:cs="Times New Roman"/>
                <w:sz w:val="28"/>
                <w:szCs w:val="28"/>
              </w:rPr>
            </w:pPr>
          </w:p>
          <w:p w14:paraId="71A60368" w14:textId="77777777" w:rsidR="0003217D" w:rsidRPr="003A6E5A" w:rsidRDefault="00790CB1" w:rsidP="001608EA">
            <w:pPr>
              <w:spacing w:after="0" w:line="240" w:lineRule="auto"/>
              <w:rPr>
                <w:rFonts w:ascii="Times New Roman" w:hAnsi="Times New Roman" w:cs="Times New Roman"/>
                <w:i/>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ИИП</m:t>
                    </m:r>
                  </m:e>
                  <m:sub>
                    <m:sSub>
                      <m:sSubPr>
                        <m:ctrlPr>
                          <w:rPr>
                            <w:rFonts w:ascii="Cambria Math" w:hAnsi="Cambria Math" w:cs="Times New Roman"/>
                            <w:i/>
                            <w:sz w:val="20"/>
                            <w:szCs w:val="20"/>
                          </w:rPr>
                        </m:ctrlPr>
                      </m:sSubPr>
                      <m:e>
                        <m:r>
                          <w:rPr>
                            <w:rFonts w:ascii="Cambria Math" w:hAnsi="Cambria Math" w:cs="Times New Roman"/>
                            <w:sz w:val="20"/>
                            <w:szCs w:val="20"/>
                          </w:rPr>
                          <m:t>Акмол</m:t>
                        </m:r>
                      </m:e>
                      <m:sub>
                        <m:r>
                          <w:rPr>
                            <w:rFonts w:ascii="Cambria Math" w:hAnsi="Cambria Math" w:cs="Times New Roman"/>
                            <w:sz w:val="20"/>
                            <w:szCs w:val="20"/>
                          </w:rPr>
                          <m:t>2</m:t>
                        </m:r>
                      </m:sub>
                    </m:sSub>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0,43∙</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IRDC</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IRDC</m:t>
                            </m:r>
                          </m:e>
                          <m:sub>
                            <m:r>
                              <w:rPr>
                                <w:rFonts w:ascii="Cambria Math" w:hAnsi="Cambria Math" w:cs="Times New Roman"/>
                                <w:sz w:val="20"/>
                                <w:szCs w:val="20"/>
                              </w:rPr>
                              <m:t>t-1</m:t>
                            </m:r>
                          </m:sub>
                        </m:sSub>
                      </m:den>
                    </m:f>
                    <m:r>
                      <w:rPr>
                        <w:rFonts w:ascii="Cambria Math" w:hAnsi="Cambria Math" w:cs="Times New Roman"/>
                        <w:sz w:val="20"/>
                        <w:szCs w:val="20"/>
                      </w:rPr>
                      <m:t>+0,34∙</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NECORD</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NECORD</m:t>
                            </m:r>
                          </m:e>
                          <m:sub>
                            <m:r>
                              <w:rPr>
                                <w:rFonts w:ascii="Cambria Math" w:hAnsi="Cambria Math" w:cs="Times New Roman"/>
                                <w:sz w:val="20"/>
                                <w:szCs w:val="20"/>
                              </w:rPr>
                              <m:t>t-1</m:t>
                            </m:r>
                          </m:sub>
                        </m:sSub>
                      </m:den>
                    </m:f>
                    <m:r>
                      <w:rPr>
                        <w:rFonts w:ascii="Cambria Math" w:hAnsi="Cambria Math" w:cs="Times New Roman"/>
                        <w:sz w:val="20"/>
                        <w:szCs w:val="20"/>
                      </w:rPr>
                      <m:t>+0,23∙</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GRPPC</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GRPPC</m:t>
                            </m:r>
                          </m:e>
                          <m:sub>
                            <m:r>
                              <w:rPr>
                                <w:rFonts w:ascii="Cambria Math" w:hAnsi="Cambria Math" w:cs="Times New Roman"/>
                                <w:sz w:val="20"/>
                                <w:szCs w:val="20"/>
                              </w:rPr>
                              <m:t>t-1</m:t>
                            </m:r>
                          </m:sub>
                        </m:sSub>
                      </m:den>
                    </m:f>
                  </m:num>
                  <m:den>
                    <m:r>
                      <w:rPr>
                        <w:rFonts w:ascii="Cambria Math" w:hAnsi="Cambria Math" w:cs="Times New Roman"/>
                        <w:sz w:val="20"/>
                        <w:szCs w:val="20"/>
                      </w:rPr>
                      <m:t>0,00023∙</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PERD</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PERD</m:t>
                            </m:r>
                          </m:e>
                          <m:sub>
                            <m:r>
                              <w:rPr>
                                <w:rFonts w:ascii="Cambria Math" w:hAnsi="Cambria Math" w:cs="Times New Roman"/>
                                <w:sz w:val="20"/>
                                <w:szCs w:val="20"/>
                              </w:rPr>
                              <m:t>t-1</m:t>
                            </m:r>
                          </m:sub>
                        </m:sSub>
                      </m:den>
                    </m:f>
                    <m:r>
                      <w:rPr>
                        <w:rFonts w:ascii="Cambria Math" w:hAnsi="Cambria Math" w:cs="Times New Roman"/>
                        <w:sz w:val="20"/>
                        <w:szCs w:val="20"/>
                      </w:rPr>
                      <m:t>+0,25∙</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AVIP</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AVIP</m:t>
                            </m:r>
                          </m:e>
                          <m:sub>
                            <m:r>
                              <w:rPr>
                                <w:rFonts w:ascii="Cambria Math" w:hAnsi="Cambria Math" w:cs="Times New Roman"/>
                                <w:sz w:val="20"/>
                                <w:szCs w:val="20"/>
                              </w:rPr>
                              <m:t>t-1</m:t>
                            </m:r>
                          </m:sub>
                        </m:sSub>
                      </m:den>
                    </m:f>
                    <m:r>
                      <w:rPr>
                        <w:rFonts w:ascii="Cambria Math" w:hAnsi="Cambria Math" w:cs="Times New Roman"/>
                        <w:sz w:val="20"/>
                        <w:szCs w:val="20"/>
                      </w:rPr>
                      <m:t>+0,30∙</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AMNV</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AMNV</m:t>
                            </m:r>
                          </m:e>
                          <m:sub>
                            <m:r>
                              <w:rPr>
                                <w:rFonts w:ascii="Cambria Math" w:hAnsi="Cambria Math" w:cs="Times New Roman"/>
                                <w:sz w:val="20"/>
                                <w:szCs w:val="20"/>
                              </w:rPr>
                              <m:t>t-1</m:t>
                            </m:r>
                          </m:sub>
                        </m:sSub>
                      </m:den>
                    </m:f>
                    <m:r>
                      <w:rPr>
                        <w:rFonts w:ascii="Cambria Math" w:hAnsi="Cambria Math" w:cs="Times New Roman"/>
                        <w:sz w:val="20"/>
                        <w:szCs w:val="20"/>
                      </w:rPr>
                      <m:t>+0,28∙</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IAE</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IAE</m:t>
                            </m:r>
                          </m:e>
                          <m:sub>
                            <m:r>
                              <w:rPr>
                                <w:rFonts w:ascii="Cambria Math" w:hAnsi="Cambria Math" w:cs="Times New Roman"/>
                                <w:sz w:val="20"/>
                                <w:szCs w:val="20"/>
                              </w:rPr>
                              <m:t>t-1</m:t>
                            </m:r>
                          </m:sub>
                        </m:sSub>
                      </m:den>
                    </m:f>
                    <m:r>
                      <w:rPr>
                        <w:rFonts w:ascii="Cambria Math" w:hAnsi="Cambria Math" w:cs="Times New Roman"/>
                        <w:sz w:val="20"/>
                        <w:szCs w:val="20"/>
                      </w:rPr>
                      <m:t>+0,17∙</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lang w:val="en-US"/>
                              </w:rPr>
                              <m:t>NS</m:t>
                            </m:r>
                          </m:e>
                          <m:sub>
                            <m:r>
                              <w:rPr>
                                <w:rFonts w:ascii="Cambria Math" w:hAnsi="Cambria Math" w:cs="Times New Roman"/>
                                <w:sz w:val="20"/>
                                <w:szCs w:val="20"/>
                              </w:rPr>
                              <m:t>t</m:t>
                            </m:r>
                          </m:sub>
                        </m:sSub>
                      </m:num>
                      <m:den>
                        <m:sSub>
                          <m:sSubPr>
                            <m:ctrlPr>
                              <w:rPr>
                                <w:rFonts w:ascii="Cambria Math" w:hAnsi="Cambria Math" w:cs="Times New Roman"/>
                                <w:i/>
                                <w:sz w:val="20"/>
                                <w:szCs w:val="20"/>
                              </w:rPr>
                            </m:ctrlPr>
                          </m:sSubPr>
                          <m:e>
                            <m:r>
                              <w:rPr>
                                <w:rFonts w:ascii="Cambria Math" w:hAnsi="Cambria Math" w:cs="Times New Roman"/>
                                <w:sz w:val="20"/>
                                <w:szCs w:val="20"/>
                              </w:rPr>
                              <m:t>NS</m:t>
                            </m:r>
                          </m:e>
                          <m:sub>
                            <m:r>
                              <w:rPr>
                                <w:rFonts w:ascii="Cambria Math" w:hAnsi="Cambria Math" w:cs="Times New Roman"/>
                                <w:sz w:val="20"/>
                                <w:szCs w:val="20"/>
                              </w:rPr>
                              <m:t>t-1</m:t>
                            </m:r>
                          </m:sub>
                        </m:sSub>
                      </m:den>
                    </m:f>
                  </m:den>
                </m:f>
                <m:r>
                  <w:rPr>
                    <w:rFonts w:ascii="Cambria Math" w:eastAsiaTheme="minorEastAsia" w:hAnsi="Cambria Math" w:cs="Times New Roman"/>
                    <w:sz w:val="20"/>
                    <w:szCs w:val="20"/>
                  </w:rPr>
                  <m:t xml:space="preserve"> </m:t>
                </m:r>
              </m:oMath>
            </m:oMathPara>
          </w:p>
          <w:p w14:paraId="08DD90BD" w14:textId="77777777" w:rsidR="0003217D" w:rsidRPr="003A6E5A" w:rsidRDefault="0003217D" w:rsidP="001608EA">
            <w:pPr>
              <w:spacing w:after="0" w:line="240" w:lineRule="auto"/>
              <w:rPr>
                <w:rFonts w:ascii="Times New Roman" w:hAnsi="Times New Roman" w:cs="Times New Roman"/>
                <w:sz w:val="28"/>
                <w:szCs w:val="28"/>
              </w:rPr>
            </w:pPr>
          </w:p>
        </w:tc>
        <w:tc>
          <w:tcPr>
            <w:tcW w:w="597" w:type="dxa"/>
          </w:tcPr>
          <w:p w14:paraId="37066220" w14:textId="77777777" w:rsidR="0003217D" w:rsidRPr="003A6E5A" w:rsidRDefault="0003217D" w:rsidP="001608EA">
            <w:pPr>
              <w:spacing w:after="0" w:line="240" w:lineRule="auto"/>
              <w:rPr>
                <w:rFonts w:ascii="Times New Roman" w:hAnsi="Times New Roman" w:cs="Times New Roman"/>
                <w:sz w:val="28"/>
                <w:szCs w:val="28"/>
              </w:rPr>
            </w:pPr>
          </w:p>
          <w:p w14:paraId="0AEF39B3" w14:textId="77777777" w:rsidR="0003217D" w:rsidRPr="003A6E5A" w:rsidRDefault="0003217D" w:rsidP="001608EA">
            <w:pPr>
              <w:spacing w:after="0" w:line="240" w:lineRule="auto"/>
              <w:rPr>
                <w:rFonts w:ascii="Times New Roman" w:hAnsi="Times New Roman" w:cs="Times New Roman"/>
                <w:sz w:val="28"/>
                <w:szCs w:val="28"/>
              </w:rPr>
            </w:pPr>
          </w:p>
          <w:p w14:paraId="168533DD"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(5)</w:t>
            </w:r>
          </w:p>
        </w:tc>
      </w:tr>
    </w:tbl>
    <w:p w14:paraId="5B8F514F" w14:textId="23C68554"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w:r w:rsidRPr="003A6E5A">
        <w:rPr>
          <w:rFonts w:ascii="Times New Roman" w:hAnsi="Times New Roman" w:cs="Times New Roman"/>
          <w:sz w:val="28"/>
          <w:szCs w:val="28"/>
          <w:lang w:val="en-US"/>
        </w:rPr>
        <w:t>IRDC</w:t>
      </w:r>
      <w:r w:rsidRPr="003A6E5A">
        <w:rPr>
          <w:rFonts w:ascii="Times New Roman" w:hAnsi="Times New Roman" w:cs="Times New Roman"/>
          <w:sz w:val="28"/>
          <w:szCs w:val="28"/>
        </w:rPr>
        <w:t xml:space="preserve"> – </w:t>
      </w:r>
      <w:r w:rsidR="004069C1" w:rsidRPr="003A6E5A">
        <w:rPr>
          <w:rFonts w:ascii="Times New Roman" w:hAnsi="Times New Roman" w:cs="Times New Roman"/>
          <w:sz w:val="28"/>
          <w:szCs w:val="28"/>
        </w:rPr>
        <w:t>внутренние затраты на НИОКР</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NECORD</w:t>
      </w:r>
      <w:r w:rsidRPr="003A6E5A">
        <w:rPr>
          <w:rFonts w:ascii="Times New Roman" w:hAnsi="Times New Roman" w:cs="Times New Roman"/>
          <w:sz w:val="28"/>
          <w:szCs w:val="28"/>
        </w:rPr>
        <w:t xml:space="preserve"> – количество предприятий, осуществлявших НИОКР, </w:t>
      </w:r>
      <w:r w:rsidRPr="003A6E5A">
        <w:rPr>
          <w:rFonts w:ascii="Times New Roman" w:hAnsi="Times New Roman" w:cs="Times New Roman"/>
          <w:sz w:val="28"/>
          <w:szCs w:val="28"/>
          <w:lang w:val="en-US"/>
        </w:rPr>
        <w:t>GRPPC</w:t>
      </w:r>
      <w:r w:rsidRPr="003A6E5A">
        <w:rPr>
          <w:rFonts w:ascii="Times New Roman" w:hAnsi="Times New Roman" w:cs="Times New Roman"/>
          <w:sz w:val="28"/>
          <w:szCs w:val="28"/>
        </w:rPr>
        <w:t xml:space="preserve"> – валовый региональный продукт</w:t>
      </w:r>
      <w:r w:rsidRPr="003A6E5A">
        <w:rPr>
          <w:rFonts w:ascii="Times New Roman" w:hAnsi="Times New Roman" w:cs="Times New Roman"/>
          <w:sz w:val="28"/>
          <w:szCs w:val="28"/>
          <w:lang w:val="kk-KZ"/>
        </w:rPr>
        <w:t xml:space="preserve"> на душу населения, </w:t>
      </w:r>
      <w:r w:rsidRPr="003A6E5A">
        <w:rPr>
          <w:rFonts w:ascii="Times New Roman" w:hAnsi="Times New Roman" w:cs="Times New Roman"/>
          <w:sz w:val="28"/>
          <w:szCs w:val="28"/>
          <w:lang w:val="en-US"/>
        </w:rPr>
        <w:t>PERD</w:t>
      </w:r>
      <w:r w:rsidRPr="003A6E5A">
        <w:rPr>
          <w:rFonts w:ascii="Times New Roman" w:hAnsi="Times New Roman" w:cs="Times New Roman"/>
          <w:sz w:val="28"/>
          <w:szCs w:val="28"/>
        </w:rPr>
        <w:t xml:space="preserve"> – численность персонала занятого НИОКР, </w:t>
      </w:r>
      <w:r w:rsidRPr="003A6E5A">
        <w:rPr>
          <w:rFonts w:ascii="Times New Roman" w:hAnsi="Times New Roman" w:cs="Times New Roman"/>
          <w:sz w:val="28"/>
          <w:szCs w:val="28"/>
          <w:lang w:val="en-US"/>
        </w:rPr>
        <w:t>AVIP</w:t>
      </w:r>
      <w:r w:rsidRPr="003A6E5A">
        <w:rPr>
          <w:rFonts w:ascii="Times New Roman" w:hAnsi="Times New Roman" w:cs="Times New Roman"/>
          <w:sz w:val="28"/>
          <w:szCs w:val="28"/>
        </w:rPr>
        <w:t xml:space="preserve"> – объем инновационной продукции, </w:t>
      </w:r>
      <w:r w:rsidRPr="003A6E5A">
        <w:rPr>
          <w:rFonts w:ascii="Times New Roman" w:hAnsi="Times New Roman" w:cs="Times New Roman"/>
          <w:sz w:val="28"/>
          <w:szCs w:val="28"/>
          <w:lang w:val="en-US"/>
        </w:rPr>
        <w:t>AMNW</w:t>
      </w:r>
      <w:r w:rsidRPr="003A6E5A">
        <w:rPr>
          <w:rFonts w:ascii="Times New Roman" w:hAnsi="Times New Roman" w:cs="Times New Roman"/>
          <w:sz w:val="28"/>
          <w:szCs w:val="28"/>
        </w:rPr>
        <w:t xml:space="preserve"> – среднемесячная заработная плата, </w:t>
      </w:r>
      <w:r w:rsidRPr="003A6E5A">
        <w:rPr>
          <w:rFonts w:ascii="Times New Roman" w:hAnsi="Times New Roman" w:cs="Times New Roman"/>
          <w:sz w:val="28"/>
          <w:szCs w:val="28"/>
          <w:lang w:val="en-US"/>
        </w:rPr>
        <w:t>IAE</w:t>
      </w:r>
      <w:r w:rsidRPr="003A6E5A">
        <w:rPr>
          <w:rFonts w:ascii="Times New Roman" w:hAnsi="Times New Roman" w:cs="Times New Roman"/>
          <w:sz w:val="28"/>
          <w:szCs w:val="28"/>
        </w:rPr>
        <w:t xml:space="preserve"> – инновационную активность предприятий, </w:t>
      </w:r>
      <w:r w:rsidRPr="003A6E5A">
        <w:rPr>
          <w:rFonts w:ascii="Times New Roman" w:hAnsi="Times New Roman" w:cs="Times New Roman"/>
          <w:sz w:val="28"/>
          <w:szCs w:val="28"/>
          <w:lang w:val="en-US"/>
        </w:rPr>
        <w:t>NS</w:t>
      </w:r>
      <w:r w:rsidRPr="003A6E5A">
        <w:rPr>
          <w:rFonts w:ascii="Times New Roman" w:hAnsi="Times New Roman" w:cs="Times New Roman"/>
          <w:sz w:val="28"/>
          <w:szCs w:val="28"/>
        </w:rPr>
        <w:t xml:space="preserve"> – </w:t>
      </w:r>
      <w:r w:rsidRPr="003A6E5A">
        <w:rPr>
          <w:rFonts w:ascii="Times New Roman" w:hAnsi="Times New Roman" w:cs="Times New Roman"/>
          <w:sz w:val="28"/>
          <w:szCs w:val="28"/>
          <w:lang w:val="kk-KZ"/>
        </w:rPr>
        <w:t>численность студентов</w:t>
      </w:r>
      <w:r w:rsidR="00F81CE1" w:rsidRPr="003A6E5A">
        <w:rPr>
          <w:rFonts w:ascii="Times New Roman" w:hAnsi="Times New Roman" w:cs="Times New Roman"/>
          <w:sz w:val="28"/>
          <w:szCs w:val="28"/>
          <w:lang w:val="kk-KZ"/>
        </w:rPr>
        <w:t xml:space="preserve"> </w:t>
      </w:r>
      <w:r w:rsidR="00F81CE1" w:rsidRPr="003A6E5A">
        <w:rPr>
          <w:rFonts w:ascii="Times New Roman" w:eastAsiaTheme="minorEastAsia" w:hAnsi="Times New Roman" w:cs="Times New Roman"/>
          <w:sz w:val="28"/>
          <w:szCs w:val="28"/>
        </w:rPr>
        <w:t>(характеристика переменных представлена в приложении Д)</w:t>
      </w:r>
      <w:r w:rsidRPr="003A6E5A">
        <w:rPr>
          <w:rFonts w:ascii="Times New Roman" w:hAnsi="Times New Roman" w:cs="Times New Roman"/>
          <w:sz w:val="28"/>
          <w:szCs w:val="28"/>
          <w:lang w:val="kk-KZ"/>
        </w:rPr>
        <w:t>.</w:t>
      </w:r>
    </w:p>
    <w:p w14:paraId="52F4DC49" w14:textId="77777777" w:rsidR="00403A44" w:rsidRPr="003A6E5A" w:rsidRDefault="00FC275D" w:rsidP="00403A44">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Формула интегрального индекса инвестиционного потенциала показывает, что ключевую роль в формировании инвестиционного потенциала Акмолинской области играют научно-исследовательские и инновационные компоненты. На это указывают наибольшие веса у таких переменных, как количество предприятий, осуществлявших НИОКР (0,43), и количество предприятий, осуществлявших НИОКР (0,34). Таким образом, можно сделать вывод, что регион с развитой научно-технологической инфраструктурой имеет более высокий потенциал для привлечения инвестиций, чем просто экономический обеспеченный регион. В то же время такие показатели, как валовый региональный продукт населения (0,23) и среднемесячная заработная плата (0,30), хоть и включены в формулу, имеют меньший вес. Данный факт говорит о том, что высокий уровень доходов или общего экономического развития сам по себе не гарантирует высокого инвестиционного потенциала, если не сопровождается активностью в сфере НИОКР и инноваций. Человеческий капитал, представленный чиссленностью студентов (0,17) и персоналом занятым в НИОКР (0,00023), также включен в индекс, но играет второстепенную роль. Данный факт может на то, что наличие образовательных ресурсов и кадрового потенцаиала важно, но не определяет привлекательность региона в 2014-2015 годах, если не реализуется через институциональную и производственную активность. Таким образом, формула (5) отражает приоритет технологически ориентированного пути развития, делая акцент на готовности Акмолинской области создавать и внедрять инновации, а не просто на объеме ресурсов или числе занятых. Однако такое построение индекса может занижать потенциал регионов сырьевой или аграрной специализацией, где научно-инновационный компонент традиционно развить слабо. Поэтому при практическом применении формулы важно учитывать специфику региональной экономики и интерпретировать результаты с учетом отраслей.</w:t>
      </w:r>
    </w:p>
    <w:p w14:paraId="2D28A4C5" w14:textId="77777777" w:rsidR="00403A44" w:rsidRPr="003A6E5A" w:rsidRDefault="00FC275D" w:rsidP="00403A44">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Такой способ агрегирования обеспечивает сбалансированное представление об инвестиционном потенциале, учитывая не только положительные импульсы развития, но и издержки, связанные с обеспечением инновационного роста (см. формулу 5). Включение в модель таких переменных как численность студентов и среднемесячная заработная плата, расширяет аналитическую рамку, позволяя анализировать также факторы будущего воспроизводства человеческого капитала и социальную устойчивость региональной экономики. Полученный интегральный индекс может использоваться для ранжирования регионов, мониторинга инвестиционной привлекательности во времени, а также в качестве инструмента в процессе принятия решений в рамках инвестиционного и стратегического планирования. Кроме того, динамика изменения значения индекса позволяет выявить эффективность государственной и региональной политики в сфере науки, инновации, и инвестиционного развития. </w:t>
      </w:r>
    </w:p>
    <w:p w14:paraId="68561EF9" w14:textId="714A4E7F" w:rsidR="0003217D" w:rsidRPr="003A6E5A" w:rsidRDefault="00FC275D" w:rsidP="00403A44">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Проверка гипотезы показала, что в большинстве регионов наблюдается статистически значимые отклонения от среднегосударственного уровня, в частности, регионы с выраженной ресурсной спецализацией (Атырауская, Мангыстауская, г. Астана и Алматы) демонстрируют значительно высокие значения инвестиций, что отражается в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статистиках, превышающих критическое значение.</w:t>
      </w:r>
    </w:p>
    <w:p w14:paraId="2A31DEB4" w14:textId="77777777" w:rsidR="006349B5" w:rsidRPr="003A6E5A" w:rsidRDefault="006349B5" w:rsidP="006349B5">
      <w:pPr>
        <w:spacing w:after="0" w:line="240" w:lineRule="auto"/>
        <w:ind w:firstLine="708"/>
        <w:jc w:val="both"/>
        <w:rPr>
          <w:rFonts w:ascii="Times New Roman" w:hAnsi="Times New Roman" w:cs="Times New Roman"/>
          <w:sz w:val="28"/>
          <w:szCs w:val="24"/>
        </w:rPr>
      </w:pPr>
      <w:r w:rsidRPr="003A6E5A">
        <w:rPr>
          <w:rFonts w:ascii="Times New Roman" w:hAnsi="Times New Roman" w:cs="Times New Roman"/>
          <w:sz w:val="28"/>
          <w:szCs w:val="24"/>
        </w:rPr>
        <w:t>Анализируя вышесказанное, можно проследить существенную эволюцию в понимании и методологии оценки инвестиционной привлекательности, которая прошла путь от простых линейных моделей, акцентировавших макроэкономическую стабильность, к сложным системным подходам. Современные исследования учитывают нелинейность, пороговые эффекты, пространственную взаимозависимость регионов и ключевую роль институциональных и инновационных факторов. Эта методологическая рефлексия, включающая применение байесовского усреднения моделей для проверки устойчивости детерминант, выявила ограниченность традиционных финансовых коэффициентов, которые, будучи полезны для ретроспективного анализа, не способны охватить структурные и институциональные особенности, определяющие будущий потенциал.</w:t>
      </w:r>
    </w:p>
    <w:p w14:paraId="72ADE37A" w14:textId="475B749A" w:rsidR="006349B5" w:rsidRPr="003A6E5A" w:rsidRDefault="006349B5" w:rsidP="006349B5">
      <w:pPr>
        <w:spacing w:after="0" w:line="240" w:lineRule="auto"/>
        <w:ind w:firstLine="708"/>
        <w:jc w:val="both"/>
        <w:rPr>
          <w:rFonts w:ascii="Times New Roman" w:hAnsi="Times New Roman" w:cs="Times New Roman"/>
          <w:sz w:val="28"/>
          <w:szCs w:val="24"/>
        </w:rPr>
      </w:pPr>
      <w:r w:rsidRPr="003A6E5A">
        <w:rPr>
          <w:rFonts w:ascii="Times New Roman" w:hAnsi="Times New Roman" w:cs="Times New Roman"/>
          <w:sz w:val="28"/>
          <w:szCs w:val="24"/>
        </w:rPr>
        <w:t>В свете данной эволюции становится очевидной необходимость разработки интегративных подходов, синтезирующих количественные и качественные методы для формирования комплексной оценки. Такой синтез находит свое практическое выражение в построении интегральных показателей, агрегирующих разнородные данные с помощью методов многомерной статистики, таких как анализ главных компонент, что позволяет преодолеть ограничения разрозненных оценок. Актуальность этих методов ярко подтверждается эмпирическими данными по Казахстану, где анализ выявил значительную пространственную дифференциацию и статистически значимое превышение среднереспубликанского уровня инвестиций лишь в части регионов, что подчеркивает невозможность применения унифицированного подхода ко всем территориям.</w:t>
      </w:r>
    </w:p>
    <w:p w14:paraId="3144EC2C" w14:textId="2038CF9B" w:rsidR="00B41E1A" w:rsidRPr="003A6E5A" w:rsidRDefault="006349B5" w:rsidP="006349B5">
      <w:pPr>
        <w:spacing w:after="0" w:line="240" w:lineRule="auto"/>
        <w:ind w:firstLine="708"/>
        <w:jc w:val="both"/>
        <w:rPr>
          <w:rFonts w:ascii="Times New Roman" w:hAnsi="Times New Roman" w:cs="Times New Roman"/>
          <w:sz w:val="28"/>
          <w:szCs w:val="24"/>
        </w:rPr>
      </w:pPr>
      <w:r w:rsidRPr="003A6E5A">
        <w:rPr>
          <w:rFonts w:ascii="Times New Roman" w:hAnsi="Times New Roman" w:cs="Times New Roman"/>
          <w:sz w:val="28"/>
          <w:szCs w:val="24"/>
        </w:rPr>
        <w:lastRenderedPageBreak/>
        <w:t>Таким образом, дальнейшее совершенствование официальной методики оценки инвестиционной привлекательности регионов Казахстана (например, регламентированной Приказом МНЭ №5) видится в целенаправленной интеграции современных международных трендов в национальную практику. Это предполагает внедрение нелинейных и пространственных моделей, смещение акцента в сторону инновационных и институциональных индикаторов, а также разработку дифференцированных методик для регионов с различной специализацией. Только такой комплексный и адаптивный подход, основанный на глубоком понимании специфических детерминант каждого региона, позволит не только адекватно оценить инвестиционный потенциал, но и сформировать эффективную, адресную стратегию для его реализации, обеспечивая тем самым устойчивое и сбалансированное развитие экономики страны в целом.</w:t>
      </w:r>
    </w:p>
    <w:p w14:paraId="0B40FCAB" w14:textId="77777777" w:rsidR="006349B5" w:rsidRPr="003A6E5A" w:rsidRDefault="006349B5" w:rsidP="006349B5">
      <w:pPr>
        <w:spacing w:after="0" w:line="240" w:lineRule="auto"/>
        <w:ind w:firstLine="708"/>
        <w:jc w:val="both"/>
        <w:rPr>
          <w:rFonts w:ascii="Times New Roman" w:hAnsi="Times New Roman" w:cs="Times New Roman"/>
          <w:sz w:val="28"/>
          <w:szCs w:val="24"/>
        </w:rPr>
      </w:pPr>
    </w:p>
    <w:p w14:paraId="14BB53BB" w14:textId="77777777" w:rsidR="00FC5A0E" w:rsidRPr="003A6E5A" w:rsidRDefault="00FC5A0E" w:rsidP="00403A44">
      <w:pPr>
        <w:spacing w:after="0" w:line="240" w:lineRule="auto"/>
        <w:ind w:firstLine="708"/>
        <w:jc w:val="both"/>
        <w:rPr>
          <w:rFonts w:ascii="Times New Roman" w:hAnsi="Times New Roman" w:cs="Times New Roman"/>
          <w:sz w:val="28"/>
          <w:szCs w:val="24"/>
        </w:rPr>
      </w:pPr>
    </w:p>
    <w:p w14:paraId="1BDF792D" w14:textId="6E870213" w:rsidR="0003217D" w:rsidRPr="003A6E5A" w:rsidRDefault="00FC275D" w:rsidP="00FB15F8">
      <w:pPr>
        <w:pStyle w:val="2-"/>
        <w:spacing w:before="0" w:line="240" w:lineRule="auto"/>
        <w:ind w:firstLine="708"/>
        <w:jc w:val="both"/>
        <w:rPr>
          <w:rFonts w:ascii="Times New Roman" w:hAnsi="Times New Roman" w:cs="Times New Roman"/>
          <w:b/>
          <w:color w:val="auto"/>
          <w:sz w:val="28"/>
          <w:szCs w:val="28"/>
          <w:lang w:val="kk-KZ"/>
        </w:rPr>
      </w:pPr>
      <w:bookmarkStart w:id="19" w:name="_Toc209538978"/>
      <w:r w:rsidRPr="003A6E5A">
        <w:rPr>
          <w:rFonts w:ascii="Times New Roman" w:hAnsi="Times New Roman" w:cs="Times New Roman"/>
          <w:b/>
          <w:color w:val="auto"/>
          <w:sz w:val="28"/>
          <w:szCs w:val="28"/>
        </w:rPr>
        <w:t>1.</w:t>
      </w:r>
      <w:r w:rsidR="00FC5A0E" w:rsidRPr="003A6E5A">
        <w:rPr>
          <w:rFonts w:ascii="Times New Roman" w:hAnsi="Times New Roman" w:cs="Times New Roman"/>
          <w:b/>
          <w:color w:val="auto"/>
          <w:sz w:val="28"/>
          <w:szCs w:val="28"/>
        </w:rPr>
        <w:t>3</w:t>
      </w:r>
      <w:r w:rsidRPr="003A6E5A">
        <w:rPr>
          <w:rFonts w:ascii="Times New Roman" w:hAnsi="Times New Roman" w:cs="Times New Roman"/>
          <w:b/>
          <w:color w:val="auto"/>
          <w:sz w:val="28"/>
          <w:szCs w:val="28"/>
        </w:rPr>
        <w:t xml:space="preserve"> </w:t>
      </w:r>
      <w:bookmarkStart w:id="20" w:name="_Hlk213168004"/>
      <w:bookmarkEnd w:id="19"/>
      <w:r w:rsidR="00E3602F" w:rsidRPr="003A6E5A">
        <w:rPr>
          <w:rFonts w:ascii="Times New Roman" w:hAnsi="Times New Roman" w:cs="Times New Roman"/>
          <w:b/>
          <w:color w:val="auto"/>
          <w:sz w:val="28"/>
          <w:szCs w:val="28"/>
          <w:lang w:val="kk-KZ"/>
        </w:rPr>
        <w:t>Пространственные авторегрессионные модели: сущность, типы и возможности применения в инвестивицонных исследованиях</w:t>
      </w:r>
      <w:bookmarkEnd w:id="20"/>
    </w:p>
    <w:p w14:paraId="6738822C" w14:textId="77777777" w:rsidR="0003217D" w:rsidRPr="003A6E5A" w:rsidRDefault="0003217D" w:rsidP="001608EA">
      <w:pPr>
        <w:spacing w:after="0" w:line="240" w:lineRule="auto"/>
        <w:jc w:val="both"/>
        <w:rPr>
          <w:rFonts w:ascii="Times New Roman" w:hAnsi="Times New Roman" w:cs="Times New Roman"/>
          <w:sz w:val="28"/>
          <w:szCs w:val="28"/>
          <w:lang w:val="kk-KZ"/>
        </w:rPr>
      </w:pPr>
    </w:p>
    <w:p w14:paraId="7DE6AF1E" w14:textId="5F886E5F"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Последние десятилетия панельные данные стали неотъемлемой частью социально-экономических исследований. Панельные данные, охватывающие несколько объектов на протяжении различных временных периодов, предоставляют исследователям уникальную возможность анализировать изменения и выявлять взаимозависимости, которые могут быть упущены при использовании только кросс-секционных или временных данных</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w:t>
      </w:r>
      <w:r w:rsidR="0093471A" w:rsidRPr="003A6E5A">
        <w:rPr>
          <w:rFonts w:ascii="Times New Roman" w:hAnsi="Times New Roman" w:cs="Times New Roman"/>
          <w:sz w:val="28"/>
          <w:szCs w:val="28"/>
        </w:rPr>
        <w:t>1</w:t>
      </w:r>
      <w:r w:rsidR="00914E40" w:rsidRPr="003A6E5A">
        <w:rPr>
          <w:rFonts w:ascii="Times New Roman" w:hAnsi="Times New Roman" w:cs="Times New Roman"/>
          <w:sz w:val="28"/>
          <w:szCs w:val="28"/>
        </w:rPr>
        <w:t>5</w:t>
      </w:r>
      <w:r w:rsidRPr="003A6E5A">
        <w:rPr>
          <w:rFonts w:ascii="Times New Roman" w:hAnsi="Times New Roman" w:cs="Times New Roman"/>
          <w:sz w:val="28"/>
          <w:szCs w:val="28"/>
        </w:rPr>
        <w:t>]. Эти данные могут быть собраны в рамках одного региона, страны или международного контекста, что позволяет проводить более целостный анализ.</w:t>
      </w:r>
    </w:p>
    <w:p w14:paraId="15D909A3" w14:textId="6C748B5A"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Одновременно с этим растущая доступность и разнообразие пространственных данных значительно расширяют горизонты исследовательской деятельности. Пространственные данные позволяют учитывать географические аспекты, влияющие на ключевые социально-экономические процессы, такие как экономическое развитие, изменение экологических условий, состояние общественного здоровья и другие. По мнению Вулдриджа, интеграция пространственных и панельных данных открывает новые перспективы для глубокого анализа, позволяя выявлять сложные многоуровневые взаимосвязи и лучше понимать социально-экономические и экологические трансформации [</w:t>
      </w:r>
      <w:r w:rsidR="0093471A" w:rsidRPr="003A6E5A">
        <w:rPr>
          <w:rFonts w:ascii="Times New Roman" w:hAnsi="Times New Roman" w:cs="Times New Roman"/>
          <w:sz w:val="28"/>
          <w:szCs w:val="28"/>
        </w:rPr>
        <w:t>1</w:t>
      </w:r>
      <w:r w:rsidR="00472C0E" w:rsidRPr="003A6E5A">
        <w:rPr>
          <w:rFonts w:ascii="Times New Roman" w:hAnsi="Times New Roman" w:cs="Times New Roman"/>
          <w:sz w:val="28"/>
          <w:szCs w:val="28"/>
        </w:rPr>
        <w:t>5</w:t>
      </w:r>
      <w:r w:rsidRPr="003A6E5A">
        <w:rPr>
          <w:rFonts w:ascii="Times New Roman" w:hAnsi="Times New Roman" w:cs="Times New Roman"/>
          <w:sz w:val="28"/>
          <w:szCs w:val="28"/>
        </w:rPr>
        <w:t>].</w:t>
      </w:r>
    </w:p>
    <w:p w14:paraId="42536FE2" w14:textId="34D347B8"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В данном разделе представлена методология построения модели, основанной на пространственных панельных данных. Рассмотрены их основные преимущества и недостатки, проведен анализ практической применимости, а также обозначены ключевые направления для дальнейших исследований в данной области.</w:t>
      </w:r>
      <w:r w:rsidRPr="003A6E5A">
        <w:rPr>
          <w:rFonts w:ascii="Times New Roman" w:hAnsi="Times New Roman" w:cs="Times New Roman"/>
          <w:sz w:val="28"/>
          <w:szCs w:val="28"/>
          <w:lang w:val="kk-KZ"/>
        </w:rPr>
        <w:t xml:space="preserve"> Грин в своей работе подчеркивает, что панельные данные представляют собой совокупность наблюдений, включающих измерения одних и тех же объектов в различные моменты времени </w:t>
      </w:r>
      <w:r w:rsidRPr="003A6E5A">
        <w:rPr>
          <w:rFonts w:ascii="Times New Roman" w:hAnsi="Times New Roman" w:cs="Times New Roman"/>
          <w:sz w:val="28"/>
          <w:szCs w:val="28"/>
        </w:rPr>
        <w:t>[</w:t>
      </w:r>
      <w:r w:rsidR="0093471A" w:rsidRPr="003A6E5A">
        <w:rPr>
          <w:rFonts w:ascii="Times New Roman" w:hAnsi="Times New Roman" w:cs="Times New Roman"/>
          <w:sz w:val="28"/>
          <w:szCs w:val="28"/>
        </w:rPr>
        <w:t>16</w:t>
      </w:r>
      <w:r w:rsidRPr="003A6E5A">
        <w:rPr>
          <w:rFonts w:ascii="Times New Roman" w:hAnsi="Times New Roman" w:cs="Times New Roman"/>
          <w:sz w:val="28"/>
          <w:szCs w:val="28"/>
        </w:rPr>
        <w:t xml:space="preserve">]. Например, при исследовании влияния образовательных программ на доходы населения можно </w:t>
      </w:r>
      <w:r w:rsidRPr="003A6E5A">
        <w:rPr>
          <w:rFonts w:ascii="Times New Roman" w:hAnsi="Times New Roman" w:cs="Times New Roman"/>
          <w:sz w:val="28"/>
          <w:szCs w:val="28"/>
        </w:rPr>
        <w:lastRenderedPageBreak/>
        <w:t>собрать данные о доходах одной и той же группы людей за ряд последовательных лет. Такой подход позволяет выявлять динамические взаимосвязи, отражающие влияние изменений уровня образования на доходы.</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Панельные данные могут быть представлены как </w:t>
      </w:r>
      <m:oMath>
        <m:sSub>
          <m:sSubPr>
            <m:ctrlPr>
              <w:rPr>
                <w:rFonts w:ascii="Cambria Math" w:hAnsi="Cambria Math" w:cs="Times New Roman"/>
                <w:i/>
                <w:sz w:val="28"/>
                <w:szCs w:val="28"/>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oMath>
      <w:r w:rsidRPr="003A6E5A">
        <w:rPr>
          <w:rFonts w:ascii="Times New Roman" w:hAnsi="Times New Roman" w:cs="Times New Roman"/>
          <w:sz w:val="28"/>
          <w:szCs w:val="28"/>
        </w:rPr>
        <w:t xml:space="preserve">, где </w:t>
      </w:r>
      <m:oMath>
        <m:r>
          <m:rPr>
            <m:sty m:val="p"/>
          </m:rPr>
          <w:rPr>
            <w:rFonts w:ascii="Cambria Math" w:hAnsi="Cambria Math" w:cs="Times New Roman"/>
            <w:sz w:val="28"/>
            <w:szCs w:val="28"/>
          </w:rPr>
          <m:t>Y</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зависимая переменная, </w:t>
      </w:r>
      <m:oMath>
        <m:r>
          <m:rPr>
            <m:sty m:val="p"/>
          </m:rPr>
          <w:rPr>
            <w:rFonts w:ascii="Cambria Math" w:hAnsi="Cambria Math" w:cs="Times New Roman"/>
            <w:sz w:val="28"/>
            <w:szCs w:val="28"/>
          </w:rPr>
          <m:t>i</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это индекс наблюдаемого объекта (например, предприятия, регион или страна),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временной индекс (например, месяцы, кварталы или года). Для описания панельных данных часто используется следующая модель регрессии:</w:t>
      </w:r>
    </w:p>
    <w:p w14:paraId="15F7F763"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03217D" w:rsidRPr="003A6E5A" w14:paraId="0066F564" w14:textId="77777777">
        <w:tc>
          <w:tcPr>
            <w:tcW w:w="9196" w:type="dxa"/>
            <w:vAlign w:val="center"/>
          </w:tcPr>
          <w:p w14:paraId="64DA52FA"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it</m:t>
                    </m:r>
                  </m:sub>
                </m:sSub>
              </m:oMath>
            </m:oMathPara>
          </w:p>
        </w:tc>
        <w:tc>
          <w:tcPr>
            <w:tcW w:w="622" w:type="dxa"/>
            <w:vAlign w:val="center"/>
          </w:tcPr>
          <w:p w14:paraId="26AE1BA3"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(6)</w:t>
            </w:r>
          </w:p>
        </w:tc>
      </w:tr>
    </w:tbl>
    <w:p w14:paraId="08E0A126" w14:textId="77777777" w:rsidR="0003217D" w:rsidRPr="003A6E5A" w:rsidRDefault="0003217D" w:rsidP="001608EA">
      <w:pPr>
        <w:spacing w:after="0" w:line="240" w:lineRule="auto"/>
        <w:jc w:val="both"/>
        <w:rPr>
          <w:rFonts w:ascii="Times New Roman" w:hAnsi="Times New Roman" w:cs="Times New Roman"/>
          <w:sz w:val="28"/>
          <w:szCs w:val="28"/>
          <w:lang w:val="kk-KZ"/>
        </w:rPr>
      </w:pPr>
    </w:p>
    <w:p w14:paraId="2C92DB8A"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значение зависимой переменной для объекта </w:t>
      </w:r>
      <m:oMath>
        <m:r>
          <m:rPr>
            <m:sty m:val="p"/>
          </m:rPr>
          <w:rPr>
            <w:rFonts w:ascii="Cambria Math" w:hAnsi="Cambria Math" w:cs="Times New Roman"/>
            <w:sz w:val="28"/>
            <w:szCs w:val="28"/>
            <w:lang w:val="kk-KZ"/>
          </w:rPr>
          <m:t>i</m:t>
        </m:r>
      </m:oMath>
      <w:r w:rsidRPr="003A6E5A">
        <w:rPr>
          <w:rFonts w:ascii="Times New Roman" w:hAnsi="Times New Roman" w:cs="Times New Roman"/>
          <w:sz w:val="28"/>
          <w:szCs w:val="28"/>
        </w:rPr>
        <w:t xml:space="preserve"> в момент времени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набор объясняющих переменных (независимых переменных),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0</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свободный член модели,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1</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вектор коэффициентов регрессии,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it</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ошибка (остаток), предположительно распрделенная нормально с нулевым средним и постоянной дисперсией. </w:t>
      </w:r>
    </w:p>
    <w:p w14:paraId="18FD0FD9"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Следует отметить, что панельные данные могут быть представлены в виде «балансированных» и «несбалансированных» панелей. Балансированная панель характеризуется наличием равного количества наблюдений для каждого объекта во всех временных периодах, что обеспечивает полную информационную целостность. Несбалансированная панель, напротив, может содержать пропуски в данных для отдельных объектов или временных периодов, что может затруднять анализ, но одновременно расширяет возможности использования данных с различной степенью полноты. </w:t>
      </w:r>
    </w:p>
    <w:p w14:paraId="3F55B071" w14:textId="7ACA9EB1"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Марно В. в своей работе [</w:t>
      </w:r>
      <w:r w:rsidR="0093471A" w:rsidRPr="003A6E5A">
        <w:rPr>
          <w:rFonts w:ascii="Times New Roman" w:hAnsi="Times New Roman" w:cs="Times New Roman"/>
          <w:sz w:val="28"/>
          <w:szCs w:val="28"/>
        </w:rPr>
        <w:t>2</w:t>
      </w:r>
      <w:r w:rsidR="00EB1DA5" w:rsidRPr="003A6E5A">
        <w:rPr>
          <w:rFonts w:ascii="Times New Roman" w:hAnsi="Times New Roman" w:cs="Times New Roman"/>
          <w:sz w:val="28"/>
          <w:szCs w:val="28"/>
        </w:rPr>
        <w:t>1</w:t>
      </w:r>
      <w:r w:rsidRPr="003A6E5A">
        <w:rPr>
          <w:rFonts w:ascii="Times New Roman" w:hAnsi="Times New Roman" w:cs="Times New Roman"/>
          <w:sz w:val="28"/>
          <w:szCs w:val="28"/>
        </w:rPr>
        <w:t>] рассматривает преимущества и недостатки панельных данных, среди которых можно выделить следующие:</w:t>
      </w:r>
    </w:p>
    <w:p w14:paraId="555EAE83"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статистическая мощность: использование панельных данных увеличивает количество наблюдений, что ведет к более точной оценке параметров и повышению статистической мощности моделей. Увеличение числа наблюдений может быть выражено в виде:</w:t>
      </w:r>
    </w:p>
    <w:p w14:paraId="2C59B673"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03217D" w:rsidRPr="003A6E5A" w14:paraId="092EA056" w14:textId="77777777">
        <w:tc>
          <w:tcPr>
            <w:tcW w:w="9196" w:type="dxa"/>
            <w:vAlign w:val="center"/>
          </w:tcPr>
          <w:p w14:paraId="08B931F9" w14:textId="77777777" w:rsidR="0003217D" w:rsidRPr="003A6E5A" w:rsidRDefault="00790CB1" w:rsidP="001608EA">
            <w:pPr>
              <w:spacing w:after="0" w:line="240" w:lineRule="auto"/>
              <w:jc w:val="center"/>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lang w:val="en-US"/>
                      </w:rPr>
                      <m:t>total</m:t>
                    </m:r>
                  </m:sub>
                </m:sSub>
                <m:r>
                  <w:rPr>
                    <w:rFonts w:ascii="Cambria Math" w:hAnsi="Cambria Math" w:cs="Times New Roman"/>
                    <w:sz w:val="28"/>
                    <w:szCs w:val="28"/>
                    <w:lang w:val="en-US"/>
                  </w:rPr>
                  <m:t>=N∙T</m:t>
                </m:r>
              </m:oMath>
            </m:oMathPara>
          </w:p>
        </w:tc>
        <w:tc>
          <w:tcPr>
            <w:tcW w:w="622" w:type="dxa"/>
            <w:vAlign w:val="center"/>
          </w:tcPr>
          <w:p w14:paraId="43BEC8EA"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(7)</w:t>
            </w:r>
          </w:p>
        </w:tc>
      </w:tr>
    </w:tbl>
    <w:p w14:paraId="5CC9C939" w14:textId="77777777" w:rsidR="0003217D" w:rsidRPr="003A6E5A" w:rsidRDefault="0003217D" w:rsidP="001608EA">
      <w:pPr>
        <w:spacing w:after="0" w:line="240" w:lineRule="auto"/>
        <w:jc w:val="both"/>
        <w:rPr>
          <w:rFonts w:ascii="Times New Roman" w:hAnsi="Times New Roman" w:cs="Times New Roman"/>
          <w:sz w:val="28"/>
          <w:szCs w:val="28"/>
          <w:lang w:val="kk-KZ"/>
        </w:rPr>
      </w:pPr>
    </w:p>
    <w:p w14:paraId="44398292"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r>
          <w:rPr>
            <w:rFonts w:ascii="Cambria Math" w:hAnsi="Cambria Math" w:cs="Times New Roman"/>
            <w:sz w:val="28"/>
            <w:szCs w:val="28"/>
            <w:lang w:val="en-US"/>
          </w:rPr>
          <m:t>N</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число объектов, </w:t>
      </w:r>
      <m:oMath>
        <m:r>
          <w:rPr>
            <w:rFonts w:ascii="Cambria Math" w:hAnsi="Cambria Math" w:cs="Times New Roman"/>
            <w:sz w:val="28"/>
            <w:szCs w:val="28"/>
            <w:lang w:val="en-US"/>
          </w:rPr>
          <m:t>T</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число временных периодов. Это приводит к более надежным оценкам коэффициентов и снижению стандартных ошибок;</w:t>
      </w:r>
    </w:p>
    <w:p w14:paraId="6D530655"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контроль за нелинейными эффектами: панельные данные позволяют учитывать как временные, так и индивидуальные эффекты. Это особенно полезно в социальных науках, где индивидуальные черты могут существенно влиять на исследуемые явления;</w:t>
      </w:r>
    </w:p>
    <w:p w14:paraId="2526EF47"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изучение динамики: исследователи могут анализировать изменения во времени, выявлять тренды и паттерны, что невозможно при использовании только кросс-секционных данных.</w:t>
      </w:r>
    </w:p>
    <w:p w14:paraId="61B64F22"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К недостаткам панельных данных можно отнести следующие: </w:t>
      </w:r>
    </w:p>
    <w:p w14:paraId="2A06AB1D"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lastRenderedPageBreak/>
        <w:t>–</w:t>
      </w:r>
      <w:r w:rsidRPr="003A6E5A">
        <w:rPr>
          <w:rFonts w:ascii="Times New Roman" w:hAnsi="Times New Roman" w:cs="Times New Roman"/>
          <w:sz w:val="28"/>
          <w:szCs w:val="28"/>
        </w:rPr>
        <w:t xml:space="preserve"> сложность обработки: работа с панельными данными может потребовать применения сложных статистических методов и специализированного программного обеспечения. Это, в свою очередь, требует наличия соответствующих знаний и навыков;</w:t>
      </w:r>
    </w:p>
    <w:p w14:paraId="5CDF3041" w14:textId="77777777" w:rsidR="0003217D" w:rsidRPr="003A6E5A" w:rsidRDefault="00FC275D" w:rsidP="001608EA">
      <w:pPr>
        <w:spacing w:after="0" w:line="240" w:lineRule="auto"/>
        <w:jc w:val="both"/>
        <w:rPr>
          <w:rFonts w:ascii="Times New Roman" w:hAnsi="Times New Roman" w:cs="Times New Roman"/>
          <w:sz w:val="28"/>
          <w:szCs w:val="28"/>
          <w:lang w:val="kk-KZ"/>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проблемы с мультиколлиарнеарностью: при работе с панельными данными нередко возникают ситуации, когда независимые переменные коррелируют между собой, что может искажать результаты анализа. </w:t>
      </w:r>
      <w:r w:rsidRPr="003A6E5A">
        <w:rPr>
          <w:rFonts w:ascii="Times New Roman" w:hAnsi="Times New Roman" w:cs="Times New Roman"/>
          <w:sz w:val="28"/>
          <w:szCs w:val="28"/>
          <w:lang w:val="kk-KZ"/>
        </w:rPr>
        <w:t>М</w:t>
      </w:r>
      <w:r w:rsidRPr="003A6E5A">
        <w:rPr>
          <w:rFonts w:ascii="Times New Roman" w:hAnsi="Times New Roman" w:cs="Times New Roman"/>
          <w:sz w:val="28"/>
          <w:szCs w:val="28"/>
        </w:rPr>
        <w:t>ультиколлиарнеарность</w:t>
      </w:r>
      <w:r w:rsidRPr="003A6E5A">
        <w:rPr>
          <w:rFonts w:ascii="Times New Roman" w:hAnsi="Times New Roman" w:cs="Times New Roman"/>
          <w:sz w:val="28"/>
          <w:szCs w:val="28"/>
          <w:lang w:val="kk-KZ"/>
        </w:rPr>
        <w:t xml:space="preserve"> может быть исследована с помощью вычесления коэффициента вариации:</w:t>
      </w:r>
    </w:p>
    <w:p w14:paraId="794B1AB5" w14:textId="77777777" w:rsidR="0003217D" w:rsidRPr="003A6E5A" w:rsidRDefault="0003217D" w:rsidP="001608EA">
      <w:pPr>
        <w:spacing w:after="0" w:line="240" w:lineRule="auto"/>
        <w:ind w:firstLine="708"/>
        <w:jc w:val="both"/>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03217D" w:rsidRPr="003A6E5A" w14:paraId="36B264D9" w14:textId="77777777">
        <w:tc>
          <w:tcPr>
            <w:tcW w:w="9196" w:type="dxa"/>
            <w:vAlign w:val="center"/>
          </w:tcPr>
          <w:p w14:paraId="514C7D93"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VIF</m:t>
                    </m:r>
                  </m:e>
                  <m:sub>
                    <m:r>
                      <w:rPr>
                        <w:rFonts w:ascii="Cambria Math" w:hAnsi="Cambria Math" w:cs="Times New Roman"/>
                        <w:sz w:val="28"/>
                        <w:szCs w:val="28"/>
                        <w:lang w:val="en-US"/>
                      </w:rPr>
                      <m:t>j</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j</m:t>
                        </m:r>
                      </m:sub>
                      <m:sup>
                        <m:r>
                          <w:rPr>
                            <w:rFonts w:ascii="Cambria Math" w:hAnsi="Cambria Math" w:cs="Times New Roman"/>
                            <w:sz w:val="28"/>
                            <w:szCs w:val="28"/>
                            <w:lang w:val="en-US"/>
                          </w:rPr>
                          <m:t>2</m:t>
                        </m:r>
                      </m:sup>
                    </m:sSubSup>
                  </m:den>
                </m:f>
              </m:oMath>
            </m:oMathPara>
          </w:p>
        </w:tc>
        <w:tc>
          <w:tcPr>
            <w:tcW w:w="622" w:type="dxa"/>
            <w:vAlign w:val="center"/>
          </w:tcPr>
          <w:p w14:paraId="7E7A58EC"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(8)</w:t>
            </w:r>
          </w:p>
        </w:tc>
      </w:tr>
    </w:tbl>
    <w:p w14:paraId="74D3B045" w14:textId="77777777" w:rsidR="0003217D" w:rsidRPr="003A6E5A" w:rsidRDefault="0003217D" w:rsidP="001608EA">
      <w:pPr>
        <w:spacing w:after="0" w:line="240" w:lineRule="auto"/>
        <w:jc w:val="both"/>
        <w:rPr>
          <w:rFonts w:ascii="Times New Roman" w:hAnsi="Times New Roman" w:cs="Times New Roman"/>
          <w:sz w:val="28"/>
          <w:szCs w:val="28"/>
        </w:rPr>
      </w:pPr>
    </w:p>
    <w:p w14:paraId="781E464B"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г</w:t>
      </w:r>
      <w:r w:rsidRPr="003A6E5A">
        <w:rPr>
          <w:rFonts w:ascii="Times New Roman" w:hAnsi="Times New Roman" w:cs="Times New Roman"/>
          <w:sz w:val="28"/>
          <w:szCs w:val="28"/>
          <w:lang w:val="kk-KZ"/>
        </w:rPr>
        <w:t xml:space="preserve">де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R</m:t>
            </m:r>
          </m:e>
          <m:sub>
            <m:r>
              <w:rPr>
                <w:rFonts w:ascii="Cambria Math" w:hAnsi="Cambria Math" w:cs="Times New Roman"/>
                <w:sz w:val="28"/>
                <w:szCs w:val="28"/>
                <w:lang w:val="en-US"/>
              </w:rPr>
              <m:t>j</m:t>
            </m:r>
          </m:sub>
          <m:sup>
            <m:r>
              <w:rPr>
                <w:rFonts w:ascii="Cambria Math" w:hAnsi="Cambria Math" w:cs="Times New Roman"/>
                <w:sz w:val="28"/>
                <w:szCs w:val="28"/>
              </w:rPr>
              <m:t>2</m:t>
            </m:r>
          </m:sup>
        </m:sSubSup>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коэффициент детерминации при регрессии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j</m:t>
            </m:r>
            <m:r>
              <w:rPr>
                <w:rFonts w:ascii="Cambria Math" w:hAnsi="Cambria Math" w:cs="Times New Roman"/>
                <w:sz w:val="28"/>
                <w:szCs w:val="28"/>
              </w:rPr>
              <m:t xml:space="preserve"> </m:t>
            </m:r>
          </m:sub>
        </m:sSub>
        <m:r>
          <w:rPr>
            <w:rFonts w:ascii="Cambria Math" w:hAnsi="Cambria Math" w:cs="Times New Roman"/>
            <w:sz w:val="28"/>
            <w:szCs w:val="28"/>
          </w:rPr>
          <m:t xml:space="preserve"> </m:t>
        </m:r>
      </m:oMath>
      <w:r w:rsidRPr="003A6E5A">
        <w:rPr>
          <w:rFonts w:ascii="Times New Roman" w:hAnsi="Times New Roman" w:cs="Times New Roman"/>
          <w:sz w:val="28"/>
          <w:szCs w:val="28"/>
        </w:rPr>
        <w:t xml:space="preserve"> на все остальные переменные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m:t>
            </m:r>
          </m:sub>
        </m:sSub>
      </m:oMath>
      <w:r w:rsidRPr="003A6E5A">
        <w:rPr>
          <w:rFonts w:ascii="Times New Roman" w:hAnsi="Times New Roman" w:cs="Times New Roman"/>
          <w:sz w:val="28"/>
          <w:szCs w:val="28"/>
        </w:rPr>
        <w:t>;</w:t>
      </w:r>
    </w:p>
    <w:p w14:paraId="3C7B9592" w14:textId="0F2195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гетероскедастичность: различные группы данных могут иметь разные уровни изменчивости, что делает стандартные ошибки оценки неприменимыми, если не учитывать этот факт.</w:t>
      </w:r>
    </w:p>
    <w:p w14:paraId="6C25D249" w14:textId="155C53D4"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Наиболее часто используемая статистика теста Бреуша–Пагана имеет следующий вид </w:t>
      </w:r>
      <w:r w:rsidR="0093471A" w:rsidRPr="003A6E5A">
        <w:rPr>
          <w:rFonts w:ascii="Times New Roman" w:hAnsi="Times New Roman" w:cs="Times New Roman"/>
          <w:sz w:val="28"/>
          <w:szCs w:val="28"/>
        </w:rPr>
        <w:t>[</w:t>
      </w:r>
      <w:r w:rsidR="00851B06" w:rsidRPr="003A6E5A">
        <w:rPr>
          <w:rFonts w:ascii="Times New Roman" w:hAnsi="Times New Roman" w:cs="Times New Roman"/>
          <w:sz w:val="28"/>
          <w:szCs w:val="28"/>
        </w:rPr>
        <w:t>8</w:t>
      </w:r>
      <w:r w:rsidR="005A1742" w:rsidRPr="003A6E5A">
        <w:rPr>
          <w:rFonts w:ascii="Times New Roman" w:hAnsi="Times New Roman" w:cs="Times New Roman"/>
          <w:sz w:val="28"/>
          <w:szCs w:val="28"/>
        </w:rPr>
        <w:t>8</w:t>
      </w:r>
      <w:r w:rsidR="0093471A" w:rsidRPr="003A6E5A">
        <w:rPr>
          <w:rFonts w:ascii="Times New Roman" w:hAnsi="Times New Roman" w:cs="Times New Roman"/>
          <w:sz w:val="28"/>
          <w:szCs w:val="28"/>
        </w:rPr>
        <w:t>]</w:t>
      </w:r>
      <w:r w:rsidRPr="003A6E5A">
        <w:rPr>
          <w:rFonts w:ascii="Times New Roman" w:hAnsi="Times New Roman" w:cs="Times New Roman"/>
          <w:sz w:val="28"/>
          <w:szCs w:val="28"/>
        </w:rPr>
        <w:t>:</w:t>
      </w:r>
    </w:p>
    <w:p w14:paraId="020128F8" w14:textId="77777777" w:rsidR="0003217D" w:rsidRPr="003A6E5A" w:rsidRDefault="0003217D" w:rsidP="001608EA">
      <w:pPr>
        <w:spacing w:after="0" w:line="240" w:lineRule="auto"/>
        <w:ind w:firstLine="708"/>
        <w:jc w:val="center"/>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2"/>
        <w:gridCol w:w="620"/>
      </w:tblGrid>
      <w:tr w:rsidR="00B02CF8" w:rsidRPr="003A6E5A" w14:paraId="377593F0" w14:textId="77777777">
        <w:tc>
          <w:tcPr>
            <w:tcW w:w="8982" w:type="dxa"/>
            <w:vAlign w:val="center"/>
          </w:tcPr>
          <w:p w14:paraId="018D5BAF" w14:textId="56EE2D16" w:rsidR="0003217D" w:rsidRPr="003A6E5A" w:rsidRDefault="00790CB1" w:rsidP="001608EA">
            <w:pPr>
              <w:spacing w:after="0" w:line="240" w:lineRule="auto"/>
              <w:jc w:val="center"/>
              <w:rPr>
                <w:rFonts w:ascii="Times New Roman" w:eastAsiaTheme="minorEastAsia" w:hAnsi="Times New Roman" w:cs="Times New Roman"/>
                <w:sz w:val="28"/>
                <w:szCs w:val="28"/>
                <w:vertAlign w:val="superscript"/>
              </w:rPr>
            </w:pPr>
            <m:oMathPara>
              <m:oMath>
                <m:sSub>
                  <m:sSubPr>
                    <m:ctrlPr>
                      <w:rPr>
                        <w:rFonts w:ascii="Cambria Math" w:hAnsi="Cambria Math" w:cs="Times New Roman"/>
                        <w:i/>
                        <w:sz w:val="28"/>
                        <w:szCs w:val="28"/>
                        <w:vertAlign w:val="superscript"/>
                        <w:lang w:val="en-US"/>
                      </w:rPr>
                    </m:ctrlPr>
                  </m:sSubPr>
                  <m:e>
                    <m:r>
                      <w:rPr>
                        <w:rFonts w:ascii="Cambria Math" w:hAnsi="Cambria Math" w:cs="Times New Roman"/>
                        <w:sz w:val="28"/>
                        <w:szCs w:val="28"/>
                        <w:vertAlign w:val="superscript"/>
                        <w:lang w:val="en-US"/>
                      </w:rPr>
                      <m:t>BP</m:t>
                    </m:r>
                  </m:e>
                  <m:sub>
                    <m:r>
                      <w:rPr>
                        <w:rFonts w:ascii="Cambria Math" w:hAnsi="Cambria Math" w:cs="Times New Roman"/>
                        <w:sz w:val="28"/>
                        <w:szCs w:val="28"/>
                        <w:vertAlign w:val="superscript"/>
                        <w:lang w:val="en-US"/>
                      </w:rPr>
                      <m:t>T</m:t>
                    </m:r>
                  </m:sub>
                </m:sSub>
                <m:r>
                  <w:rPr>
                    <w:rFonts w:ascii="Cambria Math" w:hAnsi="Cambria Math" w:cs="Times New Roman"/>
                    <w:sz w:val="28"/>
                    <w:szCs w:val="28"/>
                    <w:vertAlign w:val="superscript"/>
                  </w:rPr>
                  <m:t>=</m:t>
                </m:r>
                <m:sSubSup>
                  <m:sSubSupPr>
                    <m:ctrlPr>
                      <w:rPr>
                        <w:rFonts w:ascii="Cambria Math" w:hAnsi="Cambria Math" w:cs="Times New Roman"/>
                        <w:i/>
                        <w:sz w:val="28"/>
                        <w:szCs w:val="28"/>
                        <w:vertAlign w:val="superscript"/>
                        <w:lang w:val="en-US"/>
                      </w:rPr>
                    </m:ctrlPr>
                  </m:sSubSupPr>
                  <m:e>
                    <m:r>
                      <m:rPr>
                        <m:sty m:val="p"/>
                      </m:rPr>
                      <w:rPr>
                        <w:rFonts w:ascii="Cambria Math" w:hAnsi="Cambria Math" w:cs="Times New Roman"/>
                        <w:sz w:val="28"/>
                        <w:szCs w:val="28"/>
                        <w:vertAlign w:val="superscript"/>
                        <w:lang w:val="en-US"/>
                      </w:rPr>
                      <m:t>Σ</m:t>
                    </m:r>
                  </m:e>
                  <m:sub>
                    <m:r>
                      <w:rPr>
                        <w:rFonts w:ascii="Cambria Math" w:hAnsi="Cambria Math" w:cs="Times New Roman"/>
                        <w:sz w:val="28"/>
                        <w:szCs w:val="28"/>
                        <w:vertAlign w:val="superscript"/>
                        <w:lang w:val="en-US"/>
                      </w:rPr>
                      <m:t>i</m:t>
                    </m:r>
                    <m:r>
                      <w:rPr>
                        <w:rFonts w:ascii="Cambria Math" w:hAnsi="Cambria Math" w:cs="Times New Roman"/>
                        <w:sz w:val="28"/>
                        <w:szCs w:val="28"/>
                        <w:vertAlign w:val="superscript"/>
                      </w:rPr>
                      <m:t>=1</m:t>
                    </m:r>
                  </m:sub>
                  <m:sup>
                    <m:r>
                      <w:rPr>
                        <w:rFonts w:ascii="Cambria Math" w:hAnsi="Cambria Math" w:cs="Times New Roman"/>
                        <w:sz w:val="28"/>
                        <w:szCs w:val="28"/>
                        <w:vertAlign w:val="superscript"/>
                        <w:lang w:val="en-US"/>
                      </w:rPr>
                      <m:t>N</m:t>
                    </m:r>
                    <m:r>
                      <w:rPr>
                        <w:rFonts w:ascii="Cambria Math" w:hAnsi="Cambria Math" w:cs="Times New Roman"/>
                        <w:sz w:val="28"/>
                        <w:szCs w:val="28"/>
                        <w:vertAlign w:val="superscript"/>
                      </w:rPr>
                      <m:t>-1</m:t>
                    </m:r>
                  </m:sup>
                </m:sSubSup>
                <m:sSubSup>
                  <m:sSubSupPr>
                    <m:ctrlPr>
                      <w:rPr>
                        <w:rFonts w:ascii="Cambria Math" w:hAnsi="Cambria Math" w:cs="Times New Roman"/>
                        <w:i/>
                        <w:sz w:val="28"/>
                        <w:szCs w:val="28"/>
                        <w:vertAlign w:val="superscript"/>
                        <w:lang w:val="en-US"/>
                      </w:rPr>
                    </m:ctrlPr>
                  </m:sSubSupPr>
                  <m:e>
                    <m:r>
                      <m:rPr>
                        <m:sty m:val="p"/>
                      </m:rPr>
                      <w:rPr>
                        <w:rFonts w:ascii="Cambria Math" w:hAnsi="Cambria Math" w:cs="Times New Roman"/>
                        <w:sz w:val="28"/>
                        <w:szCs w:val="28"/>
                        <w:vertAlign w:val="superscript"/>
                        <w:lang w:val="en-US"/>
                      </w:rPr>
                      <m:t>Σ</m:t>
                    </m:r>
                  </m:e>
                  <m:sub>
                    <m:r>
                      <w:rPr>
                        <w:rFonts w:ascii="Cambria Math" w:hAnsi="Cambria Math" w:cs="Times New Roman"/>
                        <w:sz w:val="28"/>
                        <w:szCs w:val="28"/>
                        <w:vertAlign w:val="superscript"/>
                        <w:lang w:val="en-US"/>
                      </w:rPr>
                      <m:t>j</m:t>
                    </m:r>
                    <m:r>
                      <w:rPr>
                        <w:rFonts w:ascii="Cambria Math" w:hAnsi="Cambria Math" w:cs="Times New Roman"/>
                        <w:sz w:val="28"/>
                        <w:szCs w:val="28"/>
                        <w:vertAlign w:val="superscript"/>
                      </w:rPr>
                      <m:t>=</m:t>
                    </m:r>
                    <m:r>
                      <w:rPr>
                        <w:rFonts w:ascii="Cambria Math" w:hAnsi="Cambria Math" w:cs="Times New Roman"/>
                        <w:sz w:val="28"/>
                        <w:szCs w:val="28"/>
                        <w:vertAlign w:val="superscript"/>
                        <w:lang w:val="en-US"/>
                      </w:rPr>
                      <m:t>i</m:t>
                    </m:r>
                    <m:r>
                      <w:rPr>
                        <w:rFonts w:ascii="Cambria Math" w:hAnsi="Cambria Math" w:cs="Times New Roman"/>
                        <w:sz w:val="28"/>
                        <w:szCs w:val="28"/>
                        <w:vertAlign w:val="superscript"/>
                      </w:rPr>
                      <m:t>+1</m:t>
                    </m:r>
                  </m:sub>
                  <m:sup>
                    <m:r>
                      <w:rPr>
                        <w:rFonts w:ascii="Cambria Math" w:hAnsi="Cambria Math" w:cs="Times New Roman"/>
                        <w:sz w:val="28"/>
                        <w:szCs w:val="28"/>
                        <w:vertAlign w:val="superscript"/>
                        <w:lang w:val="en-US"/>
                      </w:rPr>
                      <m:t>N</m:t>
                    </m:r>
                  </m:sup>
                </m:sSubSup>
                <m:r>
                  <w:rPr>
                    <w:rFonts w:ascii="Cambria Math" w:eastAsiaTheme="minorEastAsia" w:hAnsi="Cambria Math" w:cs="Times New Roman"/>
                    <w:sz w:val="28"/>
                    <w:szCs w:val="28"/>
                    <w:vertAlign w:val="superscript"/>
                    <w:lang w:val="en-US"/>
                  </w:rPr>
                  <m:t xml:space="preserve"> </m:t>
                </m:r>
                <m:sSubSup>
                  <m:sSubSupPr>
                    <m:ctrlPr>
                      <w:rPr>
                        <w:rFonts w:ascii="Cambria Math" w:eastAsiaTheme="minorEastAsia" w:hAnsi="Cambria Math" w:cs="Times New Roman"/>
                        <w:i/>
                        <w:sz w:val="28"/>
                        <w:szCs w:val="28"/>
                        <w:vertAlign w:val="superscript"/>
                        <w:lang w:val="en-US"/>
                      </w:rPr>
                    </m:ctrlPr>
                  </m:sSubSup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ρ</m:t>
                        </m:r>
                      </m:e>
                    </m:acc>
                  </m:e>
                  <m:sub>
                    <m:r>
                      <w:rPr>
                        <w:rFonts w:ascii="Cambria Math" w:eastAsiaTheme="minorEastAsia" w:hAnsi="Cambria Math" w:cs="Times New Roman"/>
                        <w:sz w:val="28"/>
                        <w:szCs w:val="28"/>
                        <w:vertAlign w:val="superscript"/>
                        <w:lang w:val="en-US"/>
                      </w:rPr>
                      <m:t>ij,T</m:t>
                    </m:r>
                  </m:sub>
                  <m:sup>
                    <m:r>
                      <w:rPr>
                        <w:rFonts w:ascii="Cambria Math" w:eastAsiaTheme="minorEastAsia" w:hAnsi="Cambria Math" w:cs="Times New Roman"/>
                        <w:sz w:val="28"/>
                        <w:szCs w:val="28"/>
                        <w:vertAlign w:val="superscript"/>
                      </w:rPr>
                      <m:t>2</m:t>
                    </m:r>
                  </m:sup>
                </m:sSubSup>
                <m:r>
                  <w:rPr>
                    <w:rFonts w:ascii="Cambria Math" w:eastAsiaTheme="minorEastAsia" w:hAnsi="Cambria Math" w:cs="Times New Roman"/>
                    <w:sz w:val="28"/>
                    <w:szCs w:val="28"/>
                    <w:vertAlign w:val="superscript"/>
                    <w:lang w:val="en-US"/>
                  </w:rPr>
                  <m:t xml:space="preserve"> где </m:t>
                </m:r>
                <m:sSub>
                  <m:sSubPr>
                    <m:ctrlPr>
                      <w:rPr>
                        <w:rFonts w:ascii="Cambria Math" w:eastAsiaTheme="minorEastAsia" w:hAnsi="Cambria Math" w:cs="Times New Roman"/>
                        <w:i/>
                        <w:sz w:val="28"/>
                        <w:szCs w:val="28"/>
                        <w:vertAlign w:val="superscript"/>
                        <w:lang w:val="en-US"/>
                      </w:rPr>
                    </m:ctrlPr>
                  </m:sSub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ρ</m:t>
                        </m:r>
                      </m:e>
                    </m:acc>
                  </m:e>
                  <m:sub>
                    <m:r>
                      <w:rPr>
                        <w:rFonts w:ascii="Cambria Math" w:eastAsiaTheme="minorEastAsia" w:hAnsi="Cambria Math" w:cs="Times New Roman"/>
                        <w:sz w:val="28"/>
                        <w:szCs w:val="28"/>
                        <w:vertAlign w:val="superscript"/>
                        <w:lang w:val="en-US"/>
                      </w:rPr>
                      <m:t>ij,T</m:t>
                    </m:r>
                  </m:sub>
                </m:sSub>
                <m:r>
                  <w:rPr>
                    <w:rFonts w:ascii="Cambria Math" w:eastAsiaTheme="minorEastAsia" w:hAnsi="Cambria Math" w:cs="Times New Roman"/>
                    <w:sz w:val="28"/>
                    <w:szCs w:val="28"/>
                    <w:vertAlign w:val="superscript"/>
                  </w:rPr>
                  <m:t>=</m:t>
                </m:r>
                <m:f>
                  <m:fPr>
                    <m:ctrlPr>
                      <w:rPr>
                        <w:rFonts w:ascii="Cambria Math" w:eastAsiaTheme="minorEastAsia" w:hAnsi="Cambria Math" w:cs="Times New Roman"/>
                        <w:i/>
                        <w:sz w:val="28"/>
                        <w:szCs w:val="28"/>
                        <w:vertAlign w:val="superscript"/>
                        <w:lang w:val="en-US"/>
                      </w:rPr>
                    </m:ctrlPr>
                  </m:fPr>
                  <m:num>
                    <m:f>
                      <m:fPr>
                        <m:ctrlPr>
                          <w:rPr>
                            <w:rFonts w:ascii="Cambria Math" w:eastAsiaTheme="minorEastAsia" w:hAnsi="Cambria Math" w:cs="Times New Roman"/>
                            <w:i/>
                            <w:sz w:val="28"/>
                            <w:szCs w:val="28"/>
                            <w:vertAlign w:val="superscript"/>
                            <w:lang w:val="en-US"/>
                          </w:rPr>
                        </m:ctrlPr>
                      </m:fPr>
                      <m:num>
                        <m:r>
                          <w:rPr>
                            <w:rFonts w:ascii="Cambria Math" w:eastAsiaTheme="minorEastAsia" w:hAnsi="Cambria Math" w:cs="Times New Roman"/>
                            <w:sz w:val="28"/>
                            <w:szCs w:val="28"/>
                            <w:vertAlign w:val="superscript"/>
                          </w:rPr>
                          <m:t>1</m:t>
                        </m:r>
                      </m:num>
                      <m:den>
                        <m:rad>
                          <m:radPr>
                            <m:degHide m:val="1"/>
                            <m:ctrlPr>
                              <w:rPr>
                                <w:rFonts w:ascii="Cambria Math" w:eastAsiaTheme="minorEastAsia" w:hAnsi="Cambria Math" w:cs="Times New Roman"/>
                                <w:i/>
                                <w:sz w:val="28"/>
                                <w:szCs w:val="28"/>
                                <w:vertAlign w:val="superscript"/>
                                <w:lang w:val="en-US"/>
                              </w:rPr>
                            </m:ctrlPr>
                          </m:radPr>
                          <m:deg/>
                          <m:e>
                            <m:r>
                              <w:rPr>
                                <w:rFonts w:ascii="Cambria Math" w:eastAsiaTheme="minorEastAsia" w:hAnsi="Cambria Math" w:cs="Times New Roman"/>
                                <w:sz w:val="28"/>
                                <w:szCs w:val="28"/>
                                <w:vertAlign w:val="superscript"/>
                                <w:lang w:val="en-US"/>
                              </w:rPr>
                              <m:t>T</m:t>
                            </m:r>
                          </m:e>
                        </m:rad>
                      </m:den>
                    </m:f>
                    <m:sSubSup>
                      <m:sSubSupPr>
                        <m:ctrlPr>
                          <w:rPr>
                            <w:rFonts w:ascii="Cambria Math" w:eastAsiaTheme="minorEastAsia" w:hAnsi="Cambria Math" w:cs="Times New Roman"/>
                            <w:i/>
                            <w:sz w:val="28"/>
                            <w:szCs w:val="28"/>
                            <w:vertAlign w:val="superscript"/>
                            <w:lang w:val="en-US"/>
                          </w:rPr>
                        </m:ctrlPr>
                      </m:sSubSupPr>
                      <m:e>
                        <m:r>
                          <m:rPr>
                            <m:sty m:val="p"/>
                          </m:rPr>
                          <w:rPr>
                            <w:rFonts w:ascii="Cambria Math" w:eastAsiaTheme="minorEastAsia" w:hAnsi="Cambria Math" w:cs="Times New Roman"/>
                            <w:sz w:val="28"/>
                            <w:szCs w:val="28"/>
                            <w:vertAlign w:val="superscript"/>
                            <w:lang w:val="en-US"/>
                          </w:rPr>
                          <m:t>Σ</m:t>
                        </m:r>
                      </m:e>
                      <m:sub>
                        <m:r>
                          <w:rPr>
                            <w:rFonts w:ascii="Cambria Math" w:eastAsiaTheme="minorEastAsia" w:hAnsi="Cambria Math" w:cs="Times New Roman"/>
                            <w:sz w:val="28"/>
                            <w:szCs w:val="28"/>
                            <w:vertAlign w:val="superscript"/>
                            <w:lang w:val="en-US"/>
                          </w:rPr>
                          <m:t>t</m:t>
                        </m:r>
                        <m:r>
                          <w:rPr>
                            <w:rFonts w:ascii="Cambria Math" w:eastAsiaTheme="minorEastAsia" w:hAnsi="Cambria Math" w:cs="Times New Roman"/>
                            <w:sz w:val="28"/>
                            <w:szCs w:val="28"/>
                            <w:vertAlign w:val="superscript"/>
                          </w:rPr>
                          <m:t>=1</m:t>
                        </m:r>
                      </m:sub>
                      <m:sup>
                        <m:r>
                          <w:rPr>
                            <w:rFonts w:ascii="Cambria Math" w:eastAsiaTheme="minorEastAsia" w:hAnsi="Cambria Math" w:cs="Times New Roman"/>
                            <w:sz w:val="28"/>
                            <w:szCs w:val="28"/>
                            <w:vertAlign w:val="superscript"/>
                            <w:lang w:val="en-US"/>
                          </w:rPr>
                          <m:t>T</m:t>
                        </m:r>
                      </m:sup>
                    </m:sSubSup>
                    <m:sSub>
                      <m:sSubPr>
                        <m:ctrlPr>
                          <w:rPr>
                            <w:rFonts w:ascii="Cambria Math" w:eastAsiaTheme="minorEastAsia" w:hAnsi="Cambria Math" w:cs="Times New Roman"/>
                            <w:i/>
                            <w:sz w:val="28"/>
                            <w:szCs w:val="28"/>
                            <w:vertAlign w:val="superscript"/>
                            <w:lang w:val="en-US"/>
                          </w:rPr>
                        </m:ctrlPr>
                      </m:sSub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u</m:t>
                            </m:r>
                          </m:e>
                        </m:acc>
                      </m:e>
                      <m:sub>
                        <m:r>
                          <w:rPr>
                            <w:rFonts w:ascii="Cambria Math" w:eastAsiaTheme="minorEastAsia" w:hAnsi="Cambria Math" w:cs="Times New Roman"/>
                            <w:sz w:val="28"/>
                            <w:szCs w:val="28"/>
                            <w:vertAlign w:val="superscript"/>
                            <w:lang w:val="en-US"/>
                          </w:rPr>
                          <m:t>it</m:t>
                        </m:r>
                      </m:sub>
                    </m:sSub>
                    <m:sSub>
                      <m:sSubPr>
                        <m:ctrlPr>
                          <w:rPr>
                            <w:rFonts w:ascii="Cambria Math" w:eastAsiaTheme="minorEastAsia" w:hAnsi="Cambria Math" w:cs="Times New Roman"/>
                            <w:i/>
                            <w:sz w:val="28"/>
                            <w:szCs w:val="28"/>
                            <w:vertAlign w:val="superscript"/>
                            <w:lang w:val="en-US"/>
                          </w:rPr>
                        </m:ctrlPr>
                      </m:sSub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u</m:t>
                            </m:r>
                          </m:e>
                        </m:acc>
                      </m:e>
                      <m:sub>
                        <m:r>
                          <w:rPr>
                            <w:rFonts w:ascii="Cambria Math" w:eastAsiaTheme="minorEastAsia" w:hAnsi="Cambria Math" w:cs="Times New Roman"/>
                            <w:sz w:val="28"/>
                            <w:szCs w:val="28"/>
                            <w:vertAlign w:val="superscript"/>
                            <w:lang w:val="en-US"/>
                          </w:rPr>
                          <m:t>jt</m:t>
                        </m:r>
                      </m:sub>
                    </m:sSub>
                  </m:num>
                  <m:den>
                    <m:rad>
                      <m:radPr>
                        <m:degHide m:val="1"/>
                        <m:ctrlPr>
                          <w:rPr>
                            <w:rFonts w:ascii="Cambria Math" w:eastAsiaTheme="minorEastAsia" w:hAnsi="Cambria Math" w:cs="Times New Roman"/>
                            <w:i/>
                            <w:sz w:val="28"/>
                            <w:szCs w:val="28"/>
                            <w:vertAlign w:val="superscript"/>
                            <w:lang w:val="en-US"/>
                          </w:rPr>
                        </m:ctrlPr>
                      </m:radPr>
                      <m:deg/>
                      <m:e>
                        <m:d>
                          <m:dPr>
                            <m:begChr m:val="{"/>
                            <m:endChr m:val="}"/>
                            <m:ctrlPr>
                              <w:rPr>
                                <w:rFonts w:ascii="Cambria Math" w:eastAsiaTheme="minorEastAsia" w:hAnsi="Cambria Math" w:cs="Times New Roman"/>
                                <w:i/>
                                <w:sz w:val="28"/>
                                <w:szCs w:val="28"/>
                                <w:vertAlign w:val="superscript"/>
                                <w:lang w:val="en-US"/>
                              </w:rPr>
                            </m:ctrlPr>
                          </m:dPr>
                          <m:e>
                            <m:f>
                              <m:fPr>
                                <m:ctrlPr>
                                  <w:rPr>
                                    <w:rFonts w:ascii="Cambria Math" w:eastAsiaTheme="minorEastAsia" w:hAnsi="Cambria Math" w:cs="Times New Roman"/>
                                    <w:i/>
                                    <w:sz w:val="28"/>
                                    <w:szCs w:val="28"/>
                                    <w:vertAlign w:val="superscript"/>
                                    <w:lang w:val="en-US"/>
                                  </w:rPr>
                                </m:ctrlPr>
                              </m:fPr>
                              <m:num>
                                <m:r>
                                  <w:rPr>
                                    <w:rFonts w:ascii="Cambria Math" w:eastAsiaTheme="minorEastAsia" w:hAnsi="Cambria Math" w:cs="Times New Roman"/>
                                    <w:sz w:val="28"/>
                                    <w:szCs w:val="28"/>
                                    <w:vertAlign w:val="superscript"/>
                                  </w:rPr>
                                  <m:t>1</m:t>
                                </m:r>
                              </m:num>
                              <m:den>
                                <m:r>
                                  <w:rPr>
                                    <w:rFonts w:ascii="Cambria Math" w:eastAsiaTheme="minorEastAsia" w:hAnsi="Cambria Math" w:cs="Times New Roman"/>
                                    <w:sz w:val="28"/>
                                    <w:szCs w:val="28"/>
                                    <w:vertAlign w:val="superscript"/>
                                    <w:lang w:val="en-US"/>
                                  </w:rPr>
                                  <m:t>T</m:t>
                                </m:r>
                              </m:den>
                            </m:f>
                            <m:sSubSup>
                              <m:sSubSupPr>
                                <m:ctrlPr>
                                  <w:rPr>
                                    <w:rFonts w:ascii="Cambria Math" w:eastAsiaTheme="minorEastAsia" w:hAnsi="Cambria Math" w:cs="Times New Roman"/>
                                    <w:i/>
                                    <w:sz w:val="28"/>
                                    <w:szCs w:val="28"/>
                                    <w:vertAlign w:val="superscript"/>
                                    <w:lang w:val="en-US"/>
                                  </w:rPr>
                                </m:ctrlPr>
                              </m:sSubSupPr>
                              <m:e>
                                <m:r>
                                  <m:rPr>
                                    <m:sty m:val="p"/>
                                  </m:rPr>
                                  <w:rPr>
                                    <w:rFonts w:ascii="Cambria Math" w:eastAsiaTheme="minorEastAsia" w:hAnsi="Cambria Math" w:cs="Times New Roman"/>
                                    <w:sz w:val="28"/>
                                    <w:szCs w:val="28"/>
                                    <w:vertAlign w:val="superscript"/>
                                    <w:lang w:val="en-US"/>
                                  </w:rPr>
                                  <m:t>Σ</m:t>
                                </m:r>
                              </m:e>
                              <m:sub>
                                <m:r>
                                  <w:rPr>
                                    <w:rFonts w:ascii="Cambria Math" w:eastAsiaTheme="minorEastAsia" w:hAnsi="Cambria Math" w:cs="Times New Roman"/>
                                    <w:sz w:val="28"/>
                                    <w:szCs w:val="28"/>
                                    <w:vertAlign w:val="superscript"/>
                                    <w:lang w:val="en-US"/>
                                  </w:rPr>
                                  <m:t>t</m:t>
                                </m:r>
                                <m:r>
                                  <w:rPr>
                                    <w:rFonts w:ascii="Cambria Math" w:eastAsiaTheme="minorEastAsia" w:hAnsi="Cambria Math" w:cs="Times New Roman"/>
                                    <w:sz w:val="28"/>
                                    <w:szCs w:val="28"/>
                                    <w:vertAlign w:val="superscript"/>
                                  </w:rPr>
                                  <m:t>=1</m:t>
                                </m:r>
                              </m:sub>
                              <m:sup>
                                <m:r>
                                  <w:rPr>
                                    <w:rFonts w:ascii="Cambria Math" w:eastAsiaTheme="minorEastAsia" w:hAnsi="Cambria Math" w:cs="Times New Roman"/>
                                    <w:sz w:val="28"/>
                                    <w:szCs w:val="28"/>
                                    <w:vertAlign w:val="superscript"/>
                                    <w:lang w:val="en-US"/>
                                  </w:rPr>
                                  <m:t>T</m:t>
                                </m:r>
                              </m:sup>
                            </m:sSubSup>
                            <m:sSubSup>
                              <m:sSubSupPr>
                                <m:ctrlPr>
                                  <w:rPr>
                                    <w:rFonts w:ascii="Cambria Math" w:eastAsiaTheme="minorEastAsia" w:hAnsi="Cambria Math" w:cs="Times New Roman"/>
                                    <w:i/>
                                    <w:sz w:val="28"/>
                                    <w:szCs w:val="28"/>
                                    <w:vertAlign w:val="superscript"/>
                                    <w:lang w:val="en-US"/>
                                  </w:rPr>
                                </m:ctrlPr>
                              </m:sSubSup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u</m:t>
                                    </m:r>
                                  </m:e>
                                </m:acc>
                              </m:e>
                              <m:sub>
                                <m:r>
                                  <w:rPr>
                                    <w:rFonts w:ascii="Cambria Math" w:eastAsiaTheme="minorEastAsia" w:hAnsi="Cambria Math" w:cs="Times New Roman"/>
                                    <w:sz w:val="28"/>
                                    <w:szCs w:val="28"/>
                                    <w:vertAlign w:val="superscript"/>
                                    <w:lang w:val="en-US"/>
                                  </w:rPr>
                                  <m:t>it</m:t>
                                </m:r>
                              </m:sub>
                              <m:sup>
                                <m:r>
                                  <w:rPr>
                                    <w:rFonts w:ascii="Cambria Math" w:eastAsiaTheme="minorEastAsia" w:hAnsi="Cambria Math" w:cs="Times New Roman"/>
                                    <w:sz w:val="28"/>
                                    <w:szCs w:val="28"/>
                                    <w:vertAlign w:val="superscript"/>
                                  </w:rPr>
                                  <m:t>2</m:t>
                                </m:r>
                              </m:sup>
                            </m:sSubSup>
                          </m:e>
                        </m:d>
                        <m:d>
                          <m:dPr>
                            <m:begChr m:val="{"/>
                            <m:endChr m:val="}"/>
                            <m:ctrlPr>
                              <w:rPr>
                                <w:rFonts w:ascii="Cambria Math" w:eastAsiaTheme="minorEastAsia" w:hAnsi="Cambria Math" w:cs="Times New Roman"/>
                                <w:i/>
                                <w:sz w:val="28"/>
                                <w:szCs w:val="28"/>
                                <w:vertAlign w:val="superscript"/>
                                <w:lang w:val="en-US"/>
                              </w:rPr>
                            </m:ctrlPr>
                          </m:dPr>
                          <m:e>
                            <m:f>
                              <m:fPr>
                                <m:ctrlPr>
                                  <w:rPr>
                                    <w:rFonts w:ascii="Cambria Math" w:eastAsiaTheme="minorEastAsia" w:hAnsi="Cambria Math" w:cs="Times New Roman"/>
                                    <w:i/>
                                    <w:sz w:val="28"/>
                                    <w:szCs w:val="28"/>
                                    <w:vertAlign w:val="superscript"/>
                                    <w:lang w:val="en-US"/>
                                  </w:rPr>
                                </m:ctrlPr>
                              </m:fPr>
                              <m:num>
                                <m:r>
                                  <w:rPr>
                                    <w:rFonts w:ascii="Cambria Math" w:eastAsiaTheme="minorEastAsia" w:hAnsi="Cambria Math" w:cs="Times New Roman"/>
                                    <w:sz w:val="28"/>
                                    <w:szCs w:val="28"/>
                                    <w:vertAlign w:val="superscript"/>
                                  </w:rPr>
                                  <m:t>1</m:t>
                                </m:r>
                              </m:num>
                              <m:den>
                                <m:r>
                                  <w:rPr>
                                    <w:rFonts w:ascii="Cambria Math" w:eastAsiaTheme="minorEastAsia" w:hAnsi="Cambria Math" w:cs="Times New Roman"/>
                                    <w:sz w:val="28"/>
                                    <w:szCs w:val="28"/>
                                    <w:vertAlign w:val="superscript"/>
                                    <w:lang w:val="en-US"/>
                                  </w:rPr>
                                  <m:t>T</m:t>
                                </m:r>
                              </m:den>
                            </m:f>
                            <m:sSubSup>
                              <m:sSubSupPr>
                                <m:ctrlPr>
                                  <w:rPr>
                                    <w:rFonts w:ascii="Cambria Math" w:eastAsiaTheme="minorEastAsia" w:hAnsi="Cambria Math" w:cs="Times New Roman"/>
                                    <w:i/>
                                    <w:sz w:val="28"/>
                                    <w:szCs w:val="28"/>
                                    <w:vertAlign w:val="superscript"/>
                                    <w:lang w:val="en-US"/>
                                  </w:rPr>
                                </m:ctrlPr>
                              </m:sSubSupPr>
                              <m:e>
                                <m:r>
                                  <m:rPr>
                                    <m:sty m:val="p"/>
                                  </m:rPr>
                                  <w:rPr>
                                    <w:rFonts w:ascii="Cambria Math" w:eastAsiaTheme="minorEastAsia" w:hAnsi="Cambria Math" w:cs="Times New Roman"/>
                                    <w:sz w:val="28"/>
                                    <w:szCs w:val="28"/>
                                    <w:vertAlign w:val="superscript"/>
                                    <w:lang w:val="en-US"/>
                                  </w:rPr>
                                  <m:t>Σ</m:t>
                                </m:r>
                              </m:e>
                              <m:sub>
                                <m:r>
                                  <w:rPr>
                                    <w:rFonts w:ascii="Cambria Math" w:eastAsiaTheme="minorEastAsia" w:hAnsi="Cambria Math" w:cs="Times New Roman"/>
                                    <w:sz w:val="28"/>
                                    <w:szCs w:val="28"/>
                                    <w:vertAlign w:val="superscript"/>
                                    <w:lang w:val="en-US"/>
                                  </w:rPr>
                                  <m:t>t</m:t>
                                </m:r>
                                <m:r>
                                  <w:rPr>
                                    <w:rFonts w:ascii="Cambria Math" w:eastAsiaTheme="minorEastAsia" w:hAnsi="Cambria Math" w:cs="Times New Roman"/>
                                    <w:sz w:val="28"/>
                                    <w:szCs w:val="28"/>
                                    <w:vertAlign w:val="superscript"/>
                                  </w:rPr>
                                  <m:t>=1</m:t>
                                </m:r>
                              </m:sub>
                              <m:sup>
                                <m:r>
                                  <w:rPr>
                                    <w:rFonts w:ascii="Cambria Math" w:eastAsiaTheme="minorEastAsia" w:hAnsi="Cambria Math" w:cs="Times New Roman"/>
                                    <w:sz w:val="28"/>
                                    <w:szCs w:val="28"/>
                                    <w:vertAlign w:val="superscript"/>
                                    <w:lang w:val="en-US"/>
                                  </w:rPr>
                                  <m:t>T</m:t>
                                </m:r>
                              </m:sup>
                            </m:sSubSup>
                            <m:sSubSup>
                              <m:sSubSupPr>
                                <m:ctrlPr>
                                  <w:rPr>
                                    <w:rFonts w:ascii="Cambria Math" w:eastAsiaTheme="minorEastAsia" w:hAnsi="Cambria Math" w:cs="Times New Roman"/>
                                    <w:i/>
                                    <w:sz w:val="28"/>
                                    <w:szCs w:val="28"/>
                                    <w:vertAlign w:val="superscript"/>
                                    <w:lang w:val="en-US"/>
                                  </w:rPr>
                                </m:ctrlPr>
                              </m:sSubSup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u</m:t>
                                    </m:r>
                                  </m:e>
                                </m:acc>
                              </m:e>
                              <m:sub>
                                <m:r>
                                  <w:rPr>
                                    <w:rFonts w:ascii="Cambria Math" w:eastAsiaTheme="minorEastAsia" w:hAnsi="Cambria Math" w:cs="Times New Roman"/>
                                    <w:sz w:val="28"/>
                                    <w:szCs w:val="28"/>
                                    <w:vertAlign w:val="superscript"/>
                                    <w:lang w:val="en-US"/>
                                  </w:rPr>
                                  <m:t>jt</m:t>
                                </m:r>
                              </m:sub>
                              <m:sup>
                                <m:r>
                                  <w:rPr>
                                    <w:rFonts w:ascii="Cambria Math" w:eastAsiaTheme="minorEastAsia" w:hAnsi="Cambria Math" w:cs="Times New Roman"/>
                                    <w:sz w:val="28"/>
                                    <w:szCs w:val="28"/>
                                    <w:vertAlign w:val="superscript"/>
                                  </w:rPr>
                                  <m:t>2</m:t>
                                </m:r>
                              </m:sup>
                            </m:sSubSup>
                          </m:e>
                        </m:d>
                      </m:e>
                    </m:rad>
                  </m:den>
                </m:f>
              </m:oMath>
            </m:oMathPara>
          </w:p>
        </w:tc>
        <w:tc>
          <w:tcPr>
            <w:tcW w:w="620" w:type="dxa"/>
            <w:vAlign w:val="center"/>
          </w:tcPr>
          <w:p w14:paraId="2702F4C9" w14:textId="77777777" w:rsidR="0003217D" w:rsidRPr="003A6E5A" w:rsidRDefault="00FC275D" w:rsidP="001608EA">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kk-KZ"/>
              </w:rPr>
              <w:t>9</w:t>
            </w:r>
            <w:r w:rsidRPr="003A6E5A">
              <w:rPr>
                <w:rFonts w:ascii="Times New Roman" w:hAnsi="Times New Roman" w:cs="Times New Roman"/>
                <w:sz w:val="28"/>
                <w:szCs w:val="28"/>
              </w:rPr>
              <w:t>)</w:t>
            </w:r>
          </w:p>
        </w:tc>
      </w:tr>
      <w:tr w:rsidR="00B02CF8" w:rsidRPr="003A6E5A" w14:paraId="42C3FCC0" w14:textId="77777777">
        <w:tc>
          <w:tcPr>
            <w:tcW w:w="8982" w:type="dxa"/>
            <w:vAlign w:val="center"/>
          </w:tcPr>
          <w:p w14:paraId="34B92B7A" w14:textId="77777777" w:rsidR="0003217D" w:rsidRPr="003A6E5A" w:rsidRDefault="0003217D" w:rsidP="001608EA">
            <w:pPr>
              <w:spacing w:after="0" w:line="240" w:lineRule="auto"/>
              <w:jc w:val="center"/>
              <w:rPr>
                <w:rFonts w:ascii="Times New Roman" w:eastAsia="Calibri" w:hAnsi="Times New Roman" w:cs="Times New Roman"/>
                <w:sz w:val="28"/>
                <w:szCs w:val="28"/>
                <w:vertAlign w:val="superscript"/>
                <w:lang w:val="en-US"/>
              </w:rPr>
            </w:pPr>
          </w:p>
        </w:tc>
        <w:tc>
          <w:tcPr>
            <w:tcW w:w="620" w:type="dxa"/>
            <w:vAlign w:val="center"/>
          </w:tcPr>
          <w:p w14:paraId="3EC5BBD7" w14:textId="77777777" w:rsidR="0003217D" w:rsidRPr="003A6E5A" w:rsidRDefault="0003217D" w:rsidP="001608EA">
            <w:pPr>
              <w:spacing w:after="0" w:line="240" w:lineRule="auto"/>
              <w:jc w:val="center"/>
              <w:rPr>
                <w:rFonts w:ascii="Times New Roman" w:hAnsi="Times New Roman" w:cs="Times New Roman"/>
                <w:sz w:val="28"/>
                <w:szCs w:val="28"/>
              </w:rPr>
            </w:pPr>
          </w:p>
        </w:tc>
      </w:tr>
    </w:tbl>
    <w:p w14:paraId="73C41CD3"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m:oMath>
        <m:sSub>
          <m:sSubPr>
            <m:ctrlPr>
              <w:rPr>
                <w:rFonts w:ascii="Cambria Math" w:hAnsi="Cambria Math" w:cs="Times New Roman"/>
                <w:i/>
                <w:sz w:val="28"/>
                <w:szCs w:val="28"/>
                <w:vertAlign w:val="superscript"/>
                <w:lang w:val="en-US"/>
              </w:rPr>
            </m:ctrlPr>
          </m:sSubPr>
          <m:e>
            <m:r>
              <w:rPr>
                <w:rFonts w:ascii="Cambria Math" w:hAnsi="Cambria Math" w:cs="Times New Roman"/>
                <w:sz w:val="28"/>
                <w:szCs w:val="28"/>
                <w:vertAlign w:val="superscript"/>
                <w:lang w:val="en-US"/>
              </w:rPr>
              <m:t>BP</m:t>
            </m:r>
          </m:e>
          <m:sub>
            <m:r>
              <w:rPr>
                <w:rFonts w:ascii="Cambria Math" w:hAnsi="Cambria Math" w:cs="Times New Roman"/>
                <w:sz w:val="28"/>
                <w:szCs w:val="28"/>
                <w:vertAlign w:val="superscript"/>
                <w:lang w:val="en-US"/>
              </w:rPr>
              <m:t>T</m:t>
            </m:r>
          </m:sub>
        </m:sSub>
        <m:r>
          <w:rPr>
            <w:rFonts w:ascii="Cambria Math" w:hAnsi="Cambria Math" w:cs="Times New Roman"/>
            <w:sz w:val="28"/>
            <w:szCs w:val="28"/>
            <w:vertAlign w:val="superscript"/>
          </w:rPr>
          <m:t xml:space="preserve">- </m:t>
        </m:r>
      </m:oMath>
      <w:r w:rsidRPr="003A6E5A">
        <w:rPr>
          <w:rFonts w:ascii="Times New Roman" w:eastAsiaTheme="minorEastAsia" w:hAnsi="Times New Roman" w:cs="Times New Roman"/>
          <w:sz w:val="28"/>
          <w:szCs w:val="28"/>
          <w:vertAlign w:val="superscript"/>
        </w:rPr>
        <w:t xml:space="preserve"> </w:t>
      </w:r>
      <w:r w:rsidRPr="003A6E5A">
        <w:rPr>
          <w:rFonts w:ascii="Times New Roman" w:hAnsi="Times New Roman" w:cs="Times New Roman"/>
          <w:sz w:val="28"/>
          <w:szCs w:val="28"/>
        </w:rPr>
        <w:t xml:space="preserve">суммарная статистика теста Бреуша–Пагана, </w:t>
      </w:r>
      <m:oMath>
        <m:sSubSup>
          <m:sSubSupPr>
            <m:ctrlPr>
              <w:rPr>
                <w:rFonts w:ascii="Cambria Math" w:eastAsiaTheme="minorEastAsia" w:hAnsi="Cambria Math" w:cs="Times New Roman"/>
                <w:i/>
                <w:sz w:val="28"/>
                <w:szCs w:val="28"/>
                <w:vertAlign w:val="superscript"/>
                <w:lang w:val="en-US"/>
              </w:rPr>
            </m:ctrlPr>
          </m:sSubSup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ρ</m:t>
                </m:r>
              </m:e>
            </m:acc>
          </m:e>
          <m:sub>
            <m:r>
              <w:rPr>
                <w:rFonts w:ascii="Cambria Math" w:eastAsiaTheme="minorEastAsia" w:hAnsi="Cambria Math" w:cs="Times New Roman"/>
                <w:sz w:val="28"/>
                <w:szCs w:val="28"/>
                <w:vertAlign w:val="superscript"/>
                <w:lang w:val="en-US"/>
              </w:rPr>
              <m:t>ijT</m:t>
            </m:r>
          </m:sub>
          <m:sup>
            <m:r>
              <w:rPr>
                <w:rFonts w:ascii="Cambria Math" w:eastAsiaTheme="minorEastAsia" w:hAnsi="Cambria Math" w:cs="Times New Roman"/>
                <w:sz w:val="28"/>
                <w:szCs w:val="28"/>
                <w:vertAlign w:val="superscript"/>
              </w:rPr>
              <m:t>2</m:t>
            </m:r>
          </m:sup>
        </m:sSubSup>
        <m:r>
          <w:rPr>
            <w:rFonts w:ascii="Cambria Math" w:eastAsiaTheme="minorEastAsia" w:hAnsi="Cambria Math" w:cs="Times New Roman"/>
            <w:sz w:val="28"/>
            <w:szCs w:val="28"/>
            <w:vertAlign w:val="superscript"/>
          </w:rPr>
          <m:t xml:space="preserve">- </m:t>
        </m:r>
      </m:oMath>
      <w:r w:rsidRPr="003A6E5A">
        <w:rPr>
          <w:rFonts w:ascii="Times New Roman" w:hAnsi="Times New Roman" w:cs="Times New Roman"/>
          <w:sz w:val="28"/>
          <w:szCs w:val="28"/>
        </w:rPr>
        <w:t xml:space="preserve">квадрат оценённого коэффициента корреляции Пирсона между остатками </w:t>
      </w:r>
      <w:r w:rsidRPr="003A6E5A">
        <w:rPr>
          <w:rStyle w:val="mord"/>
          <w:rFonts w:ascii="Times New Roman" w:hAnsi="Times New Roman" w:cs="Times New Roman"/>
          <w:sz w:val="28"/>
          <w:szCs w:val="28"/>
        </w:rPr>
        <w:t>i</w:t>
      </w:r>
      <w:r w:rsidRPr="003A6E5A">
        <w:rPr>
          <w:rFonts w:ascii="Times New Roman" w:hAnsi="Times New Roman" w:cs="Times New Roman"/>
          <w:sz w:val="28"/>
          <w:szCs w:val="28"/>
        </w:rPr>
        <w:t xml:space="preserve">-й и </w:t>
      </w:r>
      <w:r w:rsidRPr="003A6E5A">
        <w:rPr>
          <w:rStyle w:val="mord"/>
          <w:rFonts w:ascii="Times New Roman" w:hAnsi="Times New Roman" w:cs="Times New Roman"/>
          <w:sz w:val="28"/>
          <w:szCs w:val="28"/>
        </w:rPr>
        <w:t>j</w:t>
      </w:r>
      <w:r w:rsidRPr="003A6E5A">
        <w:rPr>
          <w:rFonts w:ascii="Times New Roman" w:hAnsi="Times New Roman" w:cs="Times New Roman"/>
          <w:sz w:val="28"/>
          <w:szCs w:val="28"/>
        </w:rPr>
        <w:t xml:space="preserve">-й единиц наблюдения по времени </w:t>
      </w:r>
      <w:r w:rsidRPr="003A6E5A">
        <w:rPr>
          <w:rStyle w:val="katex-mathml"/>
          <w:rFonts w:ascii="Times New Roman" w:hAnsi="Times New Roman" w:cs="Times New Roman"/>
          <w:sz w:val="28"/>
          <w:szCs w:val="28"/>
        </w:rPr>
        <w:t xml:space="preserve">t, </w:t>
      </w:r>
      <m:oMath>
        <m:sSubSup>
          <m:sSubSupPr>
            <m:ctrlPr>
              <w:rPr>
                <w:rFonts w:ascii="Cambria Math" w:eastAsiaTheme="minorEastAsia" w:hAnsi="Cambria Math" w:cs="Times New Roman"/>
                <w:i/>
                <w:sz w:val="28"/>
                <w:szCs w:val="28"/>
                <w:vertAlign w:val="superscript"/>
                <w:lang w:val="en-US"/>
              </w:rPr>
            </m:ctrlPr>
          </m:sSubSup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u</m:t>
                </m:r>
              </m:e>
            </m:acc>
          </m:e>
          <m:sub>
            <m:r>
              <w:rPr>
                <w:rFonts w:ascii="Cambria Math" w:eastAsiaTheme="minorEastAsia" w:hAnsi="Cambria Math" w:cs="Times New Roman"/>
                <w:sz w:val="28"/>
                <w:szCs w:val="28"/>
                <w:vertAlign w:val="superscript"/>
                <w:lang w:val="en-US"/>
              </w:rPr>
              <m:t>it</m:t>
            </m:r>
          </m:sub>
          <m:sup>
            <m:r>
              <w:rPr>
                <w:rFonts w:ascii="Cambria Math" w:eastAsiaTheme="minorEastAsia" w:hAnsi="Cambria Math" w:cs="Times New Roman"/>
                <w:sz w:val="28"/>
                <w:szCs w:val="28"/>
                <w:vertAlign w:val="superscript"/>
              </w:rPr>
              <m:t>2</m:t>
            </m:r>
          </m:sup>
        </m:sSubSup>
        <m:r>
          <w:rPr>
            <w:rFonts w:ascii="Cambria Math" w:eastAsiaTheme="minorEastAsia" w:hAnsi="Cambria Math" w:cs="Times New Roman"/>
            <w:sz w:val="28"/>
            <w:szCs w:val="28"/>
            <w:vertAlign w:val="superscript"/>
          </w:rPr>
          <m:t xml:space="preserve">, </m:t>
        </m:r>
        <m:sSubSup>
          <m:sSubSupPr>
            <m:ctrlPr>
              <w:rPr>
                <w:rFonts w:ascii="Cambria Math" w:eastAsiaTheme="minorEastAsia" w:hAnsi="Cambria Math" w:cs="Times New Roman"/>
                <w:i/>
                <w:sz w:val="28"/>
                <w:szCs w:val="28"/>
                <w:vertAlign w:val="superscript"/>
                <w:lang w:val="en-US"/>
              </w:rPr>
            </m:ctrlPr>
          </m:sSubSupPr>
          <m:e>
            <m:acc>
              <m:accPr>
                <m:ctrlPr>
                  <w:rPr>
                    <w:rFonts w:ascii="Cambria Math" w:eastAsiaTheme="minorEastAsia" w:hAnsi="Cambria Math" w:cs="Times New Roman"/>
                    <w:i/>
                    <w:sz w:val="28"/>
                    <w:szCs w:val="28"/>
                    <w:vertAlign w:val="superscript"/>
                    <w:lang w:val="en-US"/>
                  </w:rPr>
                </m:ctrlPr>
              </m:accPr>
              <m:e>
                <m:r>
                  <w:rPr>
                    <w:rFonts w:ascii="Cambria Math" w:eastAsiaTheme="minorEastAsia" w:hAnsi="Cambria Math" w:cs="Times New Roman"/>
                    <w:sz w:val="28"/>
                    <w:szCs w:val="28"/>
                    <w:vertAlign w:val="superscript"/>
                    <w:lang w:val="en-US"/>
                  </w:rPr>
                  <m:t>u</m:t>
                </m:r>
              </m:e>
            </m:acc>
          </m:e>
          <m:sub>
            <m:r>
              <w:rPr>
                <w:rFonts w:ascii="Cambria Math" w:eastAsiaTheme="minorEastAsia" w:hAnsi="Cambria Math" w:cs="Times New Roman"/>
                <w:sz w:val="28"/>
                <w:szCs w:val="28"/>
                <w:vertAlign w:val="superscript"/>
                <w:lang w:val="en-US"/>
              </w:rPr>
              <m:t>jt</m:t>
            </m:r>
          </m:sub>
          <m:sup>
            <m:r>
              <w:rPr>
                <w:rFonts w:ascii="Cambria Math" w:eastAsiaTheme="minorEastAsia" w:hAnsi="Cambria Math" w:cs="Times New Roman"/>
                <w:sz w:val="28"/>
                <w:szCs w:val="28"/>
                <w:vertAlign w:val="superscript"/>
              </w:rPr>
              <m:t>2</m:t>
            </m:r>
          </m:sup>
        </m:sSubSup>
        <m:r>
          <w:rPr>
            <w:rFonts w:ascii="Cambria Math" w:eastAsiaTheme="minorEastAsia" w:hAnsi="Cambria Math" w:cs="Times New Roman"/>
            <w:sz w:val="28"/>
            <w:szCs w:val="28"/>
            <w:vertAlign w:val="superscript"/>
          </w:rPr>
          <m:t xml:space="preserve">- </m:t>
        </m:r>
      </m:oMath>
      <w:r w:rsidRPr="003A6E5A">
        <w:rPr>
          <w:rFonts w:ascii="Times New Roman" w:eastAsiaTheme="minorEastAsia" w:hAnsi="Times New Roman" w:cs="Times New Roman"/>
          <w:sz w:val="28"/>
          <w:szCs w:val="28"/>
          <w:vertAlign w:val="superscript"/>
        </w:rPr>
        <w:t xml:space="preserve"> </w:t>
      </w:r>
      <w:r w:rsidRPr="003A6E5A">
        <w:rPr>
          <w:rFonts w:ascii="Times New Roman" w:hAnsi="Times New Roman" w:cs="Times New Roman"/>
          <w:sz w:val="28"/>
          <w:szCs w:val="28"/>
        </w:rPr>
        <w:t xml:space="preserve">остатки (ошибки) регрессии для </w:t>
      </w:r>
      <w:r w:rsidRPr="003A6E5A">
        <w:rPr>
          <w:rStyle w:val="mord"/>
          <w:rFonts w:ascii="Times New Roman" w:hAnsi="Times New Roman" w:cs="Times New Roman"/>
          <w:sz w:val="28"/>
          <w:szCs w:val="28"/>
        </w:rPr>
        <w:t>i</w:t>
      </w:r>
      <w:r w:rsidRPr="003A6E5A">
        <w:rPr>
          <w:rFonts w:ascii="Times New Roman" w:hAnsi="Times New Roman" w:cs="Times New Roman"/>
          <w:sz w:val="28"/>
          <w:szCs w:val="28"/>
        </w:rPr>
        <w:t xml:space="preserve">-й и </w:t>
      </w:r>
      <w:r w:rsidRPr="003A6E5A">
        <w:rPr>
          <w:rStyle w:val="mord"/>
          <w:rFonts w:ascii="Times New Roman" w:hAnsi="Times New Roman" w:cs="Times New Roman"/>
          <w:sz w:val="28"/>
          <w:szCs w:val="28"/>
        </w:rPr>
        <w:t>j</w:t>
      </w:r>
      <w:r w:rsidRPr="003A6E5A">
        <w:rPr>
          <w:rFonts w:ascii="Times New Roman" w:hAnsi="Times New Roman" w:cs="Times New Roman"/>
          <w:sz w:val="28"/>
          <w:szCs w:val="28"/>
        </w:rPr>
        <w:t xml:space="preserve">-й кросс-секционных единиц в момент времени </w:t>
      </w:r>
      <w:r w:rsidRPr="003A6E5A">
        <w:rPr>
          <w:rStyle w:val="katex-mathml"/>
          <w:rFonts w:ascii="Times New Roman" w:hAnsi="Times New Roman" w:cs="Times New Roman"/>
          <w:sz w:val="28"/>
          <w:szCs w:val="28"/>
        </w:rPr>
        <w:t>t</w:t>
      </w:r>
      <w:r w:rsidRPr="003A6E5A">
        <w:rPr>
          <w:rStyle w:val="mord"/>
          <w:rFonts w:ascii="Times New Roman" w:hAnsi="Times New Roman" w:cs="Times New Roman"/>
          <w:sz w:val="28"/>
          <w:szCs w:val="28"/>
        </w:rPr>
        <w:t>.</w:t>
      </w:r>
    </w:p>
    <w:p w14:paraId="2DB69DE4" w14:textId="439EAC4C" w:rsidR="0003217D" w:rsidRPr="003A6E5A" w:rsidRDefault="00FC275D" w:rsidP="00C47531">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Гетероскедастичность </w:t>
      </w:r>
      <m:oMath>
        <m:r>
          <w:rPr>
            <w:rFonts w:ascii="Cambria Math" w:eastAsiaTheme="minorEastAsia" w:hAnsi="Cambria Math" w:cs="Times New Roman"/>
            <w:sz w:val="28"/>
            <w:szCs w:val="28"/>
            <w:vertAlign w:val="superscript"/>
          </w:rPr>
          <m:t>-</m:t>
        </m:r>
      </m:oMath>
      <w:r w:rsidRPr="003A6E5A">
        <w:rPr>
          <w:rFonts w:ascii="Times New Roman" w:hAnsi="Times New Roman" w:cs="Times New Roman"/>
          <w:sz w:val="28"/>
          <w:szCs w:val="28"/>
        </w:rPr>
        <w:t xml:space="preserve"> это распространенная проблема в панельных данных для ее выявления используется тест Уайта или тест Бревера-Пагана. </w:t>
      </w:r>
      <w:r w:rsidR="00C47531" w:rsidRPr="003A6E5A">
        <w:rPr>
          <w:rFonts w:ascii="Times New Roman" w:hAnsi="Times New Roman" w:cs="Times New Roman"/>
          <w:sz w:val="28"/>
          <w:szCs w:val="28"/>
        </w:rPr>
        <w:t xml:space="preserve">В рамках настоящего исследования для выявления гетероскедастичности случайных ошибок регрессионной модели применяется тест Уайта. Данный диагностический инструмент представляет собой универсальную процедуру тестирования, не требующую априорных предположений о структурных характеристиках гетероскедастичности. Методология основана на анализе регрессии квадратов остатков на исходные регрессоры, их квадраты и попарные произведения, что позволяет детектировать различные формы нарушения гомоскедастичности без наложения ограничений на функциональную спецификацию гетероскедастичной структуры </w:t>
      </w:r>
      <w:r w:rsidR="00851B06" w:rsidRPr="003A6E5A">
        <w:rPr>
          <w:rFonts w:ascii="Times New Roman" w:hAnsi="Times New Roman" w:cs="Times New Roman"/>
          <w:sz w:val="28"/>
          <w:szCs w:val="28"/>
        </w:rPr>
        <w:t>[</w:t>
      </w:r>
      <w:r w:rsidR="00B67905" w:rsidRPr="003A6E5A">
        <w:rPr>
          <w:rFonts w:ascii="Times New Roman" w:hAnsi="Times New Roman" w:cs="Times New Roman"/>
          <w:sz w:val="28"/>
          <w:szCs w:val="28"/>
        </w:rPr>
        <w:t>94</w:t>
      </w:r>
      <w:r w:rsidR="00851B06" w:rsidRPr="003A6E5A">
        <w:rPr>
          <w:rFonts w:ascii="Times New Roman" w:hAnsi="Times New Roman" w:cs="Times New Roman"/>
          <w:sz w:val="28"/>
          <w:szCs w:val="28"/>
        </w:rPr>
        <w:t>]</w:t>
      </w:r>
      <w:r w:rsidR="00C47531" w:rsidRPr="003A6E5A">
        <w:rPr>
          <w:rFonts w:ascii="Times New Roman" w:hAnsi="Times New Roman" w:cs="Times New Roman"/>
          <w:sz w:val="28"/>
          <w:szCs w:val="28"/>
        </w:rPr>
        <w:t>.</w:t>
      </w:r>
    </w:p>
    <w:p w14:paraId="3CA3FC8E" w14:textId="29096A47" w:rsidR="007A27A7" w:rsidRPr="003A6E5A" w:rsidRDefault="00FC275D" w:rsidP="007A27A7">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Пространственные данные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это наборы данных, которые имеют явную географическую привязку. </w:t>
      </w:r>
      <w:r w:rsidRPr="003A6E5A">
        <w:rPr>
          <w:rFonts w:ascii="Times New Roman" w:hAnsi="Times New Roman" w:cs="Times New Roman"/>
          <w:sz w:val="28"/>
          <w:szCs w:val="28"/>
          <w:lang w:val="kk-KZ"/>
        </w:rPr>
        <w:t>По мнению Лопандя э</w:t>
      </w:r>
      <w:r w:rsidRPr="003A6E5A">
        <w:rPr>
          <w:rFonts w:ascii="Times New Roman" w:hAnsi="Times New Roman" w:cs="Times New Roman"/>
          <w:sz w:val="28"/>
          <w:szCs w:val="28"/>
        </w:rPr>
        <w:t xml:space="preserve">ти данные обычно содержат </w:t>
      </w:r>
      <w:r w:rsidRPr="003A6E5A">
        <w:rPr>
          <w:rFonts w:ascii="Times New Roman" w:hAnsi="Times New Roman" w:cs="Times New Roman"/>
          <w:sz w:val="28"/>
          <w:szCs w:val="28"/>
        </w:rPr>
        <w:lastRenderedPageBreak/>
        <w:t>информацию о координатах объектов и могут представляться в форме точек, линий и полигонов</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w:t>
      </w:r>
      <w:r w:rsidR="005A1742" w:rsidRPr="003A6E5A">
        <w:rPr>
          <w:rFonts w:ascii="Times New Roman" w:hAnsi="Times New Roman" w:cs="Times New Roman"/>
          <w:sz w:val="28"/>
          <w:szCs w:val="28"/>
        </w:rPr>
        <w:t>9</w:t>
      </w:r>
      <w:r w:rsidR="00B67905" w:rsidRPr="003A6E5A">
        <w:rPr>
          <w:rFonts w:ascii="Times New Roman" w:hAnsi="Times New Roman" w:cs="Times New Roman"/>
          <w:sz w:val="28"/>
          <w:szCs w:val="28"/>
        </w:rPr>
        <w:t>5]</w:t>
      </w:r>
      <w:r w:rsidRPr="003A6E5A">
        <w:rPr>
          <w:rFonts w:ascii="Times New Roman" w:hAnsi="Times New Roman" w:cs="Times New Roman"/>
          <w:sz w:val="28"/>
          <w:szCs w:val="28"/>
        </w:rPr>
        <w:t xml:space="preserve">. Например, данные о населении могут быть представлены в виде точек на карте, данные о дорогах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в виде линий, а информация о земельных участках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в виде полигонов. Современные географические информационные системы (ГИС) позволяют не только хранить, но и анализировать пространственные данные, предоставляя пользователям мощные инструменты для визуализации и интерпретации информации. ГИС дает возможность проводить пространственный анализ, включая оценку доступности, выявление кластеров и моделирование распространения различных феноменов. </w:t>
      </w:r>
    </w:p>
    <w:p w14:paraId="4DE0F905" w14:textId="682A5FA4" w:rsidR="0003217D" w:rsidRPr="003A6E5A" w:rsidRDefault="00FC275D" w:rsidP="007A27A7">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Пространственные данные, как правило, могут быть представлены в виде матриц, таких как матрица весов </w:t>
      </w:r>
      <m:oMath>
        <m:r>
          <m:rPr>
            <m:sty m:val="p"/>
          </m:rPr>
          <w:rPr>
            <w:rFonts w:ascii="Cambria Math" w:hAnsi="Cambria Math" w:cs="Times New Roman"/>
            <w:sz w:val="28"/>
            <w:szCs w:val="28"/>
          </w:rPr>
          <m:t>W,</m:t>
        </m:r>
      </m:oMath>
      <w:r w:rsidRPr="003A6E5A">
        <w:rPr>
          <w:rFonts w:ascii="Times New Roman" w:hAnsi="Times New Roman" w:cs="Times New Roman"/>
          <w:sz w:val="28"/>
          <w:szCs w:val="28"/>
        </w:rPr>
        <w:t xml:space="preserve"> которая задает связи между об</w:t>
      </w:r>
      <w:r w:rsidR="006702D6" w:rsidRPr="003A6E5A">
        <w:rPr>
          <w:rFonts w:ascii="Times New Roman" w:hAnsi="Times New Roman" w:cs="Times New Roman"/>
          <w:sz w:val="28"/>
          <w:szCs w:val="28"/>
        </w:rPr>
        <w:t>ластями Казахстана</w:t>
      </w:r>
      <w:r w:rsidRPr="003A6E5A">
        <w:rPr>
          <w:rFonts w:ascii="Times New Roman" w:hAnsi="Times New Roman" w:cs="Times New Roman"/>
          <w:sz w:val="28"/>
          <w:szCs w:val="28"/>
        </w:rPr>
        <w:t>:</w:t>
      </w:r>
    </w:p>
    <w:p w14:paraId="4ABE072A" w14:textId="77777777" w:rsidR="0003217D" w:rsidRPr="003A6E5A" w:rsidRDefault="0003217D" w:rsidP="001608EA">
      <w:pPr>
        <w:spacing w:after="0" w:line="240" w:lineRule="auto"/>
        <w:ind w:firstLineChars="371" w:firstLine="1039"/>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71FF70AD" w14:textId="77777777">
        <w:tc>
          <w:tcPr>
            <w:tcW w:w="9196" w:type="dxa"/>
            <w:vAlign w:val="center"/>
          </w:tcPr>
          <w:p w14:paraId="7725A1A2"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ij</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1,</m:t>
                          </m:r>
                        </m:e>
                        <m:e>
                          <m:r>
                            <w:rPr>
                              <w:rFonts w:ascii="Cambria Math" w:hAnsi="Cambria Math" w:cs="Times New Roman"/>
                              <w:sz w:val="28"/>
                              <w:szCs w:val="28"/>
                              <w:lang w:val="kk-KZ"/>
                            </w:rPr>
                            <m:t xml:space="preserve">если </m:t>
                          </m:r>
                          <m:r>
                            <w:rPr>
                              <w:rFonts w:ascii="Cambria Math" w:hAnsi="Cambria Math" w:cs="Times New Roman"/>
                              <w:sz w:val="28"/>
                              <w:szCs w:val="28"/>
                              <w:lang w:val="en-US"/>
                            </w:rPr>
                            <m:t xml:space="preserve">i </m:t>
                          </m:r>
                          <m:r>
                            <w:rPr>
                              <w:rFonts w:ascii="Cambria Math" w:hAnsi="Cambria Math" w:cs="Times New Roman"/>
                              <w:sz w:val="28"/>
                              <w:szCs w:val="28"/>
                            </w:rPr>
                            <m:t xml:space="preserve">и </m:t>
                          </m:r>
                          <m:r>
                            <w:rPr>
                              <w:rFonts w:ascii="Cambria Math" w:hAnsi="Cambria Math" w:cs="Times New Roman"/>
                              <w:sz w:val="28"/>
                              <w:szCs w:val="28"/>
                              <w:lang w:val="en-US"/>
                            </w:rPr>
                            <m:t>j</m:t>
                          </m:r>
                          <m:r>
                            <w:rPr>
                              <w:rFonts w:ascii="Cambria Math" w:hAnsi="Cambria Math" w:cs="Times New Roman"/>
                              <w:sz w:val="28"/>
                              <w:szCs w:val="28"/>
                            </w:rPr>
                            <m:t xml:space="preserve"> являются соседями</m:t>
                          </m:r>
                        </m:e>
                      </m:mr>
                      <m:mr>
                        <m:e>
                          <m:r>
                            <w:rPr>
                              <w:rFonts w:ascii="Cambria Math" w:hAnsi="Cambria Math" w:cs="Times New Roman"/>
                              <w:sz w:val="28"/>
                              <w:szCs w:val="28"/>
                              <w:lang w:val="en-US"/>
                            </w:rPr>
                            <m:t>0,</m:t>
                          </m:r>
                        </m:e>
                        <m:e>
                          <m:r>
                            <w:rPr>
                              <w:rFonts w:ascii="Cambria Math" w:hAnsi="Cambria Math" w:cs="Times New Roman"/>
                              <w:sz w:val="28"/>
                              <w:szCs w:val="28"/>
                            </w:rPr>
                            <m:t>иначе</m:t>
                          </m:r>
                        </m:e>
                      </m:mr>
                    </m:m>
                  </m:e>
                </m:d>
              </m:oMath>
            </m:oMathPara>
          </w:p>
        </w:tc>
        <w:tc>
          <w:tcPr>
            <w:tcW w:w="622" w:type="dxa"/>
            <w:vAlign w:val="center"/>
          </w:tcPr>
          <w:p w14:paraId="79B6B9B6"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kk-KZ"/>
              </w:rPr>
              <w:t>12</w:t>
            </w:r>
            <w:r w:rsidRPr="003A6E5A">
              <w:rPr>
                <w:rFonts w:ascii="Times New Roman" w:hAnsi="Times New Roman" w:cs="Times New Roman"/>
                <w:sz w:val="28"/>
                <w:szCs w:val="28"/>
              </w:rPr>
              <w:t>)</w:t>
            </w:r>
          </w:p>
        </w:tc>
      </w:tr>
    </w:tbl>
    <w:p w14:paraId="6F929CE6" w14:textId="77777777" w:rsidR="0003217D" w:rsidRPr="003A6E5A" w:rsidRDefault="0003217D" w:rsidP="001608EA">
      <w:pPr>
        <w:spacing w:after="0" w:line="240" w:lineRule="auto"/>
        <w:ind w:firstLineChars="371" w:firstLine="1039"/>
        <w:jc w:val="both"/>
        <w:rPr>
          <w:rFonts w:ascii="Times New Roman" w:hAnsi="Times New Roman" w:cs="Times New Roman"/>
          <w:sz w:val="28"/>
          <w:szCs w:val="28"/>
        </w:rPr>
      </w:pPr>
    </w:p>
    <w:p w14:paraId="669A0DBA" w14:textId="77777777" w:rsidR="0003217D" w:rsidRPr="003A6E5A" w:rsidRDefault="00FC275D" w:rsidP="001608EA">
      <w:pPr>
        <w:spacing w:after="0" w:line="240" w:lineRule="auto"/>
        <w:ind w:firstLineChars="371" w:firstLine="1039"/>
        <w:jc w:val="both"/>
        <w:rPr>
          <w:rFonts w:ascii="Times New Roman" w:hAnsi="Times New Roman" w:cs="Times New Roman"/>
          <w:sz w:val="28"/>
          <w:szCs w:val="28"/>
        </w:rPr>
      </w:pPr>
      <w:r w:rsidRPr="003A6E5A">
        <w:rPr>
          <w:rFonts w:ascii="Times New Roman" w:hAnsi="Times New Roman" w:cs="Times New Roman"/>
          <w:sz w:val="28"/>
          <w:szCs w:val="28"/>
        </w:rPr>
        <w:t>Модель пространственного авторегрессионного процесса может быть представлена как:</w:t>
      </w:r>
    </w:p>
    <w:p w14:paraId="3F0D813F"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586387CC" w14:textId="77777777">
        <w:tc>
          <w:tcPr>
            <w:tcW w:w="9196" w:type="dxa"/>
            <w:vAlign w:val="center"/>
          </w:tcPr>
          <w:p w14:paraId="04241E37"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=ρ∙W∙</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rPr>
                  <m:t>+β</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it</m:t>
                    </m:r>
                  </m:sub>
                </m:sSub>
              </m:oMath>
            </m:oMathPara>
          </w:p>
        </w:tc>
        <w:tc>
          <w:tcPr>
            <w:tcW w:w="622" w:type="dxa"/>
            <w:vAlign w:val="center"/>
          </w:tcPr>
          <w:p w14:paraId="78A7CCAA"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(13)</w:t>
            </w:r>
          </w:p>
        </w:tc>
      </w:tr>
    </w:tbl>
    <w:p w14:paraId="7D5D88A1" w14:textId="77777777" w:rsidR="0003217D" w:rsidRPr="003A6E5A" w:rsidRDefault="0003217D" w:rsidP="001608EA">
      <w:pPr>
        <w:spacing w:after="0" w:line="240" w:lineRule="auto"/>
        <w:jc w:val="both"/>
        <w:rPr>
          <w:rFonts w:ascii="Times New Roman" w:hAnsi="Times New Roman" w:cs="Times New Roman"/>
          <w:sz w:val="28"/>
          <w:szCs w:val="28"/>
        </w:rPr>
      </w:pPr>
    </w:p>
    <w:p w14:paraId="084F7B6F"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r>
          <w:rPr>
            <w:rFonts w:ascii="Cambria Math" w:hAnsi="Cambria Math" w:cs="Times New Roman"/>
            <w:sz w:val="28"/>
            <w:szCs w:val="28"/>
            <w:lang w:val="en-US"/>
          </w:rPr>
          <m:t>ρ</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параметр пространственной зависимости, </w:t>
      </w:r>
      <m:oMath>
        <m:r>
          <w:rPr>
            <w:rFonts w:ascii="Cambria Math" w:hAnsi="Cambria Math" w:cs="Times New Roman"/>
            <w:sz w:val="28"/>
            <w:szCs w:val="28"/>
            <w:lang w:val="en-US"/>
          </w:rPr>
          <m:t>W</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пространственно</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взвешенное среднее значение зависимой переменной. </w:t>
      </w:r>
    </w:p>
    <w:p w14:paraId="6C3EF703" w14:textId="77777777" w:rsidR="0003217D" w:rsidRPr="003A6E5A" w:rsidRDefault="00FC275D" w:rsidP="001608EA">
      <w:pPr>
        <w:spacing w:after="0" w:line="240" w:lineRule="auto"/>
        <w:ind w:firstLineChars="371" w:firstLine="1039"/>
        <w:jc w:val="both"/>
        <w:rPr>
          <w:rFonts w:ascii="Times New Roman" w:hAnsi="Times New Roman" w:cs="Times New Roman"/>
          <w:sz w:val="28"/>
          <w:szCs w:val="28"/>
        </w:rPr>
      </w:pPr>
      <w:r w:rsidRPr="003A6E5A">
        <w:rPr>
          <w:rFonts w:ascii="Times New Roman" w:hAnsi="Times New Roman" w:cs="Times New Roman"/>
          <w:sz w:val="28"/>
          <w:szCs w:val="28"/>
        </w:rPr>
        <w:t>Анализ пространственных данных требует применения специфических методик. Например, исследователи часто сталкиваются с проблемой пространственной автокорреляции, при которой значения одной переменной зависят от значений соседних наблюдений. Это означает, что объекты, находящиеся близко друг к другу, могут иметь схожие характеристики, и игнорирование этого факта может привести к ошибочным выводам. Исследование пространственной автокорреляции может быть выполнено с использованием различных индексов, таких как индекс Морана, который показывает, насколько распределение значений переменной по пространству является случайным. Если индекс Морана имеет положительное значение, это может указывать на кластеризацию высоких или низких значений, что свидетельствует о наличии устойчивых пространственных паттернов.</w:t>
      </w:r>
    </w:p>
    <w:p w14:paraId="469715F1"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Существуют несколько модели, которые можно использовать для анализа пространственных панельных данных:</w:t>
      </w:r>
    </w:p>
    <w:p w14:paraId="2D318F1A" w14:textId="2C4FD029"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модель с фиксированными эффектами (</w:t>
      </w:r>
      <w:r w:rsidRPr="003A6E5A">
        <w:rPr>
          <w:rFonts w:ascii="Times New Roman" w:hAnsi="Times New Roman" w:cs="Times New Roman"/>
          <w:sz w:val="28"/>
          <w:szCs w:val="28"/>
          <w:lang w:val="en-US"/>
        </w:rPr>
        <w:t>FE</w:t>
      </w:r>
      <w:r w:rsidRPr="003A6E5A">
        <w:rPr>
          <w:rFonts w:ascii="Times New Roman" w:hAnsi="Times New Roman" w:cs="Times New Roman"/>
          <w:sz w:val="28"/>
          <w:szCs w:val="28"/>
        </w:rPr>
        <w:t xml:space="preserve">) </w:t>
      </w: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предполагает наличие фиксированных индивидуальных эффектов, которые остаются неизменными во времени. Бертон утверждает, что эта модель позволяет учитывать как наблюдаемые, так и ненаблюдаемые характеристики, способные влиять на зависимую переменную </w:t>
      </w:r>
      <w:r w:rsidRPr="003A6E5A">
        <w:rPr>
          <w:rFonts w:ascii="Times New Roman" w:hAnsi="Times New Roman" w:cs="Times New Roman"/>
          <w:sz w:val="28"/>
          <w:szCs w:val="28"/>
          <w:lang w:val="en-US"/>
        </w:rPr>
        <w:t>[</w:t>
      </w:r>
      <w:r w:rsidR="005A1742" w:rsidRPr="003A6E5A">
        <w:rPr>
          <w:rFonts w:ascii="Times New Roman" w:hAnsi="Times New Roman" w:cs="Times New Roman"/>
          <w:sz w:val="28"/>
          <w:szCs w:val="28"/>
          <w:lang w:val="en-US"/>
        </w:rPr>
        <w:t>9</w:t>
      </w:r>
      <w:r w:rsidR="00B67905" w:rsidRPr="003A6E5A">
        <w:rPr>
          <w:rFonts w:ascii="Times New Roman" w:hAnsi="Times New Roman" w:cs="Times New Roman"/>
          <w:sz w:val="28"/>
          <w:szCs w:val="28"/>
          <w:lang w:val="en-US"/>
        </w:rPr>
        <w:t>6</w:t>
      </w:r>
      <w:r w:rsidRPr="003A6E5A">
        <w:rPr>
          <w:rFonts w:ascii="Times New Roman" w:hAnsi="Times New Roman" w:cs="Times New Roman"/>
          <w:sz w:val="28"/>
          <w:szCs w:val="28"/>
          <w:lang w:val="en-US"/>
        </w:rPr>
        <w:t>]</w:t>
      </w:r>
      <w:r w:rsidRPr="003A6E5A">
        <w:rPr>
          <w:rFonts w:ascii="Times New Roman" w:hAnsi="Times New Roman" w:cs="Times New Roman"/>
          <w:sz w:val="28"/>
          <w:szCs w:val="28"/>
        </w:rPr>
        <w:t>. Модели с фиксированными эффектами могут быть представлены как:</w:t>
      </w:r>
    </w:p>
    <w:p w14:paraId="614B9609"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62B9A295" w14:textId="77777777">
        <w:tc>
          <w:tcPr>
            <w:tcW w:w="9196" w:type="dxa"/>
            <w:vAlign w:val="center"/>
          </w:tcPr>
          <w:p w14:paraId="2BC7BCF3"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it</m:t>
                    </m:r>
                  </m:sub>
                </m:sSub>
              </m:oMath>
            </m:oMathPara>
          </w:p>
        </w:tc>
        <w:tc>
          <w:tcPr>
            <w:tcW w:w="622" w:type="dxa"/>
            <w:vAlign w:val="center"/>
          </w:tcPr>
          <w:p w14:paraId="28A87C69"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(14)</w:t>
            </w:r>
          </w:p>
        </w:tc>
      </w:tr>
    </w:tbl>
    <w:p w14:paraId="069F1130" w14:textId="77777777" w:rsidR="0003217D" w:rsidRPr="003A6E5A" w:rsidRDefault="0003217D" w:rsidP="001608EA">
      <w:pPr>
        <w:spacing w:after="0" w:line="240" w:lineRule="auto"/>
        <w:jc w:val="both"/>
        <w:rPr>
          <w:rFonts w:ascii="Times New Roman" w:hAnsi="Times New Roman" w:cs="Times New Roman"/>
          <w:sz w:val="28"/>
          <w:szCs w:val="28"/>
        </w:rPr>
      </w:pPr>
    </w:p>
    <w:p w14:paraId="1F6316DC"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lang w:val="en-US"/>
              </w:rPr>
              <m:t>i</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фиксированный индивидуальный эффект объекта </w:t>
      </w:r>
      <m:oMath>
        <m:r>
          <m:rPr>
            <m:sty m:val="p"/>
          </m:rPr>
          <w:rPr>
            <w:rFonts w:ascii="Cambria Math" w:hAnsi="Cambria Math" w:cs="Times New Roman"/>
            <w:sz w:val="28"/>
            <w:szCs w:val="28"/>
          </w:rPr>
          <m:t>i</m:t>
        </m:r>
      </m:oMath>
      <w:r w:rsidRPr="003A6E5A">
        <w:rPr>
          <w:rFonts w:ascii="Times New Roman" w:hAnsi="Times New Roman" w:cs="Times New Roman"/>
          <w:sz w:val="28"/>
          <w:szCs w:val="28"/>
        </w:rPr>
        <w:t xml:space="preserve">, учитывающий все неизменные параметры. </w:t>
      </w:r>
    </w:p>
    <w:p w14:paraId="3770C725" w14:textId="2851473D"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lang w:val="kk-KZ"/>
        </w:rPr>
        <w:t>В работе Кэмерона подробно описаны м</w:t>
      </w:r>
      <w:r w:rsidRPr="003A6E5A">
        <w:rPr>
          <w:rFonts w:ascii="Times New Roman" w:hAnsi="Times New Roman" w:cs="Times New Roman"/>
          <w:sz w:val="28"/>
          <w:szCs w:val="28"/>
        </w:rPr>
        <w:t xml:space="preserve">одели </w:t>
      </w:r>
      <w:r w:rsidRPr="003A6E5A">
        <w:rPr>
          <w:rFonts w:ascii="Times New Roman" w:hAnsi="Times New Roman" w:cs="Times New Roman"/>
          <w:sz w:val="28"/>
          <w:szCs w:val="28"/>
          <w:lang w:val="kk-KZ"/>
        </w:rPr>
        <w:t xml:space="preserve">панельных данных, среди которых стоить отметить модель </w:t>
      </w:r>
      <w:r w:rsidRPr="003A6E5A">
        <w:rPr>
          <w:rFonts w:ascii="Times New Roman" w:hAnsi="Times New Roman" w:cs="Times New Roman"/>
          <w:sz w:val="28"/>
          <w:szCs w:val="28"/>
        </w:rPr>
        <w:t>с задержками, также известные как модели с временными лагами или динамические модели, используются в эконометрике и в статистике для анализа временных рядов, где текущие значения переменных могут завесить не только от их мгновенных значений, но и от значений в предыдущие моменты времени</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w:t>
      </w:r>
      <w:r w:rsidR="005A1742" w:rsidRPr="003A6E5A">
        <w:rPr>
          <w:rFonts w:ascii="Times New Roman" w:hAnsi="Times New Roman" w:cs="Times New Roman"/>
          <w:sz w:val="28"/>
          <w:szCs w:val="28"/>
        </w:rPr>
        <w:t>9</w:t>
      </w:r>
      <w:r w:rsidR="00B67905" w:rsidRPr="003A6E5A">
        <w:rPr>
          <w:rFonts w:ascii="Times New Roman" w:hAnsi="Times New Roman" w:cs="Times New Roman"/>
          <w:sz w:val="28"/>
          <w:szCs w:val="28"/>
        </w:rPr>
        <w:t>7</w:t>
      </w:r>
      <w:r w:rsidRPr="003A6E5A">
        <w:rPr>
          <w:rFonts w:ascii="Times New Roman" w:hAnsi="Times New Roman" w:cs="Times New Roman"/>
          <w:sz w:val="28"/>
          <w:szCs w:val="28"/>
        </w:rPr>
        <w:t xml:space="preserve">]. Этот подход позволяет учитывать временные зависимости и динамику процессов. Панельные данные позволяют использовать методы динамического анализа, например, модели с задержками: </w:t>
      </w:r>
    </w:p>
    <w:p w14:paraId="7C94AC61" w14:textId="77777777" w:rsidR="0003217D" w:rsidRPr="003A6E5A" w:rsidRDefault="0003217D" w:rsidP="001608EA">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6EAA6247" w14:textId="77777777">
        <w:tc>
          <w:tcPr>
            <w:tcW w:w="9196" w:type="dxa"/>
            <w:vAlign w:val="center"/>
          </w:tcPr>
          <w:p w14:paraId="6EA6128D"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2</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it</m:t>
                    </m:r>
                  </m:sub>
                </m:sSub>
              </m:oMath>
            </m:oMathPara>
          </w:p>
        </w:tc>
        <w:tc>
          <w:tcPr>
            <w:tcW w:w="622" w:type="dxa"/>
            <w:vAlign w:val="center"/>
          </w:tcPr>
          <w:p w14:paraId="74229B3D"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(15)</w:t>
            </w:r>
          </w:p>
        </w:tc>
      </w:tr>
    </w:tbl>
    <w:p w14:paraId="19892605" w14:textId="77777777" w:rsidR="0003217D" w:rsidRPr="003A6E5A" w:rsidRDefault="0003217D" w:rsidP="001608EA">
      <w:pPr>
        <w:spacing w:after="0" w:line="240" w:lineRule="auto"/>
        <w:jc w:val="both"/>
        <w:rPr>
          <w:rFonts w:ascii="Times New Roman" w:eastAsia="Calibri" w:hAnsi="Times New Roman" w:cs="Times New Roman"/>
          <w:sz w:val="28"/>
          <w:szCs w:val="28"/>
          <w:lang w:val="ru" w:bidi="ar"/>
        </w:rPr>
      </w:pPr>
    </w:p>
    <w:p w14:paraId="3D845AC5"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bidi="ar"/>
        </w:rPr>
        <w:t xml:space="preserve">Лаговая переменная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это значение переменной в предыдущий момент времени. Например, если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t</m:t>
            </m:r>
          </m:sub>
        </m:sSub>
      </m:oMath>
      <w:r w:rsidRPr="003A6E5A">
        <w:rPr>
          <w:rFonts w:ascii="Times New Roman" w:hAnsi="Times New Roman" w:cs="Times New Roman"/>
          <w:sz w:val="28"/>
          <w:szCs w:val="28"/>
        </w:rPr>
        <w:t xml:space="preserve"> - значение переменной в момент времени </w:t>
      </w:r>
      <m:oMath>
        <m:r>
          <m:rPr>
            <m:sty m:val="p"/>
          </m:rPr>
          <w:rPr>
            <w:rFonts w:ascii="Cambria Math" w:hAnsi="Cambria Math" w:cs="Times New Roman"/>
            <w:sz w:val="28"/>
            <w:szCs w:val="28"/>
          </w:rPr>
          <m:t>t</m:t>
        </m:r>
      </m:oMath>
      <w:r w:rsidRPr="003A6E5A">
        <w:rPr>
          <w:rFonts w:ascii="Times New Roman" w:hAnsi="Times New Roman" w:cs="Times New Roman"/>
          <w:sz w:val="28"/>
          <w:szCs w:val="28"/>
        </w:rPr>
        <w:t xml:space="preserve">, то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t</m:t>
            </m:r>
            <m:r>
              <w:rPr>
                <w:rFonts w:ascii="Cambria Math" w:hAnsi="Cambria Math" w:cs="Times New Roman"/>
                <w:sz w:val="28"/>
                <w:szCs w:val="28"/>
              </w:rPr>
              <m:t>-1</m:t>
            </m:r>
          </m:sub>
        </m:sSub>
      </m:oMath>
      <w:r w:rsidRPr="003A6E5A">
        <w:rPr>
          <w:rFonts w:ascii="Times New Roman" w:hAnsi="Times New Roman" w:cs="Times New Roman"/>
          <w:sz w:val="28"/>
          <w:szCs w:val="28"/>
        </w:rPr>
        <w:t xml:space="preserve"> будет лагом этой переменной на один период. Модели с задержками могут быть представлены как регрессионные модели, модели панельных данных, пространственных данных, временных данных и т.д., в которых добавляются лаги зависимой и/или независимых переменных. Общая форма модели может выглядеть в виде уравнения в (8). Модели с задержками часто применяются для следующих целей:</w:t>
      </w:r>
    </w:p>
    <w:p w14:paraId="199AFFF3"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прогнозирование: использование исторических данных для предсказания значений зависимой переменной;</w:t>
      </w:r>
    </w:p>
    <w:p w14:paraId="6A59D295"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анализа динамики: изучение влияния временных изменений в одной переменной на другую;</w:t>
      </w:r>
    </w:p>
    <w:p w14:paraId="12F09F02"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формирование стратегий: оценка подхода к принятию решений в зависимости от предшествующих состояний системы.</w:t>
      </w:r>
    </w:p>
    <w:p w14:paraId="3410D363"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Интерпретация коэффициентов в моделях с задержками требует осторожности. Например, коэффициент при лаговой переменной показывает, как изменение значения переменной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t</m:t>
            </m:r>
            <m:r>
              <w:rPr>
                <w:rFonts w:ascii="Cambria Math" w:hAnsi="Cambria Math" w:cs="Times New Roman"/>
                <w:sz w:val="28"/>
                <w:szCs w:val="28"/>
              </w:rPr>
              <m:t>-1</m:t>
            </m:r>
          </m:sub>
        </m:sSub>
      </m:oMath>
      <w:r w:rsidRPr="003A6E5A">
        <w:rPr>
          <w:rFonts w:ascii="Times New Roman" w:hAnsi="Times New Roman" w:cs="Times New Roman"/>
          <w:sz w:val="28"/>
          <w:szCs w:val="28"/>
        </w:rPr>
        <w:t xml:space="preserve"> в прошлом влияет на текущее значение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t</m:t>
            </m:r>
          </m:sub>
        </m:sSub>
      </m:oMath>
      <w:r w:rsidRPr="003A6E5A">
        <w:rPr>
          <w:rFonts w:ascii="Times New Roman" w:hAnsi="Times New Roman" w:cs="Times New Roman"/>
          <w:sz w:val="28"/>
          <w:szCs w:val="28"/>
        </w:rPr>
        <w:t>:</w:t>
      </w:r>
    </w:p>
    <w:p w14:paraId="048A57A2"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если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1</m:t>
            </m:r>
          </m:sub>
        </m:sSub>
        <m:r>
          <w:rPr>
            <w:rFonts w:ascii="Cambria Math" w:hAnsi="Cambria Math" w:cs="Times New Roman"/>
            <w:sz w:val="28"/>
            <w:szCs w:val="28"/>
          </w:rPr>
          <m:t>&gt;0</m:t>
        </m:r>
      </m:oMath>
      <w:r w:rsidRPr="003A6E5A">
        <w:rPr>
          <w:rFonts w:ascii="Times New Roman" w:hAnsi="Times New Roman" w:cs="Times New Roman"/>
          <w:sz w:val="28"/>
          <w:szCs w:val="28"/>
        </w:rPr>
        <w:t xml:space="preserve"> в уравнении (8), это означает, что увеличение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r>
              <w:rPr>
                <w:rFonts w:ascii="Cambria Math" w:hAnsi="Cambria Math" w:cs="Times New Roman"/>
                <w:sz w:val="28"/>
                <w:szCs w:val="28"/>
              </w:rPr>
              <m:t>-1</m:t>
            </m:r>
          </m:sub>
        </m:sSub>
      </m:oMath>
      <w:r w:rsidRPr="003A6E5A">
        <w:rPr>
          <w:rFonts w:ascii="Times New Roman" w:hAnsi="Times New Roman" w:cs="Times New Roman"/>
          <w:sz w:val="28"/>
          <w:szCs w:val="28"/>
        </w:rPr>
        <w:t xml:space="preserve"> в предыдущий период связано с увеличением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oMath>
      <w:r w:rsidRPr="003A6E5A">
        <w:rPr>
          <w:rFonts w:ascii="Times New Roman" w:hAnsi="Times New Roman" w:cs="Times New Roman"/>
          <w:sz w:val="28"/>
          <w:szCs w:val="28"/>
        </w:rPr>
        <w:t xml:space="preserve"> в текущем периоде;</w:t>
      </w:r>
    </w:p>
    <w:p w14:paraId="4A508D16"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если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1</m:t>
            </m:r>
          </m:sub>
        </m:sSub>
        <m:r>
          <w:rPr>
            <w:rFonts w:ascii="Cambria Math" w:hAnsi="Cambria Math" w:cs="Times New Roman"/>
            <w:sz w:val="28"/>
            <w:szCs w:val="28"/>
          </w:rPr>
          <m:t>&lt;0</m:t>
        </m:r>
      </m:oMath>
      <w:r w:rsidRPr="003A6E5A">
        <w:rPr>
          <w:rFonts w:ascii="Times New Roman" w:hAnsi="Times New Roman" w:cs="Times New Roman"/>
          <w:sz w:val="28"/>
          <w:szCs w:val="28"/>
        </w:rPr>
        <w:t xml:space="preserve">в уравнении (8), это указывает на обратную зависимость. Модели с задержками играют ключевую роль в анализе и предсказании временных рядов. Они позволяют учитывать временные зависимости между переменными и более точно моделировать динамику процессов. Правильная спецификация и интерпретация таких моделей могут значительно улучшить понимание исследуемых явлений и являться основой для дальнейших действий. </w:t>
      </w:r>
    </w:p>
    <w:p w14:paraId="0F41576B" w14:textId="57F1370F"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модель со случайными эффектами (</w:t>
      </w:r>
      <w:r w:rsidRPr="003A6E5A">
        <w:rPr>
          <w:rFonts w:ascii="Times New Roman" w:hAnsi="Times New Roman" w:cs="Times New Roman"/>
          <w:sz w:val="28"/>
          <w:szCs w:val="28"/>
          <w:lang w:val="en-US"/>
        </w:rPr>
        <w:t>RE</w:t>
      </w:r>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предполагает, что индивидуальные эффекты являются случайными и имеют нормальное распределение. По мнению Лобача, эта модель характеризуется высокой статистической мощностью, поскольку учитывает варьирование как между объектами, так и во времени, </w:t>
      </w:r>
      <w:r w:rsidRPr="003A6E5A">
        <w:rPr>
          <w:rFonts w:ascii="Times New Roman" w:hAnsi="Times New Roman" w:cs="Times New Roman"/>
          <w:sz w:val="28"/>
          <w:szCs w:val="28"/>
        </w:rPr>
        <w:lastRenderedPageBreak/>
        <w:t>однако предполагает независимость случайных эффектов от объясняющих переменных [</w:t>
      </w:r>
      <w:r w:rsidR="005A1742" w:rsidRPr="003A6E5A">
        <w:rPr>
          <w:rFonts w:ascii="Times New Roman" w:hAnsi="Times New Roman" w:cs="Times New Roman"/>
          <w:sz w:val="28"/>
          <w:szCs w:val="28"/>
        </w:rPr>
        <w:t>9</w:t>
      </w:r>
      <w:r w:rsidR="00B67905" w:rsidRPr="003A6E5A">
        <w:rPr>
          <w:rFonts w:ascii="Times New Roman" w:hAnsi="Times New Roman" w:cs="Times New Roman"/>
          <w:sz w:val="28"/>
          <w:szCs w:val="28"/>
        </w:rPr>
        <w:t>8</w:t>
      </w:r>
      <w:r w:rsidRPr="003A6E5A">
        <w:rPr>
          <w:rFonts w:ascii="Times New Roman" w:hAnsi="Times New Roman" w:cs="Times New Roman"/>
          <w:sz w:val="28"/>
          <w:szCs w:val="28"/>
        </w:rPr>
        <w:t>]. Вид модели со случайными эффектами:</w:t>
      </w:r>
    </w:p>
    <w:p w14:paraId="58C34FDA" w14:textId="77777777" w:rsidR="0003217D" w:rsidRPr="003A6E5A" w:rsidRDefault="0003217D" w:rsidP="001608EA">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0EC72411" w14:textId="77777777">
        <w:tc>
          <w:tcPr>
            <w:tcW w:w="9196" w:type="dxa"/>
            <w:vAlign w:val="center"/>
          </w:tcPr>
          <w:p w14:paraId="57DB4FEF"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i</m:t>
                    </m:r>
                  </m:sub>
                </m:sSub>
              </m:oMath>
            </m:oMathPara>
          </w:p>
        </w:tc>
        <w:tc>
          <w:tcPr>
            <w:tcW w:w="622" w:type="dxa"/>
            <w:vAlign w:val="center"/>
          </w:tcPr>
          <w:p w14:paraId="139679B1"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(16)</w:t>
            </w:r>
          </w:p>
        </w:tc>
      </w:tr>
    </w:tbl>
    <w:p w14:paraId="08BF4C76" w14:textId="77777777" w:rsidR="0003217D" w:rsidRPr="003A6E5A" w:rsidRDefault="0003217D" w:rsidP="001608EA">
      <w:pPr>
        <w:spacing w:after="0" w:line="240" w:lineRule="auto"/>
        <w:jc w:val="both"/>
        <w:rPr>
          <w:rFonts w:ascii="Times New Roman" w:hAnsi="Times New Roman" w:cs="Times New Roman"/>
          <w:sz w:val="28"/>
          <w:szCs w:val="28"/>
        </w:rPr>
      </w:pPr>
    </w:p>
    <w:p w14:paraId="2DE50BC2" w14:textId="77777777" w:rsidR="0003217D" w:rsidRPr="003A6E5A" w:rsidRDefault="00FC275D" w:rsidP="001608EA">
      <w:pPr>
        <w:spacing w:after="0" w:line="240" w:lineRule="auto"/>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где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i</m:t>
            </m:r>
          </m:sub>
        </m:sSub>
      </m:oMath>
      <w:r w:rsidRPr="003A6E5A">
        <w:rPr>
          <w:rFonts w:ascii="Times New Roman" w:hAnsi="Times New Roman" w:cs="Times New Roman"/>
          <w:sz w:val="28"/>
          <w:szCs w:val="28"/>
          <w:lang w:val="kk-KZ"/>
        </w:rPr>
        <w:t xml:space="preserve"> - случайные эффекты.</w:t>
      </w:r>
    </w:p>
    <w:p w14:paraId="4700D07E"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специфика пространственных моделей </w:t>
      </w: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в данном контексте важно учитывать как пространственные, так и временные зависимости. Одним из примеров являются пространственные авторегрессионные модели, которые учитывают влияние значений переменной в соседних областях. </w:t>
      </w:r>
    </w:p>
    <w:p w14:paraId="054B4266"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Ключевым аспектом для анализа пространственных данных является оценка пространственной автокорреляции. Один из наиболее распространенных индексов - индекс Морана (см. страницу 4):</w:t>
      </w:r>
    </w:p>
    <w:p w14:paraId="333F079D"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0911BA7E" w14:textId="77777777">
        <w:tc>
          <w:tcPr>
            <w:tcW w:w="9196" w:type="dxa"/>
            <w:vAlign w:val="center"/>
          </w:tcPr>
          <w:p w14:paraId="1413F398"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I=</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N</m:t>
                    </m:r>
                  </m:num>
                  <m:den>
                    <m:r>
                      <m:rPr>
                        <m:sty m:val="p"/>
                      </m:rPr>
                      <w:rPr>
                        <w:rFonts w:ascii="Cambria Math" w:hAnsi="Cambria Math" w:cs="Times New Roman"/>
                        <w:sz w:val="28"/>
                        <w:szCs w:val="28"/>
                        <w:lang w:val="en-US"/>
                      </w:rPr>
                      <m:t>W</m:t>
                    </m:r>
                  </m:den>
                </m:f>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i=1</m:t>
                        </m:r>
                      </m:sub>
                      <m:sup>
                        <m:r>
                          <m:rPr>
                            <m:sty m:val="p"/>
                          </m:rPr>
                          <w:rPr>
                            <w:rFonts w:ascii="Cambria Math" w:hAnsi="Cambria Math" w:cs="Times New Roman"/>
                            <w:sz w:val="28"/>
                            <w:szCs w:val="28"/>
                            <w:lang w:val="en-US"/>
                          </w:rPr>
                          <m:t>N</m:t>
                        </m:r>
                      </m:sup>
                      <m:e>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j=1</m:t>
                            </m:r>
                          </m:sub>
                          <m:sup>
                            <m:r>
                              <m:rPr>
                                <m:sty m:val="p"/>
                              </m:rPr>
                              <w:rPr>
                                <w:rFonts w:ascii="Cambria Math" w:hAnsi="Cambria Math" w:cs="Times New Roman"/>
                                <w:sz w:val="28"/>
                                <w:szCs w:val="28"/>
                                <w:lang w:val="en-US"/>
                              </w:rPr>
                              <m:t>N</m:t>
                            </m:r>
                          </m:sup>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en-US"/>
                                  </w:rPr>
                                  <m:t>ij</m:t>
                                </m:r>
                              </m:sub>
                            </m:sSub>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r>
                                  <m:rPr>
                                    <m:sty m:val="p"/>
                                  </m:rPr>
                                  <w:rPr>
                                    <w:rFonts w:ascii="Cambria Math" w:hAnsi="Cambria Math" w:cs="Times New Roman"/>
                                    <w:sz w:val="28"/>
                                    <w:szCs w:val="28"/>
                                    <w:lang w:val="en-US"/>
                                  </w:rPr>
                                  <m:t>-</m:t>
                                </m:r>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Y</m:t>
                                    </m:r>
                                  </m:e>
                                </m:acc>
                              </m:e>
                            </m:d>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j</m:t>
                                    </m:r>
                                  </m:sub>
                                </m:sSub>
                                <m:r>
                                  <m:rPr>
                                    <m:sty m:val="p"/>
                                  </m:rPr>
                                  <w:rPr>
                                    <w:rFonts w:ascii="Cambria Math" w:hAnsi="Cambria Math" w:cs="Times New Roman"/>
                                    <w:sz w:val="28"/>
                                    <w:szCs w:val="28"/>
                                    <w:lang w:val="en-US"/>
                                  </w:rPr>
                                  <m:t>-</m:t>
                                </m:r>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Y</m:t>
                                    </m:r>
                                  </m:e>
                                </m:acc>
                              </m:e>
                            </m:d>
                          </m:e>
                        </m:nary>
                      </m:e>
                    </m:nary>
                  </m:num>
                  <m:den>
                    <m:nary>
                      <m:naryPr>
                        <m:chr m:val="∑"/>
                        <m:limLoc m:val="undOvr"/>
                        <m:ctrlPr>
                          <w:rPr>
                            <w:rFonts w:ascii="Cambria Math" w:hAnsi="Cambria Math" w:cs="Times New Roman"/>
                            <w:sz w:val="28"/>
                            <w:szCs w:val="28"/>
                            <w:lang w:val="en-US"/>
                          </w:rPr>
                        </m:ctrlPr>
                      </m:naryPr>
                      <m:sub>
                        <m:r>
                          <m:rPr>
                            <m:sty m:val="p"/>
                          </m:rPr>
                          <w:rPr>
                            <w:rFonts w:ascii="Cambria Math" w:hAnsi="Cambria Math" w:cs="Times New Roman"/>
                            <w:sz w:val="28"/>
                            <w:szCs w:val="28"/>
                            <w:lang w:val="en-US"/>
                          </w:rPr>
                          <m:t>i=1</m:t>
                        </m:r>
                      </m:sub>
                      <m:sup>
                        <m:r>
                          <m:rPr>
                            <m:sty m:val="p"/>
                          </m:rPr>
                          <w:rPr>
                            <w:rFonts w:ascii="Cambria Math" w:hAnsi="Cambria Math" w:cs="Times New Roman"/>
                            <w:sz w:val="28"/>
                            <w:szCs w:val="28"/>
                            <w:lang w:val="en-US"/>
                          </w:rPr>
                          <m:t>N</m:t>
                        </m:r>
                      </m:sup>
                      <m:e>
                        <m:sSup>
                          <m:sSupPr>
                            <m:ctrlPr>
                              <w:rPr>
                                <w:rFonts w:ascii="Cambria Math" w:hAnsi="Cambria Math" w:cs="Times New Roman"/>
                                <w:sz w:val="28"/>
                                <w:szCs w:val="28"/>
                                <w:lang w:val="en-US"/>
                              </w:rPr>
                            </m:ctrlPr>
                          </m:sSupPr>
                          <m:e>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r>
                                  <m:rPr>
                                    <m:sty m:val="p"/>
                                  </m:rPr>
                                  <w:rPr>
                                    <w:rFonts w:ascii="Cambria Math" w:hAnsi="Cambria Math" w:cs="Times New Roman"/>
                                    <w:sz w:val="28"/>
                                    <w:szCs w:val="28"/>
                                    <w:lang w:val="en-US"/>
                                  </w:rPr>
                                  <m:t>-</m:t>
                                </m:r>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Y</m:t>
                                    </m:r>
                                  </m:e>
                                </m:acc>
                              </m:e>
                            </m:d>
                          </m:e>
                          <m:sup>
                            <m:r>
                              <m:rPr>
                                <m:sty m:val="p"/>
                              </m:rPr>
                              <w:rPr>
                                <w:rFonts w:ascii="Cambria Math" w:hAnsi="Cambria Math" w:cs="Times New Roman"/>
                                <w:sz w:val="28"/>
                                <w:szCs w:val="28"/>
                                <w:lang w:val="en-US"/>
                              </w:rPr>
                              <m:t>2</m:t>
                            </m:r>
                          </m:sup>
                        </m:sSup>
                      </m:e>
                    </m:nary>
                  </m:den>
                </m:f>
              </m:oMath>
            </m:oMathPara>
          </w:p>
        </w:tc>
        <w:tc>
          <w:tcPr>
            <w:tcW w:w="622" w:type="dxa"/>
            <w:vAlign w:val="center"/>
          </w:tcPr>
          <w:p w14:paraId="5C74D4BA"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(17)</w:t>
            </w:r>
          </w:p>
        </w:tc>
      </w:tr>
    </w:tbl>
    <w:p w14:paraId="082C1BDD" w14:textId="77777777" w:rsidR="0003217D" w:rsidRPr="003A6E5A" w:rsidRDefault="0003217D" w:rsidP="001608EA">
      <w:pPr>
        <w:spacing w:after="0" w:line="240" w:lineRule="auto"/>
        <w:ind w:firstLine="708"/>
        <w:jc w:val="both"/>
        <w:rPr>
          <w:rFonts w:ascii="Times New Roman" w:hAnsi="Times New Roman" w:cs="Times New Roman"/>
          <w:sz w:val="28"/>
          <w:szCs w:val="28"/>
        </w:rPr>
      </w:pPr>
    </w:p>
    <w:p w14:paraId="1F35A795"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m:oMath>
        <m:acc>
          <m:accPr>
            <m:chr m:val="̅"/>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Y</m:t>
            </m:r>
          </m:e>
        </m:acc>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среднее значение переменной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Y</m:t>
            </m:r>
          </m:e>
          <m:sub>
            <m:r>
              <m:rPr>
                <m:sty m:val="p"/>
              </m:rPr>
              <w:rPr>
                <w:rFonts w:ascii="Cambria Math" w:hAnsi="Cambria Math" w:cs="Times New Roman"/>
                <w:sz w:val="28"/>
                <w:szCs w:val="28"/>
                <w:lang w:val="en-US"/>
              </w:rPr>
              <m:t>i</m:t>
            </m:r>
          </m:sub>
        </m:sSub>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lang w:val="en-US"/>
          </w:rPr>
          <m:t>W</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сумма значений весов.</w:t>
      </w:r>
    </w:p>
    <w:p w14:paraId="686ABEBE"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Оценка параметров моделей может осуществляться с использованием различных методологий:</w:t>
      </w:r>
    </w:p>
    <w:p w14:paraId="62246107" w14:textId="14DFA780"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метод максимального правдоподобия (</w:t>
      </w:r>
      <w:r w:rsidRPr="003A6E5A">
        <w:rPr>
          <w:rFonts w:ascii="Times New Roman" w:hAnsi="Times New Roman" w:cs="Times New Roman"/>
          <w:sz w:val="28"/>
          <w:szCs w:val="28"/>
          <w:lang w:val="en-US"/>
        </w:rPr>
        <w:t>MLE</w:t>
      </w:r>
      <w:r w:rsidRPr="003A6E5A">
        <w:rPr>
          <w:rFonts w:ascii="Times New Roman" w:hAnsi="Times New Roman" w:cs="Times New Roman"/>
          <w:sz w:val="28"/>
          <w:szCs w:val="28"/>
        </w:rPr>
        <w:t>) позволяет определить наиболее вероятные значения параметров, основываясь на наблюдаемых данных [1</w:t>
      </w:r>
      <w:r w:rsidR="00472C0E" w:rsidRPr="003A6E5A">
        <w:rPr>
          <w:rFonts w:ascii="Times New Roman" w:hAnsi="Times New Roman" w:cs="Times New Roman"/>
          <w:sz w:val="28"/>
          <w:szCs w:val="28"/>
        </w:rPr>
        <w:t>8</w:t>
      </w:r>
      <w:r w:rsidRPr="003A6E5A">
        <w:rPr>
          <w:rFonts w:ascii="Times New Roman" w:hAnsi="Times New Roman" w:cs="Times New Roman"/>
          <w:sz w:val="28"/>
          <w:szCs w:val="28"/>
        </w:rPr>
        <w:t>]. Этот метод считается оптимальным при наличии большого объема данных;</w:t>
      </w:r>
    </w:p>
    <w:p w14:paraId="28AB39DD" w14:textId="5A1237FE"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оценка методом наименьших квадратов (</w:t>
      </w:r>
      <w:r w:rsidRPr="003A6E5A">
        <w:rPr>
          <w:rFonts w:ascii="Times New Roman" w:hAnsi="Times New Roman" w:cs="Times New Roman"/>
          <w:sz w:val="28"/>
          <w:szCs w:val="28"/>
          <w:lang w:val="en-US"/>
        </w:rPr>
        <w:t>OLS</w:t>
      </w:r>
      <w:r w:rsidRPr="003A6E5A">
        <w:rPr>
          <w:rFonts w:ascii="Times New Roman" w:hAnsi="Times New Roman" w:cs="Times New Roman"/>
          <w:sz w:val="28"/>
          <w:szCs w:val="28"/>
        </w:rPr>
        <w:t>) является более простой и широко распространенной техникой, однако требует предварительной проверки данных на гетероскедастичность и мультиколлинеарность</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w:t>
      </w:r>
      <w:r w:rsidR="005A1742" w:rsidRPr="003A6E5A">
        <w:rPr>
          <w:rFonts w:ascii="Times New Roman" w:hAnsi="Times New Roman" w:cs="Times New Roman"/>
          <w:sz w:val="28"/>
          <w:szCs w:val="28"/>
        </w:rPr>
        <w:t>9</w:t>
      </w:r>
      <w:r w:rsidR="00B67905" w:rsidRPr="003A6E5A">
        <w:rPr>
          <w:rFonts w:ascii="Times New Roman" w:hAnsi="Times New Roman" w:cs="Times New Roman"/>
          <w:sz w:val="28"/>
          <w:szCs w:val="28"/>
        </w:rPr>
        <w:t>9</w:t>
      </w:r>
      <w:r w:rsidRPr="003A6E5A">
        <w:rPr>
          <w:rFonts w:ascii="Times New Roman" w:hAnsi="Times New Roman" w:cs="Times New Roman"/>
          <w:sz w:val="28"/>
          <w:szCs w:val="28"/>
        </w:rPr>
        <w:t>];</w:t>
      </w:r>
    </w:p>
    <w:p w14:paraId="4BD7917A"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специфические методы для пространственных данных, такие как пространственная регрессия и пространственная поверхностная регрессия, позволяют учитывать пространственные зависимости и вариации в данных, предоставляя более сложные и точные оценки параметров.</w:t>
      </w:r>
    </w:p>
    <w:p w14:paraId="27F4C605"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Для моделей с фиксированными эффектами популярна альтернатива - метод дифференцирования:</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67872B06" w14:textId="77777777" w:rsidTr="00851B06">
        <w:tc>
          <w:tcPr>
            <w:tcW w:w="8919" w:type="dxa"/>
            <w:vAlign w:val="center"/>
          </w:tcPr>
          <w:p w14:paraId="41050268" w14:textId="77777777" w:rsidR="0003217D" w:rsidRPr="003A6E5A" w:rsidRDefault="00790CB1" w:rsidP="001608EA">
            <w:pPr>
              <w:spacing w:after="0" w:line="240" w:lineRule="auto"/>
              <w:rPr>
                <w:rFonts w:ascii="Times New Roman" w:hAnsi="Times New Roman" w:cs="Times New Roman"/>
                <w:sz w:val="28"/>
                <w:szCs w:val="28"/>
                <w:lang w:val="en-US"/>
              </w:rPr>
            </w:pPr>
            <m:oMathPara>
              <m:oMath>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e>
                </m:acc>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T</m:t>
                    </m:r>
                  </m:den>
                </m:f>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t=1</m:t>
                    </m:r>
                  </m:sub>
                  <m:sup>
                    <m:r>
                      <w:rPr>
                        <w:rFonts w:ascii="Cambria Math" w:hAnsi="Cambria Math" w:cs="Times New Roman"/>
                        <w:sz w:val="28"/>
                        <w:szCs w:val="28"/>
                        <w:lang w:val="en-US"/>
                      </w:rPr>
                      <m:t>T</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e>
                </m:nary>
              </m:oMath>
            </m:oMathPara>
          </w:p>
        </w:tc>
        <w:tc>
          <w:tcPr>
            <w:tcW w:w="683" w:type="dxa"/>
            <w:vAlign w:val="center"/>
          </w:tcPr>
          <w:p w14:paraId="783A16BC"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en-US"/>
              </w:rPr>
              <w:t>1</w:t>
            </w:r>
            <w:r w:rsidRPr="003A6E5A">
              <w:rPr>
                <w:rFonts w:ascii="Times New Roman" w:hAnsi="Times New Roman" w:cs="Times New Roman"/>
                <w:sz w:val="28"/>
                <w:szCs w:val="28"/>
              </w:rPr>
              <w:t>8)</w:t>
            </w:r>
          </w:p>
        </w:tc>
      </w:tr>
    </w:tbl>
    <w:p w14:paraId="478A616B" w14:textId="77777777" w:rsidR="0003217D" w:rsidRPr="003A6E5A" w:rsidRDefault="0003217D" w:rsidP="001608EA">
      <w:pPr>
        <w:spacing w:after="0" w:line="240" w:lineRule="auto"/>
        <w:ind w:firstLine="708"/>
        <w:jc w:val="both"/>
        <w:rPr>
          <w:rFonts w:ascii="Times New Roman" w:hAnsi="Times New Roman" w:cs="Times New Roman"/>
          <w:sz w:val="28"/>
          <w:szCs w:val="28"/>
        </w:rPr>
      </w:pPr>
    </w:p>
    <w:p w14:paraId="22C8105A"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sub>
            </m:sSub>
          </m:e>
        </m:acc>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средн</w:t>
      </w:r>
      <w:r w:rsidRPr="003A6E5A">
        <w:rPr>
          <w:rFonts w:ascii="Times New Roman" w:hAnsi="Times New Roman" w:cs="Times New Roman"/>
          <w:sz w:val="28"/>
          <w:szCs w:val="28"/>
        </w:rPr>
        <w:t>и</w:t>
      </w:r>
      <w:r w:rsidRPr="003A6E5A">
        <w:rPr>
          <w:rFonts w:ascii="Times New Roman" w:hAnsi="Times New Roman" w:cs="Times New Roman"/>
          <w:sz w:val="28"/>
          <w:szCs w:val="28"/>
          <w:lang w:val="kk-KZ"/>
        </w:rPr>
        <w:t xml:space="preserve">е значения </w:t>
      </w:r>
      <w:r w:rsidRPr="003A6E5A">
        <w:rPr>
          <w:rFonts w:ascii="Times New Roman" w:hAnsi="Times New Roman" w:cs="Times New Roman"/>
          <w:sz w:val="28"/>
          <w:szCs w:val="28"/>
        </w:rPr>
        <w:t xml:space="preserve">по объектам, позволяя исключить фиксированные эффекты. </w:t>
      </w:r>
    </w:p>
    <w:p w14:paraId="7028154C" w14:textId="18F6A3A4"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Выбор модели является важным этапом в процессе анализа данных. Это можно осуществить с помощью различных критериев информации, </w:t>
      </w:r>
      <w:r w:rsidRPr="003A6E5A">
        <w:rPr>
          <w:rFonts w:ascii="Times New Roman" w:hAnsi="Times New Roman" w:cs="Times New Roman"/>
          <w:sz w:val="28"/>
          <w:szCs w:val="28"/>
          <w:lang w:val="kk-KZ"/>
        </w:rPr>
        <w:t xml:space="preserve">который описывается в работе Вризе </w:t>
      </w:r>
      <w:r w:rsidRPr="003A6E5A">
        <w:rPr>
          <w:rFonts w:ascii="Times New Roman" w:hAnsi="Times New Roman" w:cs="Times New Roman"/>
          <w:sz w:val="28"/>
          <w:szCs w:val="28"/>
        </w:rPr>
        <w:t>[</w:t>
      </w:r>
      <w:r w:rsidR="00B67905" w:rsidRPr="003A6E5A">
        <w:rPr>
          <w:rFonts w:ascii="Times New Roman" w:hAnsi="Times New Roman" w:cs="Times New Roman"/>
          <w:sz w:val="28"/>
          <w:szCs w:val="28"/>
        </w:rPr>
        <w:t>100</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таких как: </w:t>
      </w:r>
    </w:p>
    <w:p w14:paraId="4CC60530"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критерии Акаике (</w:t>
      </w:r>
      <w:r w:rsidRPr="003A6E5A">
        <w:rPr>
          <w:rFonts w:ascii="Times New Roman" w:hAnsi="Times New Roman" w:cs="Times New Roman"/>
          <w:sz w:val="28"/>
          <w:szCs w:val="28"/>
          <w:lang w:val="en-US"/>
        </w:rPr>
        <w:t>AIC</w:t>
      </w:r>
      <w:r w:rsidRPr="003A6E5A">
        <w:rPr>
          <w:rFonts w:ascii="Times New Roman" w:hAnsi="Times New Roman" w:cs="Times New Roman"/>
          <w:sz w:val="28"/>
          <w:szCs w:val="28"/>
        </w:rPr>
        <w:t>) и байесовский информационный критерий (</w:t>
      </w:r>
      <w:r w:rsidRPr="003A6E5A">
        <w:rPr>
          <w:rFonts w:ascii="Times New Roman" w:hAnsi="Times New Roman" w:cs="Times New Roman"/>
          <w:sz w:val="28"/>
          <w:szCs w:val="28"/>
          <w:lang w:val="en-US"/>
        </w:rPr>
        <w:t>BIC</w:t>
      </w:r>
      <w:r w:rsidRPr="003A6E5A">
        <w:rPr>
          <w:rFonts w:ascii="Times New Roman" w:hAnsi="Times New Roman" w:cs="Times New Roman"/>
          <w:sz w:val="28"/>
          <w:szCs w:val="28"/>
        </w:rPr>
        <w:t xml:space="preserve">), которые помогают выбрать наиболее подходящую модель, основываясь на ее </w:t>
      </w:r>
      <w:r w:rsidRPr="003A6E5A">
        <w:rPr>
          <w:rFonts w:ascii="Times New Roman" w:hAnsi="Times New Roman" w:cs="Times New Roman"/>
          <w:sz w:val="28"/>
          <w:szCs w:val="28"/>
        </w:rPr>
        <w:lastRenderedPageBreak/>
        <w:t>способности объяснять данные и сложности модели. Выбор модели с помощью критерия Акаике (</w:t>
      </w:r>
      <w:r w:rsidRPr="003A6E5A">
        <w:rPr>
          <w:rFonts w:ascii="Times New Roman" w:hAnsi="Times New Roman" w:cs="Times New Roman"/>
          <w:sz w:val="28"/>
          <w:szCs w:val="28"/>
          <w:lang w:val="en-US"/>
        </w:rPr>
        <w:t>AIC</w:t>
      </w:r>
      <w:r w:rsidRPr="003A6E5A">
        <w:rPr>
          <w:rFonts w:ascii="Times New Roman" w:hAnsi="Times New Roman" w:cs="Times New Roman"/>
          <w:sz w:val="28"/>
          <w:szCs w:val="28"/>
        </w:rPr>
        <w:t>):</w:t>
      </w:r>
    </w:p>
    <w:p w14:paraId="63C1D096"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1D12215C" w14:textId="77777777">
        <w:tc>
          <w:tcPr>
            <w:tcW w:w="9196" w:type="dxa"/>
            <w:vAlign w:val="center"/>
          </w:tcPr>
          <w:p w14:paraId="1D6BF5A4"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AIC=-2</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log</m:t>
                    </m:r>
                  </m:fName>
                  <m:e>
                    <m:r>
                      <m:rPr>
                        <m:sty m:val="p"/>
                      </m:rPr>
                      <w:rPr>
                        <w:rFonts w:ascii="Cambria Math" w:hAnsi="Cambria Math" w:cs="Times New Roman"/>
                        <w:sz w:val="28"/>
                        <w:szCs w:val="28"/>
                        <w:lang w:val="en-US"/>
                      </w:rPr>
                      <m:t>L</m:t>
                    </m:r>
                  </m:e>
                </m:func>
                <m:r>
                  <m:rPr>
                    <m:sty m:val="p"/>
                  </m:rPr>
                  <w:rPr>
                    <w:rFonts w:ascii="Cambria Math" w:hAnsi="Cambria Math" w:cs="Times New Roman"/>
                    <w:sz w:val="28"/>
                    <w:szCs w:val="28"/>
                    <w:lang w:val="en-US"/>
                  </w:rPr>
                  <m:t>+2k</m:t>
                </m:r>
              </m:oMath>
            </m:oMathPara>
          </w:p>
        </w:tc>
        <w:tc>
          <w:tcPr>
            <w:tcW w:w="622" w:type="dxa"/>
            <w:vAlign w:val="center"/>
          </w:tcPr>
          <w:p w14:paraId="51BB64AD"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w:t>
            </w:r>
            <w:r w:rsidRPr="003A6E5A">
              <w:rPr>
                <w:rFonts w:ascii="Times New Roman" w:hAnsi="Times New Roman" w:cs="Times New Roman"/>
                <w:sz w:val="28"/>
                <w:szCs w:val="28"/>
                <w:lang w:val="en-US"/>
              </w:rPr>
              <w:t>1</w:t>
            </w:r>
            <w:r w:rsidRPr="003A6E5A">
              <w:rPr>
                <w:rFonts w:ascii="Times New Roman" w:hAnsi="Times New Roman" w:cs="Times New Roman"/>
                <w:sz w:val="28"/>
                <w:szCs w:val="28"/>
              </w:rPr>
              <w:t>9)</w:t>
            </w:r>
          </w:p>
        </w:tc>
      </w:tr>
    </w:tbl>
    <w:p w14:paraId="5B967819" w14:textId="77777777" w:rsidR="0003217D" w:rsidRPr="003A6E5A" w:rsidRDefault="0003217D" w:rsidP="001608EA">
      <w:pPr>
        <w:spacing w:after="0" w:line="240" w:lineRule="auto"/>
        <w:jc w:val="both"/>
        <w:rPr>
          <w:rFonts w:ascii="Times New Roman" w:hAnsi="Times New Roman" w:cs="Times New Roman"/>
          <w:sz w:val="28"/>
          <w:szCs w:val="28"/>
        </w:rPr>
      </w:pPr>
    </w:p>
    <w:p w14:paraId="368A4155"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w:r w:rsidRPr="003A6E5A">
        <w:rPr>
          <w:rFonts w:ascii="Times New Roman" w:hAnsi="Times New Roman" w:cs="Times New Roman"/>
          <w:sz w:val="28"/>
          <w:szCs w:val="28"/>
          <w:lang w:val="en-US"/>
        </w:rPr>
        <w:t>L</w:t>
      </w:r>
      <w:r w:rsidRPr="003A6E5A">
        <w:rPr>
          <w:rFonts w:ascii="Times New Roman" w:hAnsi="Times New Roman" w:cs="Times New Roman"/>
          <w:sz w:val="28"/>
          <w:szCs w:val="28"/>
        </w:rPr>
        <w:t xml:space="preserve"> - </w:t>
      </w:r>
      <w:r w:rsidRPr="003A6E5A">
        <w:rPr>
          <w:rFonts w:ascii="Times New Roman" w:hAnsi="Times New Roman" w:cs="Times New Roman"/>
          <w:sz w:val="28"/>
          <w:szCs w:val="28"/>
          <w:lang w:val="kk-KZ"/>
        </w:rPr>
        <w:t>максимальная функция правдоподобия</w:t>
      </w:r>
      <w:r w:rsidRPr="003A6E5A">
        <w:rPr>
          <w:rFonts w:ascii="Times New Roman" w:hAnsi="Times New Roman" w:cs="Times New Roman"/>
          <w:sz w:val="28"/>
          <w:szCs w:val="28"/>
        </w:rPr>
        <w:t xml:space="preserve">, а </w:t>
      </w:r>
      <w:r w:rsidRPr="003A6E5A">
        <w:rPr>
          <w:rFonts w:ascii="Times New Roman" w:hAnsi="Times New Roman" w:cs="Times New Roman"/>
          <w:sz w:val="28"/>
          <w:szCs w:val="28"/>
          <w:lang w:val="en-US"/>
        </w:rPr>
        <w:t>k</w:t>
      </w:r>
      <w:r w:rsidRPr="003A6E5A">
        <w:rPr>
          <w:rFonts w:ascii="Times New Roman" w:hAnsi="Times New Roman" w:cs="Times New Roman"/>
          <w:sz w:val="28"/>
          <w:szCs w:val="28"/>
        </w:rPr>
        <w:t xml:space="preserve"> - число параметров модели. Байесовский информационный критерий (</w:t>
      </w:r>
      <w:r w:rsidRPr="003A6E5A">
        <w:rPr>
          <w:rFonts w:ascii="Times New Roman" w:hAnsi="Times New Roman" w:cs="Times New Roman"/>
          <w:sz w:val="28"/>
          <w:szCs w:val="28"/>
          <w:lang w:val="en-US"/>
        </w:rPr>
        <w:t>BIC</w:t>
      </w:r>
      <w:r w:rsidRPr="003A6E5A">
        <w:rPr>
          <w:rFonts w:ascii="Times New Roman" w:hAnsi="Times New Roman" w:cs="Times New Roman"/>
          <w:sz w:val="28"/>
          <w:szCs w:val="28"/>
        </w:rPr>
        <w:t>):</w:t>
      </w:r>
    </w:p>
    <w:p w14:paraId="70F92315" w14:textId="77777777" w:rsidR="0003217D" w:rsidRPr="003A6E5A" w:rsidRDefault="0003217D" w:rsidP="001608EA">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1FED712F" w14:textId="77777777">
        <w:trPr>
          <w:trHeight w:val="248"/>
        </w:trPr>
        <w:tc>
          <w:tcPr>
            <w:tcW w:w="9196" w:type="dxa"/>
            <w:vAlign w:val="center"/>
          </w:tcPr>
          <w:p w14:paraId="20C3C83A"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BIC=-2</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log</m:t>
                    </m:r>
                  </m:fName>
                  <m:e>
                    <m:r>
                      <m:rPr>
                        <m:sty m:val="p"/>
                      </m:rPr>
                      <w:rPr>
                        <w:rFonts w:ascii="Cambria Math" w:hAnsi="Cambria Math" w:cs="Times New Roman"/>
                        <w:sz w:val="28"/>
                        <w:szCs w:val="28"/>
                        <w:lang w:val="en-US"/>
                      </w:rPr>
                      <m:t>L</m:t>
                    </m:r>
                  </m:e>
                </m:func>
                <m:r>
                  <m:rPr>
                    <m:sty m:val="p"/>
                  </m:rPr>
                  <w:rPr>
                    <w:rFonts w:ascii="Cambria Math" w:hAnsi="Cambria Math" w:cs="Times New Roman"/>
                    <w:sz w:val="28"/>
                    <w:szCs w:val="28"/>
                    <w:lang w:val="en-US"/>
                  </w:rPr>
                  <m:t>+k</m:t>
                </m:r>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log</m:t>
                    </m:r>
                  </m:fName>
                  <m:e>
                    <m:d>
                      <m:dPr>
                        <m:ctrlPr>
                          <w:rPr>
                            <w:rFonts w:ascii="Cambria Math" w:hAnsi="Cambria Math" w:cs="Times New Roman"/>
                            <w:sz w:val="28"/>
                            <w:szCs w:val="28"/>
                            <w:lang w:val="en-US"/>
                          </w:rPr>
                        </m:ctrlPr>
                      </m:d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total</m:t>
                            </m:r>
                          </m:sub>
                        </m:sSub>
                      </m:e>
                    </m:d>
                  </m:e>
                </m:func>
              </m:oMath>
            </m:oMathPara>
          </w:p>
        </w:tc>
        <w:tc>
          <w:tcPr>
            <w:tcW w:w="622" w:type="dxa"/>
            <w:vAlign w:val="center"/>
          </w:tcPr>
          <w:p w14:paraId="11E52C9E"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(20)</w:t>
            </w:r>
          </w:p>
        </w:tc>
      </w:tr>
    </w:tbl>
    <w:p w14:paraId="731BCBFF" w14:textId="77777777" w:rsidR="0003217D" w:rsidRPr="003A6E5A" w:rsidRDefault="0003217D" w:rsidP="001608EA">
      <w:pPr>
        <w:spacing w:after="0" w:line="240" w:lineRule="auto"/>
        <w:jc w:val="both"/>
        <w:rPr>
          <w:rFonts w:ascii="Times New Roman" w:hAnsi="Times New Roman" w:cs="Times New Roman"/>
          <w:sz w:val="28"/>
          <w:szCs w:val="28"/>
        </w:rPr>
      </w:pPr>
    </w:p>
    <w:p w14:paraId="0C6DF11F"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total</m:t>
            </m:r>
          </m:sub>
        </m:sSub>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общее число наблюдений. </w:t>
      </w:r>
    </w:p>
    <w:p w14:paraId="70C7F2EC"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lang w:val="ru" w:bidi="ar"/>
        </w:rPr>
        <w:t>–</w:t>
      </w:r>
      <w:r w:rsidRPr="003A6E5A">
        <w:rPr>
          <w:rFonts w:ascii="Times New Roman" w:hAnsi="Times New Roman" w:cs="Times New Roman"/>
          <w:sz w:val="28"/>
          <w:szCs w:val="28"/>
        </w:rPr>
        <w:t xml:space="preserve"> также, исследователи должны провести диагностику модели, применяя тесты на автокорреляцию, гетероскедастичность и нормальность распределения остатков. Это позволяет гарантировать, что предположения модели выполняются, а результаты анализа являются достоверными. </w:t>
      </w:r>
    </w:p>
    <w:p w14:paraId="41BF3E92"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Пространственные панельные данные нашли широкое применение в различных областях исследований:</w:t>
      </w:r>
    </w:p>
    <w:p w14:paraId="60D0442C"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экономическое развитие: изучение влияния инвестиций в инфраструктуру на экономический рост на уровне регионов. Например, можно проанализировать, как строительство дорог в одной области влияет на экономику смежных регионов;</w:t>
      </w:r>
    </w:p>
    <w:p w14:paraId="30D443B9"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экология: анализ влияния загрязнения окружающей среды на здоровье населения на примере нескольких городов. Здесь важно учитывать как временные, так и пространственные аспекты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например, как качество воздуха может меняться в разных частях города и как это связано с заболеваемостью;</w:t>
      </w:r>
    </w:p>
    <w:p w14:paraId="5A36CDB9"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социология: исследование взаимодействия между уровнем образования, доходами и уровнем преступности в различных районах. Так пространственные панельные данные позволяют оценивать влияние социокультурных факторов на экономическое поведение населения в разных регионах.</w:t>
      </w:r>
    </w:p>
    <w:p w14:paraId="037F10EC" w14:textId="59D82C66" w:rsidR="0003217D" w:rsidRPr="003A6E5A" w:rsidRDefault="00FC275D" w:rsidP="001608EA">
      <w:pPr>
        <w:spacing w:after="0" w:line="240" w:lineRule="auto"/>
        <w:ind w:firstLine="708"/>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kk-KZ" w:bidi="ar"/>
        </w:rPr>
        <w:t xml:space="preserve">В исследовании Беррингтона отмечается трудности работы с </w:t>
      </w:r>
      <w:r w:rsidRPr="003A6E5A">
        <w:rPr>
          <w:rFonts w:ascii="Times New Roman" w:eastAsia="Calibri" w:hAnsi="Times New Roman" w:cs="Times New Roman"/>
          <w:sz w:val="28"/>
          <w:szCs w:val="28"/>
          <w:lang w:bidi="ar"/>
        </w:rPr>
        <w:t>пространственными панельными данными</w:t>
      </w:r>
      <w:r w:rsidRPr="003A6E5A">
        <w:rPr>
          <w:rFonts w:ascii="Times New Roman" w:eastAsia="Calibri" w:hAnsi="Times New Roman" w:cs="Times New Roman"/>
          <w:sz w:val="28"/>
          <w:szCs w:val="28"/>
          <w:lang w:val="kk-KZ" w:bidi="ar"/>
        </w:rPr>
        <w:t xml:space="preserve"> </w:t>
      </w:r>
      <w:r w:rsidRPr="003A6E5A">
        <w:rPr>
          <w:rFonts w:ascii="Times New Roman" w:eastAsia="Calibri" w:hAnsi="Times New Roman" w:cs="Times New Roman"/>
          <w:sz w:val="28"/>
          <w:szCs w:val="28"/>
          <w:lang w:bidi="ar"/>
        </w:rPr>
        <w:t>[</w:t>
      </w:r>
      <w:r w:rsidR="00B67905" w:rsidRPr="003A6E5A">
        <w:rPr>
          <w:rFonts w:ascii="Times New Roman" w:eastAsia="Calibri" w:hAnsi="Times New Roman" w:cs="Times New Roman"/>
          <w:sz w:val="28"/>
          <w:szCs w:val="28"/>
          <w:lang w:bidi="ar"/>
        </w:rPr>
        <w:t>101</w:t>
      </w:r>
      <w:r w:rsidRPr="003A6E5A">
        <w:rPr>
          <w:rFonts w:ascii="Times New Roman" w:eastAsia="Calibri" w:hAnsi="Times New Roman" w:cs="Times New Roman"/>
          <w:sz w:val="28"/>
          <w:szCs w:val="28"/>
          <w:lang w:bidi="ar"/>
        </w:rPr>
        <w:t>]</w:t>
      </w:r>
      <w:r w:rsidRPr="003A6E5A">
        <w:rPr>
          <w:rFonts w:ascii="Times New Roman" w:eastAsia="Calibri" w:hAnsi="Times New Roman" w:cs="Times New Roman"/>
          <w:sz w:val="28"/>
          <w:szCs w:val="28"/>
          <w:lang w:val="kk-KZ" w:bidi="ar"/>
        </w:rPr>
        <w:t>, такие как</w:t>
      </w:r>
      <w:r w:rsidRPr="003A6E5A">
        <w:rPr>
          <w:rFonts w:ascii="Times New Roman" w:eastAsia="Calibri" w:hAnsi="Times New Roman" w:cs="Times New Roman"/>
          <w:sz w:val="28"/>
          <w:szCs w:val="28"/>
          <w:lang w:bidi="ar"/>
        </w:rPr>
        <w:t xml:space="preserve">: </w:t>
      </w:r>
    </w:p>
    <w:p w14:paraId="3CB8D1A0"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сбор данных: исследователи могут столкнуться с проблемами доступна к необходимым данным. Часто пространственные данные требуют специфических источников, которые могут быть недоступны или дороги;</w:t>
      </w:r>
    </w:p>
    <w:p w14:paraId="194EC131"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аномалии в данных: могут возникать различные аномальные значения, которые могут исказить результаты анализа. Важно применять методы предварительной обработки данных, такие как выявление выбросов и их корректировка. Применение методов решения проблем, таких как:</w:t>
      </w:r>
    </w:p>
    <w:p w14:paraId="7D563503" w14:textId="77777777" w:rsidR="0003217D" w:rsidRPr="003A6E5A" w:rsidRDefault="0003217D" w:rsidP="001608EA">
      <w:pPr>
        <w:spacing w:after="0" w:line="240" w:lineRule="auto"/>
        <w:jc w:val="both"/>
        <w:rPr>
          <w:rFonts w:ascii="Times New Roman" w:eastAsia="Calibri" w:hAnsi="Times New Roman" w:cs="Times New Roman"/>
          <w:sz w:val="28"/>
          <w:szCs w:val="28"/>
          <w:lang w:bidi="ar"/>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4F85BF88" w14:textId="77777777">
        <w:tc>
          <w:tcPr>
            <w:tcW w:w="9196" w:type="dxa"/>
            <w:vAlign w:val="center"/>
          </w:tcPr>
          <w:p w14:paraId="6F3CA77A" w14:textId="77777777" w:rsidR="0003217D" w:rsidRPr="003A6E5A" w:rsidRDefault="00790CB1" w:rsidP="001608EA">
            <w:pPr>
              <w:spacing w:after="0" w:line="240" w:lineRule="auto"/>
              <w:rPr>
                <w:rFonts w:ascii="Times New Roman" w:hAnsi="Times New Roman" w:cs="Times New Roman"/>
                <w:sz w:val="28"/>
                <w:szCs w:val="28"/>
                <w:lang w:val="en-US"/>
              </w:rPr>
            </w:pPr>
            <m:oMathPara>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Y</m:t>
                    </m:r>
                  </m:e>
                  <m:sub>
                    <m:r>
                      <w:rPr>
                        <w:rFonts w:ascii="Cambria Math" w:hAnsi="Cambria Math" w:cs="Times New Roman"/>
                        <w:sz w:val="28"/>
                        <w:szCs w:val="28"/>
                        <w:lang w:val="en-US"/>
                      </w:rPr>
                      <m:t>it</m:t>
                    </m:r>
                  </m:sub>
                  <m:sup>
                    <m:r>
                      <w:rPr>
                        <w:rFonts w:ascii="Cambria Math" w:hAnsi="Cambria Math" w:cs="Times New Roman"/>
                        <w:sz w:val="28"/>
                        <w:szCs w:val="28"/>
                        <w:lang w:val="en-US"/>
                      </w:rPr>
                      <m:t>'</m:t>
                    </m:r>
                  </m:sup>
                </m:sSubSup>
                <m:r>
                  <w:rPr>
                    <w:rFonts w:ascii="Cambria Math" w:hAnsi="Cambria Math" w:cs="Times New Roman"/>
                    <w:sz w:val="28"/>
                    <w:szCs w:val="28"/>
                    <w:lang w:val="en-US"/>
                  </w:rPr>
                  <m:t>=</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m:t>
                          </m:r>
                        </m:e>
                        <m:e>
                          <m:r>
                            <w:rPr>
                              <w:rFonts w:ascii="Cambria Math" w:hAnsi="Cambria Math" w:cs="Times New Roman"/>
                              <w:sz w:val="28"/>
                              <w:szCs w:val="28"/>
                              <w:lang w:val="kk-KZ"/>
                            </w:rPr>
                            <m:t xml:space="preserve">если </m:t>
                          </m:r>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e>
                          </m:d>
                          <m:r>
                            <w:rPr>
                              <w:rFonts w:ascii="Cambria Math" w:hAnsi="Cambria Math" w:cs="Times New Roman"/>
                              <w:sz w:val="28"/>
                              <w:szCs w:val="28"/>
                              <w:lang w:val="en-US"/>
                            </w:rPr>
                            <m:t>&lt;3σ</m:t>
                          </m:r>
                        </m:e>
                      </m:mr>
                      <m:m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Y</m:t>
                              </m:r>
                            </m:e>
                          </m:acc>
                          <m:r>
                            <w:rPr>
                              <w:rFonts w:ascii="Cambria Math" w:hAnsi="Cambria Math" w:cs="Times New Roman"/>
                              <w:sz w:val="28"/>
                              <w:szCs w:val="28"/>
                              <w:lang w:val="en-US"/>
                            </w:rPr>
                            <m:t>,</m:t>
                          </m:r>
                        </m:e>
                        <m:e>
                          <m:r>
                            <w:rPr>
                              <w:rFonts w:ascii="Cambria Math" w:hAnsi="Cambria Math" w:cs="Times New Roman"/>
                              <w:sz w:val="28"/>
                              <w:szCs w:val="28"/>
                            </w:rPr>
                            <m:t>иначе</m:t>
                          </m:r>
                        </m:e>
                      </m:mr>
                    </m:m>
                  </m:e>
                </m:d>
              </m:oMath>
            </m:oMathPara>
          </w:p>
        </w:tc>
        <w:tc>
          <w:tcPr>
            <w:tcW w:w="622" w:type="dxa"/>
            <w:vAlign w:val="center"/>
          </w:tcPr>
          <w:p w14:paraId="04F1E909"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(21)</w:t>
            </w:r>
          </w:p>
        </w:tc>
      </w:tr>
    </w:tbl>
    <w:p w14:paraId="5911A643" w14:textId="77777777" w:rsidR="0003217D" w:rsidRPr="003A6E5A" w:rsidRDefault="0003217D" w:rsidP="001608EA">
      <w:pPr>
        <w:spacing w:after="0" w:line="240" w:lineRule="auto"/>
        <w:jc w:val="both"/>
        <w:rPr>
          <w:rFonts w:ascii="Times New Roman" w:eastAsia="Calibri" w:hAnsi="Times New Roman" w:cs="Times New Roman"/>
          <w:sz w:val="28"/>
          <w:szCs w:val="28"/>
          <w:lang w:val="kk-KZ" w:bidi="ar"/>
        </w:rPr>
      </w:pPr>
    </w:p>
    <w:p w14:paraId="15243AB9"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kk-KZ" w:bidi="ar"/>
        </w:rPr>
        <w:t xml:space="preserve">где </w:t>
      </w:r>
      <m:oMath>
        <m:r>
          <w:rPr>
            <w:rFonts w:ascii="Cambria Math" w:hAnsi="Cambria Math" w:cs="Times New Roman"/>
            <w:sz w:val="28"/>
            <w:szCs w:val="28"/>
            <w:lang w:val="en-US"/>
          </w:rPr>
          <m:t>σ</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стандартное отклонение.</w:t>
      </w:r>
    </w:p>
    <w:p w14:paraId="29ED91A4"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lastRenderedPageBreak/>
        <w:t>–</w:t>
      </w:r>
      <w:r w:rsidRPr="003A6E5A">
        <w:rPr>
          <w:rFonts w:ascii="Times New Roman" w:eastAsia="Calibri" w:hAnsi="Times New Roman" w:cs="Times New Roman"/>
          <w:sz w:val="28"/>
          <w:szCs w:val="28"/>
          <w:lang w:bidi="ar"/>
        </w:rPr>
        <w:t xml:space="preserve"> проблемы интерпретации: иногда результаты могут оказаться не интерпретируемыми из-за сложности пространственных зависимостей. В таких случаях полезно использовать визуализации и картографию для лучшего понимания полученных результатов.</w:t>
      </w:r>
    </w:p>
    <w:p w14:paraId="19F91087" w14:textId="77777777" w:rsidR="0003217D" w:rsidRPr="003A6E5A" w:rsidRDefault="00FC275D" w:rsidP="001608EA">
      <w:pPr>
        <w:spacing w:after="0" w:line="240" w:lineRule="auto"/>
        <w:ind w:firstLine="708"/>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bidi="ar"/>
        </w:rPr>
        <w:t xml:space="preserve">С увеличением доступности данных наблюдается рост применения алгоритмов машинного обучения, что позволяет более эффективно обрабатывать наборы данных, выявляя сложные паттерны: </w:t>
      </w:r>
    </w:p>
    <w:p w14:paraId="02FBDD9E" w14:textId="77777777" w:rsidR="0003217D" w:rsidRPr="003A6E5A" w:rsidRDefault="0003217D" w:rsidP="001608EA">
      <w:pPr>
        <w:spacing w:after="0" w:line="240" w:lineRule="auto"/>
        <w:ind w:firstLine="708"/>
        <w:jc w:val="both"/>
        <w:rPr>
          <w:rFonts w:ascii="Times New Roman" w:eastAsia="Calibri" w:hAnsi="Times New Roman" w:cs="Times New Roman"/>
          <w:sz w:val="28"/>
          <w:szCs w:val="28"/>
          <w:lang w:bidi="ar"/>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2E44F75A" w14:textId="77777777">
        <w:tc>
          <w:tcPr>
            <w:tcW w:w="9196" w:type="dxa"/>
            <w:vAlign w:val="center"/>
          </w:tcPr>
          <w:p w14:paraId="1371B052"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rPr>
                  <m:t xml:space="preserve">Предсказание = </m:t>
                </m:r>
                <m:r>
                  <m:rPr>
                    <m:sty m:val="p"/>
                  </m:rPr>
                  <w:rPr>
                    <w:rFonts w:ascii="Cambria Math" w:hAnsi="Cambria Math" w:cs="Times New Roman"/>
                    <w:sz w:val="28"/>
                    <w:szCs w:val="28"/>
                    <w:lang w:val="en-US"/>
                  </w:rPr>
                  <m:t>f(</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it</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it-1</m:t>
                    </m:r>
                  </m:sub>
                </m:sSub>
                <m:r>
                  <w:rPr>
                    <w:rFonts w:ascii="Cambria Math" w:hAnsi="Cambria Math" w:cs="Times New Roman"/>
                    <w:sz w:val="28"/>
                    <w:szCs w:val="28"/>
                    <w:lang w:val="en-US"/>
                  </w:rPr>
                  <m:t>,...)</m:t>
                </m:r>
              </m:oMath>
            </m:oMathPara>
          </w:p>
        </w:tc>
        <w:tc>
          <w:tcPr>
            <w:tcW w:w="622" w:type="dxa"/>
            <w:vAlign w:val="center"/>
          </w:tcPr>
          <w:p w14:paraId="0B85FCEE"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(22)</w:t>
            </w:r>
          </w:p>
        </w:tc>
      </w:tr>
    </w:tbl>
    <w:p w14:paraId="26D1F6B6" w14:textId="77777777" w:rsidR="0003217D" w:rsidRPr="003A6E5A" w:rsidRDefault="0003217D" w:rsidP="001608EA">
      <w:pPr>
        <w:spacing w:after="0" w:line="240" w:lineRule="auto"/>
        <w:jc w:val="both"/>
        <w:rPr>
          <w:rFonts w:ascii="Times New Roman" w:eastAsia="Calibri" w:hAnsi="Times New Roman" w:cs="Times New Roman"/>
          <w:sz w:val="28"/>
          <w:szCs w:val="28"/>
          <w:lang w:bidi="ar"/>
        </w:rPr>
      </w:pPr>
    </w:p>
    <w:p w14:paraId="5FF274BD"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bidi="ar"/>
        </w:rPr>
        <w:t xml:space="preserve">где </w:t>
      </w:r>
      <m:oMath>
        <m:r>
          <m:rPr>
            <m:sty m:val="p"/>
          </m:rPr>
          <w:rPr>
            <w:rFonts w:ascii="Cambria Math" w:eastAsia="Calibri" w:hAnsi="Cambria Math" w:cs="Times New Roman"/>
            <w:sz w:val="28"/>
            <w:szCs w:val="28"/>
            <w:lang w:bidi="ar"/>
          </w:rPr>
          <m:t xml:space="preserve">f </m:t>
        </m:r>
      </m:oMath>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функция, моделирующая взаимосвязь.</w:t>
      </w:r>
    </w:p>
    <w:p w14:paraId="73756194" w14:textId="77777777" w:rsidR="0003217D" w:rsidRPr="003A6E5A" w:rsidRDefault="00FC275D" w:rsidP="001608EA">
      <w:pPr>
        <w:spacing w:after="0" w:line="240" w:lineRule="auto"/>
        <w:ind w:firstLine="708"/>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bidi="ar"/>
        </w:rPr>
        <w:t>С развитием технологий расширяется и доступность пространственных данных. Новые инструменты анализа и визуализации, такие как машинное обучение и обработка больших данных, позволяют исследователям более эффективно обрабатывать и интерпретировать пространственные наборы данных. Упрощение доступа к ГИС и онлайн платформам способствует росту использования пространственных данных. В будущем исследователей ждут следующие вызовы и возможности:</w:t>
      </w:r>
    </w:p>
    <w:p w14:paraId="792D72AF"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этические вопросы: с увеличением объема собираемых данных возникают вопросы конфиденциальности и защиты персональных данных. Исследователи должны быть внимательны к этическим аспектам работы с данными; </w:t>
      </w:r>
    </w:p>
    <w:p w14:paraId="5F959098" w14:textId="77777777" w:rsidR="0003217D" w:rsidRPr="003A6E5A" w:rsidRDefault="00FC275D" w:rsidP="001608EA">
      <w:pPr>
        <w:spacing w:after="0" w:line="240" w:lineRule="auto"/>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сложность моделей: по мере увеличения объемов и сложностей данных могут развиваться новые методологии, требующие более продвинутого статистического анализа. Это потребует от исследователей постоянного обучения и адаптации к новым условиям.</w:t>
      </w:r>
    </w:p>
    <w:p w14:paraId="07D8FC27" w14:textId="77777777" w:rsidR="0003217D" w:rsidRPr="003A6E5A" w:rsidRDefault="00FC275D" w:rsidP="001608EA">
      <w:pPr>
        <w:spacing w:after="0" w:line="240" w:lineRule="auto"/>
        <w:ind w:firstLine="708"/>
        <w:jc w:val="both"/>
        <w:rPr>
          <w:rFonts w:ascii="Times New Roman" w:eastAsia="Calibri" w:hAnsi="Times New Roman" w:cs="Times New Roman"/>
          <w:sz w:val="28"/>
          <w:szCs w:val="28"/>
          <w:lang w:bidi="ar"/>
        </w:rPr>
      </w:pPr>
      <w:r w:rsidRPr="003A6E5A">
        <w:rPr>
          <w:rFonts w:ascii="Times New Roman" w:eastAsia="Calibri" w:hAnsi="Times New Roman" w:cs="Times New Roman"/>
          <w:sz w:val="28"/>
          <w:szCs w:val="28"/>
        </w:rPr>
        <w:t>Методология построения моделей, основанных на пространственных панельных данных, открывает широкие перспективы для анализа сложных взаимосвязей в рамках социально-экономических и экологических исследований. Учет пространственного измерения способствует более глубокому пониманию процессов и явлений, а также повышает точность и обоснованность принимаемых решений в сфере государственной политики и практической деятельности. Данная область исследований продолжает стремительно развиваться, и интеграция современных технологий, таких как методы машинного обучения и обработка больших данных, в перспективе позволит значительно расширить аналитические возможности и углубить исследование пространственных закономерностей.</w:t>
      </w:r>
    </w:p>
    <w:p w14:paraId="2A4E0AFC" w14:textId="31C71760"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Одним из первых шагов при работе с панельными данными является выбор между моделями с фиксированными и случайными эффектами. Наиболее распространенный тест для этого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тест Хаусмана. Как отмечает Грин, данный тест проверяет гипотезу о независимости случайных эффектов от независимых переменных</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w:t>
      </w:r>
      <w:r w:rsidR="00885620" w:rsidRPr="003A6E5A">
        <w:rPr>
          <w:rFonts w:ascii="Times New Roman" w:hAnsi="Times New Roman" w:cs="Times New Roman"/>
          <w:sz w:val="28"/>
          <w:szCs w:val="28"/>
          <w:lang w:val="kk-KZ"/>
        </w:rPr>
        <w:t>1</w:t>
      </w:r>
      <w:r w:rsidR="00472C0E" w:rsidRPr="003A6E5A">
        <w:rPr>
          <w:rFonts w:ascii="Times New Roman" w:hAnsi="Times New Roman" w:cs="Times New Roman"/>
          <w:sz w:val="28"/>
          <w:szCs w:val="28"/>
        </w:rPr>
        <w:t>7</w:t>
      </w:r>
      <w:r w:rsidRPr="003A6E5A">
        <w:rPr>
          <w:rFonts w:ascii="Times New Roman" w:hAnsi="Times New Roman" w:cs="Times New Roman"/>
          <w:sz w:val="28"/>
          <w:szCs w:val="28"/>
        </w:rPr>
        <w:t>]. Формально тест можно выразить следующим образом:</w:t>
      </w:r>
    </w:p>
    <w:p w14:paraId="0F081C79"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оценить модель с фиксированными эффектами и получить коэффициенты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FE</m:t>
            </m:r>
          </m:sub>
        </m:sSub>
      </m:oMath>
      <w:r w:rsidRPr="003A6E5A">
        <w:rPr>
          <w:rFonts w:ascii="Times New Roman" w:hAnsi="Times New Roman" w:cs="Times New Roman"/>
          <w:sz w:val="28"/>
          <w:szCs w:val="28"/>
        </w:rPr>
        <w:t>;</w:t>
      </w:r>
    </w:p>
    <w:p w14:paraId="453906E7"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оценить модель со случайными эффектами и получить коэффициенты </w:t>
      </w:r>
      <m:oMath>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RE</m:t>
            </m:r>
          </m:sub>
        </m:sSub>
      </m:oMath>
      <w:r w:rsidRPr="003A6E5A">
        <w:rPr>
          <w:rFonts w:ascii="Times New Roman" w:hAnsi="Times New Roman" w:cs="Times New Roman"/>
          <w:sz w:val="28"/>
          <w:szCs w:val="28"/>
        </w:rPr>
        <w:t>;</w:t>
      </w:r>
    </w:p>
    <w:p w14:paraId="37CAA78E"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 xml:space="preserve">рассчитать тестовую статистику: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1DCDC0CF" w14:textId="77777777" w:rsidTr="007205A3">
        <w:tc>
          <w:tcPr>
            <w:tcW w:w="8919" w:type="dxa"/>
            <w:vAlign w:val="center"/>
          </w:tcPr>
          <w:p w14:paraId="0CA8D993"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w:lastRenderedPageBreak/>
                  <m:t>H</m:t>
                </m:r>
                <m:r>
                  <m:rPr>
                    <m:sty m:val="p"/>
                  </m:rPr>
                  <w:rPr>
                    <w:rFonts w:ascii="Cambria Math" w:hAnsi="Cambria Math" w:cs="Times New Roman"/>
                    <w:sz w:val="28"/>
                    <w:szCs w:val="28"/>
                  </w:rPr>
                  <m:t xml:space="preserve"> =</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FE</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RE</m:t>
                            </m:r>
                          </m:sub>
                        </m:sSub>
                      </m:e>
                    </m:d>
                  </m:e>
                  <m:sup>
                    <m:r>
                      <m:rPr>
                        <m:sty m:val="p"/>
                      </m:rPr>
                      <w:rPr>
                        <w:rFonts w:ascii="Cambria Math" w:hAnsi="Cambria Math" w:cs="Times New Roman"/>
                        <w:sz w:val="28"/>
                        <w:szCs w:val="28"/>
                        <w:lang w:val="en-US"/>
                      </w:rPr>
                      <m:t>'</m:t>
                    </m:r>
                  </m:sup>
                </m:sSup>
                <m:sSup>
                  <m:sSupPr>
                    <m:ctrlPr>
                      <w:rPr>
                        <w:rFonts w:ascii="Cambria Math" w:hAnsi="Cambria Math" w:cs="Times New Roman"/>
                        <w:sz w:val="28"/>
                        <w:szCs w:val="28"/>
                      </w:rPr>
                    </m:ctrlPr>
                  </m:sSup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lang w:val="en-US"/>
                          </w:rPr>
                          <m:t>Var</m:t>
                        </m:r>
                        <m:d>
                          <m:dPr>
                            <m:ctrlPr>
                              <w:rPr>
                                <w:rFonts w:ascii="Cambria Math" w:hAnsi="Cambria Math" w:cs="Times New Roman"/>
                                <w:sz w:val="28"/>
                                <w:szCs w:val="28"/>
                                <w:lang w:val="en-US"/>
                              </w:rPr>
                            </m:ctrlPr>
                          </m:d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FE</m:t>
                                </m:r>
                              </m:sub>
                            </m:sSub>
                          </m:e>
                        </m:d>
                        <m:r>
                          <m:rPr>
                            <m:sty m:val="p"/>
                          </m:rPr>
                          <w:rPr>
                            <w:rFonts w:ascii="Cambria Math" w:hAnsi="Cambria Math" w:cs="Times New Roman"/>
                            <w:sz w:val="28"/>
                            <w:szCs w:val="28"/>
                            <w:lang w:val="en-US"/>
                          </w:rPr>
                          <m:t>-Var</m:t>
                        </m:r>
                        <m:d>
                          <m:dPr>
                            <m:ctrlPr>
                              <w:rPr>
                                <w:rFonts w:ascii="Cambria Math" w:hAnsi="Cambria Math" w:cs="Times New Roman"/>
                                <w:sz w:val="28"/>
                                <w:szCs w:val="28"/>
                                <w:lang w:val="en-US"/>
                              </w:rPr>
                            </m:ctrlPr>
                          </m:d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RE</m:t>
                                </m:r>
                              </m:sub>
                            </m:sSub>
                          </m:e>
                        </m:d>
                      </m:e>
                    </m:d>
                  </m:e>
                  <m:sup>
                    <m:r>
                      <m:rPr>
                        <m:sty m:val="p"/>
                      </m:rPr>
                      <w:rPr>
                        <w:rFonts w:ascii="Cambria Math" w:hAnsi="Cambria Math" w:cs="Times New Roman"/>
                        <w:sz w:val="28"/>
                        <w:szCs w:val="28"/>
                        <w:lang w:val="en-US"/>
                      </w:rPr>
                      <m:t>-1</m:t>
                    </m:r>
                  </m:sup>
                </m:sSup>
                <m:d>
                  <m:dPr>
                    <m:ctrlPr>
                      <w:rPr>
                        <w:rFonts w:ascii="Cambria Math" w:hAnsi="Cambria Math" w:cs="Times New Roman"/>
                        <w:sz w:val="28"/>
                        <w:szCs w:val="28"/>
                      </w:rPr>
                    </m:ctrlPr>
                  </m:dPr>
                  <m:e>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FE</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acc>
                          <m:accPr>
                            <m:ctrlPr>
                              <w:rPr>
                                <w:rFonts w:ascii="Cambria Math" w:hAnsi="Cambria Math" w:cs="Times New Roman"/>
                                <w:i/>
                                <w:sz w:val="28"/>
                                <w:szCs w:val="28"/>
                              </w:rPr>
                            </m:ctrlPr>
                          </m:accPr>
                          <m:e>
                            <m:r>
                              <w:rPr>
                                <w:rFonts w:ascii="Cambria Math" w:hAnsi="Cambria Math" w:cs="Times New Roman"/>
                                <w:sz w:val="28"/>
                                <w:szCs w:val="28"/>
                              </w:rPr>
                              <m:t>β</m:t>
                            </m:r>
                          </m:e>
                        </m:acc>
                      </m:e>
                      <m:sub>
                        <m:r>
                          <w:rPr>
                            <w:rFonts w:ascii="Cambria Math" w:hAnsi="Cambria Math" w:cs="Times New Roman"/>
                            <w:sz w:val="28"/>
                            <w:szCs w:val="28"/>
                            <w:lang w:val="en-US"/>
                          </w:rPr>
                          <m:t>RE</m:t>
                        </m:r>
                      </m:sub>
                    </m:sSub>
                  </m:e>
                </m:d>
              </m:oMath>
            </m:oMathPara>
          </w:p>
        </w:tc>
        <w:tc>
          <w:tcPr>
            <w:tcW w:w="683" w:type="dxa"/>
            <w:vAlign w:val="center"/>
          </w:tcPr>
          <w:p w14:paraId="44AF8D55"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(23)</w:t>
            </w:r>
          </w:p>
        </w:tc>
      </w:tr>
    </w:tbl>
    <w:p w14:paraId="796A9140" w14:textId="77777777" w:rsidR="0003217D" w:rsidRPr="003A6E5A" w:rsidRDefault="0003217D" w:rsidP="001608EA">
      <w:pPr>
        <w:spacing w:after="0" w:line="240" w:lineRule="auto"/>
        <w:jc w:val="both"/>
        <w:rPr>
          <w:rFonts w:ascii="Times New Roman" w:hAnsi="Times New Roman" w:cs="Times New Roman"/>
          <w:sz w:val="28"/>
          <w:szCs w:val="28"/>
        </w:rPr>
      </w:pPr>
    </w:p>
    <w:p w14:paraId="08532C1B"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r>
          <m:rPr>
            <m:sty m:val="p"/>
          </m:rPr>
          <w:rPr>
            <w:rFonts w:ascii="Cambria Math" w:hAnsi="Cambria Math" w:cs="Times New Roman"/>
            <w:sz w:val="28"/>
            <w:szCs w:val="28"/>
            <w:lang w:val="en-US"/>
          </w:rPr>
          <m:t>Var</m:t>
        </m:r>
        <m:d>
          <m:dPr>
            <m:ctrlPr>
              <w:rPr>
                <w:rFonts w:ascii="Cambria Math" w:hAnsi="Cambria Math" w:cs="Times New Roman"/>
                <w:sz w:val="28"/>
                <w:szCs w:val="28"/>
                <w:lang w:val="en-US"/>
              </w:rPr>
            </m:ctrlPr>
          </m:dPr>
          <m:e>
            <m:acc>
              <m:accPr>
                <m:ctrlPr>
                  <w:rPr>
                    <w:rFonts w:ascii="Cambria Math" w:hAnsi="Cambria Math" w:cs="Times New Roman"/>
                    <w:sz w:val="28"/>
                    <w:szCs w:val="28"/>
                    <w:lang w:val="en-US"/>
                  </w:rPr>
                </m:ctrlPr>
              </m:accPr>
              <m:e>
                <m:r>
                  <m:rPr>
                    <m:sty m:val="p"/>
                  </m:rPr>
                  <w:rPr>
                    <w:rFonts w:ascii="Cambria Math" w:hAnsi="Cambria Math" w:cs="Times New Roman"/>
                    <w:sz w:val="28"/>
                    <w:szCs w:val="28"/>
                    <w:lang w:val="en-US"/>
                  </w:rPr>
                  <m:t>β</m:t>
                </m:r>
              </m:e>
            </m:acc>
          </m:e>
        </m:d>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матрица ковариаций коэффициентов. Если </w:t>
      </w:r>
      <m:oMath>
        <m:r>
          <m:rPr>
            <m:sty m:val="p"/>
          </m:rPr>
          <w:rPr>
            <w:rFonts w:ascii="Cambria Math" w:hAnsi="Cambria Math" w:cs="Times New Roman"/>
            <w:sz w:val="28"/>
            <w:szCs w:val="28"/>
            <w:lang w:val="en-US"/>
          </w:rPr>
          <m:t>H</m:t>
        </m:r>
      </m:oMath>
      <w:r w:rsidRPr="003A6E5A">
        <w:rPr>
          <w:rFonts w:ascii="Times New Roman" w:hAnsi="Times New Roman" w:cs="Times New Roman"/>
          <w:sz w:val="28"/>
          <w:szCs w:val="28"/>
        </w:rPr>
        <w:t xml:space="preserve"> следуют распределению </w:t>
      </w:r>
      <m:oMath>
        <m:sSup>
          <m:sSupPr>
            <m:ctrlPr>
              <w:rPr>
                <w:rFonts w:ascii="Cambria Math" w:hAnsi="Cambria Math" w:cs="Times New Roman"/>
                <w:i/>
                <w:sz w:val="28"/>
                <w:szCs w:val="28"/>
              </w:rPr>
            </m:ctrlPr>
          </m:sSupPr>
          <m:e>
            <m:r>
              <w:rPr>
                <w:rFonts w:ascii="Cambria Math" w:hAnsi="Cambria Math" w:cs="Times New Roman"/>
                <w:sz w:val="28"/>
                <w:szCs w:val="28"/>
              </w:rPr>
              <m:t>χ</m:t>
            </m:r>
          </m:e>
          <m:sup>
            <m:r>
              <w:rPr>
                <w:rFonts w:ascii="Cambria Math" w:hAnsi="Cambria Math" w:cs="Times New Roman"/>
                <w:sz w:val="28"/>
                <w:szCs w:val="28"/>
              </w:rPr>
              <m:t>2</m:t>
            </m:r>
          </m:sup>
        </m:sSup>
      </m:oMath>
      <w:r w:rsidRPr="003A6E5A">
        <w:rPr>
          <w:rFonts w:ascii="Times New Roman" w:hAnsi="Times New Roman" w:cs="Times New Roman"/>
          <w:sz w:val="28"/>
          <w:szCs w:val="28"/>
        </w:rPr>
        <w:t xml:space="preserve"> с </w:t>
      </w:r>
      <m:oMath>
        <m:r>
          <m:rPr>
            <m:sty m:val="p"/>
          </m:rPr>
          <w:rPr>
            <w:rFonts w:ascii="Cambria Math" w:hAnsi="Cambria Math" w:cs="Times New Roman"/>
            <w:sz w:val="28"/>
            <w:szCs w:val="28"/>
          </w:rPr>
          <m:t>k</m:t>
        </m:r>
      </m:oMath>
      <w:r w:rsidRPr="003A6E5A">
        <w:rPr>
          <w:rFonts w:ascii="Times New Roman" w:hAnsi="Times New Roman" w:cs="Times New Roman"/>
          <w:sz w:val="28"/>
          <w:szCs w:val="28"/>
        </w:rPr>
        <w:t xml:space="preserve"> степенями свободы (где </w:t>
      </w:r>
      <m:oMath>
        <m:r>
          <m:rPr>
            <m:sty m:val="p"/>
          </m:rPr>
          <w:rPr>
            <w:rFonts w:ascii="Cambria Math" w:hAnsi="Cambria Math" w:cs="Times New Roman"/>
            <w:sz w:val="28"/>
            <w:szCs w:val="28"/>
            <w:lang w:val="en-US"/>
          </w:rPr>
          <m:t>k</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hAnsi="Times New Roman" w:cs="Times New Roman"/>
          <w:sz w:val="28"/>
          <w:szCs w:val="28"/>
        </w:rPr>
        <w:t xml:space="preserve"> число коэффициентов), можно отклонить гипотезу о случайных эффектах в пользу фиксированных.</w:t>
      </w:r>
    </w:p>
    <w:p w14:paraId="79CFB1FD" w14:textId="66E999A1" w:rsidR="0003217D" w:rsidRPr="003A6E5A" w:rsidRDefault="00FC275D" w:rsidP="001608EA">
      <w:pPr>
        <w:spacing w:after="0" w:line="240" w:lineRule="auto"/>
        <w:ind w:firstLine="708"/>
        <w:jc w:val="both"/>
        <w:rPr>
          <w:rFonts w:ascii="Times New Roman" w:eastAsia="Calibri" w:hAnsi="Times New Roman" w:cs="Times New Roman"/>
          <w:sz w:val="28"/>
          <w:szCs w:val="28"/>
          <w:lang w:bidi="ar"/>
        </w:rPr>
      </w:pPr>
      <w:r w:rsidRPr="003A6E5A">
        <w:rPr>
          <w:rFonts w:ascii="Times New Roman" w:hAnsi="Times New Roman" w:cs="Times New Roman"/>
          <w:sz w:val="28"/>
          <w:szCs w:val="28"/>
        </w:rPr>
        <w:t xml:space="preserve">Далее рассмотрим методологию пространственных модели Дарбина </w:t>
      </w:r>
      <w:r w:rsidR="00885620" w:rsidRPr="003A6E5A">
        <w:rPr>
          <w:rFonts w:ascii="Times New Roman" w:hAnsi="Times New Roman" w:cs="Times New Roman"/>
          <w:sz w:val="28"/>
          <w:szCs w:val="28"/>
        </w:rPr>
        <w:t>[</w:t>
      </w:r>
      <w:r w:rsidR="00B67905" w:rsidRPr="003A6E5A">
        <w:rPr>
          <w:rFonts w:ascii="Times New Roman" w:hAnsi="Times New Roman" w:cs="Times New Roman"/>
          <w:sz w:val="28"/>
          <w:szCs w:val="28"/>
        </w:rPr>
        <w:t>102</w:t>
      </w:r>
      <w:r w:rsidR="00885620" w:rsidRPr="003A6E5A">
        <w:rPr>
          <w:rFonts w:ascii="Times New Roman" w:hAnsi="Times New Roman" w:cs="Times New Roman"/>
          <w:sz w:val="28"/>
          <w:szCs w:val="28"/>
        </w:rPr>
        <w:t>]</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SDM</w:t>
      </w:r>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это один из видов пространственных регрессионных моделей, которые учитывают пространственную зависимость как зависимой переменной, так и независимых переменных. Данная модель расширяет модель пространственной авторегрессии (</w:t>
      </w:r>
      <w:r w:rsidRPr="003A6E5A">
        <w:rPr>
          <w:rFonts w:ascii="Times New Roman" w:eastAsia="Calibri" w:hAnsi="Times New Roman" w:cs="Times New Roman"/>
          <w:sz w:val="28"/>
          <w:szCs w:val="28"/>
        </w:rPr>
        <w:t>SAR</w:t>
      </w:r>
      <w:r w:rsidRPr="003A6E5A">
        <w:rPr>
          <w:rFonts w:ascii="Times New Roman" w:eastAsia="Calibri" w:hAnsi="Times New Roman" w:cs="Times New Roman"/>
          <w:sz w:val="28"/>
          <w:szCs w:val="28"/>
          <w:lang w:bidi="ar"/>
        </w:rPr>
        <w:t>), добавляя пространственно-взвешенные независимые переменные, что позволяет учитывать косвенные влияние факторов из соседних областей Казахстана. Далее представлен общий вид модели Дарбина:</w:t>
      </w:r>
    </w:p>
    <w:p w14:paraId="2FEC413B"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338B1653" w14:textId="77777777">
        <w:tc>
          <w:tcPr>
            <w:tcW w:w="9196" w:type="dxa"/>
            <w:vAlign w:val="center"/>
          </w:tcPr>
          <w:p w14:paraId="158F33E7"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y=ρWy+Xβ+WXθ+ε</m:t>
                </m:r>
              </m:oMath>
            </m:oMathPara>
          </w:p>
        </w:tc>
        <w:tc>
          <w:tcPr>
            <w:tcW w:w="622" w:type="dxa"/>
            <w:vAlign w:val="center"/>
          </w:tcPr>
          <w:p w14:paraId="31C6D2A0"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(24)</w:t>
            </w:r>
          </w:p>
        </w:tc>
      </w:tr>
    </w:tbl>
    <w:p w14:paraId="79E42B97" w14:textId="77777777" w:rsidR="0003217D" w:rsidRPr="003A6E5A" w:rsidRDefault="0003217D" w:rsidP="001608EA">
      <w:pPr>
        <w:spacing w:after="0" w:line="240" w:lineRule="auto"/>
        <w:ind w:firstLine="708"/>
        <w:jc w:val="both"/>
        <w:rPr>
          <w:rFonts w:ascii="Times New Roman" w:eastAsia="Calibri" w:hAnsi="Times New Roman" w:cs="Times New Roman"/>
          <w:sz w:val="28"/>
          <w:szCs w:val="28"/>
          <w:lang w:bidi="ar"/>
        </w:rPr>
      </w:pPr>
    </w:p>
    <w:p w14:paraId="41693DF6"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r>
          <m:rPr>
            <m:sty m:val="p"/>
          </m:rPr>
          <w:rPr>
            <w:rFonts w:ascii="Cambria Math" w:hAnsi="Cambria Math" w:cs="Times New Roman"/>
            <w:sz w:val="28"/>
            <w:szCs w:val="28"/>
            <w:lang w:val="en-US"/>
          </w:rPr>
          <m:t>y</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val="kk-KZ" w:bidi="ar"/>
        </w:rPr>
        <w:t xml:space="preserve"> вектор зависимой переменной (</w:t>
      </w:r>
      <w:r w:rsidRPr="003A6E5A">
        <w:rPr>
          <w:rFonts w:ascii="Times New Roman" w:eastAsia="Calibri" w:hAnsi="Times New Roman" w:cs="Times New Roman"/>
          <w:sz w:val="28"/>
          <w:szCs w:val="28"/>
          <w:lang w:bidi="ar"/>
        </w:rPr>
        <w:t>например, инвестиции в основной капитал по регионам Казахстана</w:t>
      </w:r>
      <w:r w:rsidRPr="003A6E5A">
        <w:rPr>
          <w:rFonts w:ascii="Times New Roman" w:eastAsia="Calibri" w:hAnsi="Times New Roman" w:cs="Times New Roman"/>
          <w:sz w:val="28"/>
          <w:szCs w:val="28"/>
          <w:lang w:val="kk-KZ" w:bidi="ar"/>
        </w:rPr>
        <w:t>)</w:t>
      </w:r>
      <w:r w:rsidRPr="003A6E5A">
        <w:rPr>
          <w:rFonts w:ascii="Times New Roman" w:eastAsia="Calibri" w:hAnsi="Times New Roman" w:cs="Times New Roman"/>
          <w:sz w:val="28"/>
          <w:szCs w:val="28"/>
          <w:lang w:bidi="ar"/>
        </w:rPr>
        <w:t xml:space="preserve">, </w:t>
      </w:r>
      <m:oMath>
        <m:r>
          <m:rPr>
            <m:sty m:val="p"/>
          </m:rPr>
          <w:rPr>
            <w:rFonts w:ascii="Cambria Math" w:hAnsi="Cambria Math" w:cs="Times New Roman"/>
            <w:sz w:val="28"/>
            <w:szCs w:val="28"/>
            <w:lang w:val="en-US"/>
          </w:rPr>
          <m:t>X</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матрица независимых переменных (например, ВРП на душу населения, внутренние затраты на НИОКР, количество предприятий осуществляющих НИОКР и т.д.), </w:t>
      </w:r>
      <m:oMath>
        <m:r>
          <m:rPr>
            <m:sty m:val="p"/>
          </m:rPr>
          <w:rPr>
            <w:rFonts w:ascii="Cambria Math" w:hAnsi="Cambria Math" w:cs="Times New Roman"/>
            <w:sz w:val="28"/>
            <w:szCs w:val="28"/>
            <w:lang w:val="en-US"/>
          </w:rPr>
          <m:t>W</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матрица пространственных весов (задает «соседство» между регионами), </w:t>
      </w:r>
      <m:oMath>
        <m:r>
          <m:rPr>
            <m:sty m:val="p"/>
          </m:rPr>
          <w:rPr>
            <w:rFonts w:ascii="Cambria Math" w:hAnsi="Cambria Math" w:cs="Times New Roman"/>
            <w:sz w:val="28"/>
            <w:szCs w:val="28"/>
            <w:lang w:val="en-US"/>
          </w:rPr>
          <m:t>ρ</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коэффициент пространственной автокорреляции инвестиций в основной капитал, </w:t>
      </w:r>
      <m:oMath>
        <m:r>
          <m:rPr>
            <m:sty m:val="p"/>
          </m:rPr>
          <w:rPr>
            <w:rFonts w:ascii="Cambria Math" w:hAnsi="Cambria Math" w:cs="Times New Roman"/>
            <w:sz w:val="28"/>
            <w:szCs w:val="28"/>
            <w:lang w:val="en-US"/>
          </w:rPr>
          <m:t>β</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вектор коэффициентов при собственных объясняющих переменных, </w:t>
      </w:r>
      <m:oMath>
        <m:r>
          <w:rPr>
            <w:rFonts w:ascii="Cambria Math" w:hAnsi="Cambria Math" w:cs="Times New Roman"/>
            <w:sz w:val="28"/>
            <w:szCs w:val="28"/>
          </w:rPr>
          <m:t xml:space="preserve">θ </m:t>
        </m:r>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вектор коэффициентов при пространственно-взвешенных объясняющих переменных, </w:t>
      </w:r>
      <m:oMath>
        <m:r>
          <m:rPr>
            <m:sty m:val="p"/>
          </m:rPr>
          <w:rPr>
            <w:rFonts w:ascii="Cambria Math" w:hAnsi="Cambria Math" w:cs="Times New Roman"/>
            <w:sz w:val="28"/>
            <w:szCs w:val="28"/>
            <w:lang w:val="en-US"/>
          </w:rPr>
          <m:t>ε</m:t>
        </m:r>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(0,</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σ</m:t>
            </m:r>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 </m:t>
        </m:r>
      </m:oMath>
      <w:r w:rsidRPr="003A6E5A">
        <w:rPr>
          <w:rFonts w:ascii="Times New Roman" w:hAnsi="Times New Roman" w:cs="Times New Roman"/>
          <w:sz w:val="28"/>
          <w:szCs w:val="28"/>
        </w:rPr>
        <w:t>случайная ошибка.</w:t>
      </w:r>
    </w:p>
    <w:p w14:paraId="7D7AD4D0" w14:textId="4A14E1CF"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Особенность модели Дарбина заключается в учете пространственных эффектов перетекания (spillover-эффектов) через </w:t>
      </w:r>
      <m:oMath>
        <m:r>
          <m:rPr>
            <m:sty m:val="p"/>
          </m:rPr>
          <w:rPr>
            <w:rFonts w:ascii="Cambria Math" w:hAnsi="Cambria Math" w:cs="Times New Roman"/>
            <w:sz w:val="28"/>
            <w:szCs w:val="28"/>
            <w:lang w:val="en-US"/>
          </w:rPr>
          <m:t>Wy</m:t>
        </m:r>
        <m:r>
          <m:rPr>
            <m:sty m:val="p"/>
          </m:rPr>
          <w:rPr>
            <w:rFonts w:ascii="Cambria Math" w:hAnsi="Cambria Math" w:cs="Times New Roman"/>
            <w:sz w:val="28"/>
            <w:szCs w:val="28"/>
          </w:rPr>
          <m:t xml:space="preserve"> -</m:t>
        </m:r>
      </m:oMath>
      <w:r w:rsidRPr="003A6E5A">
        <w:rPr>
          <w:rFonts w:ascii="Times New Roman" w:hAnsi="Times New Roman" w:cs="Times New Roman"/>
          <w:sz w:val="28"/>
          <w:szCs w:val="28"/>
        </w:rPr>
        <w:t xml:space="preserve"> влияние значений инвестиций в основной капитал в соседних регионах через </w:t>
      </w:r>
      <m:oMath>
        <m:r>
          <m:rPr>
            <m:sty m:val="p"/>
          </m:rPr>
          <w:rPr>
            <w:rFonts w:ascii="Cambria Math" w:hAnsi="Cambria Math" w:cs="Times New Roman"/>
            <w:sz w:val="28"/>
            <w:szCs w:val="28"/>
            <w:lang w:val="en-US"/>
          </w:rPr>
          <m:t>WX</m:t>
        </m:r>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влияние объясняющих переменных из соседних регионов. Пространвенная модель Дарбина включает в себя как </w:t>
      </w:r>
      <w:r w:rsidRPr="003A6E5A">
        <w:rPr>
          <w:rFonts w:ascii="Times New Roman" w:eastAsia="Calibri" w:hAnsi="Times New Roman" w:cs="Times New Roman"/>
          <w:sz w:val="28"/>
          <w:szCs w:val="28"/>
        </w:rPr>
        <w:t>SAR, так и пространственную модель с лагом по объясняющим переменным, и даже пространственную модель с фиксированными эффектами при определенных условиях</w:t>
      </w:r>
      <w:r w:rsidR="00885620" w:rsidRPr="003A6E5A">
        <w:rPr>
          <w:rFonts w:ascii="Times New Roman" w:eastAsia="Calibri" w:hAnsi="Times New Roman" w:cs="Times New Roman"/>
          <w:sz w:val="28"/>
          <w:szCs w:val="28"/>
        </w:rPr>
        <w:t xml:space="preserve"> [</w:t>
      </w:r>
      <w:r w:rsidR="00B67905" w:rsidRPr="003A6E5A">
        <w:rPr>
          <w:rFonts w:ascii="Times New Roman" w:eastAsia="Calibri" w:hAnsi="Times New Roman" w:cs="Times New Roman"/>
          <w:sz w:val="28"/>
          <w:szCs w:val="28"/>
        </w:rPr>
        <w:t>103</w:t>
      </w:r>
      <w:r w:rsidR="00885620" w:rsidRPr="003A6E5A">
        <w:rPr>
          <w:rFonts w:ascii="Times New Roman" w:eastAsia="Calibri" w:hAnsi="Times New Roman" w:cs="Times New Roman"/>
          <w:sz w:val="28"/>
          <w:szCs w:val="28"/>
        </w:rPr>
        <w:t>]</w:t>
      </w:r>
      <w:r w:rsidRPr="003A6E5A">
        <w:rPr>
          <w:rFonts w:ascii="Times New Roman" w:eastAsia="Calibri" w:hAnsi="Times New Roman" w:cs="Times New Roman"/>
          <w:sz w:val="28"/>
          <w:szCs w:val="28"/>
        </w:rPr>
        <w:t>. Сами эффекты делятся на прямые (воздействие изменения переменной внутри региона на его же результат) и косвенные (</w:t>
      </w:r>
      <w:r w:rsidRPr="003A6E5A">
        <w:rPr>
          <w:rFonts w:ascii="Times New Roman" w:hAnsi="Times New Roman" w:cs="Times New Roman"/>
          <w:sz w:val="28"/>
          <w:szCs w:val="28"/>
        </w:rPr>
        <w:t>spillover-эффект</w:t>
      </w:r>
      <w:r w:rsidRPr="003A6E5A">
        <w:rPr>
          <w:rFonts w:ascii="Times New Roman" w:eastAsia="Calibri" w:hAnsi="Times New Roman" w:cs="Times New Roman"/>
          <w:sz w:val="28"/>
          <w:szCs w:val="28"/>
        </w:rPr>
        <w:t>)</w:t>
      </w:r>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влияние изменений в одном регионе на другие регионы через пространственные связи. Когда есть основания полагать, что как зависимая, так и независимые перемнные подвержены пространственной зависимости, когда нужно более детально изучить влияние переменных в одном регионе на соседние, когда другие пространственные модели (</w:t>
      </w:r>
      <w:r w:rsidRPr="003A6E5A">
        <w:rPr>
          <w:rFonts w:ascii="Times New Roman" w:eastAsia="Calibri" w:hAnsi="Times New Roman" w:cs="Times New Roman"/>
          <w:sz w:val="28"/>
          <w:szCs w:val="28"/>
        </w:rPr>
        <w:t xml:space="preserve">SAR, </w:t>
      </w:r>
      <w:r w:rsidRPr="003A6E5A">
        <w:rPr>
          <w:rFonts w:ascii="Times New Roman" w:eastAsia="Calibri" w:hAnsi="Times New Roman" w:cs="Times New Roman"/>
          <w:sz w:val="28"/>
          <w:szCs w:val="28"/>
          <w:lang w:val="en-US"/>
        </w:rPr>
        <w:t>SEM</w:t>
      </w:r>
      <w:r w:rsidRPr="003A6E5A">
        <w:rPr>
          <w:rFonts w:ascii="Times New Roman" w:hAnsi="Times New Roman" w:cs="Times New Roman"/>
          <w:sz w:val="28"/>
          <w:szCs w:val="28"/>
        </w:rPr>
        <w:t xml:space="preserve">) оказываются недостаточными или дают смещенные оценки необходимо использовать пространственную модель Дарбина. Допустим, анализируется влияние </w:t>
      </w:r>
      <w:r w:rsidRPr="003A6E5A">
        <w:rPr>
          <w:rFonts w:ascii="Times New Roman" w:eastAsia="Calibri" w:hAnsi="Times New Roman" w:cs="Times New Roman"/>
          <w:sz w:val="28"/>
          <w:szCs w:val="28"/>
          <w:lang w:bidi="ar"/>
        </w:rPr>
        <w:t>ВРП на душу населения, внутренние затраты на НИОКР, количество предприятий осуществляющих НИОКР по регионам Казахстана, пространственная модель Дарбина поможет выяснить, влияют ли указанные переменные не только в конкретном регионе, но и в соседних регионах на инвестиций в основной капитал.</w:t>
      </w:r>
    </w:p>
    <w:p w14:paraId="6C433695" w14:textId="39C754AF"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eastAsia="Calibri" w:hAnsi="Times New Roman" w:cs="Times New Roman"/>
          <w:sz w:val="28"/>
          <w:szCs w:val="28"/>
          <w:lang w:bidi="ar"/>
        </w:rPr>
        <w:lastRenderedPageBreak/>
        <w:t xml:space="preserve">Для проверки корректности спецификации пространственной модели Дарбина необходимо определить, какая пространственная модель более уместна </w:t>
      </w:r>
      <m:oMath>
        <m:r>
          <m:rPr>
            <m:sty m:val="p"/>
          </m:rPr>
          <w:rPr>
            <w:rFonts w:ascii="Cambria Math" w:hAnsi="Cambria Math" w:cs="Times New Roman"/>
            <w:sz w:val="28"/>
            <w:szCs w:val="28"/>
          </w:rPr>
          <m:t>-</m:t>
        </m:r>
      </m:oMath>
      <w:r w:rsidRPr="003A6E5A">
        <w:rPr>
          <w:rFonts w:ascii="Times New Roman" w:eastAsia="Calibri" w:hAnsi="Times New Roman" w:cs="Times New Roman"/>
          <w:sz w:val="28"/>
          <w:szCs w:val="28"/>
          <w:lang w:bidi="ar"/>
        </w:rPr>
        <w:t xml:space="preserve"> </w:t>
      </w:r>
      <w:r w:rsidRPr="003A6E5A">
        <w:rPr>
          <w:rFonts w:ascii="Times New Roman" w:eastAsia="Calibri" w:hAnsi="Times New Roman" w:cs="Times New Roman"/>
          <w:sz w:val="28"/>
          <w:szCs w:val="28"/>
          <w:lang w:val="en-US" w:bidi="ar"/>
        </w:rPr>
        <w:t>SDM</w:t>
      </w:r>
      <w:r w:rsidRPr="003A6E5A">
        <w:rPr>
          <w:rFonts w:ascii="Times New Roman" w:eastAsia="Calibri" w:hAnsi="Times New Roman" w:cs="Times New Roman"/>
          <w:sz w:val="28"/>
          <w:szCs w:val="28"/>
          <w:lang w:bidi="ar"/>
        </w:rPr>
        <w:t xml:space="preserve">, </w:t>
      </w:r>
      <w:r w:rsidRPr="003A6E5A">
        <w:rPr>
          <w:rFonts w:ascii="Times New Roman" w:eastAsia="Calibri" w:hAnsi="Times New Roman" w:cs="Times New Roman"/>
          <w:sz w:val="28"/>
          <w:szCs w:val="28"/>
          <w:lang w:val="en-US" w:bidi="ar"/>
        </w:rPr>
        <w:t>SAR</w:t>
      </w:r>
      <w:r w:rsidRPr="003A6E5A">
        <w:rPr>
          <w:rFonts w:ascii="Times New Roman" w:eastAsia="Calibri" w:hAnsi="Times New Roman" w:cs="Times New Roman"/>
          <w:sz w:val="28"/>
          <w:szCs w:val="28"/>
          <w:lang w:bidi="ar"/>
        </w:rPr>
        <w:t xml:space="preserve"> или </w:t>
      </w:r>
      <w:r w:rsidRPr="003A6E5A">
        <w:rPr>
          <w:rFonts w:ascii="Times New Roman" w:eastAsia="Calibri" w:hAnsi="Times New Roman" w:cs="Times New Roman"/>
          <w:sz w:val="28"/>
          <w:szCs w:val="28"/>
          <w:lang w:val="en-US" w:bidi="ar"/>
        </w:rPr>
        <w:t>SEM</w:t>
      </w:r>
      <w:r w:rsidRPr="003A6E5A">
        <w:rPr>
          <w:rFonts w:ascii="Times New Roman" w:eastAsia="Calibri" w:hAnsi="Times New Roman" w:cs="Times New Roman"/>
          <w:sz w:val="28"/>
          <w:szCs w:val="28"/>
          <w:lang w:bidi="ar"/>
        </w:rPr>
        <w:t xml:space="preserve">. Для этого необходимо провести тест Лагранжа (для </w:t>
      </w:r>
      <w:r w:rsidRPr="003A6E5A">
        <w:rPr>
          <w:rFonts w:ascii="Times New Roman" w:eastAsia="Calibri" w:hAnsi="Times New Roman" w:cs="Times New Roman"/>
          <w:sz w:val="28"/>
          <w:szCs w:val="28"/>
          <w:lang w:val="en-US" w:bidi="ar"/>
        </w:rPr>
        <w:t>SAR</w:t>
      </w:r>
      <w:r w:rsidRPr="003A6E5A">
        <w:rPr>
          <w:rFonts w:ascii="Times New Roman" w:eastAsia="Calibri" w:hAnsi="Times New Roman" w:cs="Times New Roman"/>
          <w:sz w:val="28"/>
          <w:szCs w:val="28"/>
          <w:lang w:bidi="ar"/>
        </w:rPr>
        <w:t>). Данный тест проверяет необходимость включения пространственного лага зависимой переменной</w:t>
      </w:r>
      <w:r w:rsidR="00885620" w:rsidRPr="003A6E5A">
        <w:rPr>
          <w:rFonts w:ascii="Times New Roman" w:eastAsia="Calibri" w:hAnsi="Times New Roman" w:cs="Times New Roman"/>
          <w:sz w:val="28"/>
          <w:szCs w:val="28"/>
          <w:lang w:bidi="ar"/>
        </w:rPr>
        <w:t xml:space="preserve"> [</w:t>
      </w:r>
      <w:r w:rsidR="00B67905" w:rsidRPr="002452E6">
        <w:rPr>
          <w:rFonts w:ascii="Times New Roman" w:eastAsia="Calibri" w:hAnsi="Times New Roman" w:cs="Times New Roman"/>
          <w:sz w:val="28"/>
          <w:szCs w:val="28"/>
          <w:lang w:bidi="ar"/>
        </w:rPr>
        <w:t>104</w:t>
      </w:r>
      <w:r w:rsidR="00885620" w:rsidRPr="003A6E5A">
        <w:rPr>
          <w:rFonts w:ascii="Times New Roman" w:eastAsia="Calibri" w:hAnsi="Times New Roman" w:cs="Times New Roman"/>
          <w:sz w:val="28"/>
          <w:szCs w:val="28"/>
          <w:lang w:bidi="ar"/>
        </w:rPr>
        <w:t>]</w:t>
      </w:r>
      <w:r w:rsidRPr="003A6E5A">
        <w:rPr>
          <w:rFonts w:ascii="Times New Roman" w:eastAsia="Calibri" w:hAnsi="Times New Roman" w:cs="Times New Roman"/>
          <w:sz w:val="28"/>
          <w:szCs w:val="28"/>
          <w:lang w:bidi="ar"/>
        </w:rPr>
        <w:t xml:space="preserve">. Если данный тест не проходить, проверяется тест Лагранжа для </w:t>
      </w:r>
      <w:r w:rsidRPr="003A6E5A">
        <w:rPr>
          <w:rFonts w:ascii="Times New Roman" w:eastAsia="Calibri" w:hAnsi="Times New Roman" w:cs="Times New Roman"/>
          <w:sz w:val="28"/>
          <w:szCs w:val="28"/>
          <w:lang w:val="en-US" w:bidi="ar"/>
        </w:rPr>
        <w:t>SEM</w:t>
      </w:r>
      <w:r w:rsidRPr="003A6E5A">
        <w:rPr>
          <w:rFonts w:ascii="Times New Roman" w:eastAsia="Calibri" w:hAnsi="Times New Roman" w:cs="Times New Roman"/>
          <w:sz w:val="28"/>
          <w:szCs w:val="28"/>
          <w:lang w:bidi="ar"/>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проверяет необходимость учета пространственной зависимости в ошибке. Если данный тест не проходит, проверяется робастный тест Лагранжа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уточненный тест, если предедущие два теста оказались значимыми. Таким образом, если оба теста значимы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SDM</w:t>
      </w:r>
      <w:r w:rsidRPr="003A6E5A">
        <w:rPr>
          <w:rFonts w:ascii="Times New Roman" w:hAnsi="Times New Roman" w:cs="Times New Roman"/>
          <w:sz w:val="28"/>
          <w:szCs w:val="28"/>
        </w:rPr>
        <w:t xml:space="preserve"> может быть наилучший выбор. </w:t>
      </w:r>
    </w:p>
    <w:p w14:paraId="6991D841" w14:textId="77777777"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Также необходимо провести тесты на спецификацию модели: </w:t>
      </w:r>
    </w:p>
    <w:p w14:paraId="1B2225A2" w14:textId="77777777" w:rsidR="0003217D" w:rsidRPr="003A6E5A" w:rsidRDefault="00FC275D" w:rsidP="001608EA">
      <w:pPr>
        <w:spacing w:after="0" w:line="240" w:lineRule="auto"/>
        <w:jc w:val="both"/>
        <w:rPr>
          <w:rFonts w:ascii="Times New Roman" w:hAnsi="Times New Roman" w:cs="Times New Roman"/>
          <w:sz w:val="28"/>
          <w:szCs w:val="28"/>
        </w:rPr>
      </w:pP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LR-тест сравнивает вложенные модели (</w:t>
      </w:r>
      <w:r w:rsidRPr="003A6E5A">
        <w:rPr>
          <w:rFonts w:ascii="Times New Roman" w:hAnsi="Times New Roman" w:cs="Times New Roman"/>
          <w:sz w:val="28"/>
          <w:szCs w:val="28"/>
          <w:lang w:val="en-US"/>
        </w:rPr>
        <w:t>SDM</w:t>
      </w:r>
      <w:r w:rsidRPr="003A6E5A">
        <w:rPr>
          <w:rFonts w:ascii="Times New Roman" w:hAnsi="Times New Roman" w:cs="Times New Roman"/>
          <w:sz w:val="28"/>
          <w:szCs w:val="28"/>
        </w:rPr>
        <w:t xml:space="preserve"> против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или </w:t>
      </w:r>
      <w:r w:rsidRPr="003A6E5A">
        <w:rPr>
          <w:rFonts w:ascii="Times New Roman" w:hAnsi="Times New Roman" w:cs="Times New Roman"/>
          <w:sz w:val="28"/>
          <w:szCs w:val="28"/>
          <w:lang w:val="en-US"/>
        </w:rPr>
        <w:t>SEM</w:t>
      </w:r>
      <w:r w:rsidRPr="003A6E5A">
        <w:rPr>
          <w:rFonts w:ascii="Times New Roman" w:hAnsi="Times New Roman" w:cs="Times New Roman"/>
          <w:sz w:val="28"/>
          <w:szCs w:val="28"/>
        </w:rPr>
        <w:t>);</w:t>
      </w:r>
    </w:p>
    <w:p w14:paraId="080A8089" w14:textId="77777777" w:rsidR="0003217D" w:rsidRPr="003A6E5A" w:rsidRDefault="00FC275D" w:rsidP="001608EA">
      <w:pPr>
        <w:spacing w:after="0" w:line="240" w:lineRule="auto"/>
        <w:jc w:val="both"/>
        <w:rPr>
          <w:rFonts w:ascii="Times New Roman" w:hAnsi="Times New Roman" w:cs="Times New Roman"/>
          <w:sz w:val="28"/>
          <w:szCs w:val="28"/>
        </w:rPr>
      </w:pP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Wald-тест проверяет значимость группы коэффициентов (например, на  </w:t>
      </w:r>
      <m:oMath>
        <m:r>
          <m:rPr>
            <m:sty m:val="p"/>
          </m:rPr>
          <w:rPr>
            <w:rFonts w:ascii="Cambria Math" w:hAnsi="Cambria Math" w:cs="Times New Roman"/>
            <w:sz w:val="28"/>
            <w:szCs w:val="28"/>
            <w:lang w:val="en-US"/>
          </w:rPr>
          <m:t>WX</m:t>
        </m:r>
      </m:oMath>
      <w:r w:rsidRPr="003A6E5A">
        <w:rPr>
          <w:rFonts w:ascii="Times New Roman" w:hAnsi="Times New Roman" w:cs="Times New Roman"/>
          <w:sz w:val="28"/>
          <w:szCs w:val="28"/>
        </w:rPr>
        <w:t>) для оценки необходимости включения пространственных лагов объясняющих переменных;</w:t>
      </w:r>
    </w:p>
    <w:p w14:paraId="15F1C297" w14:textId="77777777" w:rsidR="0003217D" w:rsidRPr="003A6E5A" w:rsidRDefault="00FC275D" w:rsidP="001608EA">
      <w:pPr>
        <w:spacing w:after="0" w:line="240" w:lineRule="auto"/>
        <w:jc w:val="both"/>
        <w:rPr>
          <w:rFonts w:ascii="Times New Roman" w:hAnsi="Times New Roman" w:cs="Times New Roman"/>
          <w:sz w:val="28"/>
          <w:szCs w:val="28"/>
        </w:rPr>
      </w:pP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тест Хаусмана выбирвает между фиксированными и случайными эффектами, если модель панельная. </w:t>
      </w:r>
    </w:p>
    <w:p w14:paraId="76C2E4E2" w14:textId="58CA7720"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ab/>
        <w:t xml:space="preserve">Диагностика остатком проводится посредством повторного теста Морена на остатки </w:t>
      </w:r>
      <w:r w:rsidRPr="003A6E5A">
        <w:rPr>
          <w:rFonts w:ascii="Times New Roman" w:hAnsi="Times New Roman" w:cs="Times New Roman"/>
          <w:sz w:val="28"/>
          <w:szCs w:val="28"/>
          <w:lang w:val="en-US"/>
        </w:rPr>
        <w:t>SDM</w:t>
      </w:r>
      <w:r w:rsidRPr="003A6E5A">
        <w:rPr>
          <w:rFonts w:ascii="Times New Roman" w:hAnsi="Times New Roman" w:cs="Times New Roman"/>
          <w:sz w:val="28"/>
          <w:szCs w:val="28"/>
        </w:rPr>
        <w:t xml:space="preserve"> для проверки, осталась ли пространственная зависимость после учета модели. Также проводится проверки на нормальность, гетероскедастичность и автокорреляцию остатков. </w:t>
      </w:r>
      <w:r w:rsidR="00A657EF" w:rsidRPr="003A6E5A">
        <w:rPr>
          <w:rFonts w:ascii="Times New Roman" w:hAnsi="Times New Roman" w:cs="Times New Roman"/>
          <w:sz w:val="28"/>
          <w:szCs w:val="28"/>
        </w:rPr>
        <w:t>При условии, если</w:t>
      </w:r>
      <w:r w:rsidRPr="003A6E5A">
        <w:rPr>
          <w:rFonts w:ascii="Times New Roman" w:hAnsi="Times New Roman" w:cs="Times New Roman"/>
          <w:sz w:val="28"/>
          <w:szCs w:val="28"/>
        </w:rPr>
        <w:t xml:space="preserve"> используются панельные данные дополнительно проводится тест </w:t>
      </w:r>
      <w:r w:rsidRPr="003A6E5A">
        <w:rPr>
          <w:rFonts w:ascii="Times New Roman" w:hAnsi="Times New Roman" w:cs="Times New Roman"/>
          <w:sz w:val="28"/>
          <w:szCs w:val="28"/>
          <w:lang w:val="en-US"/>
        </w:rPr>
        <w:t>LM</w:t>
      </w:r>
      <w:r w:rsidRPr="003A6E5A">
        <w:rPr>
          <w:rFonts w:ascii="Times New Roman" w:hAnsi="Times New Roman" w:cs="Times New Roman"/>
          <w:sz w:val="28"/>
          <w:szCs w:val="28"/>
        </w:rPr>
        <w:t xml:space="preserve"> или </w:t>
      </w:r>
      <w:r w:rsidRPr="003A6E5A">
        <w:rPr>
          <w:rFonts w:ascii="Times New Roman" w:hAnsi="Times New Roman" w:cs="Times New Roman"/>
          <w:sz w:val="28"/>
          <w:szCs w:val="28"/>
          <w:lang w:val="en-US"/>
        </w:rPr>
        <w:t>LR</w:t>
      </w:r>
      <w:r w:rsidRPr="003A6E5A">
        <w:rPr>
          <w:rFonts w:ascii="Times New Roman" w:hAnsi="Times New Roman" w:cs="Times New Roman"/>
          <w:sz w:val="28"/>
          <w:szCs w:val="28"/>
        </w:rPr>
        <w:t>-тест при подозрении пространственной гетерогенности по регионам, а также Pesaran CD тест на кросс-секционную зависимость.</w:t>
      </w:r>
    </w:p>
    <w:p w14:paraId="2DD39DA0" w14:textId="7607A1CD"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ab/>
        <w:t xml:space="preserve">При невозможности применения </w:t>
      </w:r>
      <w:r w:rsidRPr="003A6E5A">
        <w:rPr>
          <w:rFonts w:ascii="Times New Roman" w:hAnsi="Times New Roman" w:cs="Times New Roman"/>
          <w:sz w:val="28"/>
          <w:szCs w:val="28"/>
          <w:lang w:val="en-US"/>
        </w:rPr>
        <w:t>SDM</w:t>
      </w:r>
      <w:r w:rsidRPr="003A6E5A">
        <w:rPr>
          <w:rFonts w:ascii="Times New Roman" w:hAnsi="Times New Roman" w:cs="Times New Roman"/>
          <w:sz w:val="28"/>
          <w:szCs w:val="28"/>
        </w:rPr>
        <w:t xml:space="preserve"> модели, далее проверяется спецификация по пространственной авторегресионной модели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w:t>
      </w:r>
      <w:r w:rsidR="00885620" w:rsidRPr="003A6E5A">
        <w:rPr>
          <w:rFonts w:ascii="Times New Roman" w:hAnsi="Times New Roman" w:cs="Times New Roman"/>
          <w:sz w:val="28"/>
          <w:szCs w:val="28"/>
        </w:rPr>
        <w:t>[</w:t>
      </w:r>
      <w:r w:rsidR="00DA21CC" w:rsidRPr="003A6E5A">
        <w:rPr>
          <w:rFonts w:ascii="Times New Roman" w:hAnsi="Times New Roman" w:cs="Times New Roman"/>
          <w:sz w:val="28"/>
          <w:szCs w:val="28"/>
        </w:rPr>
        <w:t>10</w:t>
      </w:r>
      <w:r w:rsidR="00B67905" w:rsidRPr="003A6E5A">
        <w:rPr>
          <w:rFonts w:ascii="Times New Roman" w:hAnsi="Times New Roman" w:cs="Times New Roman"/>
          <w:sz w:val="28"/>
          <w:szCs w:val="28"/>
        </w:rPr>
        <w:t>5</w:t>
      </w:r>
      <w:r w:rsidR="00885620"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это разновидность пространственной эконометрической модели, предназначенная для учета пространственной зависимости между наблюдениями. В отличие от классических регрессионных моделей,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модель предполагает, что значение инвестиций в основной капитал в одном регионе Казахстана может зависеть от значений этой переменной в соседних областях Казахстана. </w:t>
      </w:r>
    </w:p>
    <w:p w14:paraId="2A52CFC7"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ab/>
        <w:t xml:space="preserve">Общий вид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модели представлен в следующем уравнении: </w:t>
      </w:r>
    </w:p>
    <w:p w14:paraId="45F9D82A"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38AE0468" w14:textId="77777777">
        <w:tc>
          <w:tcPr>
            <w:tcW w:w="9196" w:type="dxa"/>
            <w:vAlign w:val="center"/>
          </w:tcPr>
          <w:p w14:paraId="1CE6990E"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y=ρWy+Xβ+ε</m:t>
                </m:r>
              </m:oMath>
            </m:oMathPara>
          </w:p>
        </w:tc>
        <w:tc>
          <w:tcPr>
            <w:tcW w:w="622" w:type="dxa"/>
            <w:vAlign w:val="center"/>
          </w:tcPr>
          <w:p w14:paraId="558A60BD"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(25)</w:t>
            </w:r>
          </w:p>
        </w:tc>
      </w:tr>
    </w:tbl>
    <w:p w14:paraId="06EBEA25" w14:textId="77777777" w:rsidR="0003217D" w:rsidRPr="003A6E5A" w:rsidRDefault="0003217D" w:rsidP="001608EA">
      <w:pPr>
        <w:spacing w:after="0" w:line="240" w:lineRule="auto"/>
        <w:ind w:firstLine="708"/>
        <w:jc w:val="both"/>
        <w:rPr>
          <w:rFonts w:ascii="Times New Roman" w:eastAsia="Calibri" w:hAnsi="Times New Roman" w:cs="Times New Roman"/>
          <w:sz w:val="28"/>
          <w:szCs w:val="28"/>
          <w:lang w:bidi="ar"/>
        </w:rPr>
      </w:pPr>
    </w:p>
    <w:p w14:paraId="2382312F" w14:textId="6F6B5A59"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где </w:t>
      </w:r>
      <m:oMath>
        <m:r>
          <m:rPr>
            <m:sty m:val="p"/>
          </m:rPr>
          <w:rPr>
            <w:rFonts w:ascii="Cambria Math" w:hAnsi="Cambria Math" w:cs="Times New Roman"/>
            <w:sz w:val="28"/>
            <w:szCs w:val="28"/>
            <w:lang w:val="en-US"/>
          </w:rPr>
          <m:t>y</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val="kk-KZ" w:bidi="ar"/>
        </w:rPr>
        <w:t xml:space="preserve"> вектор зависимой переменной (</w:t>
      </w:r>
      <w:r w:rsidRPr="003A6E5A">
        <w:rPr>
          <w:rFonts w:ascii="Times New Roman" w:eastAsia="Calibri" w:hAnsi="Times New Roman" w:cs="Times New Roman"/>
          <w:sz w:val="28"/>
          <w:szCs w:val="28"/>
          <w:lang w:bidi="ar"/>
        </w:rPr>
        <w:t>например, инвестиции в основной капитал по регионам Казахстана</w:t>
      </w:r>
      <w:r w:rsidRPr="003A6E5A">
        <w:rPr>
          <w:rFonts w:ascii="Times New Roman" w:eastAsia="Calibri" w:hAnsi="Times New Roman" w:cs="Times New Roman"/>
          <w:sz w:val="28"/>
          <w:szCs w:val="28"/>
          <w:lang w:val="kk-KZ" w:bidi="ar"/>
        </w:rPr>
        <w:t>)</w:t>
      </w:r>
      <w:r w:rsidRPr="003A6E5A">
        <w:rPr>
          <w:rFonts w:ascii="Times New Roman" w:eastAsia="Calibri" w:hAnsi="Times New Roman" w:cs="Times New Roman"/>
          <w:sz w:val="28"/>
          <w:szCs w:val="28"/>
          <w:lang w:bidi="ar"/>
        </w:rPr>
        <w:t xml:space="preserve">, </w:t>
      </w:r>
      <m:oMath>
        <m:r>
          <m:rPr>
            <m:sty m:val="p"/>
          </m:rPr>
          <w:rPr>
            <w:rFonts w:ascii="Cambria Math" w:hAnsi="Cambria Math" w:cs="Times New Roman"/>
            <w:sz w:val="28"/>
            <w:szCs w:val="28"/>
            <w:lang w:val="en-US"/>
          </w:rPr>
          <m:t>X</m:t>
        </m:r>
      </m:oMath>
      <w:r w:rsidRPr="003A6E5A">
        <w:rPr>
          <w:rFonts w:ascii="Times New Roman" w:hAnsi="Times New Roman" w:cs="Times New Roman"/>
          <w:sz w:val="28"/>
          <w:szCs w:val="28"/>
          <w:lang w:val="kk-KZ"/>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матрица независимых переменных (например, ВРП на душу населения, внутренние затраты на НИОКР, количество предприятий осуществляющих НИОКР и т.д.), </w:t>
      </w:r>
      <m:oMath>
        <m:r>
          <m:rPr>
            <m:sty m:val="p"/>
          </m:rPr>
          <w:rPr>
            <w:rFonts w:ascii="Cambria Math" w:hAnsi="Cambria Math" w:cs="Times New Roman"/>
            <w:sz w:val="28"/>
            <w:szCs w:val="28"/>
            <w:lang w:val="en-US"/>
          </w:rPr>
          <m:t>ρ</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коэффициент пространственной автокорреляции инвестиций в основной капитал, </w:t>
      </w:r>
      <m:oMath>
        <m:r>
          <m:rPr>
            <m:sty m:val="p"/>
          </m:rPr>
          <w:rPr>
            <w:rFonts w:ascii="Cambria Math" w:hAnsi="Cambria Math" w:cs="Times New Roman"/>
            <w:sz w:val="28"/>
            <w:szCs w:val="28"/>
            <w:lang w:val="en-US"/>
          </w:rPr>
          <m:t>β</m:t>
        </m:r>
      </m:oMath>
      <w:r w:rsidRPr="003A6E5A">
        <w:rPr>
          <w:rFonts w:ascii="Times New Roman" w:hAnsi="Times New Roman" w:cs="Times New Roman"/>
          <w:sz w:val="28"/>
          <w:szCs w:val="28"/>
        </w:rPr>
        <w:t xml:space="preserve"> </w:t>
      </w:r>
      <w:r w:rsidRPr="003A6E5A">
        <w:rPr>
          <w:rFonts w:ascii="Times New Roman" w:eastAsia="Calibri" w:hAnsi="Times New Roman" w:cs="Times New Roman"/>
          <w:sz w:val="28"/>
          <w:szCs w:val="28"/>
          <w:lang w:val="ru" w:bidi="ar"/>
        </w:rPr>
        <w:t>–</w:t>
      </w:r>
      <w:r w:rsidRPr="003A6E5A">
        <w:rPr>
          <w:rFonts w:ascii="Times New Roman" w:eastAsia="Calibri" w:hAnsi="Times New Roman" w:cs="Times New Roman"/>
          <w:sz w:val="28"/>
          <w:szCs w:val="28"/>
          <w:lang w:bidi="ar"/>
        </w:rPr>
        <w:t xml:space="preserve"> вектор коэффициентов при собственных объясняющих переменных, </w:t>
      </w:r>
      <m:oMath>
        <m:r>
          <m:rPr>
            <m:sty m:val="p"/>
          </m:rPr>
          <w:rPr>
            <w:rFonts w:ascii="Cambria Math" w:hAnsi="Cambria Math" w:cs="Times New Roman"/>
            <w:sz w:val="28"/>
            <w:szCs w:val="28"/>
            <w:lang w:val="en-US"/>
          </w:rPr>
          <m:t>ε</m:t>
        </m:r>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m:t>
        </m:r>
        <m:r>
          <m:rPr>
            <m:sty m:val="p"/>
          </m:rPr>
          <w:rPr>
            <w:rFonts w:ascii="Cambria Math" w:hAnsi="Cambria Math" w:cs="Times New Roman"/>
            <w:sz w:val="28"/>
            <w:szCs w:val="28"/>
            <w:lang w:val="en-US"/>
          </w:rPr>
          <m:t>N</m:t>
        </m:r>
        <m:r>
          <m:rPr>
            <m:sty m:val="p"/>
          </m:rPr>
          <w:rPr>
            <w:rFonts w:ascii="Cambria Math" w:hAnsi="Cambria Math" w:cs="Times New Roman"/>
            <w:sz w:val="28"/>
            <w:szCs w:val="28"/>
          </w:rPr>
          <m:t>(0,</m:t>
        </m:r>
        <m:sSup>
          <m:sSupPr>
            <m:ctrlPr>
              <w:rPr>
                <w:rFonts w:ascii="Cambria Math" w:hAnsi="Cambria Math" w:cs="Times New Roman"/>
                <w:sz w:val="28"/>
                <w:szCs w:val="28"/>
                <w:lang w:val="en-US"/>
              </w:rPr>
            </m:ctrlPr>
          </m:sSupPr>
          <m:e>
            <m:r>
              <w:rPr>
                <w:rFonts w:ascii="Cambria Math" w:hAnsi="Cambria Math" w:cs="Times New Roman"/>
                <w:sz w:val="28"/>
                <w:szCs w:val="28"/>
                <w:lang w:val="en-US"/>
              </w:rPr>
              <m:t>σ</m:t>
            </m:r>
          </m:e>
          <m:sup>
            <m:r>
              <m:rPr>
                <m:sty m:val="p"/>
              </m:rPr>
              <w:rPr>
                <w:rFonts w:ascii="Cambria Math" w:hAnsi="Cambria Math" w:cs="Times New Roman"/>
                <w:sz w:val="28"/>
                <w:szCs w:val="28"/>
              </w:rPr>
              <m:t>2</m:t>
            </m:r>
          </m:sup>
        </m:sSup>
        <m:r>
          <m:rPr>
            <m:sty m:val="p"/>
          </m:rPr>
          <w:rPr>
            <w:rFonts w:ascii="Cambria Math" w:hAnsi="Cambria Math" w:cs="Times New Roman"/>
            <w:sz w:val="28"/>
            <w:szCs w:val="28"/>
            <w:lang w:val="en-US"/>
          </w:rPr>
          <m:t>I</m:t>
        </m:r>
        <m:r>
          <m:rPr>
            <m:sty m:val="p"/>
          </m:rPr>
          <w:rPr>
            <w:rFonts w:ascii="Cambria Math" w:hAnsi="Cambria Math" w:cs="Times New Roman"/>
            <w:sz w:val="28"/>
            <w:szCs w:val="28"/>
          </w:rPr>
          <m:t xml:space="preserve">) - </m:t>
        </m:r>
      </m:oMath>
      <w:r w:rsidRPr="003A6E5A">
        <w:rPr>
          <w:rFonts w:ascii="Times New Roman" w:hAnsi="Times New Roman" w:cs="Times New Roman"/>
          <w:sz w:val="28"/>
          <w:szCs w:val="28"/>
        </w:rPr>
        <w:t>вектор случайных ошибок.</w:t>
      </w:r>
    </w:p>
    <w:p w14:paraId="54A5A433"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ab/>
        <w:t xml:space="preserve">Основными характеристиками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 модели являются:</w:t>
      </w:r>
    </w:p>
    <w:p w14:paraId="71992758"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 пространственный лаг зависимой переменной </w:t>
      </w:r>
      <m:oMath>
        <m:r>
          <m:rPr>
            <m:sty m:val="p"/>
          </m:rPr>
          <w:rPr>
            <w:rFonts w:ascii="Cambria Math" w:hAnsi="Cambria Math" w:cs="Times New Roman"/>
            <w:sz w:val="28"/>
            <w:szCs w:val="28"/>
            <w:lang w:val="en-US"/>
          </w:rPr>
          <m:t>Wy</m:t>
        </m:r>
      </m:oMath>
      <w:r w:rsidRPr="003A6E5A">
        <w:rPr>
          <w:rFonts w:ascii="Times New Roman" w:hAnsi="Times New Roman" w:cs="Times New Roman"/>
          <w:sz w:val="28"/>
          <w:szCs w:val="28"/>
        </w:rPr>
        <w:t xml:space="preserve">: основное отличие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модели от обычной OLS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наличие переменной (</w:t>
      </w:r>
      <m:oMath>
        <m:r>
          <m:rPr>
            <m:sty m:val="p"/>
          </m:rPr>
          <w:rPr>
            <w:rFonts w:ascii="Cambria Math" w:hAnsi="Cambria Math" w:cs="Times New Roman"/>
            <w:sz w:val="28"/>
            <w:szCs w:val="28"/>
            <w:lang w:val="en-US"/>
          </w:rPr>
          <m:t>Wy</m:t>
        </m:r>
      </m:oMath>
      <w:r w:rsidRPr="003A6E5A">
        <w:rPr>
          <w:rFonts w:ascii="Times New Roman" w:hAnsi="Times New Roman" w:cs="Times New Roman"/>
          <w:sz w:val="28"/>
          <w:szCs w:val="28"/>
        </w:rPr>
        <w:t>), которая представляет собой влияние соседних регионов на данный регион;</w:t>
      </w:r>
    </w:p>
    <w:p w14:paraId="1B874D9D"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если </w:t>
      </w:r>
      <m:oMath>
        <m:r>
          <m:rPr>
            <m:sty m:val="p"/>
          </m:rPr>
          <w:rPr>
            <w:rFonts w:ascii="Cambria Math" w:hAnsi="Cambria Math" w:cs="Times New Roman"/>
            <w:sz w:val="28"/>
            <w:szCs w:val="28"/>
            <w:lang w:val="en-US"/>
          </w:rPr>
          <m:t>ρ</m:t>
        </m:r>
        <m:r>
          <m:rPr>
            <m:sty m:val="p"/>
          </m:rPr>
          <w:rPr>
            <w:rFonts w:ascii="Cambria Math" w:hAnsi="Cambria Math" w:cs="Times New Roman"/>
            <w:sz w:val="28"/>
            <w:szCs w:val="28"/>
          </w:rPr>
          <m:t>&gt;0</m:t>
        </m:r>
      </m:oMath>
      <w:r w:rsidRPr="003A6E5A">
        <w:rPr>
          <w:rFonts w:ascii="Times New Roman" w:hAnsi="Times New Roman" w:cs="Times New Roman"/>
          <w:sz w:val="28"/>
          <w:szCs w:val="28"/>
        </w:rPr>
        <w:t>, то наблюдается положительная пространственная зависимость: области Казахстана с высоким уровнем инвестиций в основной капитал, тянут соседей вверх;</w:t>
      </w:r>
    </w:p>
    <w:p w14:paraId="30B93037"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если </w:t>
      </w:r>
      <m:oMath>
        <m:r>
          <m:rPr>
            <m:sty m:val="p"/>
          </m:rPr>
          <w:rPr>
            <w:rFonts w:ascii="Cambria Math" w:hAnsi="Cambria Math" w:cs="Times New Roman"/>
            <w:sz w:val="28"/>
            <w:szCs w:val="28"/>
            <w:lang w:val="en-US"/>
          </w:rPr>
          <m:t>ρ</m:t>
        </m:r>
        <m:r>
          <m:rPr>
            <m:sty m:val="p"/>
          </m:rPr>
          <w:rPr>
            <w:rFonts w:ascii="Cambria Math" w:hAnsi="Cambria Math" w:cs="Times New Roman"/>
            <w:sz w:val="28"/>
            <w:szCs w:val="28"/>
          </w:rPr>
          <m:t>&lt;0</m:t>
        </m:r>
      </m:oMath>
      <w:r w:rsidRPr="003A6E5A">
        <w:rPr>
          <w:rFonts w:ascii="Times New Roman" w:hAnsi="Times New Roman" w:cs="Times New Roman"/>
          <w:sz w:val="28"/>
          <w:szCs w:val="28"/>
        </w:rPr>
        <w:t>, то зависимость отрицательная: значения инвестиций в основной капитал в соседних областях Казахстана движутся в противоположных направлениях.</w:t>
      </w:r>
    </w:p>
    <w:p w14:paraId="4B7B7FF4"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ab/>
        <w:t xml:space="preserve">Необходимо отметить, что из-за наличия пространственного лага нельзя интерпретировать коэффициенты </w:t>
      </w:r>
      <m:oMath>
        <m:r>
          <m:rPr>
            <m:sty m:val="p"/>
          </m:rPr>
          <w:rPr>
            <w:rFonts w:ascii="Cambria Math" w:hAnsi="Cambria Math" w:cs="Times New Roman"/>
            <w:sz w:val="28"/>
            <w:szCs w:val="28"/>
            <w:lang w:val="en-US"/>
          </w:rPr>
          <m:t>β</m:t>
        </m:r>
      </m:oMath>
      <w:r w:rsidRPr="003A6E5A">
        <w:rPr>
          <w:rFonts w:ascii="Times New Roman" w:hAnsi="Times New Roman" w:cs="Times New Roman"/>
          <w:sz w:val="28"/>
          <w:szCs w:val="28"/>
        </w:rPr>
        <w:t xml:space="preserve"> как в OLS. В данной модели эффекты делятся также на прямые (влияние переменных на область) и косвеннные (spillover-эффекты на соседние области Казахстана). Таким образом, общий эффект представляет собой сумму прямых и косвенных эффектов.</w:t>
      </w:r>
    </w:p>
    <w:p w14:paraId="5BE8828A" w14:textId="5A225A2D"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ab/>
        <w:t xml:space="preserve">Матрица весов </w:t>
      </w:r>
      <m:oMath>
        <m:r>
          <w:rPr>
            <w:rFonts w:ascii="Cambria Math" w:hAnsi="Cambria Math" w:cs="Times New Roman"/>
            <w:sz w:val="28"/>
            <w:szCs w:val="28"/>
          </w:rPr>
          <m:t>(</m:t>
        </m:r>
        <m:r>
          <m:rPr>
            <m:sty m:val="p"/>
          </m:rPr>
          <w:rPr>
            <w:rFonts w:ascii="Cambria Math" w:hAnsi="Cambria Math" w:cs="Times New Roman"/>
            <w:sz w:val="28"/>
            <w:szCs w:val="28"/>
            <w:lang w:val="en-US"/>
          </w:rPr>
          <m:t>W</m:t>
        </m:r>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задается заранее и отражает структуру пространственного взаимодействия (например, граничащие области Казахстана, расстояние между центрами областей Казахстана и т.д.). Описываемая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w:t>
      </w:r>
      <w:r w:rsidR="001449F4" w:rsidRPr="003A6E5A">
        <w:rPr>
          <w:rFonts w:ascii="Times New Roman" w:hAnsi="Times New Roman" w:cs="Times New Roman"/>
          <w:sz w:val="28"/>
          <w:szCs w:val="28"/>
        </w:rPr>
        <w:t>–</w:t>
      </w:r>
      <w:r w:rsidRPr="003A6E5A">
        <w:rPr>
          <w:rFonts w:ascii="Times New Roman" w:hAnsi="Times New Roman" w:cs="Times New Roman"/>
          <w:sz w:val="28"/>
          <w:szCs w:val="28"/>
        </w:rPr>
        <w:t xml:space="preserve"> модель предполагает, что пространственная зависимость проявляется только в инвестициях в основой </w:t>
      </w:r>
      <w:r w:rsidR="00C80A65" w:rsidRPr="003A6E5A">
        <w:rPr>
          <w:rFonts w:ascii="Times New Roman" w:hAnsi="Times New Roman" w:cs="Times New Roman"/>
          <w:sz w:val="28"/>
          <w:szCs w:val="28"/>
        </w:rPr>
        <w:t>к</w:t>
      </w:r>
      <w:r w:rsidRPr="003A6E5A">
        <w:rPr>
          <w:rFonts w:ascii="Times New Roman" w:hAnsi="Times New Roman" w:cs="Times New Roman"/>
          <w:sz w:val="28"/>
          <w:szCs w:val="28"/>
        </w:rPr>
        <w:t xml:space="preserve">апитал рассматриваемой области Казахстана. В данной модели пространственная корреляция ошибок не моделируется, в отличие от модели пространственных ошибок. Таким образом, </w:t>
      </w:r>
      <w:r w:rsidRPr="003A6E5A">
        <w:rPr>
          <w:rFonts w:ascii="Times New Roman" w:hAnsi="Times New Roman" w:cs="Times New Roman"/>
          <w:sz w:val="28"/>
          <w:szCs w:val="28"/>
          <w:lang w:val="en-US"/>
        </w:rPr>
        <w:t>SAR</w:t>
      </w:r>
      <w:r w:rsidRPr="003A6E5A">
        <w:rPr>
          <w:rFonts w:ascii="Times New Roman" w:hAnsi="Times New Roman" w:cs="Times New Roman"/>
          <w:sz w:val="28"/>
          <w:szCs w:val="28"/>
        </w:rPr>
        <w:t xml:space="preserve"> </w:t>
      </w:r>
      <w:r w:rsidR="00B63D03" w:rsidRPr="003A6E5A">
        <w:rPr>
          <w:rFonts w:ascii="Times New Roman" w:hAnsi="Times New Roman" w:cs="Times New Roman"/>
          <w:sz w:val="28"/>
          <w:szCs w:val="28"/>
        </w:rPr>
        <w:t>–</w:t>
      </w:r>
      <w:r w:rsidRPr="003A6E5A">
        <w:rPr>
          <w:rFonts w:ascii="Times New Roman" w:hAnsi="Times New Roman" w:cs="Times New Roman"/>
          <w:sz w:val="28"/>
          <w:szCs w:val="28"/>
        </w:rPr>
        <w:t xml:space="preserve"> модель можно использовать если:</w:t>
      </w:r>
    </w:p>
    <w:p w14:paraId="01E4CC3E"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есть подозрение, что значение объясняемой переменной в одной области Казахстана зависит от значений этой же переменной в соседних областях;</w:t>
      </w:r>
    </w:p>
    <w:p w14:paraId="417C0D69"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результаты обычной OLS регрессии дают пространственно-автокоррелированные остатки (например, по тесту Морена);</w:t>
      </w:r>
    </w:p>
    <w:p w14:paraId="4F1B5966"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если нужна корректировка на пространственные spillover-эффекты инвестиций в основной капитал.</w:t>
      </w:r>
    </w:p>
    <w:p w14:paraId="6741903E" w14:textId="1A12433F" w:rsidR="0003217D" w:rsidRPr="003A6E5A" w:rsidRDefault="00FC275D" w:rsidP="001608EA">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Наиболее широко используется метод максимального правдоподобия, который предполагает, что ошибки нормальны, а логарифмическая функция правдоподобия выглядит следующим образом:</w:t>
      </w:r>
    </w:p>
    <w:p w14:paraId="594793D5" w14:textId="77777777" w:rsidR="0003217D" w:rsidRPr="003A6E5A" w:rsidRDefault="0003217D" w:rsidP="001608EA">
      <w:pPr>
        <w:spacing w:after="0" w:line="240" w:lineRule="auto"/>
        <w:ind w:firstLine="708"/>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gridCol w:w="683"/>
      </w:tblGrid>
      <w:tr w:rsidR="0003217D" w:rsidRPr="003A6E5A" w14:paraId="1555BE95" w14:textId="77777777">
        <w:tc>
          <w:tcPr>
            <w:tcW w:w="9196" w:type="dxa"/>
            <w:vAlign w:val="center"/>
          </w:tcPr>
          <w:p w14:paraId="29FF2F24" w14:textId="77777777" w:rsidR="0003217D" w:rsidRPr="003A6E5A" w:rsidRDefault="00FC275D" w:rsidP="001608EA">
            <w:pPr>
              <w:spacing w:after="0" w:line="240" w:lineRule="auto"/>
              <w:rPr>
                <w:rFonts w:ascii="Times New Roman" w:hAnsi="Times New Roman" w:cs="Times New Roman"/>
                <w:sz w:val="28"/>
                <w:szCs w:val="28"/>
                <w:lang w:val="en-US"/>
              </w:rPr>
            </w:pPr>
            <m:oMathPara>
              <m:oMath>
                <m:r>
                  <m:rPr>
                    <m:sty m:val="p"/>
                  </m:rPr>
                  <w:rPr>
                    <w:rFonts w:ascii="Cambria Math" w:hAnsi="Cambria Math" w:cs="Times New Roman"/>
                    <w:sz w:val="28"/>
                    <w:szCs w:val="28"/>
                    <w:lang w:val="en-US"/>
                  </w:rPr>
                  <m:t>lnL=-</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n</m:t>
                    </m:r>
                  </m:num>
                  <m:den>
                    <m:r>
                      <m:rPr>
                        <m:sty m:val="p"/>
                      </m:rPr>
                      <w:rPr>
                        <w:rFonts w:ascii="Cambria Math" w:hAnsi="Cambria Math" w:cs="Times New Roman"/>
                        <w:sz w:val="28"/>
                        <w:szCs w:val="28"/>
                        <w:lang w:val="en-US"/>
                      </w:rPr>
                      <m:t>2</m:t>
                    </m:r>
                  </m:den>
                </m:f>
                <m:r>
                  <m:rPr>
                    <m:sty m:val="p"/>
                  </m:rPr>
                  <w:rPr>
                    <w:rFonts w:ascii="Cambria Math" w:hAnsi="Cambria Math" w:cs="Times New Roman"/>
                    <w:sz w:val="28"/>
                    <w:szCs w:val="28"/>
                    <w:lang w:val="en-US"/>
                  </w:rPr>
                  <m:t>ln(2π</m:t>
                </m:r>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σ</m:t>
                    </m:r>
                  </m:e>
                  <m:sup>
                    <m:r>
                      <m:rPr>
                        <m:sty m:val="p"/>
                      </m:rPr>
                      <w:rPr>
                        <w:rFonts w:ascii="Cambria Math" w:hAnsi="Cambria Math" w:cs="Times New Roman"/>
                        <w:sz w:val="28"/>
                        <w:szCs w:val="28"/>
                        <w:lang w:val="en-US"/>
                      </w:rPr>
                      <m:t>2</m:t>
                    </m:r>
                  </m:sup>
                </m:sSup>
                <m:r>
                  <m:rPr>
                    <m:sty m:val="p"/>
                  </m:rPr>
                  <w:rPr>
                    <w:rFonts w:ascii="Cambria Math" w:hAnsi="Cambria Math" w:cs="Times New Roman"/>
                    <w:sz w:val="28"/>
                    <w:szCs w:val="28"/>
                    <w:lang w:val="en-US"/>
                  </w:rPr>
                  <m:t>)+ln</m:t>
                </m:r>
                <m:d>
                  <m:dPr>
                    <m:begChr m:val="|"/>
                    <m:endChr m:val="|"/>
                    <m:ctrlPr>
                      <w:rPr>
                        <w:rFonts w:ascii="Cambria Math" w:hAnsi="Cambria Math" w:cs="Times New Roman"/>
                        <w:sz w:val="28"/>
                        <w:szCs w:val="28"/>
                        <w:lang w:val="en-US"/>
                      </w:rPr>
                    </m:ctrlPr>
                  </m:dPr>
                  <m:e>
                    <m:r>
                      <m:rPr>
                        <m:sty m:val="p"/>
                      </m:rPr>
                      <w:rPr>
                        <w:rFonts w:ascii="Cambria Math" w:hAnsi="Cambria Math" w:cs="Times New Roman"/>
                        <w:sz w:val="28"/>
                        <w:szCs w:val="28"/>
                        <w:lang w:val="en-US"/>
                      </w:rPr>
                      <m:t>I-ρW</m:t>
                    </m:r>
                  </m:e>
                </m:d>
                <m:r>
                  <m:rPr>
                    <m:sty m:val="p"/>
                  </m:rPr>
                  <w:rPr>
                    <w:rFonts w:ascii="Cambria Math" w:hAnsi="Cambria Math" w:cs="Times New Roman"/>
                    <w:sz w:val="28"/>
                    <w:szCs w:val="28"/>
                    <w:lang w:val="en-US"/>
                  </w:rPr>
                  <m:t>-</m:t>
                </m:r>
                <m:f>
                  <m:fPr>
                    <m:ctrlPr>
                      <w:rPr>
                        <w:rFonts w:ascii="Cambria Math" w:hAnsi="Cambria Math" w:cs="Times New Roman"/>
                        <w:sz w:val="28"/>
                        <w:szCs w:val="28"/>
                        <w:lang w:val="en-US"/>
                      </w:rPr>
                    </m:ctrlPr>
                  </m:fPr>
                  <m:num>
                    <m:r>
                      <m:rPr>
                        <m:sty m:val="p"/>
                      </m:rPr>
                      <w:rPr>
                        <w:rFonts w:ascii="Cambria Math" w:hAnsi="Cambria Math" w:cs="Times New Roman"/>
                        <w:sz w:val="28"/>
                        <w:szCs w:val="28"/>
                        <w:lang w:val="en-US"/>
                      </w:rPr>
                      <m:t>1</m:t>
                    </m:r>
                  </m:num>
                  <m:den>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2σ</m:t>
                        </m:r>
                      </m:e>
                      <m:sup>
                        <m:r>
                          <m:rPr>
                            <m:sty m:val="p"/>
                          </m:rPr>
                          <w:rPr>
                            <w:rFonts w:ascii="Cambria Math" w:hAnsi="Cambria Math" w:cs="Times New Roman"/>
                            <w:sz w:val="28"/>
                            <w:szCs w:val="28"/>
                            <w:lang w:val="en-US"/>
                          </w:rPr>
                          <m:t>2</m:t>
                        </m:r>
                      </m:sup>
                    </m:sSup>
                  </m:den>
                </m:f>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(y-ρWy-Xβ)</m:t>
                    </m:r>
                  </m:e>
                  <m:sup>
                    <m:r>
                      <m:rPr>
                        <m:sty m:val="p"/>
                      </m:rPr>
                      <w:rPr>
                        <w:rFonts w:ascii="Cambria Math" w:hAnsi="Cambria Math" w:cs="Times New Roman"/>
                        <w:sz w:val="28"/>
                        <w:szCs w:val="28"/>
                        <w:lang w:val="en-US"/>
                      </w:rPr>
                      <m:t>'</m:t>
                    </m:r>
                  </m:sup>
                </m:sSup>
                <m:r>
                  <m:rPr>
                    <m:sty m:val="p"/>
                  </m:rPr>
                  <w:rPr>
                    <w:rFonts w:ascii="Cambria Math" w:hAnsi="Cambria Math" w:cs="Times New Roman"/>
                    <w:sz w:val="28"/>
                    <w:szCs w:val="28"/>
                    <w:lang w:val="en-US"/>
                  </w:rPr>
                  <m:t>(y-ρWy-Xβ)</m:t>
                </m:r>
              </m:oMath>
            </m:oMathPara>
          </w:p>
        </w:tc>
        <w:tc>
          <w:tcPr>
            <w:tcW w:w="622" w:type="dxa"/>
            <w:vAlign w:val="center"/>
          </w:tcPr>
          <w:p w14:paraId="3DC04CF9"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t>(26)</w:t>
            </w:r>
          </w:p>
        </w:tc>
      </w:tr>
    </w:tbl>
    <w:p w14:paraId="157D109B" w14:textId="77777777" w:rsidR="0003217D" w:rsidRPr="003A6E5A" w:rsidRDefault="0003217D" w:rsidP="001608EA">
      <w:pPr>
        <w:spacing w:after="0" w:line="240" w:lineRule="auto"/>
        <w:ind w:firstLine="708"/>
        <w:jc w:val="both"/>
        <w:rPr>
          <w:rFonts w:ascii="Times New Roman" w:eastAsia="Calibri" w:hAnsi="Times New Roman" w:cs="Times New Roman"/>
          <w:sz w:val="28"/>
          <w:szCs w:val="28"/>
          <w:lang w:bidi="ar"/>
        </w:rPr>
      </w:pPr>
    </w:p>
    <w:p w14:paraId="79F2BFCE" w14:textId="77777777" w:rsidR="0003217D" w:rsidRPr="003A6E5A" w:rsidRDefault="00FC275D" w:rsidP="00251A5D">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Параметры </w:t>
      </w:r>
      <m:oMath>
        <m:r>
          <m:rPr>
            <m:sty m:val="p"/>
          </m:rPr>
          <w:rPr>
            <w:rFonts w:ascii="Cambria Math" w:hAnsi="Cambria Math" w:cs="Times New Roman"/>
            <w:sz w:val="28"/>
            <w:szCs w:val="28"/>
            <w:lang w:val="en-US"/>
          </w:rPr>
          <m:t>ρ</m:t>
        </m:r>
      </m:oMath>
      <w:r w:rsidRPr="003A6E5A">
        <w:rPr>
          <w:rFonts w:ascii="Times New Roman" w:hAnsi="Times New Roman" w:cs="Times New Roman"/>
          <w:sz w:val="28"/>
          <w:szCs w:val="28"/>
        </w:rPr>
        <w:t xml:space="preserve">, </w:t>
      </w:r>
      <m:oMath>
        <m:r>
          <m:rPr>
            <m:sty m:val="p"/>
          </m:rPr>
          <w:rPr>
            <w:rFonts w:ascii="Cambria Math" w:hAnsi="Cambria Math" w:cs="Times New Roman"/>
            <w:sz w:val="28"/>
            <w:szCs w:val="28"/>
            <w:lang w:val="en-US"/>
          </w:rPr>
          <m:t>β</m:t>
        </m:r>
      </m:oMath>
      <w:r w:rsidRPr="003A6E5A">
        <w:rPr>
          <w:rFonts w:ascii="Times New Roman" w:hAnsi="Times New Roman" w:cs="Times New Roman"/>
          <w:sz w:val="28"/>
          <w:szCs w:val="28"/>
        </w:rPr>
        <w:t xml:space="preserve"> и </w:t>
      </w:r>
      <m:oMath>
        <m:sSup>
          <m:sSupPr>
            <m:ctrlPr>
              <w:rPr>
                <w:rFonts w:ascii="Cambria Math" w:hAnsi="Cambria Math" w:cs="Times New Roman"/>
                <w:sz w:val="28"/>
                <w:szCs w:val="28"/>
                <w:lang w:val="en-US"/>
              </w:rPr>
            </m:ctrlPr>
          </m:sSupPr>
          <m:e>
            <m:r>
              <m:rPr>
                <m:sty m:val="p"/>
              </m:rPr>
              <w:rPr>
                <w:rFonts w:ascii="Cambria Math" w:hAnsi="Cambria Math" w:cs="Times New Roman"/>
                <w:sz w:val="28"/>
                <w:szCs w:val="28"/>
                <w:lang w:val="en-US"/>
              </w:rPr>
              <m:t>σ</m:t>
            </m:r>
          </m:e>
          <m:sup>
            <m:r>
              <m:rPr>
                <m:sty m:val="p"/>
              </m:rPr>
              <w:rPr>
                <w:rFonts w:ascii="Cambria Math" w:hAnsi="Cambria Math" w:cs="Times New Roman"/>
                <w:sz w:val="28"/>
                <w:szCs w:val="28"/>
              </w:rPr>
              <m:t>2</m:t>
            </m:r>
          </m:sup>
        </m:sSup>
      </m:oMath>
      <w:r w:rsidRPr="003A6E5A">
        <w:rPr>
          <w:rFonts w:ascii="Times New Roman" w:hAnsi="Times New Roman" w:cs="Times New Roman"/>
          <w:sz w:val="28"/>
          <w:szCs w:val="28"/>
        </w:rPr>
        <w:t xml:space="preserve"> оцениваются путем максимизации логарифмического правдоподобия. Обычно используются численные методы оптимизации. Преимуществами являются высокая эффективность при нормальности ошибок, а также позволяет получить точные оценки даже при сильной пространственной зависимости. При этом существуют ограничения </w:t>
      </w:r>
      <m:oMath>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 требует корректного задания весов </w:t>
      </w:r>
      <m:oMath>
        <m:r>
          <m:rPr>
            <m:sty m:val="p"/>
          </m:rPr>
          <w:rPr>
            <w:rFonts w:ascii="Cambria Math" w:hAnsi="Cambria Math" w:cs="Times New Roman"/>
            <w:sz w:val="28"/>
            <w:szCs w:val="28"/>
            <w:lang w:val="en-US"/>
          </w:rPr>
          <m:t>W</m:t>
        </m:r>
      </m:oMath>
      <w:r w:rsidRPr="003A6E5A">
        <w:rPr>
          <w:rFonts w:ascii="Times New Roman" w:hAnsi="Times New Roman" w:cs="Times New Roman"/>
          <w:sz w:val="28"/>
          <w:szCs w:val="28"/>
        </w:rPr>
        <w:t xml:space="preserve"> и чувствителен к нарушениям нормальности ошибок.</w:t>
      </w:r>
    </w:p>
    <w:p w14:paraId="303CD881" w14:textId="6113E38C" w:rsidR="0088337B" w:rsidRPr="003A6E5A" w:rsidRDefault="0088337B" w:rsidP="00251A5D">
      <w:pPr>
        <w:spacing w:after="0" w:line="240" w:lineRule="auto"/>
        <w:ind w:firstLine="709"/>
        <w:jc w:val="both"/>
        <w:rPr>
          <w:rFonts w:ascii="Times New Roman" w:hAnsi="Times New Roman" w:cs="Times New Roman"/>
          <w:sz w:val="28"/>
          <w:szCs w:val="28"/>
        </w:rPr>
      </w:pPr>
      <w:bookmarkStart w:id="21" w:name="_Toc209538979"/>
      <w:bookmarkStart w:id="22" w:name="_Hlk203577410"/>
      <w:r w:rsidRPr="003A6E5A">
        <w:rPr>
          <w:rFonts w:ascii="Times New Roman" w:hAnsi="Times New Roman" w:cs="Times New Roman"/>
          <w:sz w:val="28"/>
          <w:szCs w:val="28"/>
        </w:rPr>
        <w:t xml:space="preserve">В качестве альтернативы методу максимального правдоподобия может применяться метод обобщенных моментов, который особенно востребован в ситуациях, когда предположение о нормальности распределения ошибок </w:t>
      </w:r>
      <w:r w:rsidRPr="003A6E5A">
        <w:rPr>
          <w:rFonts w:ascii="Times New Roman" w:hAnsi="Times New Roman" w:cs="Times New Roman"/>
          <w:sz w:val="28"/>
          <w:szCs w:val="28"/>
        </w:rPr>
        <w:lastRenderedPageBreak/>
        <w:t>вызывает сомнения. Ключевыми преимуществами данного метода выступают его устойчивость к нарушениям статистических предпосылок, а также возможность применения в панельных моделях и условиях эндогенности. Вместе с тем, его реализация сопряжена с определенными сложностями, включая необходимость тщательного подбора инструментальных переменных [</w:t>
      </w:r>
      <w:r w:rsidR="00DA21CC" w:rsidRPr="003A6E5A">
        <w:rPr>
          <w:rFonts w:ascii="Times New Roman" w:hAnsi="Times New Roman" w:cs="Times New Roman"/>
          <w:sz w:val="28"/>
          <w:szCs w:val="28"/>
        </w:rPr>
        <w:t>10</w:t>
      </w:r>
      <w:r w:rsidR="00B67905" w:rsidRPr="003A6E5A">
        <w:rPr>
          <w:rFonts w:ascii="Times New Roman" w:hAnsi="Times New Roman" w:cs="Times New Roman"/>
          <w:sz w:val="28"/>
          <w:szCs w:val="28"/>
        </w:rPr>
        <w:t>6</w:t>
      </w:r>
      <w:r w:rsidRPr="003A6E5A">
        <w:rPr>
          <w:rFonts w:ascii="Times New Roman" w:hAnsi="Times New Roman" w:cs="Times New Roman"/>
          <w:sz w:val="28"/>
          <w:szCs w:val="28"/>
        </w:rPr>
        <w:t>]. Дальнейшим развитием методологического аппарата выступает байесовский подход, который использует априорные распределения параметров и строит апостериорные распределения с помощью методов Монте-Карло для цепей Маркова. Его сильные стороны заключаются в гибкости учета априорной информации и возможности построения точечных и интервальных оценок параметров, хотя он также требует осторожного выбора априорных распределений и значительных вычислительных ресурсов.</w:t>
      </w:r>
    </w:p>
    <w:p w14:paraId="2C5DC1EE" w14:textId="77777777" w:rsidR="0088337B" w:rsidRPr="003A6E5A" w:rsidRDefault="0088337B" w:rsidP="00251A5D">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Сравнительный анализ рассмотренных методов оценки позволяет сделать вывод, что выбор конкретного подхода зависит от структуры данных (кросс-секционные или панельные), соответствия предпосылкам о распределении ошибок, наличия эндогенных переменных и доступности программных средств. При этом на практике наиболее широкое распространение получил метод максимального правдоподобия, реализованный в специализированных программных пакетах, таких как STATA (spreg). В более широком методологическом контексте проведенный анализ убедительно демонстрирует, что пространственные авторегрессионные модели представляют собой качественно новый этап в развитии методологии инвестиционных исследований. В отличие от классических подходов, они позволяют количественно оценить пространственную взаимозависимость регионов через анализ spillover-эффектов, что особенно актуально для изучения инвестиционных процессов.</w:t>
      </w:r>
    </w:p>
    <w:p w14:paraId="2110B9A6" w14:textId="3B081D0B" w:rsidR="00975DB7" w:rsidRPr="003A6E5A" w:rsidRDefault="0088337B" w:rsidP="00251A5D">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Методологический арсенал, включающий модели SAR, SEM и SDM, предоставляет исследователям инструменты для определения как прямых эффектов факторов внутри региона, так и косвенных воздействий на соседние территории, обеспечивая тем самым комплексный анализ инвестиционной привлекательности в рамках единого экономического пространства. Таким образом, применение пространственных авторегрессионных моделей становится необходимым условием получения достоверных результатов в региональных инвестиционных исследованиях. Несмотря на существующие методологические вызовы, связанные с выбором матрицы пространственных весов и сложностью вычислений, эти модели позволяют преодолеть ограничения традиционных подходов и перейти к системному анализу инвестиционных процессов. Их интеграция в исследовательскую практику создает прочную основу для разработки научно обоснованной региональной политики, учитывающей реальные взаимосвязи между территориями в таких странах, как Казахстан.</w:t>
      </w:r>
      <w:r w:rsidR="00975DB7" w:rsidRPr="003A6E5A">
        <w:rPr>
          <w:rFonts w:ascii="Times New Roman" w:hAnsi="Times New Roman"/>
          <w:b/>
          <w:bCs/>
          <w:sz w:val="28"/>
          <w:szCs w:val="28"/>
        </w:rPr>
        <w:br w:type="page"/>
      </w:r>
    </w:p>
    <w:p w14:paraId="70BD1F98" w14:textId="3C3B40C8" w:rsidR="0003217D" w:rsidRPr="003A6E5A" w:rsidRDefault="00FC275D" w:rsidP="00975DB7">
      <w:pPr>
        <w:pStyle w:val="1-"/>
        <w:spacing w:beforeAutospacing="0" w:after="0" w:afterAutospacing="0" w:line="240" w:lineRule="auto"/>
        <w:ind w:firstLine="709"/>
        <w:jc w:val="both"/>
        <w:rPr>
          <w:rFonts w:ascii="Times New Roman" w:hAnsi="Times New Roman" w:hint="default"/>
          <w:bCs w:val="0"/>
          <w:sz w:val="28"/>
          <w:szCs w:val="28"/>
          <w:lang w:val="kk-KZ"/>
        </w:rPr>
      </w:pPr>
      <w:bookmarkStart w:id="23" w:name="_Hlk213168025"/>
      <w:r w:rsidRPr="003A6E5A">
        <w:rPr>
          <w:rFonts w:ascii="Times New Roman" w:hAnsi="Times New Roman" w:hint="default"/>
          <w:bCs w:val="0"/>
          <w:sz w:val="28"/>
          <w:szCs w:val="28"/>
          <w:lang w:val="ru-RU"/>
        </w:rPr>
        <w:lastRenderedPageBreak/>
        <w:t xml:space="preserve">2 </w:t>
      </w:r>
      <w:bookmarkEnd w:id="21"/>
      <w:r w:rsidR="00D44C58" w:rsidRPr="003A6E5A">
        <w:rPr>
          <w:rFonts w:ascii="Times New Roman" w:hAnsi="Times New Roman" w:hint="default"/>
          <w:bCs w:val="0"/>
          <w:sz w:val="28"/>
          <w:szCs w:val="28"/>
          <w:lang w:val="kk-KZ"/>
        </w:rPr>
        <w:t>ОЦЕНКА ИНВЕСТИЦИОННОГО ПОТЕНЦИАЛА И ФАКТОРОВ РАЗВИТИЯ ЕВРОПЕЙСКИХ ИНВЕСТИЦИЙ В КАЗАХСТАНЕ</w:t>
      </w:r>
    </w:p>
    <w:p w14:paraId="2271EC87" w14:textId="77777777" w:rsidR="0003217D" w:rsidRPr="003A6E5A" w:rsidRDefault="0003217D" w:rsidP="00975DB7">
      <w:pPr>
        <w:spacing w:after="0" w:line="240" w:lineRule="auto"/>
        <w:ind w:firstLine="709"/>
        <w:jc w:val="both"/>
        <w:rPr>
          <w:rFonts w:ascii="Times New Roman" w:hAnsi="Times New Roman" w:cs="Times New Roman"/>
          <w:sz w:val="28"/>
          <w:szCs w:val="28"/>
          <w:lang w:val="kk-KZ"/>
        </w:rPr>
      </w:pPr>
    </w:p>
    <w:p w14:paraId="2B9522C3" w14:textId="6C5BB1FE" w:rsidR="006652C1" w:rsidRPr="003A6E5A" w:rsidRDefault="00FC5A0E" w:rsidP="006652C1">
      <w:pPr>
        <w:pStyle w:val="2-"/>
        <w:spacing w:before="0" w:line="240" w:lineRule="auto"/>
        <w:ind w:firstLine="709"/>
        <w:jc w:val="both"/>
        <w:rPr>
          <w:rFonts w:ascii="Times New Roman" w:hAnsi="Times New Roman" w:cs="Times New Roman"/>
          <w:b/>
          <w:color w:val="auto"/>
          <w:sz w:val="28"/>
          <w:szCs w:val="28"/>
        </w:rPr>
      </w:pPr>
      <w:bookmarkStart w:id="24" w:name="_Toc209538980"/>
      <w:r w:rsidRPr="003A6E5A">
        <w:rPr>
          <w:rFonts w:ascii="Times New Roman" w:eastAsia="Times New Roman" w:hAnsi="Times New Roman" w:cs="Times New Roman"/>
          <w:b/>
          <w:color w:val="auto"/>
          <w:sz w:val="28"/>
          <w:szCs w:val="28"/>
          <w:lang w:eastAsia="ru-RU"/>
        </w:rPr>
        <w:t>2</w:t>
      </w:r>
      <w:r w:rsidR="006652C1" w:rsidRPr="003A6E5A">
        <w:rPr>
          <w:rFonts w:ascii="Times New Roman" w:eastAsia="Times New Roman" w:hAnsi="Times New Roman" w:cs="Times New Roman"/>
          <w:b/>
          <w:color w:val="auto"/>
          <w:sz w:val="28"/>
          <w:szCs w:val="28"/>
          <w:lang w:eastAsia="ru-RU"/>
        </w:rPr>
        <w:t>.</w:t>
      </w:r>
      <w:r w:rsidRPr="003A6E5A">
        <w:rPr>
          <w:rFonts w:ascii="Times New Roman" w:eastAsia="Times New Roman" w:hAnsi="Times New Roman" w:cs="Times New Roman"/>
          <w:b/>
          <w:color w:val="auto"/>
          <w:sz w:val="28"/>
          <w:szCs w:val="28"/>
          <w:lang w:eastAsia="ru-RU"/>
        </w:rPr>
        <w:t>1</w:t>
      </w:r>
      <w:r w:rsidR="006652C1" w:rsidRPr="003A6E5A">
        <w:rPr>
          <w:rFonts w:ascii="Times New Roman" w:eastAsia="Times New Roman" w:hAnsi="Times New Roman" w:cs="Times New Roman"/>
          <w:b/>
          <w:color w:val="auto"/>
          <w:sz w:val="28"/>
          <w:szCs w:val="28"/>
          <w:lang w:eastAsia="ru-RU"/>
        </w:rPr>
        <w:t xml:space="preserve"> </w:t>
      </w:r>
      <w:r w:rsidR="006652C1" w:rsidRPr="003A6E5A">
        <w:rPr>
          <w:rFonts w:ascii="Times New Roman" w:hAnsi="Times New Roman" w:cs="Times New Roman"/>
          <w:b/>
          <w:color w:val="auto"/>
          <w:sz w:val="28"/>
          <w:szCs w:val="28"/>
          <w:lang w:val="kk-KZ"/>
        </w:rPr>
        <w:t>Особенности инвестиционного взаимодействия между странами Центральной Азии и государствами Европейского Союза</w:t>
      </w:r>
    </w:p>
    <w:bookmarkEnd w:id="23"/>
    <w:p w14:paraId="13636DF5" w14:textId="77777777" w:rsidR="006652C1" w:rsidRPr="003A6E5A" w:rsidRDefault="006652C1" w:rsidP="006652C1">
      <w:pPr>
        <w:spacing w:after="0" w:line="240" w:lineRule="auto"/>
        <w:jc w:val="both"/>
        <w:rPr>
          <w:rFonts w:ascii="Times New Roman" w:hAnsi="Times New Roman" w:cs="Times New Roman"/>
          <w:sz w:val="28"/>
          <w:szCs w:val="28"/>
          <w:lang w:val="kk-KZ"/>
        </w:rPr>
      </w:pPr>
    </w:p>
    <w:p w14:paraId="687DFEAF" w14:textId="404EC180" w:rsidR="006652C1" w:rsidRPr="003A6E5A" w:rsidRDefault="006652C1" w:rsidP="006652C1">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Для стран с переходной экономикой, находившихся в процессе системной трансформации после обретения государственной независимости, иностранные инвестиции изначально представлялись, и до настоящего времени рассматриваются, как потенциальный драйвер устойчивого экономического роста и финансовой стабилизации. </w:t>
      </w:r>
      <w:r w:rsidRPr="003A6E5A">
        <w:rPr>
          <w:rFonts w:ascii="Times New Roman" w:eastAsia="Times New Roman" w:hAnsi="Times New Roman" w:cs="Times New Roman"/>
          <w:sz w:val="28"/>
          <w:szCs w:val="28"/>
          <w:lang w:val="kk-KZ" w:eastAsia="ru-RU"/>
        </w:rPr>
        <w:t>По мнению профессора Мурадова А.Д. в</w:t>
      </w:r>
      <w:r w:rsidRPr="003A6E5A">
        <w:rPr>
          <w:rFonts w:ascii="Times New Roman" w:eastAsia="Times New Roman" w:hAnsi="Times New Roman" w:cs="Times New Roman"/>
          <w:sz w:val="28"/>
          <w:szCs w:val="28"/>
          <w:lang w:eastAsia="ru-RU"/>
        </w:rPr>
        <w:t xml:space="preserve"> условиях ограниченного объёма внутренних сбережений и структурных деформаций, доставшихся в наследство от централизованной плановой системы, иностранный капитал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в особенности прямые инвестиции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воспринимался как возможный источник модернизации производственного сектора, трансфера технологий, внедрения современных управленческих практик и канал интеграции в глобальные цепочки добавленной стоимости [</w:t>
      </w:r>
      <w:r w:rsidR="00DA21CC" w:rsidRPr="003A6E5A">
        <w:rPr>
          <w:rFonts w:ascii="Times New Roman" w:eastAsia="Times New Roman" w:hAnsi="Times New Roman" w:cs="Times New Roman"/>
          <w:sz w:val="28"/>
          <w:szCs w:val="28"/>
          <w:lang w:eastAsia="ru-RU"/>
        </w:rPr>
        <w:t>10</w:t>
      </w:r>
      <w:r w:rsidR="00B67905" w:rsidRPr="003A6E5A">
        <w:rPr>
          <w:rFonts w:ascii="Times New Roman" w:eastAsia="Times New Roman" w:hAnsi="Times New Roman" w:cs="Times New Roman"/>
          <w:sz w:val="28"/>
          <w:szCs w:val="28"/>
          <w:lang w:eastAsia="ru-RU"/>
        </w:rPr>
        <w:t>7</w:t>
      </w: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en-US" w:eastAsia="ru-RU"/>
        </w:rPr>
        <w:t>c</w:t>
      </w:r>
      <w:r w:rsidRPr="003A6E5A">
        <w:rPr>
          <w:rFonts w:ascii="Times New Roman" w:eastAsia="Times New Roman" w:hAnsi="Times New Roman" w:cs="Times New Roman"/>
          <w:sz w:val="28"/>
          <w:szCs w:val="28"/>
          <w:lang w:eastAsia="ru-RU"/>
        </w:rPr>
        <w:t xml:space="preserve">. 17]. </w:t>
      </w:r>
    </w:p>
    <w:p w14:paraId="44A05FA2" w14:textId="39B6EF21" w:rsidR="006652C1" w:rsidRPr="003A6E5A" w:rsidRDefault="006652C1" w:rsidP="006652C1">
      <w:pPr>
        <w:spacing w:after="0" w:line="240" w:lineRule="auto"/>
        <w:ind w:firstLine="706"/>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 xml:space="preserve">С позиций современных экономических подходов, отмечается, что поступления ПИИ могут не только компенсировать дефицит ресурсов, но и способствовать углублению структурной перестройки, росту производительности и доходов, а также продвижению в направлении устойчивого развития. Как указывается в аналитических докладах, несмотря на разнонаправленные тренды, иностранные инвестиции по-прежнему сохраняют потенциал стать катализатором преобразований в развивающихся и переходных экономиках </w:t>
      </w:r>
      <w:r w:rsidRPr="003A6E5A">
        <w:rPr>
          <w:rFonts w:ascii="Times New Roman" w:eastAsia="Times New Roman" w:hAnsi="Times New Roman" w:cs="Times New Roman"/>
          <w:sz w:val="28"/>
          <w:szCs w:val="28"/>
          <w:lang w:eastAsia="ru-RU"/>
        </w:rPr>
        <w:t>[</w:t>
      </w:r>
      <w:r w:rsidR="00DA21CC" w:rsidRPr="003A6E5A">
        <w:rPr>
          <w:rFonts w:ascii="Times New Roman" w:eastAsia="Times New Roman" w:hAnsi="Times New Roman" w:cs="Times New Roman"/>
          <w:sz w:val="28"/>
          <w:szCs w:val="28"/>
          <w:lang w:eastAsia="ru-RU"/>
        </w:rPr>
        <w:t>10</w:t>
      </w:r>
      <w:r w:rsidR="00B67905" w:rsidRPr="003A6E5A">
        <w:rPr>
          <w:rFonts w:ascii="Times New Roman" w:eastAsia="Times New Roman" w:hAnsi="Times New Roman" w:cs="Times New Roman"/>
          <w:sz w:val="28"/>
          <w:szCs w:val="28"/>
          <w:lang w:eastAsia="ru-RU"/>
        </w:rPr>
        <w:t>8</w:t>
      </w:r>
      <w:r w:rsidRPr="003A6E5A">
        <w:rPr>
          <w:rFonts w:ascii="Times New Roman" w:eastAsia="Times New Roman" w:hAnsi="Times New Roman" w:cs="Times New Roman"/>
          <w:sz w:val="28"/>
          <w:szCs w:val="28"/>
          <w:lang w:eastAsia="ru-RU"/>
        </w:rPr>
        <w:t>]</w:t>
      </w:r>
      <w:r w:rsidRPr="003A6E5A">
        <w:rPr>
          <w:rFonts w:ascii="Times New Roman" w:hAnsi="Times New Roman" w:cs="Times New Roman"/>
          <w:sz w:val="28"/>
          <w:szCs w:val="28"/>
        </w:rPr>
        <w:t>. Вместе с тем, вероятное усиление их роли становится особенно ощутимым в условиях глобальной нестабильности, обусловленной долгосрочными последствиями пандемии COVID-19, ростом геополитической турбулентности и необходимостью адаптации к требованиям энергетического перехода.</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На этом фоне наблюдается парадоксальная и в то же время тревожная тенденция </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устойчивое сокращение объемов глобальных инвестиционных потоков, особенно в отношении стран с переходной и развивающейся экономикой. Так, согласно данным ООН, начиная с 2021 года, мировой инвестиционный ландшафт демонстрирует нисходящую динамику: если в 2022 году темпы роста инвестиций в государства с формирующимися рынками составили 5,1%, то в 2023 году этот показатель снизился до 3,7% [</w:t>
      </w:r>
      <w:r w:rsidR="00DA21CC" w:rsidRPr="003A6E5A">
        <w:rPr>
          <w:rFonts w:ascii="Times New Roman" w:hAnsi="Times New Roman" w:cs="Times New Roman"/>
          <w:sz w:val="28"/>
          <w:szCs w:val="28"/>
        </w:rPr>
        <w:t>10</w:t>
      </w:r>
      <w:r w:rsidR="00B67905" w:rsidRPr="003A6E5A">
        <w:rPr>
          <w:rFonts w:ascii="Times New Roman" w:hAnsi="Times New Roman" w:cs="Times New Roman"/>
          <w:sz w:val="28"/>
          <w:szCs w:val="28"/>
        </w:rPr>
        <w:t>9</w:t>
      </w:r>
      <w:r w:rsidRPr="003A6E5A">
        <w:rPr>
          <w:rFonts w:ascii="Times New Roman" w:hAnsi="Times New Roman" w:cs="Times New Roman"/>
          <w:sz w:val="28"/>
          <w:szCs w:val="28"/>
        </w:rPr>
        <w:t>]</w:t>
      </w:r>
      <w:r w:rsidRPr="003A6E5A">
        <w:rPr>
          <w:rFonts w:ascii="Times New Roman" w:hAnsi="Times New Roman" w:cs="Times New Roman"/>
          <w:sz w:val="21"/>
          <w:szCs w:val="21"/>
        </w:rPr>
        <w:t>.</w:t>
      </w:r>
      <w:r w:rsidRPr="003A6E5A">
        <w:rPr>
          <w:rFonts w:ascii="Times New Roman" w:hAnsi="Times New Roman" w:cs="Times New Roman"/>
          <w:sz w:val="28"/>
          <w:szCs w:val="28"/>
        </w:rPr>
        <w:t xml:space="preserve"> На этом фоне актуальность привлечения долгосрочного, устойчивого и структурно значимого капитала возрастает вдвойне, особенно для государств с переходной экономикой, к которым относится и Республика Казахстан.</w:t>
      </w:r>
      <w:r w:rsidRPr="003A6E5A">
        <w:rPr>
          <w:rFonts w:ascii="Times New Roman" w:hAnsi="Times New Roman" w:cs="Times New Roman"/>
          <w:sz w:val="28"/>
          <w:szCs w:val="28"/>
          <w:lang w:val="kk-KZ"/>
        </w:rPr>
        <w:t xml:space="preserve"> </w:t>
      </w:r>
      <w:r w:rsidRPr="003A6E5A">
        <w:rPr>
          <w:rFonts w:ascii="Times New Roman" w:eastAsia="Times New Roman" w:hAnsi="Times New Roman" w:cs="Times New Roman"/>
          <w:sz w:val="28"/>
          <w:szCs w:val="28"/>
          <w:lang w:val="kk-KZ" w:eastAsia="ru-RU"/>
        </w:rPr>
        <w:t>Данная траектория, вероятно, указывает на то, что привлечение устойчивого, долгосрочного и, что особенно важно, структурно значимого капитала становится задачей первостепенной значимости для стран в условиях экономического трансформационного перехода.</w:t>
      </w:r>
    </w:p>
    <w:p w14:paraId="57819E72" w14:textId="77777777" w:rsidR="006652C1" w:rsidRPr="003A6E5A" w:rsidRDefault="006652C1" w:rsidP="006652C1">
      <w:pPr>
        <w:spacing w:after="0" w:line="240" w:lineRule="auto"/>
        <w:ind w:firstLine="706"/>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 xml:space="preserve">В этом контексте Республика Казахстан, обладающая внушительным природно-ресурсным потенциалом и выгодным геостратегическим положением, </w:t>
      </w:r>
      <w:r w:rsidRPr="003A6E5A">
        <w:rPr>
          <w:rFonts w:ascii="Times New Roman" w:eastAsia="Times New Roman" w:hAnsi="Times New Roman" w:cs="Times New Roman"/>
          <w:sz w:val="28"/>
          <w:szCs w:val="28"/>
          <w:lang w:val="kk-KZ" w:eastAsia="ru-RU"/>
        </w:rPr>
        <w:lastRenderedPageBreak/>
        <w:t>может рассматриваться как одно из ключевых государств, потенциально способных интегрироваться в устойчивые международные инвестиционные потоки. Партнёрство с Европейским союзом, который на протяжении десятилетий остаётся одним из крупнейших источников ПИИ в регион, представляется важным элементом внешнеэкономической стратегии Казахстана. По итогам 2024 года (см</w:t>
      </w: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 xml:space="preserve">диаграмму 1), страна сохранила лидирующие позиции среди государств Центральной Азии по объему валового притока прямых иностранных инвестиций из ЕС, что свидетельствует о сохраняющемся интересе европейского бизнеса к казахстанскому рынку. </w:t>
      </w:r>
    </w:p>
    <w:p w14:paraId="22A85807" w14:textId="77777777" w:rsidR="006652C1" w:rsidRPr="003A6E5A" w:rsidRDefault="006652C1" w:rsidP="006652C1">
      <w:pPr>
        <w:spacing w:after="0" w:line="240" w:lineRule="auto"/>
        <w:ind w:firstLine="706"/>
        <w:jc w:val="both"/>
        <w:rPr>
          <w:rFonts w:ascii="Times New Roman" w:eastAsia="Times New Roman" w:hAnsi="Times New Roman" w:cs="Times New Roman"/>
          <w:sz w:val="28"/>
          <w:szCs w:val="28"/>
          <w:lang w:val="kk-KZ" w:eastAsia="ru-RU"/>
        </w:rPr>
      </w:pPr>
    </w:p>
    <w:p w14:paraId="2F45CB80" w14:textId="77777777" w:rsidR="006652C1" w:rsidRPr="003A6E5A" w:rsidRDefault="006652C1" w:rsidP="006652C1">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val="kk-KZ" w:eastAsia="ru-RU"/>
        </w:rPr>
        <w:t>Диаграмма 1. Динамика</w:t>
      </w:r>
      <w:r w:rsidRPr="003A6E5A">
        <w:rPr>
          <w:rFonts w:ascii="Times New Roman" w:eastAsia="Times New Roman" w:hAnsi="Times New Roman" w:cs="Times New Roman"/>
          <w:sz w:val="28"/>
          <w:szCs w:val="28"/>
          <w:lang w:eastAsia="ru-RU"/>
        </w:rPr>
        <w:t xml:space="preserve"> общего объема валового ПИИ и объема ЕС в странах Центральной Азии за 2024 год, млрд долларов США</w:t>
      </w:r>
    </w:p>
    <w:p w14:paraId="239CC7DE" w14:textId="77777777" w:rsidR="006652C1" w:rsidRPr="003A6E5A" w:rsidRDefault="006652C1" w:rsidP="006652C1">
      <w:pPr>
        <w:spacing w:after="0" w:line="240" w:lineRule="auto"/>
        <w:jc w:val="both"/>
        <w:rPr>
          <w:rFonts w:ascii="Times New Roman" w:eastAsia="Times New Roman" w:hAnsi="Times New Roman" w:cs="Times New Roman"/>
          <w:sz w:val="28"/>
          <w:szCs w:val="28"/>
          <w:lang w:eastAsia="ru-RU"/>
        </w:rPr>
      </w:pPr>
      <w:r w:rsidRPr="003A6E5A">
        <w:rPr>
          <w:noProof/>
        </w:rPr>
        <w:drawing>
          <wp:inline distT="0" distB="0" distL="0" distR="0" wp14:anchorId="52D796EF" wp14:editId="33C629A3">
            <wp:extent cx="6120130" cy="2127565"/>
            <wp:effectExtent l="0" t="0" r="13970" b="6350"/>
            <wp:docPr id="4" name="Диаграмма 4">
              <a:extLst xmlns:a="http://schemas.openxmlformats.org/drawingml/2006/main">
                <a:ext uri="{FF2B5EF4-FFF2-40B4-BE49-F238E27FC236}">
                  <a16:creationId xmlns:a16="http://schemas.microsoft.com/office/drawing/2014/main" id="{00000000-0008-0000-08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0AC455F" w14:textId="77777777" w:rsidR="006652C1" w:rsidRPr="003A6E5A" w:rsidRDefault="006652C1" w:rsidP="006652C1">
      <w:pPr>
        <w:spacing w:after="0" w:line="240" w:lineRule="auto"/>
        <w:jc w:val="both"/>
        <w:rPr>
          <w:rFonts w:ascii="Times New Roman" w:hAnsi="Times New Roman" w:cs="Times New Roman"/>
          <w:sz w:val="20"/>
          <w:szCs w:val="20"/>
        </w:rPr>
      </w:pPr>
      <w:r w:rsidRPr="003A6E5A">
        <w:rPr>
          <w:rFonts w:ascii="Times New Roman" w:eastAsia="Times New Roman" w:hAnsi="Times New Roman" w:cs="Times New Roman"/>
          <w:sz w:val="20"/>
          <w:szCs w:val="20"/>
          <w:lang w:eastAsia="ru-RU"/>
        </w:rPr>
        <w:t>Примечание:</w:t>
      </w:r>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диаграмма составлена автором исследования</w:t>
      </w:r>
      <w:r w:rsidRPr="003A6E5A">
        <w:rPr>
          <w:rFonts w:ascii="Times New Roman" w:hAnsi="Times New Roman" w:cs="Times New Roman"/>
          <w:sz w:val="20"/>
          <w:szCs w:val="20"/>
        </w:rPr>
        <w:t xml:space="preserve"> </w:t>
      </w:r>
    </w:p>
    <w:p w14:paraId="7BEE306A" w14:textId="5883A72B" w:rsidR="006652C1" w:rsidRPr="003A6E5A" w:rsidRDefault="006652C1" w:rsidP="006652C1">
      <w:pPr>
        <w:spacing w:after="0" w:line="240" w:lineRule="auto"/>
        <w:jc w:val="both"/>
        <w:rPr>
          <w:rStyle w:val="a9"/>
          <w:rFonts w:ascii="Times New Roman" w:hAnsi="Times New Roman" w:cs="Times New Roman"/>
          <w:color w:val="auto"/>
          <w:sz w:val="20"/>
          <w:szCs w:val="20"/>
          <w:u w:val="none"/>
        </w:rPr>
      </w:pPr>
      <w:r w:rsidRPr="003A6E5A">
        <w:rPr>
          <w:rFonts w:ascii="Times New Roman" w:hAnsi="Times New Roman" w:cs="Times New Roman"/>
          <w:sz w:val="20"/>
          <w:szCs w:val="20"/>
          <w:lang w:val="kk-KZ"/>
        </w:rPr>
        <w:t xml:space="preserve">Источник: </w:t>
      </w:r>
      <w:r w:rsidRPr="003A6E5A">
        <w:rPr>
          <w:rFonts w:ascii="Times New Roman" w:hAnsi="Times New Roman" w:cs="Times New Roman"/>
          <w:sz w:val="20"/>
          <w:szCs w:val="20"/>
        </w:rPr>
        <w:t>Казахстан</w:t>
      </w:r>
      <w:r w:rsidR="00DA21CC" w:rsidRPr="003A6E5A">
        <w:rPr>
          <w:rFonts w:ascii="Times New Roman" w:hAnsi="Times New Roman" w:cs="Times New Roman"/>
          <w:sz w:val="20"/>
          <w:szCs w:val="20"/>
        </w:rPr>
        <w:t xml:space="preserve"> [1</w:t>
      </w:r>
      <w:r w:rsidR="00B67905" w:rsidRPr="003A6E5A">
        <w:rPr>
          <w:rFonts w:ascii="Times New Roman" w:hAnsi="Times New Roman" w:cs="Times New Roman"/>
          <w:sz w:val="20"/>
          <w:szCs w:val="20"/>
        </w:rPr>
        <w:t>10</w:t>
      </w:r>
      <w:r w:rsidR="00DA21CC" w:rsidRPr="003A6E5A">
        <w:rPr>
          <w:rFonts w:ascii="Times New Roman" w:hAnsi="Times New Roman" w:cs="Times New Roman"/>
          <w:sz w:val="20"/>
          <w:szCs w:val="20"/>
        </w:rPr>
        <w:t>],</w:t>
      </w:r>
      <w:r w:rsidRPr="003A6E5A">
        <w:rPr>
          <w:rFonts w:ascii="Times New Roman" w:eastAsia="Times New Roman" w:hAnsi="Times New Roman" w:cs="Times New Roman"/>
          <w:sz w:val="20"/>
          <w:szCs w:val="20"/>
          <w:lang w:eastAsia="ru-RU"/>
        </w:rPr>
        <w:t xml:space="preserve"> Кыргызстан </w:t>
      </w:r>
      <w:r w:rsidR="00DA21CC" w:rsidRPr="003A6E5A">
        <w:rPr>
          <w:rFonts w:ascii="Times New Roman" w:eastAsia="Times New Roman" w:hAnsi="Times New Roman" w:cs="Times New Roman"/>
          <w:sz w:val="20"/>
          <w:szCs w:val="20"/>
          <w:lang w:eastAsia="ru-RU"/>
        </w:rPr>
        <w:t>[1</w:t>
      </w:r>
      <w:r w:rsidR="00B67905" w:rsidRPr="003A6E5A">
        <w:rPr>
          <w:rFonts w:ascii="Times New Roman" w:eastAsia="Times New Roman" w:hAnsi="Times New Roman" w:cs="Times New Roman"/>
          <w:sz w:val="20"/>
          <w:szCs w:val="20"/>
          <w:lang w:eastAsia="ru-RU"/>
        </w:rPr>
        <w:t>11</w:t>
      </w:r>
      <w:r w:rsidR="00DA21CC" w:rsidRPr="003A6E5A">
        <w:rPr>
          <w:rFonts w:ascii="Times New Roman" w:eastAsia="Times New Roman" w:hAnsi="Times New Roman" w:cs="Times New Roman"/>
          <w:sz w:val="20"/>
          <w:szCs w:val="20"/>
          <w:lang w:eastAsia="ru-RU"/>
        </w:rPr>
        <w:t>]</w:t>
      </w:r>
      <w:r w:rsidR="00DA21CC" w:rsidRPr="003A6E5A">
        <w:rPr>
          <w:rFonts w:ascii="Times New Roman" w:hAnsi="Times New Roman" w:cs="Times New Roman"/>
          <w:sz w:val="20"/>
          <w:szCs w:val="20"/>
        </w:rPr>
        <w:t>,</w:t>
      </w:r>
      <w:r w:rsidRPr="003A6E5A">
        <w:rPr>
          <w:rFonts w:ascii="Times New Roman" w:hAnsi="Times New Roman" w:cs="Times New Roman"/>
          <w:sz w:val="20"/>
          <w:szCs w:val="20"/>
          <w:lang w:val="kk-KZ"/>
        </w:rPr>
        <w:t xml:space="preserve"> Узбекистан</w:t>
      </w:r>
      <w:bookmarkStart w:id="25" w:name="_Hlk210372241"/>
      <w:r w:rsidR="00DA21CC" w:rsidRPr="003A6E5A">
        <w:rPr>
          <w:rFonts w:ascii="Times New Roman" w:hAnsi="Times New Roman" w:cs="Times New Roman"/>
          <w:sz w:val="20"/>
          <w:szCs w:val="20"/>
        </w:rPr>
        <w:t xml:space="preserve"> [1</w:t>
      </w:r>
      <w:r w:rsidR="00B67905" w:rsidRPr="003A6E5A">
        <w:rPr>
          <w:rFonts w:ascii="Times New Roman" w:hAnsi="Times New Roman" w:cs="Times New Roman"/>
          <w:sz w:val="20"/>
          <w:szCs w:val="20"/>
        </w:rPr>
        <w:t>12</w:t>
      </w:r>
      <w:r w:rsidR="00DA21CC" w:rsidRPr="003A6E5A">
        <w:rPr>
          <w:rFonts w:ascii="Times New Roman" w:hAnsi="Times New Roman" w:cs="Times New Roman"/>
          <w:sz w:val="20"/>
          <w:szCs w:val="20"/>
        </w:rPr>
        <w:t>]</w:t>
      </w:r>
      <w:r w:rsidR="00726B61" w:rsidRPr="003A6E5A">
        <w:rPr>
          <w:rFonts w:ascii="Times New Roman" w:hAnsi="Times New Roman" w:cs="Times New Roman"/>
          <w:sz w:val="20"/>
          <w:szCs w:val="20"/>
        </w:rPr>
        <w:t>,</w:t>
      </w:r>
      <w:r w:rsidRPr="003A6E5A">
        <w:rPr>
          <w:rFonts w:ascii="Times New Roman" w:hAnsi="Times New Roman" w:cs="Times New Roman"/>
          <w:sz w:val="20"/>
          <w:szCs w:val="20"/>
          <w:lang w:val="kk-KZ"/>
        </w:rPr>
        <w:t xml:space="preserve"> Туркменистан</w:t>
      </w:r>
      <w:bookmarkEnd w:id="25"/>
      <w:r w:rsidR="00726B61" w:rsidRPr="003A6E5A">
        <w:rPr>
          <w:rFonts w:ascii="Times New Roman" w:hAnsi="Times New Roman" w:cs="Times New Roman"/>
          <w:sz w:val="20"/>
          <w:szCs w:val="20"/>
        </w:rPr>
        <w:t xml:space="preserve"> [1</w:t>
      </w:r>
      <w:r w:rsidR="00B67905" w:rsidRPr="003A6E5A">
        <w:rPr>
          <w:rFonts w:ascii="Times New Roman" w:hAnsi="Times New Roman" w:cs="Times New Roman"/>
          <w:sz w:val="20"/>
          <w:szCs w:val="20"/>
        </w:rPr>
        <w:t>13</w:t>
      </w:r>
      <w:r w:rsidR="00726B61" w:rsidRPr="003A6E5A">
        <w:rPr>
          <w:rFonts w:ascii="Times New Roman" w:hAnsi="Times New Roman" w:cs="Times New Roman"/>
          <w:sz w:val="20"/>
          <w:szCs w:val="20"/>
        </w:rPr>
        <w:t>]</w:t>
      </w:r>
      <w:r w:rsidRPr="003A6E5A">
        <w:rPr>
          <w:rFonts w:ascii="Times New Roman" w:hAnsi="Times New Roman" w:cs="Times New Roman"/>
          <w:sz w:val="20"/>
          <w:szCs w:val="20"/>
          <w:lang w:val="kk-KZ"/>
        </w:rPr>
        <w:t xml:space="preserve">; </w:t>
      </w:r>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 xml:space="preserve">Таджикистан </w:t>
      </w:r>
      <w:r w:rsidR="00726B61" w:rsidRPr="003A6E5A">
        <w:rPr>
          <w:rFonts w:ascii="Times New Roman" w:hAnsi="Times New Roman" w:cs="Times New Roman"/>
          <w:sz w:val="20"/>
          <w:szCs w:val="20"/>
        </w:rPr>
        <w:t>[1</w:t>
      </w:r>
      <w:r w:rsidR="00B67905" w:rsidRPr="003A6E5A">
        <w:rPr>
          <w:rFonts w:ascii="Times New Roman" w:hAnsi="Times New Roman" w:cs="Times New Roman"/>
          <w:sz w:val="20"/>
          <w:szCs w:val="20"/>
        </w:rPr>
        <w:t>14</w:t>
      </w:r>
      <w:r w:rsidR="00726B61" w:rsidRPr="003A6E5A">
        <w:rPr>
          <w:rFonts w:ascii="Times New Roman" w:hAnsi="Times New Roman" w:cs="Times New Roman"/>
          <w:sz w:val="20"/>
          <w:szCs w:val="20"/>
        </w:rPr>
        <w:t>].</w:t>
      </w:r>
    </w:p>
    <w:p w14:paraId="1809C2CC" w14:textId="77777777" w:rsidR="003B49E2" w:rsidRPr="003A6E5A" w:rsidRDefault="003B49E2" w:rsidP="006652C1">
      <w:pPr>
        <w:spacing w:after="0" w:line="240" w:lineRule="auto"/>
        <w:jc w:val="both"/>
        <w:rPr>
          <w:rFonts w:ascii="Times New Roman" w:hAnsi="Times New Roman" w:cs="Times New Roman"/>
          <w:sz w:val="28"/>
          <w:szCs w:val="20"/>
        </w:rPr>
      </w:pPr>
    </w:p>
    <w:p w14:paraId="7BC449B7"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rFonts w:eastAsia="Times New Roman"/>
          <w:sz w:val="28"/>
          <w:szCs w:val="28"/>
          <w:lang w:val="kk-KZ" w:eastAsia="ru-RU"/>
        </w:rPr>
        <w:t>Согласно диаграмме 1</w:t>
      </w:r>
      <w:r w:rsidRPr="003A6E5A">
        <w:rPr>
          <w:rFonts w:eastAsia="Times New Roman"/>
          <w:sz w:val="28"/>
          <w:szCs w:val="28"/>
          <w:lang w:val="ru-RU" w:eastAsia="ru-RU"/>
        </w:rPr>
        <w:t>,</w:t>
      </w:r>
      <w:r w:rsidRPr="003A6E5A">
        <w:rPr>
          <w:rFonts w:eastAsia="Times New Roman"/>
          <w:sz w:val="28"/>
          <w:szCs w:val="28"/>
          <w:lang w:val="kk-KZ" w:eastAsia="ru-RU"/>
        </w:rPr>
        <w:t xml:space="preserve"> следует отметить, усиливающуюся инвестиционную активность других стран региона, также находящихся в категории переходных экономик, который</w:t>
      </w:r>
      <w:r w:rsidRPr="003A6E5A">
        <w:rPr>
          <w:rFonts w:eastAsia="Times New Roman"/>
          <w:sz w:val="28"/>
          <w:szCs w:val="28"/>
          <w:lang w:val="ru-RU" w:eastAsia="ru-RU"/>
        </w:rPr>
        <w:t xml:space="preserve"> </w:t>
      </w:r>
      <w:r w:rsidRPr="003A6E5A">
        <w:rPr>
          <w:rFonts w:eastAsia="Times New Roman"/>
          <w:sz w:val="28"/>
          <w:szCs w:val="28"/>
          <w:lang w:val="kk-KZ" w:eastAsia="ru-RU"/>
        </w:rPr>
        <w:t xml:space="preserve">формирует новую конкурентную среду. Узбекистан, Таджикистан и Киргизия активизируют институциональные и нормативные реформы, направленные на улучшение инвестиционного климата и диверсификацию экономики. </w:t>
      </w:r>
      <w:r w:rsidRPr="003A6E5A">
        <w:rPr>
          <w:sz w:val="28"/>
          <w:szCs w:val="28"/>
          <w:lang w:val="ru-RU"/>
        </w:rPr>
        <w:t>Казахстан является лидером по объему валового притока прямых иностранных инвестиций из стран Европейского Союза в 2024 году (8,2 млрд долларов США) [2], и по совокупному объему иностранных инвестиций</w:t>
      </w:r>
      <w:r w:rsidRPr="003A6E5A">
        <w:rPr>
          <w:sz w:val="28"/>
          <w:szCs w:val="28"/>
          <w:lang w:val="kk-KZ"/>
        </w:rPr>
        <w:t xml:space="preserve"> уступает Узбекистану</w:t>
      </w:r>
      <w:r w:rsidRPr="003A6E5A">
        <w:rPr>
          <w:sz w:val="28"/>
          <w:szCs w:val="28"/>
          <w:lang w:val="ru-RU"/>
        </w:rPr>
        <w:t xml:space="preserve"> [3]. </w:t>
      </w:r>
    </w:p>
    <w:p w14:paraId="344CF162" w14:textId="2465BBB1" w:rsidR="006652C1" w:rsidRPr="003A6E5A" w:rsidRDefault="006652C1" w:rsidP="006652C1">
      <w:pPr>
        <w:pStyle w:val="aa"/>
        <w:spacing w:beforeAutospacing="0" w:after="0" w:afterAutospacing="0" w:line="240" w:lineRule="auto"/>
        <w:ind w:firstLineChars="200" w:firstLine="560"/>
        <w:jc w:val="both"/>
        <w:rPr>
          <w:sz w:val="28"/>
          <w:szCs w:val="28"/>
          <w:lang w:val="kk-KZ"/>
        </w:rPr>
      </w:pPr>
      <w:r w:rsidRPr="003A6E5A">
        <w:rPr>
          <w:sz w:val="28"/>
          <w:szCs w:val="28"/>
          <w:lang w:val="kk-KZ"/>
        </w:rPr>
        <w:t>Поэтому о</w:t>
      </w:r>
      <w:r w:rsidRPr="003A6E5A">
        <w:rPr>
          <w:sz w:val="28"/>
          <w:szCs w:val="28"/>
          <w:lang w:val="ru-RU"/>
        </w:rPr>
        <w:t xml:space="preserve">собого внимания заслуживает нарастающая инвестиционная активность Европейского союза в направлении Узбекистана, которая может рассматриваться как проявление стратегического интереса к диверсификации экономических партнёрств в Центральной Азии. Несмотря на то, что доля ЕС в совокупном объёме иностранных инвестиций в Узбекистан составляет приблизительно </w:t>
      </w:r>
      <w:r w:rsidRPr="003A6E5A">
        <w:rPr>
          <w:sz w:val="28"/>
          <w:szCs w:val="28"/>
          <w:lang w:val="kk-KZ"/>
        </w:rPr>
        <w:t>15</w:t>
      </w:r>
      <w:r w:rsidRPr="003A6E5A">
        <w:rPr>
          <w:sz w:val="28"/>
          <w:szCs w:val="28"/>
          <w:lang w:val="ru-RU"/>
        </w:rPr>
        <w:t>,</w:t>
      </w:r>
      <w:r w:rsidRPr="003A6E5A">
        <w:rPr>
          <w:sz w:val="28"/>
          <w:szCs w:val="28"/>
          <w:lang w:val="kk-KZ"/>
        </w:rPr>
        <w:t>5</w:t>
      </w:r>
      <w:r w:rsidRPr="003A6E5A">
        <w:rPr>
          <w:sz w:val="28"/>
          <w:szCs w:val="28"/>
          <w:lang w:val="ru-RU"/>
        </w:rPr>
        <w:t xml:space="preserve">%, в абсолютных выражениях это эквивалентно 4,1 млрд долларов США </w:t>
      </w:r>
      <w:r w:rsidRPr="003A6E5A">
        <w:rPr>
          <w:rFonts w:eastAsia="Times New Roman"/>
          <w:sz w:val="28"/>
          <w:szCs w:val="28"/>
          <w:lang w:val="kk-KZ" w:eastAsia="ru-RU"/>
        </w:rPr>
        <w:t>–</w:t>
      </w:r>
      <w:r w:rsidRPr="003A6E5A">
        <w:rPr>
          <w:sz w:val="28"/>
          <w:szCs w:val="28"/>
          <w:lang w:val="ru-RU"/>
        </w:rPr>
        <w:t xml:space="preserve"> почти в два раза меньше по сравнению с аналогичным показателем для Казахстана, но при этом заметно превышающим объёмы европейских инвестиций в другие государства региона. Особенно показательна динамика: объём инвестиций со стороны ЕС в 2024 году продемонстрировал рост на 77% по сравнению с 2023 годом (2,3 млрд долларов), а в сопоставлении </w:t>
      </w:r>
      <w:r w:rsidRPr="003A6E5A">
        <w:rPr>
          <w:sz w:val="28"/>
          <w:szCs w:val="28"/>
          <w:lang w:val="ru-RU"/>
        </w:rPr>
        <w:lastRenderedPageBreak/>
        <w:t>с 2017 годом, когда данный показатель составлял лишь 222 млн долларов, увеличение составило более чем 18-кратное [</w:t>
      </w:r>
      <w:r w:rsidR="00DA21CC" w:rsidRPr="003A6E5A">
        <w:rPr>
          <w:sz w:val="28"/>
          <w:szCs w:val="28"/>
          <w:lang w:val="ru-RU"/>
        </w:rPr>
        <w:t>1</w:t>
      </w:r>
      <w:r w:rsidR="00B67905" w:rsidRPr="003A6E5A">
        <w:rPr>
          <w:sz w:val="28"/>
          <w:szCs w:val="28"/>
          <w:lang w:val="ru-RU"/>
        </w:rPr>
        <w:t>12</w:t>
      </w:r>
      <w:r w:rsidRPr="003A6E5A">
        <w:rPr>
          <w:sz w:val="28"/>
          <w:szCs w:val="28"/>
          <w:lang w:val="ru-RU"/>
        </w:rPr>
        <w:t xml:space="preserve">]. Такая восходящая траектория может свидетельствовать о качественном изменении инвестиционного климата в Узбекистане, что, в свою очередь, вероятно отражает углубление институциональных и экономических реформ, направленных на либерализацию рыночной среды, а также усиливающееся доверие европейских экономических субъектов к устойчивости и предсказуемости траектории социально-экономического развития страны. </w:t>
      </w:r>
      <w:r w:rsidR="00B67905" w:rsidRPr="003A6E5A">
        <w:rPr>
          <w:sz w:val="28"/>
          <w:szCs w:val="28"/>
          <w:lang w:val="ru-RU"/>
        </w:rPr>
        <w:t>Кроме того,</w:t>
      </w:r>
      <w:r w:rsidRPr="003A6E5A">
        <w:rPr>
          <w:sz w:val="28"/>
          <w:szCs w:val="28"/>
          <w:lang w:val="ru-RU"/>
        </w:rPr>
        <w:t xml:space="preserve"> подобная динамика может означать о постепенном усилении инвестиционного присутствия Европейского Союза и, как следствие, о формировании более конкурентной среды за европейские инвестиции в Центральной Азии.</w:t>
      </w:r>
      <w:r w:rsidRPr="003A6E5A">
        <w:rPr>
          <w:sz w:val="28"/>
          <w:szCs w:val="28"/>
          <w:lang w:val="kk-KZ"/>
        </w:rPr>
        <w:t xml:space="preserve"> </w:t>
      </w:r>
    </w:p>
    <w:p w14:paraId="06D518D8"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sz w:val="28"/>
          <w:szCs w:val="28"/>
          <w:lang w:val="ru-RU"/>
        </w:rPr>
        <w:t xml:space="preserve">Если рассматривать распределение иностранных инвестиций в Казахстане и Узбекистане с точки зрения отраслевой структуры, то, можно говорить о формирующихся различиях в приоритетах экономического развития и позиционировании этих стран в рамках региональной инвестиционной архитектуры (см. диаграмму 2). Так, в Казахстане наибольший объем иностранных вложений, согласно доступным данным, сосредоточен в горнодобывающей промышленности </w:t>
      </w:r>
      <w:r w:rsidRPr="003A6E5A">
        <w:rPr>
          <w:rFonts w:eastAsia="Times New Roman"/>
          <w:sz w:val="28"/>
          <w:szCs w:val="28"/>
          <w:lang w:val="kk-KZ" w:eastAsia="ru-RU"/>
        </w:rPr>
        <w:t>–</w:t>
      </w:r>
      <w:r w:rsidRPr="003A6E5A">
        <w:rPr>
          <w:sz w:val="28"/>
          <w:szCs w:val="28"/>
          <w:lang w:val="ru-RU"/>
        </w:rPr>
        <w:t xml:space="preserve"> около 6,48 млрд долларов США. Это может отражать продолжающееся доминирование сырьевого сектора, высокую степень зрелости минерально-сырьевой базы и ориентацию на экспорт ресурсов, пользующихся устойчивым спросом на мировых рынках. Существенные инвестиции также направлены в сферу оптовой и розничной торговли и ремонта автомобилей (порядка 5,34 млрд долларов), что, предположительно, указывает на расширение внутреннего рынка и развитие сектора конечного потребления.</w:t>
      </w:r>
    </w:p>
    <w:p w14:paraId="3826BA96"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sz w:val="28"/>
          <w:szCs w:val="28"/>
          <w:lang w:val="ru-RU"/>
        </w:rPr>
        <w:t xml:space="preserve">В отличие от этого, в Узбекистане прослеживается несколько иная картина. Значительный объем иностранного капитала поступает в обрабатывающую промышленность </w:t>
      </w:r>
      <w:r w:rsidRPr="003A6E5A">
        <w:rPr>
          <w:rFonts w:eastAsia="Times New Roman"/>
          <w:sz w:val="28"/>
          <w:szCs w:val="28"/>
          <w:lang w:val="kk-KZ" w:eastAsia="ru-RU"/>
        </w:rPr>
        <w:t>–</w:t>
      </w:r>
      <w:r w:rsidRPr="003A6E5A">
        <w:rPr>
          <w:sz w:val="28"/>
          <w:szCs w:val="28"/>
          <w:lang w:val="ru-RU"/>
        </w:rPr>
        <w:t xml:space="preserve"> порядка 9,42 млрд долларов, в электро- и газоснабжение (около 5,14 млрд долларов) и прочие отрасли (примерно 7,42 млрд долларов). Такой сдвиг в структуре инвестиций, может быть следствием проводимых в последние годы институциональных и экономических реформ, направленных на повышение инвестиционной привлекательности несырьевых секторов, модернизацию инфраструктуры и усиление роли обрабатывающего сектора как драйвера устойчивого роста.</w:t>
      </w:r>
    </w:p>
    <w:p w14:paraId="40D0D519"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sz w:val="28"/>
          <w:szCs w:val="28"/>
          <w:lang w:val="ru-RU"/>
        </w:rPr>
        <w:t xml:space="preserve">Согласно данным диаграммы 2, можно сказать, что обе страны </w:t>
      </w:r>
      <w:r w:rsidRPr="003A6E5A">
        <w:rPr>
          <w:rFonts w:eastAsia="Times New Roman"/>
          <w:sz w:val="28"/>
          <w:szCs w:val="28"/>
          <w:lang w:val="kk-KZ" w:eastAsia="ru-RU"/>
        </w:rPr>
        <w:t>–</w:t>
      </w:r>
      <w:r w:rsidRPr="003A6E5A">
        <w:rPr>
          <w:sz w:val="28"/>
          <w:szCs w:val="28"/>
          <w:lang w:val="ru-RU"/>
        </w:rPr>
        <w:t xml:space="preserve"> несмотря на общую классификацию как экономики переходного типа </w:t>
      </w:r>
      <w:r w:rsidRPr="003A6E5A">
        <w:rPr>
          <w:rFonts w:eastAsia="Times New Roman"/>
          <w:sz w:val="28"/>
          <w:szCs w:val="28"/>
          <w:lang w:val="kk-KZ" w:eastAsia="ru-RU"/>
        </w:rPr>
        <w:t>–</w:t>
      </w:r>
      <w:r w:rsidRPr="003A6E5A">
        <w:rPr>
          <w:sz w:val="28"/>
          <w:szCs w:val="28"/>
          <w:lang w:val="ru-RU"/>
        </w:rPr>
        <w:t xml:space="preserve"> выстраивают стратегически различающиеся, но потенциально взаимодополняющие инвестиционные траектории: Казахстан </w:t>
      </w:r>
      <w:r w:rsidRPr="003A6E5A">
        <w:rPr>
          <w:rFonts w:eastAsia="Times New Roman"/>
          <w:sz w:val="28"/>
          <w:szCs w:val="28"/>
          <w:lang w:val="kk-KZ" w:eastAsia="ru-RU"/>
        </w:rPr>
        <w:t>–</w:t>
      </w:r>
      <w:r w:rsidRPr="003A6E5A">
        <w:rPr>
          <w:sz w:val="28"/>
          <w:szCs w:val="28"/>
          <w:lang w:val="ru-RU"/>
        </w:rPr>
        <w:t xml:space="preserve"> как поставщик ресурсов, Узбекистан </w:t>
      </w:r>
      <w:r w:rsidRPr="003A6E5A">
        <w:rPr>
          <w:rFonts w:eastAsia="Times New Roman"/>
          <w:sz w:val="28"/>
          <w:szCs w:val="28"/>
          <w:lang w:val="kk-KZ" w:eastAsia="ru-RU"/>
        </w:rPr>
        <w:t>–</w:t>
      </w:r>
      <w:r w:rsidRPr="003A6E5A">
        <w:rPr>
          <w:sz w:val="28"/>
          <w:szCs w:val="28"/>
          <w:lang w:val="ru-RU"/>
        </w:rPr>
        <w:t xml:space="preserve"> как развивающийся промышленный и инфраструктурный хаб. В условиях усиливающейся конкуренции за международный капитал и стремления Европейского союза к географической диверсификации поставок и производственных связей, такая экономическая специализация может способствовать не только привлечению инвестиций, но и формированию устойчивых региональных цепочек добавленной стоимости.</w:t>
      </w:r>
    </w:p>
    <w:p w14:paraId="268BFA4C"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sz w:val="28"/>
          <w:szCs w:val="28"/>
          <w:lang w:val="ru-RU"/>
        </w:rPr>
        <w:lastRenderedPageBreak/>
        <w:t xml:space="preserve">Также фиксируется определенная активизация инвестиционной деятельности в Туркменистане, общий объем привлеченных ПИИ в 2024 году составил около 11 млрд долларов США. </w:t>
      </w:r>
    </w:p>
    <w:p w14:paraId="630E03C2"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p>
    <w:p w14:paraId="2BB314A0" w14:textId="77777777" w:rsidR="006652C1" w:rsidRPr="003A6E5A" w:rsidRDefault="006652C1" w:rsidP="006652C1">
      <w:pPr>
        <w:pStyle w:val="aa"/>
        <w:spacing w:beforeAutospacing="0" w:after="0" w:afterAutospacing="0" w:line="240" w:lineRule="auto"/>
        <w:jc w:val="both"/>
        <w:rPr>
          <w:sz w:val="28"/>
          <w:szCs w:val="28"/>
          <w:lang w:val="ru-RU"/>
        </w:rPr>
      </w:pPr>
      <w:r w:rsidRPr="003A6E5A">
        <w:rPr>
          <w:sz w:val="28"/>
          <w:szCs w:val="28"/>
          <w:lang w:val="ru-RU"/>
        </w:rPr>
        <w:t>Диаграмма 2. Структура иностранных инвестиций по видам деятельности в Узбекистане и Казахстане, в млрд долларов США</w:t>
      </w:r>
    </w:p>
    <w:p w14:paraId="102B0E3A" w14:textId="77777777" w:rsidR="006652C1" w:rsidRPr="003A6E5A" w:rsidRDefault="006652C1" w:rsidP="006652C1">
      <w:pPr>
        <w:pStyle w:val="aa"/>
        <w:spacing w:beforeAutospacing="0" w:after="0" w:afterAutospacing="0" w:line="240" w:lineRule="auto"/>
        <w:jc w:val="both"/>
        <w:rPr>
          <w:sz w:val="28"/>
          <w:szCs w:val="28"/>
          <w:lang w:val="ru-RU"/>
        </w:rPr>
      </w:pPr>
      <w:r w:rsidRPr="003A6E5A">
        <w:rPr>
          <w:noProof/>
        </w:rPr>
        <w:drawing>
          <wp:inline distT="0" distB="0" distL="114300" distR="114300" wp14:anchorId="543831BF" wp14:editId="0AD95CEF">
            <wp:extent cx="6096000" cy="2546985"/>
            <wp:effectExtent l="4445" t="4445" r="10795" b="889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CD8137" w14:textId="77777777" w:rsidR="006652C1" w:rsidRPr="003A6E5A" w:rsidRDefault="006652C1" w:rsidP="006652C1">
      <w:pPr>
        <w:pStyle w:val="aa"/>
        <w:spacing w:beforeAutospacing="0" w:after="0" w:afterAutospacing="0" w:line="240" w:lineRule="auto"/>
        <w:jc w:val="both"/>
        <w:rPr>
          <w:rFonts w:eastAsia="Times New Roman"/>
          <w:sz w:val="20"/>
          <w:szCs w:val="20"/>
          <w:lang w:val="ru-RU" w:eastAsia="ru-RU"/>
        </w:rPr>
      </w:pPr>
      <w:r w:rsidRPr="003A6E5A">
        <w:rPr>
          <w:rFonts w:eastAsia="Times New Roman"/>
          <w:sz w:val="20"/>
          <w:szCs w:val="20"/>
          <w:lang w:val="ru-RU" w:eastAsia="ru-RU"/>
        </w:rPr>
        <w:t>Примечание: диаграмма составлена автором</w:t>
      </w:r>
    </w:p>
    <w:p w14:paraId="0CE2F306" w14:textId="5A75C8B4" w:rsidR="006652C1" w:rsidRPr="003A6E5A" w:rsidRDefault="006652C1" w:rsidP="006652C1">
      <w:pPr>
        <w:pStyle w:val="aa"/>
        <w:spacing w:beforeAutospacing="0" w:after="0" w:afterAutospacing="0" w:line="240" w:lineRule="auto"/>
        <w:jc w:val="both"/>
        <w:rPr>
          <w:sz w:val="20"/>
          <w:szCs w:val="20"/>
          <w:lang w:val="ru-RU"/>
        </w:rPr>
      </w:pPr>
      <w:r w:rsidRPr="003A6E5A">
        <w:rPr>
          <w:rFonts w:eastAsia="Times New Roman"/>
          <w:sz w:val="20"/>
          <w:szCs w:val="20"/>
          <w:lang w:val="ru-RU" w:eastAsia="ru-RU"/>
        </w:rPr>
        <w:t xml:space="preserve">Источник: </w:t>
      </w:r>
      <w:r w:rsidRPr="003A6E5A">
        <w:rPr>
          <w:sz w:val="20"/>
          <w:szCs w:val="20"/>
          <w:lang w:val="ru-RU"/>
        </w:rPr>
        <w:t>Казахстан</w:t>
      </w:r>
      <w:r w:rsidR="00726B61" w:rsidRPr="003A6E5A">
        <w:rPr>
          <w:sz w:val="20"/>
          <w:szCs w:val="20"/>
          <w:lang w:val="ru-RU"/>
        </w:rPr>
        <w:t xml:space="preserve"> [1</w:t>
      </w:r>
      <w:r w:rsidR="00B67905" w:rsidRPr="002452E6">
        <w:rPr>
          <w:sz w:val="20"/>
          <w:szCs w:val="20"/>
          <w:lang w:val="ru-RU"/>
        </w:rPr>
        <w:t>10</w:t>
      </w:r>
      <w:r w:rsidR="00726B61" w:rsidRPr="003A6E5A">
        <w:rPr>
          <w:sz w:val="20"/>
          <w:szCs w:val="20"/>
          <w:lang w:val="ru-RU"/>
        </w:rPr>
        <w:t>], Узбекистан [1</w:t>
      </w:r>
      <w:r w:rsidR="00B67905" w:rsidRPr="002452E6">
        <w:rPr>
          <w:sz w:val="20"/>
          <w:szCs w:val="20"/>
          <w:lang w:val="ru-RU"/>
        </w:rPr>
        <w:t>12</w:t>
      </w:r>
      <w:r w:rsidR="00726B61" w:rsidRPr="003A6E5A">
        <w:rPr>
          <w:sz w:val="20"/>
          <w:szCs w:val="20"/>
          <w:lang w:val="ru-RU"/>
        </w:rPr>
        <w:t>].</w:t>
      </w:r>
    </w:p>
    <w:p w14:paraId="7991F110" w14:textId="77777777" w:rsidR="006652C1" w:rsidRPr="003A6E5A" w:rsidRDefault="006652C1" w:rsidP="006652C1">
      <w:pPr>
        <w:pStyle w:val="aa"/>
        <w:spacing w:beforeAutospacing="0" w:after="0" w:afterAutospacing="0" w:line="240" w:lineRule="auto"/>
        <w:jc w:val="both"/>
        <w:rPr>
          <w:sz w:val="28"/>
          <w:szCs w:val="20"/>
          <w:lang w:val="ru-RU"/>
        </w:rPr>
      </w:pPr>
    </w:p>
    <w:p w14:paraId="6ED9E261" w14:textId="77777777" w:rsidR="006652C1" w:rsidRPr="003A6E5A" w:rsidRDefault="006652C1" w:rsidP="006652C1">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Однако, в силу отсутствия открытых данных по распределению инвестиций по странам происхождения, в том числе из Европейского Союза, затруднено точное определение доли ЕС в данной структуре.</w:t>
      </w:r>
    </w:p>
    <w:p w14:paraId="37CE8EE9" w14:textId="77777777" w:rsidR="006652C1" w:rsidRPr="003A6E5A" w:rsidRDefault="006652C1" w:rsidP="006652C1">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Инвестиционные потоки в Кыргызскую Республику и Республику Таджикистан остаются относительно низкими по сравнению с Узбекистаном и Казахстаном: в 2024 году объем валового притока иностранных инвестиций составил 1,03 млрд и 459 млн долларов США соответственно. При этом объем прямых инвестиций из Европейского союза в эти страны был незначителен — 150,1 млн долларов США в Кыргызстан и всего 12,1 тыс. долларов США в Таджикистан, что свидетельствует о крайне ограниченном характере инвестиционного взаимодействия с ЕС на данном этапе.</w:t>
      </w:r>
    </w:p>
    <w:p w14:paraId="0A4D5B3D" w14:textId="1862912E" w:rsidR="006652C1" w:rsidRPr="003A6E5A" w:rsidRDefault="006652C1" w:rsidP="006652C1">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Для более глубокого понимания причин такой инвестиционной асимметрии следует обратиться к историко-правовым основам внешнеэкономических отношений между Европейским союзом и постсоветскими государствами Центральной Азии. Существенным шагом в этом направлении стали соглашения о партнерстве и сотрудничестве (</w:t>
      </w:r>
      <w:r w:rsidR="008734EB" w:rsidRPr="003A6E5A">
        <w:rPr>
          <w:rFonts w:ascii="Times New Roman" w:hAnsi="Times New Roman" w:cs="Times New Roman"/>
          <w:sz w:val="28"/>
          <w:szCs w:val="28"/>
        </w:rPr>
        <w:t xml:space="preserve">далее – </w:t>
      </w:r>
      <w:r w:rsidRPr="003A6E5A">
        <w:rPr>
          <w:rFonts w:ascii="Times New Roman" w:eastAsia="Times New Roman" w:hAnsi="Times New Roman" w:cs="Times New Roman"/>
          <w:sz w:val="28"/>
          <w:szCs w:val="28"/>
          <w:lang w:eastAsia="ru-RU"/>
        </w:rPr>
        <w:t>СПС), заключённые в конце 1990-х годов, которые отражали не только новую геополитическую конфигурацию региона, но и необходимость пересмотра формата сотрудничества с учётом политической независимости и экономических приоритетов новых суверенных государств [</w:t>
      </w:r>
      <w:r w:rsidR="00A343CE" w:rsidRPr="003A6E5A">
        <w:rPr>
          <w:rFonts w:ascii="Times New Roman" w:eastAsia="Times New Roman" w:hAnsi="Times New Roman" w:cs="Times New Roman"/>
          <w:sz w:val="28"/>
          <w:szCs w:val="28"/>
          <w:lang w:eastAsia="ru-RU"/>
        </w:rPr>
        <w:t>1</w:t>
      </w:r>
      <w:r w:rsidR="00726B61" w:rsidRPr="003A6E5A">
        <w:rPr>
          <w:rFonts w:ascii="Times New Roman" w:eastAsia="Times New Roman" w:hAnsi="Times New Roman" w:cs="Times New Roman"/>
          <w:sz w:val="28"/>
          <w:szCs w:val="28"/>
          <w:lang w:eastAsia="ru-RU"/>
        </w:rPr>
        <w:t>1</w:t>
      </w:r>
      <w:r w:rsidR="00B67905" w:rsidRPr="003A6E5A">
        <w:rPr>
          <w:rFonts w:ascii="Times New Roman" w:eastAsia="Times New Roman" w:hAnsi="Times New Roman" w:cs="Times New Roman"/>
          <w:sz w:val="28"/>
          <w:szCs w:val="28"/>
          <w:lang w:eastAsia="ru-RU"/>
        </w:rPr>
        <w:t>5</w:t>
      </w:r>
      <w:r w:rsidRPr="003A6E5A">
        <w:rPr>
          <w:rFonts w:ascii="Times New Roman" w:eastAsia="Times New Roman" w:hAnsi="Times New Roman" w:cs="Times New Roman"/>
          <w:sz w:val="28"/>
          <w:szCs w:val="28"/>
          <w:lang w:eastAsia="ru-RU"/>
        </w:rPr>
        <w:t>].</w:t>
      </w:r>
    </w:p>
    <w:p w14:paraId="54B1D76D" w14:textId="66948323" w:rsidR="006652C1" w:rsidRPr="003A6E5A" w:rsidRDefault="006652C1" w:rsidP="006652C1">
      <w:pPr>
        <w:spacing w:after="0" w:line="240" w:lineRule="auto"/>
        <w:ind w:firstLine="706"/>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eastAsia="ru-RU"/>
        </w:rPr>
        <w:t xml:space="preserve">При этом Туркменистан по состоянию на настоящее время сохраняет свои торгово-инвестиционные отношения с ЕС на основании исходного соглашения, поскольку не ратифицировал СПС 1998 года. Для остальных стран региона заключённые СПС предусматривали широкий спектр мер: от поддержки </w:t>
      </w:r>
      <w:r w:rsidRPr="003A6E5A">
        <w:rPr>
          <w:rFonts w:ascii="Times New Roman" w:eastAsia="Times New Roman" w:hAnsi="Times New Roman" w:cs="Times New Roman"/>
          <w:sz w:val="28"/>
          <w:szCs w:val="28"/>
          <w:lang w:eastAsia="ru-RU"/>
        </w:rPr>
        <w:lastRenderedPageBreak/>
        <w:t xml:space="preserve">политического диалога и содействия демократическим преобразованиям до стимулирования развития рыночных институтов, либерализации внешней торговли и укрепления принципа верховенства права (см. таблицу </w:t>
      </w:r>
      <w:r w:rsidR="007205A3" w:rsidRPr="003A6E5A">
        <w:rPr>
          <w:rFonts w:ascii="Times New Roman" w:eastAsia="Times New Roman" w:hAnsi="Times New Roman" w:cs="Times New Roman"/>
          <w:sz w:val="28"/>
          <w:szCs w:val="28"/>
          <w:lang w:eastAsia="ru-RU"/>
        </w:rPr>
        <w:t>6</w:t>
      </w:r>
      <w:r w:rsidRPr="003A6E5A">
        <w:rPr>
          <w:rFonts w:ascii="Times New Roman" w:eastAsia="Times New Roman" w:hAnsi="Times New Roman" w:cs="Times New Roman"/>
          <w:sz w:val="28"/>
          <w:szCs w:val="28"/>
          <w:lang w:eastAsia="ru-RU"/>
        </w:rPr>
        <w:t>).</w:t>
      </w:r>
    </w:p>
    <w:p w14:paraId="45A24724" w14:textId="77777777" w:rsidR="006652C1" w:rsidRPr="003A6E5A" w:rsidRDefault="006652C1" w:rsidP="006652C1">
      <w:pPr>
        <w:spacing w:after="0" w:line="240" w:lineRule="auto"/>
        <w:ind w:firstLine="706"/>
        <w:jc w:val="both"/>
        <w:rPr>
          <w:rFonts w:ascii="Times New Roman" w:eastAsia="Times New Roman" w:hAnsi="Times New Roman" w:cs="Times New Roman"/>
          <w:sz w:val="28"/>
          <w:szCs w:val="28"/>
          <w:lang w:eastAsia="ru-RU"/>
        </w:rPr>
      </w:pPr>
    </w:p>
    <w:p w14:paraId="7D90020C" w14:textId="18377B4B" w:rsidR="006652C1" w:rsidRPr="003A6E5A" w:rsidRDefault="006652C1" w:rsidP="006652C1">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val="kk-KZ" w:eastAsia="ru-RU"/>
        </w:rPr>
        <w:t xml:space="preserve">Таблица </w:t>
      </w:r>
      <w:r w:rsidR="007205A3" w:rsidRPr="003A6E5A">
        <w:rPr>
          <w:rFonts w:ascii="Times New Roman" w:eastAsia="Times New Roman" w:hAnsi="Times New Roman" w:cs="Times New Roman"/>
          <w:sz w:val="28"/>
          <w:szCs w:val="28"/>
          <w:lang w:val="kk-KZ" w:eastAsia="ru-RU"/>
        </w:rPr>
        <w:t>6</w:t>
      </w:r>
      <w:r w:rsidRPr="003A6E5A">
        <w:rPr>
          <w:rFonts w:ascii="Times New Roman" w:eastAsia="Times New Roman" w:hAnsi="Times New Roman" w:cs="Times New Roman"/>
          <w:sz w:val="28"/>
          <w:szCs w:val="28"/>
          <w:lang w:val="kk-KZ" w:eastAsia="ru-RU"/>
        </w:rPr>
        <w:t xml:space="preserve">. Основные этапы институционализации двухсторонних отношений ЕС со странами Центральной Азии </w:t>
      </w:r>
      <w:r w:rsidRPr="003A6E5A">
        <w:rPr>
          <w:rFonts w:ascii="Times New Roman" w:eastAsia="Times New Roman" w:hAnsi="Times New Roman" w:cs="Times New Roman"/>
          <w:sz w:val="28"/>
          <w:szCs w:val="28"/>
          <w:lang w:eastAsia="ru-RU"/>
        </w:rPr>
        <w:t>[</w:t>
      </w:r>
      <w:r w:rsidR="00A343CE" w:rsidRPr="003A6E5A">
        <w:rPr>
          <w:rFonts w:ascii="Times New Roman" w:eastAsia="Times New Roman" w:hAnsi="Times New Roman" w:cs="Times New Roman"/>
          <w:sz w:val="28"/>
          <w:szCs w:val="28"/>
          <w:lang w:eastAsia="ru-RU"/>
        </w:rPr>
        <w:t>1</w:t>
      </w:r>
      <w:r w:rsidR="00726B61" w:rsidRPr="003A6E5A">
        <w:rPr>
          <w:rFonts w:ascii="Times New Roman" w:eastAsia="Times New Roman" w:hAnsi="Times New Roman" w:cs="Times New Roman"/>
          <w:sz w:val="28"/>
          <w:szCs w:val="28"/>
          <w:lang w:eastAsia="ru-RU"/>
        </w:rPr>
        <w:t>1</w:t>
      </w:r>
      <w:r w:rsidR="00B67905" w:rsidRPr="003A6E5A">
        <w:rPr>
          <w:rFonts w:ascii="Times New Roman" w:eastAsia="Times New Roman" w:hAnsi="Times New Roman" w:cs="Times New Roman"/>
          <w:sz w:val="28"/>
          <w:szCs w:val="28"/>
          <w:lang w:eastAsia="ru-RU"/>
        </w:rPr>
        <w:t>6</w:t>
      </w:r>
      <w:r w:rsidRPr="003A6E5A">
        <w:rPr>
          <w:rFonts w:ascii="Times New Roman" w:eastAsia="Times New Roman" w:hAnsi="Times New Roman" w:cs="Times New Roman"/>
          <w:sz w:val="28"/>
          <w:szCs w:val="28"/>
          <w:lang w:eastAsia="ru-RU"/>
        </w:rPr>
        <w:t>]</w:t>
      </w:r>
    </w:p>
    <w:tbl>
      <w:tblPr>
        <w:tblStyle w:val="ac"/>
        <w:tblW w:w="9951" w:type="dxa"/>
        <w:tblLook w:val="04A0" w:firstRow="1" w:lastRow="0" w:firstColumn="1" w:lastColumn="0" w:noHBand="0" w:noVBand="1"/>
      </w:tblPr>
      <w:tblGrid>
        <w:gridCol w:w="2263"/>
        <w:gridCol w:w="2127"/>
        <w:gridCol w:w="2207"/>
        <w:gridCol w:w="1797"/>
        <w:gridCol w:w="1557"/>
      </w:tblGrid>
      <w:tr w:rsidR="00B02CF8" w:rsidRPr="003A6E5A" w14:paraId="6D27F758" w14:textId="77777777" w:rsidTr="008734EB">
        <w:tc>
          <w:tcPr>
            <w:tcW w:w="2263" w:type="dxa"/>
          </w:tcPr>
          <w:p w14:paraId="18AB7BA0"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Казахстан</w:t>
            </w:r>
          </w:p>
        </w:tc>
        <w:tc>
          <w:tcPr>
            <w:tcW w:w="2127" w:type="dxa"/>
          </w:tcPr>
          <w:p w14:paraId="05B266F2"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Узбекистан</w:t>
            </w:r>
          </w:p>
        </w:tc>
        <w:tc>
          <w:tcPr>
            <w:tcW w:w="2207" w:type="dxa"/>
          </w:tcPr>
          <w:p w14:paraId="2823FFC6" w14:textId="77777777" w:rsidR="006652C1" w:rsidRPr="003A6E5A" w:rsidRDefault="006652C1" w:rsidP="006652C1">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Кыргызстан</w:t>
            </w:r>
          </w:p>
        </w:tc>
        <w:tc>
          <w:tcPr>
            <w:tcW w:w="1797" w:type="dxa"/>
          </w:tcPr>
          <w:p w14:paraId="081808B4" w14:textId="77777777" w:rsidR="006652C1" w:rsidRPr="003A6E5A" w:rsidRDefault="006652C1" w:rsidP="006652C1">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Таджикистан</w:t>
            </w:r>
          </w:p>
        </w:tc>
        <w:tc>
          <w:tcPr>
            <w:tcW w:w="1557" w:type="dxa"/>
          </w:tcPr>
          <w:p w14:paraId="1D129698" w14:textId="77777777" w:rsidR="006652C1" w:rsidRPr="003A6E5A" w:rsidRDefault="006652C1" w:rsidP="006652C1">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val="kk-KZ" w:eastAsia="ru-RU"/>
              </w:rPr>
              <w:t>Туркменистан</w:t>
            </w:r>
          </w:p>
        </w:tc>
      </w:tr>
      <w:tr w:rsidR="00B02CF8" w:rsidRPr="003A6E5A" w14:paraId="33CF6ED9" w14:textId="77777777" w:rsidTr="008734EB">
        <w:tc>
          <w:tcPr>
            <w:tcW w:w="2263" w:type="dxa"/>
          </w:tcPr>
          <w:p w14:paraId="3148D8AA"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Установление дипломатических отношений – 2 февраля 1993 г.</w:t>
            </w:r>
          </w:p>
        </w:tc>
        <w:tc>
          <w:tcPr>
            <w:tcW w:w="2127" w:type="dxa"/>
          </w:tcPr>
          <w:p w14:paraId="52ACC899"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Установление дипломатических отношений – 16 ноября 1994 г</w:t>
            </w:r>
          </w:p>
        </w:tc>
        <w:tc>
          <w:tcPr>
            <w:tcW w:w="2207" w:type="dxa"/>
          </w:tcPr>
          <w:p w14:paraId="4998836D"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Установление дипломатических отношений –</w:t>
            </w:r>
            <w:r w:rsidRPr="003A6E5A">
              <w:rPr>
                <w:rFonts w:ascii="Times New Roman" w:eastAsia="Times New Roman" w:hAnsi="Times New Roman" w:cs="Times New Roman"/>
                <w:sz w:val="20"/>
                <w:szCs w:val="20"/>
                <w:lang w:val="kk-KZ" w:eastAsia="ru-RU"/>
              </w:rPr>
              <w:t xml:space="preserve"> </w:t>
            </w:r>
            <w:r w:rsidRPr="003A6E5A">
              <w:rPr>
                <w:rFonts w:ascii="Times New Roman" w:eastAsia="Times New Roman" w:hAnsi="Times New Roman" w:cs="Times New Roman"/>
                <w:sz w:val="20"/>
                <w:szCs w:val="20"/>
                <w:lang w:eastAsia="ru-RU"/>
              </w:rPr>
              <w:t>апрель, 1992 г</w:t>
            </w:r>
          </w:p>
        </w:tc>
        <w:tc>
          <w:tcPr>
            <w:tcW w:w="1797" w:type="dxa"/>
          </w:tcPr>
          <w:p w14:paraId="7AF6D15F"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Установление дипломатических отношений –</w:t>
            </w:r>
            <w:r w:rsidRPr="003A6E5A">
              <w:rPr>
                <w:rFonts w:ascii="Times New Roman" w:eastAsia="Times New Roman" w:hAnsi="Times New Roman" w:cs="Times New Roman"/>
                <w:sz w:val="20"/>
                <w:szCs w:val="20"/>
                <w:lang w:val="kk-KZ" w:eastAsia="ru-RU"/>
              </w:rPr>
              <w:t xml:space="preserve"> </w:t>
            </w:r>
            <w:r w:rsidRPr="003A6E5A">
              <w:rPr>
                <w:rFonts w:ascii="Times New Roman" w:eastAsia="Times New Roman" w:hAnsi="Times New Roman" w:cs="Times New Roman"/>
                <w:sz w:val="20"/>
                <w:szCs w:val="20"/>
                <w:lang w:eastAsia="ru-RU"/>
              </w:rPr>
              <w:t>1992 г</w:t>
            </w:r>
          </w:p>
        </w:tc>
        <w:tc>
          <w:tcPr>
            <w:tcW w:w="1557" w:type="dxa"/>
          </w:tcPr>
          <w:p w14:paraId="69CB357A"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p>
        </w:tc>
      </w:tr>
      <w:tr w:rsidR="00B02CF8" w:rsidRPr="003A6E5A" w14:paraId="6C971F58" w14:textId="77777777" w:rsidTr="008734EB">
        <w:tc>
          <w:tcPr>
            <w:tcW w:w="2263" w:type="dxa"/>
          </w:tcPr>
          <w:p w14:paraId="37DC5964"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Соглашение о партнерстве и сотрудничестве – 23 января 1995 г. (вступило в силу 1 июля 1999 г.).</w:t>
            </w:r>
          </w:p>
        </w:tc>
        <w:tc>
          <w:tcPr>
            <w:tcW w:w="2127" w:type="dxa"/>
          </w:tcPr>
          <w:p w14:paraId="1B5E3403" w14:textId="77777777" w:rsidR="006652C1" w:rsidRPr="003A6E5A" w:rsidRDefault="006652C1" w:rsidP="006652C1">
            <w:pPr>
              <w:spacing w:after="0" w:line="240" w:lineRule="auto"/>
              <w:rPr>
                <w:rFonts w:ascii="Times New Roman" w:eastAsia="Times New Roman" w:hAnsi="Times New Roman" w:cs="Times New Roman"/>
                <w:sz w:val="20"/>
                <w:szCs w:val="20"/>
                <w:lang w:val="en-US" w:eastAsia="ru-RU"/>
              </w:rPr>
            </w:pPr>
            <w:r w:rsidRPr="003A6E5A">
              <w:rPr>
                <w:rFonts w:ascii="Times New Roman" w:eastAsia="Times New Roman" w:hAnsi="Times New Roman" w:cs="Times New Roman"/>
                <w:sz w:val="20"/>
                <w:szCs w:val="20"/>
                <w:lang w:eastAsia="ru-RU"/>
              </w:rPr>
              <w:t xml:space="preserve">Соглашение о партнёрстве и сотрудничестве – </w:t>
            </w:r>
            <w:r w:rsidRPr="003A6E5A">
              <w:rPr>
                <w:rFonts w:ascii="Times New Roman" w:eastAsia="Times New Roman" w:hAnsi="Times New Roman" w:cs="Times New Roman"/>
                <w:sz w:val="20"/>
                <w:szCs w:val="20"/>
                <w:lang w:val="kk-KZ" w:eastAsia="ru-RU"/>
              </w:rPr>
              <w:t>21 июня 1996 г.</w:t>
            </w:r>
            <w:r w:rsidRPr="003A6E5A">
              <w:rPr>
                <w:rFonts w:ascii="Times New Roman" w:eastAsia="Times New Roman" w:hAnsi="Times New Roman" w:cs="Times New Roman"/>
                <w:sz w:val="20"/>
                <w:szCs w:val="20"/>
                <w:lang w:eastAsia="ru-RU"/>
              </w:rPr>
              <w:t xml:space="preserve"> (вступило в силу 1 июля 1999 г.) </w:t>
            </w:r>
            <w:r w:rsidRPr="003A6E5A">
              <w:rPr>
                <w:rFonts w:ascii="Times New Roman" w:eastAsia="Times New Roman" w:hAnsi="Times New Roman" w:cs="Times New Roman"/>
                <w:sz w:val="20"/>
                <w:szCs w:val="20"/>
                <w:lang w:val="en-US" w:eastAsia="ru-RU"/>
              </w:rPr>
              <w:t>[62]</w:t>
            </w:r>
          </w:p>
        </w:tc>
        <w:tc>
          <w:tcPr>
            <w:tcW w:w="2207" w:type="dxa"/>
          </w:tcPr>
          <w:p w14:paraId="07FE1309" w14:textId="15053185"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Соглашение о партнёрстве и сотрудничестве –</w:t>
            </w:r>
            <w:r w:rsidR="008734EB" w:rsidRPr="003A6E5A">
              <w:rPr>
                <w:rFonts w:ascii="Times New Roman" w:eastAsia="Times New Roman" w:hAnsi="Times New Roman" w:cs="Times New Roman"/>
                <w:sz w:val="20"/>
                <w:szCs w:val="20"/>
                <w:lang w:eastAsia="ru-RU"/>
              </w:rPr>
              <w:t xml:space="preserve"> </w:t>
            </w:r>
            <w:r w:rsidRPr="003A6E5A">
              <w:rPr>
                <w:rFonts w:ascii="Times New Roman" w:eastAsia="Times New Roman" w:hAnsi="Times New Roman" w:cs="Times New Roman"/>
                <w:sz w:val="20"/>
                <w:szCs w:val="20"/>
                <w:lang w:eastAsia="ru-RU"/>
              </w:rPr>
              <w:t xml:space="preserve">9 февраля </w:t>
            </w:r>
            <w:r w:rsidRPr="003A6E5A">
              <w:rPr>
                <w:rFonts w:ascii="Times New Roman" w:eastAsia="Times New Roman" w:hAnsi="Times New Roman" w:cs="Times New Roman"/>
                <w:sz w:val="20"/>
                <w:szCs w:val="20"/>
                <w:lang w:val="kk-KZ" w:eastAsia="ru-RU"/>
              </w:rPr>
              <w:t>1995 г.</w:t>
            </w:r>
            <w:r w:rsidRPr="003A6E5A">
              <w:rPr>
                <w:rFonts w:ascii="Times New Roman" w:eastAsia="Times New Roman" w:hAnsi="Times New Roman" w:cs="Times New Roman"/>
                <w:sz w:val="20"/>
                <w:szCs w:val="20"/>
                <w:lang w:eastAsia="ru-RU"/>
              </w:rPr>
              <w:t xml:space="preserve"> (вступило в силу 1 июля 1999 г.) </w:t>
            </w:r>
          </w:p>
        </w:tc>
        <w:tc>
          <w:tcPr>
            <w:tcW w:w="1797" w:type="dxa"/>
          </w:tcPr>
          <w:p w14:paraId="392CFFBC" w14:textId="7DB7F37E"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Соглашение о партнёрстве и сотрудничестве –</w:t>
            </w:r>
            <w:r w:rsidRPr="003A6E5A">
              <w:rPr>
                <w:rFonts w:ascii="Times New Roman" w:eastAsia="Times New Roman" w:hAnsi="Times New Roman" w:cs="Times New Roman"/>
                <w:sz w:val="20"/>
                <w:szCs w:val="20"/>
                <w:lang w:val="kk-KZ" w:eastAsia="ru-RU"/>
              </w:rPr>
              <w:t xml:space="preserve"> 11 ноября 2004 г.</w:t>
            </w:r>
            <w:r w:rsidRPr="003A6E5A">
              <w:rPr>
                <w:rFonts w:ascii="Times New Roman" w:eastAsia="Times New Roman" w:hAnsi="Times New Roman" w:cs="Times New Roman"/>
                <w:sz w:val="20"/>
                <w:szCs w:val="20"/>
                <w:lang w:eastAsia="ru-RU"/>
              </w:rPr>
              <w:t xml:space="preserve"> (вступило в силу</w:t>
            </w:r>
            <w:r w:rsidRPr="003A6E5A">
              <w:rPr>
                <w:rFonts w:ascii="Times New Roman" w:eastAsia="Times New Roman" w:hAnsi="Times New Roman" w:cs="Times New Roman"/>
                <w:sz w:val="20"/>
                <w:szCs w:val="20"/>
                <w:lang w:val="kk-KZ" w:eastAsia="ru-RU"/>
              </w:rPr>
              <w:t xml:space="preserve"> 1 январе 2010</w:t>
            </w:r>
            <w:r w:rsidRPr="003A6E5A">
              <w:rPr>
                <w:rFonts w:ascii="Times New Roman" w:eastAsia="Times New Roman" w:hAnsi="Times New Roman" w:cs="Times New Roman"/>
                <w:sz w:val="20"/>
                <w:szCs w:val="20"/>
                <w:lang w:eastAsia="ru-RU"/>
              </w:rPr>
              <w:t xml:space="preserve"> г.)</w:t>
            </w:r>
            <w:r w:rsidRPr="003A6E5A">
              <w:rPr>
                <w:rFonts w:ascii="Times New Roman" w:eastAsia="Times New Roman" w:hAnsi="Times New Roman" w:cs="Times New Roman"/>
                <w:sz w:val="20"/>
                <w:szCs w:val="20"/>
                <w:lang w:val="kk-KZ" w:eastAsia="ru-RU"/>
              </w:rPr>
              <w:t xml:space="preserve"> </w:t>
            </w:r>
          </w:p>
        </w:tc>
        <w:tc>
          <w:tcPr>
            <w:tcW w:w="1557" w:type="dxa"/>
          </w:tcPr>
          <w:p w14:paraId="0E5BA35F" w14:textId="4295F99C"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Соглашение о партнёрстве и сотрудничестве –</w:t>
            </w:r>
            <w:r w:rsidRPr="003A6E5A">
              <w:rPr>
                <w:rFonts w:ascii="Times New Roman" w:eastAsia="Times New Roman" w:hAnsi="Times New Roman" w:cs="Times New Roman"/>
                <w:sz w:val="20"/>
                <w:szCs w:val="20"/>
                <w:lang w:val="kk-KZ" w:eastAsia="ru-RU"/>
              </w:rPr>
              <w:t xml:space="preserve"> 24 мая 1998 г.</w:t>
            </w:r>
          </w:p>
        </w:tc>
      </w:tr>
      <w:tr w:rsidR="00B02CF8" w:rsidRPr="003A6E5A" w14:paraId="6CBC2766" w14:textId="77777777" w:rsidTr="008734EB">
        <w:tc>
          <w:tcPr>
            <w:tcW w:w="2263" w:type="dxa"/>
          </w:tcPr>
          <w:p w14:paraId="7C9A56C5"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Соглашение о расширенном партнерстве и сотрудничестве – 21 декабря 2015 г. (вступило в силу 1 марта 2020 г.)</w:t>
            </w:r>
          </w:p>
        </w:tc>
        <w:tc>
          <w:tcPr>
            <w:tcW w:w="2127" w:type="dxa"/>
          </w:tcPr>
          <w:p w14:paraId="47FFC1AC" w14:textId="77777777" w:rsidR="006652C1" w:rsidRPr="003A6E5A" w:rsidRDefault="006652C1" w:rsidP="006652C1">
            <w:pPr>
              <w:spacing w:after="0" w:line="240" w:lineRule="auto"/>
              <w:rPr>
                <w:rFonts w:ascii="Times New Roman" w:eastAsia="Times New Roman" w:hAnsi="Times New Roman" w:cs="Times New Roman"/>
                <w:sz w:val="20"/>
                <w:szCs w:val="20"/>
                <w:lang w:val="kk-KZ" w:eastAsia="ru-RU"/>
              </w:rPr>
            </w:pPr>
            <w:r w:rsidRPr="003A6E5A">
              <w:rPr>
                <w:rFonts w:ascii="Times New Roman" w:eastAsia="Times New Roman" w:hAnsi="Times New Roman" w:cs="Times New Roman"/>
                <w:sz w:val="20"/>
                <w:szCs w:val="20"/>
                <w:lang w:eastAsia="ru-RU"/>
              </w:rPr>
              <w:t xml:space="preserve">Соглашение о расширенном партнёрстве и сотрудничестве </w:t>
            </w:r>
            <w:r w:rsidRPr="003A6E5A">
              <w:rPr>
                <w:rFonts w:ascii="Times New Roman" w:eastAsia="Times New Roman" w:hAnsi="Times New Roman" w:cs="Times New Roman"/>
                <w:sz w:val="20"/>
                <w:szCs w:val="20"/>
                <w:lang w:val="kk-KZ" w:eastAsia="ru-RU"/>
              </w:rPr>
              <w:t>– 6 июля 2022 г.</w:t>
            </w:r>
          </w:p>
        </w:tc>
        <w:tc>
          <w:tcPr>
            <w:tcW w:w="2207" w:type="dxa"/>
          </w:tcPr>
          <w:p w14:paraId="39B5B1EF"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 xml:space="preserve">Соглашение о расширенном партнёрстве и сотрудничестве </w:t>
            </w:r>
            <w:r w:rsidRPr="003A6E5A">
              <w:rPr>
                <w:rFonts w:ascii="Times New Roman" w:eastAsia="Times New Roman" w:hAnsi="Times New Roman" w:cs="Times New Roman"/>
                <w:sz w:val="20"/>
                <w:szCs w:val="20"/>
                <w:lang w:val="kk-KZ" w:eastAsia="ru-RU"/>
              </w:rPr>
              <w:t>– 25 июня 2024 г.</w:t>
            </w:r>
          </w:p>
        </w:tc>
        <w:tc>
          <w:tcPr>
            <w:tcW w:w="1797" w:type="dxa"/>
          </w:tcPr>
          <w:p w14:paraId="0A77FE7C"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p>
        </w:tc>
        <w:tc>
          <w:tcPr>
            <w:tcW w:w="1557" w:type="dxa"/>
          </w:tcPr>
          <w:p w14:paraId="386A9AA9"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p>
        </w:tc>
      </w:tr>
      <w:tr w:rsidR="00B02CF8" w:rsidRPr="003A6E5A" w14:paraId="1C357D50" w14:textId="77777777" w:rsidTr="008734EB">
        <w:tc>
          <w:tcPr>
            <w:tcW w:w="2263" w:type="dxa"/>
          </w:tcPr>
          <w:p w14:paraId="09406460"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Меморандум ЕС–Казахстан по критическим важным сырьевым материалам</w:t>
            </w:r>
            <w:r w:rsidRPr="003A6E5A">
              <w:rPr>
                <w:rFonts w:ascii="Times New Roman" w:eastAsia="Times New Roman" w:hAnsi="Times New Roman" w:cs="Times New Roman"/>
                <w:sz w:val="20"/>
                <w:szCs w:val="20"/>
                <w:lang w:val="kk-KZ" w:eastAsia="ru-RU"/>
              </w:rPr>
              <w:t xml:space="preserve"> - </w:t>
            </w:r>
            <w:r w:rsidRPr="003A6E5A">
              <w:rPr>
                <w:rFonts w:ascii="Times New Roman" w:eastAsia="Times New Roman" w:hAnsi="Times New Roman" w:cs="Times New Roman"/>
                <w:sz w:val="20"/>
                <w:szCs w:val="20"/>
                <w:lang w:eastAsia="ru-RU"/>
              </w:rPr>
              <w:t xml:space="preserve">7 ноября </w:t>
            </w:r>
            <w:r w:rsidRPr="003A6E5A">
              <w:rPr>
                <w:rFonts w:ascii="Times New Roman" w:eastAsia="Times New Roman" w:hAnsi="Times New Roman" w:cs="Times New Roman"/>
                <w:sz w:val="20"/>
                <w:szCs w:val="20"/>
                <w:lang w:val="kk-KZ" w:eastAsia="ru-RU"/>
              </w:rPr>
              <w:t>2022 г</w:t>
            </w:r>
            <w:r w:rsidRPr="003A6E5A">
              <w:rPr>
                <w:rFonts w:ascii="Times New Roman" w:eastAsia="Times New Roman" w:hAnsi="Times New Roman" w:cs="Times New Roman"/>
                <w:sz w:val="20"/>
                <w:szCs w:val="20"/>
                <w:lang w:eastAsia="ru-RU"/>
              </w:rPr>
              <w:t>.</w:t>
            </w:r>
          </w:p>
        </w:tc>
        <w:tc>
          <w:tcPr>
            <w:tcW w:w="2127" w:type="dxa"/>
          </w:tcPr>
          <w:p w14:paraId="06577525"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 xml:space="preserve">Меморандум ЕС–Узбекистан по критическим важным сырьевым материалам </w:t>
            </w:r>
            <w:r w:rsidRPr="003A6E5A">
              <w:rPr>
                <w:rFonts w:ascii="Times New Roman" w:eastAsia="Times New Roman" w:hAnsi="Times New Roman" w:cs="Times New Roman"/>
                <w:sz w:val="20"/>
                <w:szCs w:val="20"/>
                <w:lang w:val="kk-KZ" w:eastAsia="ru-RU"/>
              </w:rPr>
              <w:t xml:space="preserve">- </w:t>
            </w:r>
            <w:r w:rsidRPr="003A6E5A">
              <w:rPr>
                <w:rFonts w:ascii="Times New Roman" w:eastAsia="Times New Roman" w:hAnsi="Times New Roman" w:cs="Times New Roman"/>
                <w:sz w:val="20"/>
                <w:szCs w:val="20"/>
                <w:lang w:eastAsia="ru-RU"/>
              </w:rPr>
              <w:t xml:space="preserve">5 апреля </w:t>
            </w:r>
            <w:r w:rsidRPr="003A6E5A">
              <w:rPr>
                <w:rFonts w:ascii="Times New Roman" w:eastAsia="Times New Roman" w:hAnsi="Times New Roman" w:cs="Times New Roman"/>
                <w:sz w:val="20"/>
                <w:szCs w:val="20"/>
                <w:lang w:val="kk-KZ" w:eastAsia="ru-RU"/>
              </w:rPr>
              <w:t>2024 г</w:t>
            </w:r>
            <w:r w:rsidRPr="003A6E5A">
              <w:rPr>
                <w:rFonts w:ascii="Times New Roman" w:eastAsia="Times New Roman" w:hAnsi="Times New Roman" w:cs="Times New Roman"/>
                <w:sz w:val="20"/>
                <w:szCs w:val="20"/>
                <w:lang w:eastAsia="ru-RU"/>
              </w:rPr>
              <w:t>.</w:t>
            </w:r>
          </w:p>
        </w:tc>
        <w:tc>
          <w:tcPr>
            <w:tcW w:w="2207" w:type="dxa"/>
          </w:tcPr>
          <w:p w14:paraId="6435BDBE"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p>
        </w:tc>
        <w:tc>
          <w:tcPr>
            <w:tcW w:w="1797" w:type="dxa"/>
          </w:tcPr>
          <w:p w14:paraId="7CBD0FCA"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p>
        </w:tc>
        <w:tc>
          <w:tcPr>
            <w:tcW w:w="1557" w:type="dxa"/>
          </w:tcPr>
          <w:p w14:paraId="7C13BC8E" w14:textId="77777777" w:rsidR="006652C1" w:rsidRPr="003A6E5A" w:rsidRDefault="006652C1" w:rsidP="006652C1">
            <w:pPr>
              <w:spacing w:after="0" w:line="240" w:lineRule="auto"/>
              <w:rPr>
                <w:rFonts w:ascii="Times New Roman" w:eastAsia="Times New Roman" w:hAnsi="Times New Roman" w:cs="Times New Roman"/>
                <w:sz w:val="20"/>
                <w:szCs w:val="20"/>
                <w:lang w:eastAsia="ru-RU"/>
              </w:rPr>
            </w:pPr>
          </w:p>
        </w:tc>
      </w:tr>
    </w:tbl>
    <w:p w14:paraId="4B1524ED" w14:textId="77777777" w:rsidR="006652C1" w:rsidRPr="003A6E5A" w:rsidRDefault="006652C1" w:rsidP="006652C1">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 таблица составлена автором исследования</w:t>
      </w:r>
    </w:p>
    <w:p w14:paraId="05368127" w14:textId="77777777" w:rsidR="006652C1" w:rsidRPr="003A6E5A" w:rsidRDefault="006652C1" w:rsidP="006652C1">
      <w:pPr>
        <w:spacing w:after="0" w:line="240" w:lineRule="auto"/>
        <w:jc w:val="both"/>
        <w:rPr>
          <w:rFonts w:ascii="Times New Roman" w:hAnsi="Times New Roman" w:cs="Times New Roman"/>
          <w:sz w:val="28"/>
          <w:szCs w:val="28"/>
          <w:lang w:val="kk-KZ"/>
        </w:rPr>
      </w:pPr>
    </w:p>
    <w:p w14:paraId="17055B9C" w14:textId="1131373D" w:rsidR="006652C1" w:rsidRPr="003A6E5A" w:rsidRDefault="006652C1" w:rsidP="007205A3">
      <w:pPr>
        <w:spacing w:after="0" w:line="240" w:lineRule="auto"/>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Анализ данных таблицы </w:t>
      </w:r>
      <w:r w:rsidR="007205A3" w:rsidRPr="003A6E5A">
        <w:rPr>
          <w:rFonts w:ascii="Times New Roman" w:hAnsi="Times New Roman" w:cs="Times New Roman"/>
          <w:sz w:val="28"/>
          <w:szCs w:val="28"/>
          <w:lang w:val="kk-KZ"/>
        </w:rPr>
        <w:t>6</w:t>
      </w:r>
      <w:r w:rsidRPr="003A6E5A">
        <w:rPr>
          <w:rFonts w:ascii="Times New Roman" w:hAnsi="Times New Roman" w:cs="Times New Roman"/>
          <w:sz w:val="28"/>
          <w:szCs w:val="28"/>
          <w:lang w:val="kk-KZ"/>
        </w:rPr>
        <w:t xml:space="preserve"> позволяет предположить, что Европейский </w:t>
      </w:r>
      <w:r w:rsidRPr="003A6E5A">
        <w:rPr>
          <w:rFonts w:ascii="Times New Roman" w:hAnsi="Times New Roman" w:cs="Times New Roman"/>
          <w:sz w:val="28"/>
          <w:szCs w:val="28"/>
        </w:rPr>
        <w:t>С</w:t>
      </w:r>
      <w:r w:rsidRPr="003A6E5A">
        <w:rPr>
          <w:rFonts w:ascii="Times New Roman" w:hAnsi="Times New Roman" w:cs="Times New Roman"/>
          <w:sz w:val="28"/>
          <w:szCs w:val="28"/>
          <w:lang w:val="kk-KZ"/>
        </w:rPr>
        <w:t xml:space="preserve">оюз реализует поэтапный и дифференцированный подход к заключению и ратификации СПС со странами Центральной Азии, отражающий различия в институциональной зрелости, степени экономических реформ и инвестиционной привлекательности государств региона. Казахстан, Кыргызстан и Узбекистан заключили СПС в сопоставимые временные периоды, при этом ратификация документа в Казахстане и Узбекистане была завершена в более сжатые сроки. В то же время Таджикистан присоединился к договорному процессу позднее </w:t>
      </w:r>
      <w:r w:rsidRPr="003A6E5A">
        <w:rPr>
          <w:rFonts w:ascii="Times New Roman" w:eastAsia="Times New Roman" w:hAnsi="Times New Roman" w:cs="Times New Roman"/>
          <w:sz w:val="28"/>
          <w:szCs w:val="28"/>
          <w:lang w:val="kk-KZ" w:eastAsia="ru-RU"/>
        </w:rPr>
        <w:t>–</w:t>
      </w:r>
      <w:r w:rsidRPr="003A6E5A">
        <w:rPr>
          <w:rFonts w:ascii="Times New Roman" w:hAnsi="Times New Roman" w:cs="Times New Roman"/>
          <w:sz w:val="28"/>
          <w:szCs w:val="28"/>
          <w:lang w:val="kk-KZ"/>
        </w:rPr>
        <w:t xml:space="preserve"> соглашение было подписано в 2004 году и ратифицировано лишь в 2010 году, что может быть связано с более продолжительным этапом институциональной адаптации и ограниченным уровнем рыночной трансформации.</w:t>
      </w:r>
    </w:p>
    <w:p w14:paraId="43982A1E" w14:textId="77777777" w:rsidR="006652C1" w:rsidRPr="003A6E5A" w:rsidRDefault="006652C1" w:rsidP="006652C1">
      <w:pPr>
        <w:spacing w:after="0" w:line="240" w:lineRule="auto"/>
        <w:ind w:firstLine="706"/>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Казахстан стал первой страной региона, заключившей и ратифицировавшей Соглашение о расширенном партнёрстве и сотрудничестве</w:t>
      </w:r>
      <w:r w:rsidRPr="003A6E5A">
        <w:rPr>
          <w:rFonts w:ascii="Times New Roman" w:hAnsi="Times New Roman" w:cs="Times New Roman"/>
          <w:sz w:val="28"/>
          <w:szCs w:val="28"/>
        </w:rPr>
        <w:t xml:space="preserve"> (далее </w:t>
      </w:r>
      <w:r w:rsidRPr="003A6E5A">
        <w:rPr>
          <w:rFonts w:ascii="Times New Roman" w:eastAsia="Times New Roman" w:hAnsi="Times New Roman" w:cs="Times New Roman"/>
          <w:sz w:val="28"/>
          <w:szCs w:val="28"/>
          <w:lang w:val="kk-KZ" w:eastAsia="ru-RU"/>
        </w:rPr>
        <w:t>–</w:t>
      </w:r>
      <w:r w:rsidRPr="003A6E5A">
        <w:rPr>
          <w:rFonts w:ascii="Times New Roman" w:hAnsi="Times New Roman" w:cs="Times New Roman"/>
          <w:sz w:val="28"/>
          <w:szCs w:val="28"/>
        </w:rPr>
        <w:t xml:space="preserve"> СРПС)</w:t>
      </w:r>
      <w:r w:rsidRPr="003A6E5A">
        <w:rPr>
          <w:rFonts w:ascii="Times New Roman" w:hAnsi="Times New Roman" w:cs="Times New Roman"/>
          <w:sz w:val="28"/>
          <w:szCs w:val="28"/>
          <w:lang w:val="kk-KZ"/>
        </w:rPr>
        <w:t xml:space="preserve"> с Европейским союзом. Этот документ представляет собой качественно новый этап двустороннего взаимодействия и охватывает широкий спектр направлений </w:t>
      </w:r>
      <w:r w:rsidRPr="003A6E5A">
        <w:rPr>
          <w:rFonts w:ascii="Times New Roman" w:eastAsia="Times New Roman" w:hAnsi="Times New Roman" w:cs="Times New Roman"/>
          <w:sz w:val="28"/>
          <w:szCs w:val="28"/>
          <w:lang w:val="kk-KZ" w:eastAsia="ru-RU"/>
        </w:rPr>
        <w:t>–</w:t>
      </w:r>
      <w:r w:rsidRPr="003A6E5A">
        <w:rPr>
          <w:rFonts w:ascii="Times New Roman" w:hAnsi="Times New Roman" w:cs="Times New Roman"/>
          <w:sz w:val="28"/>
          <w:szCs w:val="28"/>
          <w:lang w:val="kk-KZ"/>
        </w:rPr>
        <w:t xml:space="preserve"> от укрепления торгово-экономических связей до сотрудничества в области «зелёной» энергетики, цифровизации, устойчивой модернизации и правового регулирования. Подписание СРПС может рассматриваться как показатель высокого уровня доверия со стороны ЕС, </w:t>
      </w:r>
      <w:r w:rsidRPr="003A6E5A">
        <w:rPr>
          <w:rFonts w:ascii="Times New Roman" w:hAnsi="Times New Roman" w:cs="Times New Roman"/>
          <w:sz w:val="28"/>
          <w:szCs w:val="28"/>
          <w:lang w:val="kk-KZ"/>
        </w:rPr>
        <w:lastRenderedPageBreak/>
        <w:t>отражающий стратегическую важность Казахстана в рамках внешнеэкономической политики Евросоюза.</w:t>
      </w:r>
    </w:p>
    <w:p w14:paraId="3F948E73" w14:textId="77777777" w:rsidR="006652C1" w:rsidRPr="003A6E5A" w:rsidRDefault="006652C1" w:rsidP="006652C1">
      <w:pPr>
        <w:spacing w:after="0" w:line="240" w:lineRule="auto"/>
        <w:ind w:firstLine="706"/>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Узбекистан, в свою очередь, уже подписал СРПС и, согласно официальным источникам, планирует завершить процесс его ратификации в 2025 году. Это свидетельствует о заинтересованности узбекской стороны в институционализации экономических отношений с ЕС на более глубоком уровне и стремлении интегрироваться в общеевропейское инвестиционное пространство. В частности, проект соглашения охватывает 29 приоритетных направлений, включая либерализацию торговли, устойчивое развитие, развитие инфраструктуры, охрану окружающей среды, цифровую трансформацию и верховенство права.</w:t>
      </w:r>
    </w:p>
    <w:p w14:paraId="4129AB8B" w14:textId="5678F54F" w:rsidR="006652C1" w:rsidRPr="003A6E5A" w:rsidRDefault="006652C1" w:rsidP="006652C1">
      <w:pPr>
        <w:spacing w:after="0" w:line="240" w:lineRule="auto"/>
        <w:ind w:firstLine="706"/>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Что касается других стран региона, Кыргызская Республика подписала СРПС в 2024 году, однако, процесс его ратификации не завершён. Республика Таджикистан, в свою очередь, пока не подписала аналогичное соглашение, что может отражать как институциональные ограничения, так и различия в стратегических приоритетах внешнеэкономического курса страны. В результате уровень правовой и инвестиционной интеграции этих государств с ЕС остаётся ограниченным по сравнению с Казахстаном и Узбекистаном.</w:t>
      </w:r>
    </w:p>
    <w:p w14:paraId="1A91471E" w14:textId="7F09A092" w:rsidR="001F2646" w:rsidRPr="003A6E5A" w:rsidRDefault="001F2646" w:rsidP="001F2646">
      <w:pPr>
        <w:spacing w:after="0" w:line="240" w:lineRule="auto"/>
        <w:ind w:firstLine="709"/>
        <w:jc w:val="both"/>
        <w:rPr>
          <w:rFonts w:ascii="Times New Roman" w:eastAsia="Times New Roman" w:hAnsi="Times New Roman" w:cs="Times New Roman"/>
          <w:bCs/>
          <w:sz w:val="28"/>
          <w:szCs w:val="28"/>
        </w:rPr>
      </w:pPr>
      <w:r w:rsidRPr="003A6E5A">
        <w:rPr>
          <w:rFonts w:ascii="Times New Roman" w:eastAsia="Times New Roman" w:hAnsi="Times New Roman" w:cs="Times New Roman"/>
          <w:bCs/>
          <w:sz w:val="28"/>
          <w:szCs w:val="28"/>
        </w:rPr>
        <w:t xml:space="preserve">Подписание Меморандумов о взаимопонимании с Казахстаном (2022) </w:t>
      </w:r>
      <w:r w:rsidR="00C30A58" w:rsidRPr="003A6E5A">
        <w:rPr>
          <w:rFonts w:ascii="Times New Roman" w:eastAsia="Times New Roman" w:hAnsi="Times New Roman" w:cs="Times New Roman"/>
          <w:bCs/>
          <w:sz w:val="28"/>
          <w:szCs w:val="28"/>
        </w:rPr>
        <w:t>[</w:t>
      </w:r>
      <w:r w:rsidR="00A343CE" w:rsidRPr="003A6E5A">
        <w:rPr>
          <w:rFonts w:ascii="Times New Roman" w:eastAsia="Times New Roman" w:hAnsi="Times New Roman" w:cs="Times New Roman"/>
          <w:bCs/>
          <w:sz w:val="28"/>
          <w:szCs w:val="28"/>
        </w:rPr>
        <w:t>1</w:t>
      </w:r>
      <w:r w:rsidR="00726B61" w:rsidRPr="003A6E5A">
        <w:rPr>
          <w:rFonts w:ascii="Times New Roman" w:eastAsia="Times New Roman" w:hAnsi="Times New Roman" w:cs="Times New Roman"/>
          <w:bCs/>
          <w:sz w:val="28"/>
          <w:szCs w:val="28"/>
        </w:rPr>
        <w:t>1</w:t>
      </w:r>
      <w:r w:rsidR="00B67905" w:rsidRPr="003A6E5A">
        <w:rPr>
          <w:rFonts w:ascii="Times New Roman" w:eastAsia="Times New Roman" w:hAnsi="Times New Roman" w:cs="Times New Roman"/>
          <w:bCs/>
          <w:sz w:val="28"/>
          <w:szCs w:val="28"/>
        </w:rPr>
        <w:t>7</w:t>
      </w:r>
      <w:r w:rsidR="00C30A58" w:rsidRPr="003A6E5A">
        <w:rPr>
          <w:rFonts w:ascii="Times New Roman" w:eastAsia="Times New Roman" w:hAnsi="Times New Roman" w:cs="Times New Roman"/>
          <w:bCs/>
          <w:sz w:val="28"/>
          <w:szCs w:val="28"/>
        </w:rPr>
        <w:t xml:space="preserve">] </w:t>
      </w:r>
      <w:r w:rsidRPr="003A6E5A">
        <w:rPr>
          <w:rFonts w:ascii="Times New Roman" w:eastAsia="Times New Roman" w:hAnsi="Times New Roman" w:cs="Times New Roman"/>
          <w:bCs/>
          <w:sz w:val="28"/>
          <w:szCs w:val="28"/>
        </w:rPr>
        <w:t>и Узбекистаном (2024)</w:t>
      </w:r>
      <w:r w:rsidR="00C30A58" w:rsidRPr="003A6E5A">
        <w:rPr>
          <w:rFonts w:ascii="Times New Roman" w:eastAsia="Times New Roman" w:hAnsi="Times New Roman" w:cs="Times New Roman"/>
          <w:bCs/>
          <w:sz w:val="28"/>
          <w:szCs w:val="28"/>
        </w:rPr>
        <w:t xml:space="preserve"> [</w:t>
      </w:r>
      <w:r w:rsidR="00A343CE" w:rsidRPr="003A6E5A">
        <w:rPr>
          <w:rFonts w:ascii="Times New Roman" w:eastAsia="Times New Roman" w:hAnsi="Times New Roman" w:cs="Times New Roman"/>
          <w:bCs/>
          <w:sz w:val="28"/>
          <w:szCs w:val="28"/>
        </w:rPr>
        <w:t>1</w:t>
      </w:r>
      <w:r w:rsidR="00726B61" w:rsidRPr="003A6E5A">
        <w:rPr>
          <w:rFonts w:ascii="Times New Roman" w:eastAsia="Times New Roman" w:hAnsi="Times New Roman" w:cs="Times New Roman"/>
          <w:bCs/>
          <w:sz w:val="28"/>
          <w:szCs w:val="28"/>
        </w:rPr>
        <w:t>1</w:t>
      </w:r>
      <w:r w:rsidR="00B67905" w:rsidRPr="003A6E5A">
        <w:rPr>
          <w:rFonts w:ascii="Times New Roman" w:eastAsia="Times New Roman" w:hAnsi="Times New Roman" w:cs="Times New Roman"/>
          <w:bCs/>
          <w:sz w:val="28"/>
          <w:szCs w:val="28"/>
        </w:rPr>
        <w:t>8</w:t>
      </w:r>
      <w:r w:rsidR="00C30A58" w:rsidRPr="003A6E5A">
        <w:rPr>
          <w:rFonts w:ascii="Times New Roman" w:eastAsia="Times New Roman" w:hAnsi="Times New Roman" w:cs="Times New Roman"/>
          <w:bCs/>
          <w:sz w:val="28"/>
          <w:szCs w:val="28"/>
        </w:rPr>
        <w:t>]</w:t>
      </w:r>
      <w:r w:rsidRPr="003A6E5A">
        <w:rPr>
          <w:rFonts w:ascii="Times New Roman" w:eastAsia="Times New Roman" w:hAnsi="Times New Roman" w:cs="Times New Roman"/>
          <w:bCs/>
          <w:sz w:val="28"/>
          <w:szCs w:val="28"/>
        </w:rPr>
        <w:t xml:space="preserve"> знаменует собой важный этап институционализации долгосрочного сотрудничества в области разведки, добычи, переработки и экспорта критических сырьевых материалов. Ключевой особенностью данных соглашений является их ориентация не только на обеспечение доступа к ресурсам, но и на комплексную модернизацию сырьевых секторов стран-партнёров, что включает техническую помощь в геологической разведке, разработку национальных классификаторов ресурсов и гармонизацию стандартов добычи с международными нормами.</w:t>
      </w:r>
    </w:p>
    <w:p w14:paraId="43219C71" w14:textId="4813375C" w:rsidR="001F2646" w:rsidRPr="003A6E5A" w:rsidRDefault="001F2646" w:rsidP="001F2646">
      <w:pPr>
        <w:spacing w:after="0" w:line="240" w:lineRule="auto"/>
        <w:ind w:firstLine="706"/>
        <w:jc w:val="both"/>
        <w:rPr>
          <w:rFonts w:ascii="Times New Roman" w:hAnsi="Times New Roman" w:cs="Times New Roman"/>
          <w:sz w:val="28"/>
          <w:szCs w:val="28"/>
        </w:rPr>
      </w:pPr>
      <w:r w:rsidRPr="003A6E5A">
        <w:rPr>
          <w:rFonts w:ascii="Times New Roman" w:eastAsia="Times New Roman" w:hAnsi="Times New Roman" w:cs="Times New Roman"/>
          <w:bCs/>
          <w:sz w:val="28"/>
          <w:szCs w:val="28"/>
        </w:rPr>
        <w:t>При этом с</w:t>
      </w:r>
      <w:r w:rsidRPr="003A6E5A">
        <w:rPr>
          <w:rFonts w:ascii="Times New Roman" w:hAnsi="Times New Roman" w:cs="Times New Roman"/>
          <w:sz w:val="28"/>
          <w:szCs w:val="28"/>
        </w:rPr>
        <w:t>тратегические интересы Европейского союза в формировании партнерства с Казахстаном и Узбекистаном определяются комплексом взаимосвязанных факторов. Ключевым среди которых выступает необходимость диверсификации источников критически важного сырья в условиях нарастающей геоэкономической нестабильности. Согласно данным Европейской комиссии, зависимость от единого поставщика достигла критических показателей: 98% импорта редкоземельных металлов, 93% магния и 97% лития осуществляется из Китая [</w:t>
      </w:r>
      <w:r w:rsidR="00C30A58" w:rsidRPr="003A6E5A">
        <w:rPr>
          <w:rFonts w:ascii="Times New Roman" w:hAnsi="Times New Roman" w:cs="Times New Roman"/>
          <w:sz w:val="28"/>
          <w:szCs w:val="28"/>
        </w:rPr>
        <w:t>1</w:t>
      </w:r>
      <w:r w:rsidR="00726B61" w:rsidRPr="003A6E5A">
        <w:rPr>
          <w:rFonts w:ascii="Times New Roman" w:hAnsi="Times New Roman" w:cs="Times New Roman"/>
          <w:sz w:val="28"/>
          <w:szCs w:val="28"/>
        </w:rPr>
        <w:t>1</w:t>
      </w:r>
      <w:r w:rsidR="00B67905" w:rsidRPr="003A6E5A">
        <w:rPr>
          <w:rFonts w:ascii="Times New Roman" w:hAnsi="Times New Roman" w:cs="Times New Roman"/>
          <w:sz w:val="28"/>
          <w:szCs w:val="28"/>
        </w:rPr>
        <w:t>9</w:t>
      </w:r>
      <w:r w:rsidRPr="003A6E5A">
        <w:rPr>
          <w:rFonts w:ascii="Times New Roman" w:hAnsi="Times New Roman" w:cs="Times New Roman"/>
          <w:sz w:val="28"/>
          <w:szCs w:val="28"/>
        </w:rPr>
        <w:t xml:space="preserve">], создавая системные уязвимости в цепочках поставок европейской промышленности. Реализация амбициозных целей European Green Deal и цифровой трансформации требует гарантированного доступа к стратегическим минеральным ресурсам, что обуславливает пересмотр традиционных подходов к ресурсной безопасности. Принятие Закона о критически важном сырье </w:t>
      </w:r>
      <w:r w:rsidR="003833BC" w:rsidRPr="003A6E5A">
        <w:rPr>
          <w:rFonts w:ascii="Times New Roman" w:hAnsi="Times New Roman" w:cs="Times New Roman"/>
          <w:sz w:val="28"/>
          <w:szCs w:val="28"/>
          <w:lang w:val="kk-KZ"/>
        </w:rPr>
        <w:t xml:space="preserve">(вступило в сило с 23 мая 2024)) </w:t>
      </w:r>
      <w:r w:rsidRPr="003A6E5A">
        <w:rPr>
          <w:rFonts w:ascii="Times New Roman" w:hAnsi="Times New Roman" w:cs="Times New Roman"/>
          <w:sz w:val="28"/>
          <w:szCs w:val="28"/>
        </w:rPr>
        <w:t>установило количественные ориентиры на 2030 год, включая обеспечение 40% внутренней переработки критического сырья, однако достижение этих показателей невозможно без установления стратегического партнерства с ресурсообеспеченными странами</w:t>
      </w:r>
      <w:r w:rsidR="0029280F"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w:t>
      </w:r>
      <w:r w:rsidR="00C30A58" w:rsidRPr="003A6E5A">
        <w:rPr>
          <w:rFonts w:ascii="Times New Roman" w:hAnsi="Times New Roman" w:cs="Times New Roman"/>
          <w:sz w:val="28"/>
          <w:szCs w:val="28"/>
        </w:rPr>
        <w:t>1</w:t>
      </w:r>
      <w:r w:rsidR="00B67905" w:rsidRPr="003A6E5A">
        <w:rPr>
          <w:rFonts w:ascii="Times New Roman" w:hAnsi="Times New Roman" w:cs="Times New Roman"/>
          <w:sz w:val="28"/>
          <w:szCs w:val="28"/>
        </w:rPr>
        <w:t>20</w:t>
      </w:r>
      <w:r w:rsidRPr="003A6E5A">
        <w:rPr>
          <w:rFonts w:ascii="Times New Roman" w:hAnsi="Times New Roman" w:cs="Times New Roman"/>
          <w:sz w:val="28"/>
          <w:szCs w:val="28"/>
        </w:rPr>
        <w:t xml:space="preserve">]. В этом контексте Центральная Азия </w:t>
      </w:r>
      <w:r w:rsidRPr="003A6E5A">
        <w:rPr>
          <w:rFonts w:ascii="Times New Roman" w:hAnsi="Times New Roman" w:cs="Times New Roman"/>
          <w:sz w:val="28"/>
          <w:szCs w:val="28"/>
        </w:rPr>
        <w:lastRenderedPageBreak/>
        <w:t>представляет особый интерес как регион с значительным нереализованным минерально-сырьевым потенциалом и развивающейся нормативно-правовой базой.</w:t>
      </w:r>
    </w:p>
    <w:p w14:paraId="4A685EB0" w14:textId="5B6BB17C" w:rsidR="001F2646" w:rsidRPr="003A6E5A" w:rsidRDefault="001F2646" w:rsidP="001F2646">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Со своей стороны, Казахстан и Узбекистан рассматривают сотрудничество с ЕС как стратегическую возможность для модернизации национальных экономик и интеграции в глобальные цепочки создания стоимости. Для Казахстана, обладающего более 5 000 разведанными месторождениями полезных ископаемых с совокупной стоимостью в десятки триллионов долларов [</w:t>
      </w:r>
      <w:r w:rsidR="00C30A58" w:rsidRPr="003A6E5A">
        <w:rPr>
          <w:rFonts w:ascii="Times New Roman" w:hAnsi="Times New Roman" w:cs="Times New Roman"/>
          <w:sz w:val="28"/>
          <w:szCs w:val="28"/>
        </w:rPr>
        <w:t>1</w:t>
      </w:r>
      <w:r w:rsidR="00B67905" w:rsidRPr="003A6E5A">
        <w:rPr>
          <w:rFonts w:ascii="Times New Roman" w:hAnsi="Times New Roman" w:cs="Times New Roman"/>
          <w:sz w:val="28"/>
          <w:szCs w:val="28"/>
        </w:rPr>
        <w:t>21</w:t>
      </w:r>
      <w:r w:rsidRPr="003A6E5A">
        <w:rPr>
          <w:rFonts w:ascii="Times New Roman" w:hAnsi="Times New Roman" w:cs="Times New Roman"/>
          <w:sz w:val="28"/>
          <w:szCs w:val="28"/>
        </w:rPr>
        <w:t>], партнерство с Европейским союзом открывает доступ к передовым технологиям добычи и переработки, современным управленческим практикам и новым рынкам сбыта. Аналогичным образом Узбекистан, располагающий промышленными запасами более 30 редких металлов, заинтересован в переходе от сырьевой модели экспорта к созданию производств с высокой добавленной стоимостью. Оба государства рассматривают сотрудничество в рамках подписанных меморандумов как инструмент диверсификации внешнеэкономических связей и снижения зависимости от традиционных партнеров.</w:t>
      </w:r>
    </w:p>
    <w:p w14:paraId="1668E894" w14:textId="05B6DB13" w:rsidR="0068529F" w:rsidRPr="003A6E5A" w:rsidRDefault="0068529F" w:rsidP="0068529F">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Структура Меморандумов демонстрирует взаимодополняемость стратегических интересов сторон через четыре ключевых направления кооперации. Интеграция устойчивых цепочек создания стоимости позволяет ЕС диверсифицировать поставки критического сырья, одновременно создавая для стран Центральной Азии стимулы для технологической модернизации. Развитие возобновляемого водорода соответствует задачам европейской декарбонизации, параллельно открывая перед регионом перспективы освоения нового экспортного потенциала. Гармонизация стандартов и повышение прозрачности поставок способствуют снижению транзакционных издержек, а расширение научно-исследовательской деятельности формирует основу для долгосрочных синергетических эффектов [</w:t>
      </w:r>
      <w:r w:rsidR="00C30A58" w:rsidRPr="003A6E5A">
        <w:rPr>
          <w:rFonts w:ascii="Times New Roman" w:hAnsi="Times New Roman" w:cs="Times New Roman"/>
          <w:sz w:val="28"/>
          <w:szCs w:val="28"/>
        </w:rPr>
        <w:t>1</w:t>
      </w:r>
      <w:r w:rsidR="00B67905" w:rsidRPr="003A6E5A">
        <w:rPr>
          <w:rFonts w:ascii="Times New Roman" w:hAnsi="Times New Roman" w:cs="Times New Roman"/>
          <w:sz w:val="28"/>
          <w:szCs w:val="28"/>
        </w:rPr>
        <w:t>22</w:t>
      </w:r>
      <w:r w:rsidRPr="003A6E5A">
        <w:rPr>
          <w:rFonts w:ascii="Times New Roman" w:hAnsi="Times New Roman" w:cs="Times New Roman"/>
          <w:sz w:val="28"/>
          <w:szCs w:val="28"/>
        </w:rPr>
        <w:t>].</w:t>
      </w:r>
    </w:p>
    <w:p w14:paraId="4B23BAC9" w14:textId="17F8DB72" w:rsidR="0068529F" w:rsidRPr="003A6E5A" w:rsidRDefault="0068529F" w:rsidP="0068529F">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По нашему мнению, реализация договоренностей требует балансировки экономических приоритетов сторон. Для ЕС ключевыми остаются гарантии стабильности поставок и соответствие экологическим стандартам, тогда как Казахстан и Узбекистан акцентируют необходимость трансфера технологий и создания производств с высокой добавленной стоимостью. Институциональной основой выступают финансовые механизмы инициативы Global Gateway с объемом финансирования 12 млрд евро, включая целевое выделение 2,5 млрд евро на проекты в сфере критических минералов [</w:t>
      </w:r>
      <w:r w:rsidR="00863179" w:rsidRPr="003A6E5A">
        <w:rPr>
          <w:rFonts w:ascii="Times New Roman" w:hAnsi="Times New Roman" w:cs="Times New Roman"/>
          <w:sz w:val="28"/>
          <w:szCs w:val="28"/>
        </w:rPr>
        <w:t>5</w:t>
      </w:r>
      <w:r w:rsidRPr="003A6E5A">
        <w:rPr>
          <w:rFonts w:ascii="Times New Roman" w:hAnsi="Times New Roman" w:cs="Times New Roman"/>
          <w:sz w:val="28"/>
          <w:szCs w:val="28"/>
        </w:rPr>
        <w:t>].</w:t>
      </w:r>
    </w:p>
    <w:p w14:paraId="00748609" w14:textId="2C1A0187" w:rsidR="0068529F" w:rsidRPr="003A6E5A" w:rsidRDefault="0068529F" w:rsidP="0068529F">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Конкретным инструментом реализации стала Дорожная карта по стратегическому партнерству с Казахстаном в производстве аккумуляторных батарей и «зеленого» водорода, нацеленная на создание замкнутого производственного цикла [</w:t>
      </w:r>
      <w:r w:rsidR="00C30A58" w:rsidRPr="003A6E5A">
        <w:rPr>
          <w:rFonts w:ascii="Times New Roman" w:eastAsia="Times New Roman" w:hAnsi="Times New Roman" w:cs="Times New Roman"/>
          <w:sz w:val="28"/>
          <w:szCs w:val="28"/>
          <w:lang w:eastAsia="ru-RU"/>
        </w:rPr>
        <w:t>1</w:t>
      </w:r>
      <w:r w:rsidR="00B67905" w:rsidRPr="003A6E5A">
        <w:rPr>
          <w:rFonts w:ascii="Times New Roman" w:eastAsia="Times New Roman" w:hAnsi="Times New Roman" w:cs="Times New Roman"/>
          <w:sz w:val="28"/>
          <w:szCs w:val="28"/>
          <w:lang w:eastAsia="ru-RU"/>
        </w:rPr>
        <w:t>23</w:t>
      </w:r>
      <w:r w:rsidRPr="003A6E5A">
        <w:rPr>
          <w:rFonts w:ascii="Times New Roman" w:hAnsi="Times New Roman" w:cs="Times New Roman"/>
          <w:sz w:val="28"/>
          <w:szCs w:val="28"/>
        </w:rPr>
        <w:t>]. Данный подход позволяет ЕС диверсифицировать не только источники сырья, но и географию перерабатывающих мощностей, снижая валютные и логистические риски зависимости от китайского рынка.</w:t>
      </w:r>
    </w:p>
    <w:p w14:paraId="1E1E0E18" w14:textId="6F16FED6" w:rsidR="003833BC" w:rsidRPr="003A6E5A" w:rsidRDefault="0068529F" w:rsidP="003833BC">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lastRenderedPageBreak/>
        <w:t>Конкурентная среда на рынке критического сырья усиливает значимость учета экономических интересов партнеров. Показательно, что Узбекистан параллельно с переговорами с ЕС ведет диалог с Южной Кореей, где ключевым условием сотрудничества определяет создание полной цепочки добавленной стоимости с организацией производств глубокой переработки [</w:t>
      </w:r>
      <w:r w:rsidR="00C30A58" w:rsidRPr="003A6E5A">
        <w:rPr>
          <w:rFonts w:ascii="Times New Roman" w:hAnsi="Times New Roman" w:cs="Times New Roman"/>
          <w:sz w:val="28"/>
          <w:szCs w:val="28"/>
        </w:rPr>
        <w:t>1</w:t>
      </w:r>
      <w:r w:rsidR="00B67905" w:rsidRPr="003A6E5A">
        <w:rPr>
          <w:rFonts w:ascii="Times New Roman" w:hAnsi="Times New Roman" w:cs="Times New Roman"/>
          <w:sz w:val="28"/>
          <w:szCs w:val="28"/>
        </w:rPr>
        <w:t>24</w:t>
      </w:r>
      <w:r w:rsidRPr="003A6E5A">
        <w:rPr>
          <w:rFonts w:ascii="Times New Roman" w:hAnsi="Times New Roman" w:cs="Times New Roman"/>
          <w:sz w:val="28"/>
          <w:szCs w:val="28"/>
        </w:rPr>
        <w:t>]. В этой связи предложения ЕС должны содержать конкурентоспособные условия технологического партнерства, поскольку альтернативные игроки демонстрируют большую гибкость в вопросах локализации производств.</w:t>
      </w:r>
    </w:p>
    <w:p w14:paraId="7ABDBA1C" w14:textId="77777777" w:rsidR="003833BC" w:rsidRPr="003A6E5A" w:rsidRDefault="0068529F" w:rsidP="003833BC">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Таким образом, экономическая эффективность партнерства будет определяться способностью ЕС предложить комплексную модель, сочетающую экологические стандарты с созданием реальных возможностей для индустриализации сырьевого сектора стран-партнеров. Критически важным становится ориентация на построение полных цепочек добавленной стоимости, включая трансфер технологий и развитие местного содержания, что соответствует стратегическим интересам всех участников сотрудничества.</w:t>
      </w:r>
    </w:p>
    <w:p w14:paraId="062F0B81" w14:textId="2760EB1C" w:rsidR="006652C1" w:rsidRPr="003A6E5A" w:rsidRDefault="0068529F" w:rsidP="003833BC">
      <w:pPr>
        <w:spacing w:after="0" w:line="240" w:lineRule="auto"/>
        <w:ind w:firstLine="706"/>
        <w:jc w:val="both"/>
        <w:rPr>
          <w:rFonts w:ascii="Times New Roman" w:hAnsi="Times New Roman" w:cs="Times New Roman"/>
          <w:sz w:val="28"/>
          <w:szCs w:val="28"/>
        </w:rPr>
      </w:pPr>
      <w:r w:rsidRPr="003A6E5A">
        <w:rPr>
          <w:rFonts w:ascii="Times New Roman" w:hAnsi="Times New Roman" w:cs="Times New Roman"/>
          <w:sz w:val="28"/>
          <w:szCs w:val="28"/>
        </w:rPr>
        <w:t xml:space="preserve">В контексте выявленных взаимодополняющих интересов представляет научный и практический интерес анализ сотрудничества между Европейским союзом и странами Центральной Азии на региональном уровне. Данное взаимодействие формировалось в рамках последовательно реализуемых региональных стратегий и инициатив, отражающих эволюцию внешнеэкономических и геоэкономических приоритетов ЕС (таблица </w:t>
      </w:r>
      <w:r w:rsidR="007205A3" w:rsidRPr="003A6E5A">
        <w:rPr>
          <w:rFonts w:ascii="Times New Roman" w:hAnsi="Times New Roman" w:cs="Times New Roman"/>
          <w:sz w:val="28"/>
          <w:szCs w:val="28"/>
        </w:rPr>
        <w:t>7</w:t>
      </w:r>
      <w:r w:rsidRPr="003A6E5A">
        <w:rPr>
          <w:rFonts w:ascii="Times New Roman" w:hAnsi="Times New Roman" w:cs="Times New Roman"/>
          <w:sz w:val="28"/>
          <w:szCs w:val="28"/>
        </w:rPr>
        <w:t>).</w:t>
      </w:r>
    </w:p>
    <w:p w14:paraId="4DFA177A" w14:textId="77777777" w:rsidR="0068529F" w:rsidRPr="003A6E5A" w:rsidRDefault="0068529F" w:rsidP="0068529F">
      <w:pPr>
        <w:spacing w:after="0" w:line="240" w:lineRule="auto"/>
        <w:jc w:val="both"/>
        <w:rPr>
          <w:rFonts w:ascii="Times New Roman" w:hAnsi="Times New Roman" w:cs="Times New Roman"/>
          <w:sz w:val="28"/>
          <w:szCs w:val="28"/>
        </w:rPr>
      </w:pPr>
    </w:p>
    <w:p w14:paraId="55D90EC2" w14:textId="0A9AAB38" w:rsidR="006652C1" w:rsidRPr="003A6E5A" w:rsidRDefault="006652C1" w:rsidP="006652C1">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Таблица </w:t>
      </w:r>
      <w:r w:rsidR="007205A3" w:rsidRPr="003A6E5A">
        <w:rPr>
          <w:rFonts w:ascii="Times New Roman" w:hAnsi="Times New Roman" w:cs="Times New Roman"/>
          <w:sz w:val="28"/>
          <w:szCs w:val="28"/>
          <w:lang w:val="kk-KZ"/>
        </w:rPr>
        <w:t>7</w:t>
      </w:r>
      <w:r w:rsidRPr="003A6E5A">
        <w:rPr>
          <w:rFonts w:ascii="Times New Roman" w:hAnsi="Times New Roman" w:cs="Times New Roman"/>
          <w:sz w:val="28"/>
          <w:szCs w:val="28"/>
          <w:lang w:val="kk-KZ"/>
        </w:rPr>
        <w:t>. Стратегические документы ЕС в отношении Центральной Азии и их приоритетные направления</w:t>
      </w:r>
    </w:p>
    <w:tbl>
      <w:tblPr>
        <w:tblStyle w:val="ac"/>
        <w:tblW w:w="0" w:type="auto"/>
        <w:tblLook w:val="04A0" w:firstRow="1" w:lastRow="0" w:firstColumn="1" w:lastColumn="0" w:noHBand="0" w:noVBand="1"/>
      </w:tblPr>
      <w:tblGrid>
        <w:gridCol w:w="616"/>
        <w:gridCol w:w="2631"/>
        <w:gridCol w:w="1659"/>
        <w:gridCol w:w="4686"/>
      </w:tblGrid>
      <w:tr w:rsidR="00B02CF8" w:rsidRPr="003A6E5A" w14:paraId="4FCBFCA8" w14:textId="77777777" w:rsidTr="006652C1">
        <w:tc>
          <w:tcPr>
            <w:tcW w:w="616" w:type="dxa"/>
          </w:tcPr>
          <w:p w14:paraId="0317F97A"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w:t>
            </w:r>
          </w:p>
        </w:tc>
        <w:tc>
          <w:tcPr>
            <w:tcW w:w="2631" w:type="dxa"/>
          </w:tcPr>
          <w:p w14:paraId="49CA7E5C"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Стратегия</w:t>
            </w:r>
          </w:p>
        </w:tc>
        <w:tc>
          <w:tcPr>
            <w:tcW w:w="1659" w:type="dxa"/>
          </w:tcPr>
          <w:p w14:paraId="785E5C5F"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Год принятия, статус</w:t>
            </w:r>
          </w:p>
        </w:tc>
        <w:tc>
          <w:tcPr>
            <w:tcW w:w="4686" w:type="dxa"/>
          </w:tcPr>
          <w:p w14:paraId="570AAE42" w14:textId="77777777"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Ключевые направления</w:t>
            </w:r>
          </w:p>
        </w:tc>
      </w:tr>
      <w:tr w:rsidR="00B02CF8" w:rsidRPr="003A6E5A" w14:paraId="2C6B0075" w14:textId="77777777" w:rsidTr="006652C1">
        <w:tc>
          <w:tcPr>
            <w:tcW w:w="616" w:type="dxa"/>
          </w:tcPr>
          <w:p w14:paraId="5FA89B56"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1</w:t>
            </w:r>
          </w:p>
        </w:tc>
        <w:tc>
          <w:tcPr>
            <w:tcW w:w="2631" w:type="dxa"/>
          </w:tcPr>
          <w:p w14:paraId="625C1811" w14:textId="5C62566C"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lang w:val="kk-KZ"/>
              </w:rPr>
              <w:t>ЕС и Центральная Азия: стратегия для нового партнёрства</w:t>
            </w:r>
            <w:r w:rsidR="00890E7A" w:rsidRPr="003A6E5A">
              <w:rPr>
                <w:rFonts w:ascii="Times New Roman" w:hAnsi="Times New Roman" w:cs="Times New Roman"/>
                <w:sz w:val="21"/>
                <w:szCs w:val="21"/>
              </w:rPr>
              <w:t xml:space="preserve"> [11</w:t>
            </w:r>
            <w:r w:rsidR="00B67905" w:rsidRPr="003A6E5A">
              <w:rPr>
                <w:rFonts w:ascii="Times New Roman" w:hAnsi="Times New Roman" w:cs="Times New Roman"/>
                <w:sz w:val="21"/>
                <w:szCs w:val="21"/>
              </w:rPr>
              <w:t>6</w:t>
            </w:r>
            <w:r w:rsidR="00890E7A" w:rsidRPr="003A6E5A">
              <w:rPr>
                <w:rFonts w:ascii="Times New Roman" w:hAnsi="Times New Roman" w:cs="Times New Roman"/>
                <w:sz w:val="21"/>
                <w:szCs w:val="21"/>
              </w:rPr>
              <w:t>]</w:t>
            </w:r>
          </w:p>
        </w:tc>
        <w:tc>
          <w:tcPr>
            <w:tcW w:w="1659" w:type="dxa"/>
          </w:tcPr>
          <w:p w14:paraId="02143E9D"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31 мая 2007 г., частично реализована</w:t>
            </w:r>
          </w:p>
        </w:tc>
        <w:tc>
          <w:tcPr>
            <w:tcW w:w="4686" w:type="dxa"/>
          </w:tcPr>
          <w:p w14:paraId="5DB2B8DE" w14:textId="77777777"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 xml:space="preserve">Энергетика, транспорт, </w:t>
            </w:r>
            <w:r w:rsidRPr="003A6E5A">
              <w:rPr>
                <w:rFonts w:ascii="Times New Roman" w:hAnsi="Times New Roman" w:cs="Times New Roman"/>
                <w:sz w:val="21"/>
                <w:szCs w:val="21"/>
                <w:lang w:val="kk-KZ"/>
              </w:rPr>
              <w:t xml:space="preserve">экология, </w:t>
            </w:r>
            <w:r w:rsidRPr="003A6E5A">
              <w:rPr>
                <w:rFonts w:ascii="Times New Roman" w:hAnsi="Times New Roman" w:cs="Times New Roman"/>
                <w:sz w:val="21"/>
                <w:szCs w:val="21"/>
              </w:rPr>
              <w:t>права человека, образование</w:t>
            </w:r>
          </w:p>
        </w:tc>
      </w:tr>
      <w:tr w:rsidR="00B02CF8" w:rsidRPr="003A6E5A" w14:paraId="5F5EFB90" w14:textId="77777777" w:rsidTr="006652C1">
        <w:tc>
          <w:tcPr>
            <w:tcW w:w="616" w:type="dxa"/>
          </w:tcPr>
          <w:p w14:paraId="1FFD50E3"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2</w:t>
            </w:r>
          </w:p>
        </w:tc>
        <w:tc>
          <w:tcPr>
            <w:tcW w:w="2631" w:type="dxa"/>
          </w:tcPr>
          <w:p w14:paraId="5414D9C6" w14:textId="5776C75F"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ЕС и Центральная Азия: новые возможности для более прочного партнерства</w:t>
            </w:r>
            <w:r w:rsidR="00890E7A" w:rsidRPr="003A6E5A">
              <w:rPr>
                <w:rFonts w:ascii="Times New Roman" w:hAnsi="Times New Roman" w:cs="Times New Roman"/>
                <w:sz w:val="21"/>
                <w:szCs w:val="21"/>
              </w:rPr>
              <w:t xml:space="preserve"> [48]</w:t>
            </w:r>
          </w:p>
        </w:tc>
        <w:tc>
          <w:tcPr>
            <w:tcW w:w="1659" w:type="dxa"/>
          </w:tcPr>
          <w:p w14:paraId="3EF35B72"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rPr>
              <w:t xml:space="preserve">15 мая </w:t>
            </w:r>
            <w:r w:rsidRPr="003A6E5A">
              <w:rPr>
                <w:rFonts w:ascii="Times New Roman" w:hAnsi="Times New Roman" w:cs="Times New Roman"/>
                <w:sz w:val="21"/>
                <w:szCs w:val="21"/>
                <w:lang w:val="kk-KZ"/>
              </w:rPr>
              <w:t>2019 г. активно реализуется</w:t>
            </w:r>
          </w:p>
        </w:tc>
        <w:tc>
          <w:tcPr>
            <w:tcW w:w="4686" w:type="dxa"/>
          </w:tcPr>
          <w:p w14:paraId="1907E814" w14:textId="77777777"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Устойчивость, процветание, критическое сырьё, климат</w:t>
            </w:r>
          </w:p>
        </w:tc>
      </w:tr>
      <w:tr w:rsidR="00B02CF8" w:rsidRPr="003A6E5A" w14:paraId="2FF67EE0" w14:textId="77777777" w:rsidTr="006652C1">
        <w:tc>
          <w:tcPr>
            <w:tcW w:w="616" w:type="dxa"/>
          </w:tcPr>
          <w:p w14:paraId="59E5BB45"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3</w:t>
            </w:r>
          </w:p>
        </w:tc>
        <w:tc>
          <w:tcPr>
            <w:tcW w:w="2631" w:type="dxa"/>
          </w:tcPr>
          <w:p w14:paraId="5D4E3ED9" w14:textId="4FDE3145"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Совместная дорожная карта по углублению связей между ЕС и Центральной Азией</w:t>
            </w:r>
            <w:r w:rsidR="00890E7A" w:rsidRPr="003A6E5A">
              <w:rPr>
                <w:rFonts w:ascii="Times New Roman" w:hAnsi="Times New Roman" w:cs="Times New Roman"/>
                <w:sz w:val="21"/>
                <w:szCs w:val="21"/>
              </w:rPr>
              <w:t xml:space="preserve"> [49]</w:t>
            </w:r>
          </w:p>
        </w:tc>
        <w:tc>
          <w:tcPr>
            <w:tcW w:w="1659" w:type="dxa"/>
          </w:tcPr>
          <w:p w14:paraId="1DCE038B"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23 октября 2023 г, в реализации</w:t>
            </w:r>
          </w:p>
        </w:tc>
        <w:tc>
          <w:tcPr>
            <w:tcW w:w="4686" w:type="dxa"/>
          </w:tcPr>
          <w:p w14:paraId="036AB6E1" w14:textId="77777777"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Торговля, энергетика, инвестиции в рамках Global Gateway</w:t>
            </w:r>
          </w:p>
        </w:tc>
      </w:tr>
      <w:tr w:rsidR="00B02CF8" w:rsidRPr="003A6E5A" w14:paraId="049F66D7" w14:textId="77777777" w:rsidTr="006652C1">
        <w:tc>
          <w:tcPr>
            <w:tcW w:w="616" w:type="dxa"/>
          </w:tcPr>
          <w:p w14:paraId="1E6E2680" w14:textId="77777777" w:rsidR="006652C1" w:rsidRPr="003A6E5A" w:rsidRDefault="006652C1"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4</w:t>
            </w:r>
          </w:p>
        </w:tc>
        <w:tc>
          <w:tcPr>
            <w:tcW w:w="2631" w:type="dxa"/>
          </w:tcPr>
          <w:p w14:paraId="02C7CF26" w14:textId="33494B5A" w:rsidR="006652C1" w:rsidRPr="003A6E5A" w:rsidRDefault="006652C1" w:rsidP="006652C1">
            <w:pPr>
              <w:spacing w:after="0" w:line="240" w:lineRule="auto"/>
              <w:rPr>
                <w:rFonts w:ascii="Times New Roman" w:hAnsi="Times New Roman" w:cs="Times New Roman"/>
                <w:sz w:val="21"/>
                <w:szCs w:val="21"/>
                <w:lang w:val="en-US"/>
              </w:rPr>
            </w:pPr>
            <w:r w:rsidRPr="003A6E5A">
              <w:rPr>
                <w:rFonts w:ascii="Times New Roman" w:hAnsi="Times New Roman" w:cs="Times New Roman"/>
                <w:sz w:val="21"/>
                <w:szCs w:val="21"/>
                <w:lang w:val="en-US"/>
              </w:rPr>
              <w:t>«</w:t>
            </w:r>
            <w:r w:rsidRPr="003A6E5A">
              <w:rPr>
                <w:rFonts w:ascii="Times New Roman" w:hAnsi="Times New Roman" w:cs="Times New Roman"/>
                <w:sz w:val="21"/>
                <w:szCs w:val="21"/>
              </w:rPr>
              <w:t>Глобальные</w:t>
            </w:r>
            <w:r w:rsidRPr="003A6E5A">
              <w:rPr>
                <w:rFonts w:ascii="Times New Roman" w:hAnsi="Times New Roman" w:cs="Times New Roman"/>
                <w:sz w:val="21"/>
                <w:szCs w:val="21"/>
                <w:lang w:val="en-US"/>
              </w:rPr>
              <w:t xml:space="preserve"> </w:t>
            </w:r>
            <w:r w:rsidRPr="003A6E5A">
              <w:rPr>
                <w:rFonts w:ascii="Times New Roman" w:hAnsi="Times New Roman" w:cs="Times New Roman"/>
                <w:sz w:val="21"/>
                <w:szCs w:val="21"/>
              </w:rPr>
              <w:t>ворота</w:t>
            </w:r>
            <w:r w:rsidRPr="003A6E5A">
              <w:rPr>
                <w:rFonts w:ascii="Times New Roman" w:hAnsi="Times New Roman" w:cs="Times New Roman"/>
                <w:sz w:val="21"/>
                <w:szCs w:val="21"/>
                <w:lang w:val="en-US"/>
              </w:rPr>
              <w:t>» (Global Gateway Investment Package)</w:t>
            </w:r>
            <w:r w:rsidR="00890E7A" w:rsidRPr="003A6E5A">
              <w:rPr>
                <w:rFonts w:ascii="Times New Roman" w:hAnsi="Times New Roman" w:cs="Times New Roman"/>
                <w:sz w:val="21"/>
                <w:szCs w:val="21"/>
                <w:lang w:val="en-US"/>
              </w:rPr>
              <w:t xml:space="preserve"> [50]</w:t>
            </w:r>
          </w:p>
        </w:tc>
        <w:tc>
          <w:tcPr>
            <w:tcW w:w="1659" w:type="dxa"/>
          </w:tcPr>
          <w:p w14:paraId="4662A5B1" w14:textId="3E00BAAE" w:rsidR="006652C1" w:rsidRPr="003A6E5A" w:rsidRDefault="005C4E59" w:rsidP="006652C1">
            <w:pPr>
              <w:spacing w:after="0" w:line="240" w:lineRule="auto"/>
              <w:rPr>
                <w:rFonts w:ascii="Times New Roman" w:hAnsi="Times New Roman" w:cs="Times New Roman"/>
                <w:sz w:val="21"/>
                <w:szCs w:val="21"/>
                <w:lang w:val="kk-KZ"/>
              </w:rPr>
            </w:pPr>
            <w:r w:rsidRPr="003A6E5A">
              <w:rPr>
                <w:rFonts w:ascii="Times New Roman" w:hAnsi="Times New Roman" w:cs="Times New Roman"/>
                <w:sz w:val="21"/>
                <w:szCs w:val="21"/>
                <w:lang w:val="kk-KZ"/>
              </w:rPr>
              <w:t xml:space="preserve">1 декабря </w:t>
            </w:r>
            <w:r w:rsidR="006652C1" w:rsidRPr="003A6E5A">
              <w:rPr>
                <w:rFonts w:ascii="Times New Roman" w:hAnsi="Times New Roman" w:cs="Times New Roman"/>
                <w:sz w:val="21"/>
                <w:szCs w:val="21"/>
                <w:lang w:val="kk-KZ"/>
              </w:rPr>
              <w:t>202</w:t>
            </w:r>
            <w:r w:rsidRPr="003A6E5A">
              <w:rPr>
                <w:rFonts w:ascii="Times New Roman" w:hAnsi="Times New Roman" w:cs="Times New Roman"/>
                <w:sz w:val="21"/>
                <w:szCs w:val="21"/>
                <w:lang w:val="kk-KZ"/>
              </w:rPr>
              <w:t>1</w:t>
            </w:r>
            <w:r w:rsidR="006652C1" w:rsidRPr="003A6E5A">
              <w:rPr>
                <w:rFonts w:ascii="Times New Roman" w:hAnsi="Times New Roman" w:cs="Times New Roman"/>
                <w:sz w:val="21"/>
                <w:szCs w:val="21"/>
                <w:lang w:val="kk-KZ"/>
              </w:rPr>
              <w:t xml:space="preserve"> г. начальная фаза реализации</w:t>
            </w:r>
          </w:p>
        </w:tc>
        <w:tc>
          <w:tcPr>
            <w:tcW w:w="4686" w:type="dxa"/>
          </w:tcPr>
          <w:p w14:paraId="517B5CAE" w14:textId="77777777" w:rsidR="006652C1" w:rsidRPr="003A6E5A" w:rsidRDefault="006652C1" w:rsidP="006652C1">
            <w:pPr>
              <w:spacing w:after="0" w:line="240" w:lineRule="auto"/>
              <w:rPr>
                <w:rFonts w:ascii="Times New Roman" w:hAnsi="Times New Roman" w:cs="Times New Roman"/>
                <w:sz w:val="21"/>
                <w:szCs w:val="21"/>
              </w:rPr>
            </w:pPr>
            <w:r w:rsidRPr="003A6E5A">
              <w:rPr>
                <w:rFonts w:ascii="Times New Roman" w:hAnsi="Times New Roman" w:cs="Times New Roman"/>
                <w:sz w:val="21"/>
                <w:szCs w:val="21"/>
              </w:rPr>
              <w:t>Цифровые технологии, климат и энергетика, транспорт, здравоохранение, образование и научные исследования</w:t>
            </w:r>
          </w:p>
        </w:tc>
      </w:tr>
    </w:tbl>
    <w:p w14:paraId="72390199" w14:textId="77777777" w:rsidR="006652C1" w:rsidRPr="003A6E5A" w:rsidRDefault="006652C1" w:rsidP="006652C1">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 таблица составлена автором исследования</w:t>
      </w:r>
    </w:p>
    <w:p w14:paraId="0FFF2CF7" w14:textId="77777777" w:rsidR="006652C1" w:rsidRPr="003A6E5A" w:rsidRDefault="006652C1" w:rsidP="006652C1">
      <w:pPr>
        <w:pStyle w:val="aa"/>
        <w:spacing w:beforeAutospacing="0" w:after="0" w:afterAutospacing="0" w:line="240" w:lineRule="auto"/>
        <w:ind w:firstLineChars="200" w:firstLine="560"/>
        <w:jc w:val="both"/>
        <w:rPr>
          <w:rFonts w:eastAsiaTheme="minorHAnsi"/>
          <w:sz w:val="28"/>
          <w:szCs w:val="28"/>
          <w:lang w:val="ru-RU" w:eastAsia="en-US"/>
        </w:rPr>
      </w:pPr>
    </w:p>
    <w:p w14:paraId="4B6CC63D" w14:textId="13BBF203" w:rsidR="006652C1" w:rsidRPr="003A6E5A" w:rsidRDefault="006652C1" w:rsidP="006652C1">
      <w:pPr>
        <w:pStyle w:val="aa"/>
        <w:spacing w:beforeAutospacing="0" w:after="0" w:afterAutospacing="0" w:line="240" w:lineRule="auto"/>
        <w:ind w:firstLineChars="200" w:firstLine="560"/>
        <w:jc w:val="both"/>
        <w:rPr>
          <w:rFonts w:eastAsiaTheme="minorHAnsi"/>
          <w:sz w:val="28"/>
          <w:szCs w:val="28"/>
          <w:lang w:val="ru-RU" w:eastAsia="en-US"/>
        </w:rPr>
      </w:pPr>
      <w:r w:rsidRPr="003A6E5A">
        <w:rPr>
          <w:rFonts w:eastAsiaTheme="minorHAnsi"/>
          <w:sz w:val="28"/>
          <w:szCs w:val="28"/>
          <w:lang w:val="ru-RU" w:eastAsia="en-US"/>
        </w:rPr>
        <w:t>Одной из первых комплексных инициатив Европейского союза в отношении стран Центральной Азии стала Стратегия «ЕС и Центральная Азия: стратегия для нового партнёрства», утверждённая в 2007 году [</w:t>
      </w:r>
      <w:r w:rsidR="00590B1F" w:rsidRPr="003A6E5A">
        <w:rPr>
          <w:rFonts w:eastAsiaTheme="minorHAnsi"/>
          <w:sz w:val="28"/>
          <w:szCs w:val="28"/>
          <w:lang w:val="ru-RU" w:eastAsia="en-US"/>
        </w:rPr>
        <w:t>1</w:t>
      </w:r>
      <w:r w:rsidR="00890E7A" w:rsidRPr="003A6E5A">
        <w:rPr>
          <w:rFonts w:eastAsiaTheme="minorHAnsi"/>
          <w:sz w:val="28"/>
          <w:szCs w:val="28"/>
          <w:lang w:val="ru-RU" w:eastAsia="en-US"/>
        </w:rPr>
        <w:t>2</w:t>
      </w:r>
      <w:r w:rsidR="00B67905" w:rsidRPr="003A6E5A">
        <w:rPr>
          <w:rFonts w:eastAsiaTheme="minorHAnsi"/>
          <w:sz w:val="28"/>
          <w:szCs w:val="28"/>
          <w:lang w:val="ru-RU" w:eastAsia="en-US"/>
        </w:rPr>
        <w:t>5</w:t>
      </w:r>
      <w:r w:rsidRPr="003A6E5A">
        <w:rPr>
          <w:rFonts w:eastAsiaTheme="minorHAnsi"/>
          <w:sz w:val="28"/>
          <w:szCs w:val="28"/>
          <w:lang w:val="ru-RU" w:eastAsia="en-US"/>
        </w:rPr>
        <w:t xml:space="preserve">]. Документ охватывал широкий спектр приоритетов, включая содействие политической стабильности и безопасности в регионе, поддержку в достижении целей развития тысячелетия (в частности, сокращение бедности и повышение качества </w:t>
      </w:r>
      <w:r w:rsidRPr="003A6E5A">
        <w:rPr>
          <w:rFonts w:eastAsiaTheme="minorHAnsi"/>
          <w:sz w:val="28"/>
          <w:szCs w:val="28"/>
          <w:lang w:val="ru-RU" w:eastAsia="en-US"/>
        </w:rPr>
        <w:lastRenderedPageBreak/>
        <w:t>жизни), а также углубление регионального взаимодействия как между государствами Центральной Азии, так и между ними и Европейским союзом.</w:t>
      </w:r>
    </w:p>
    <w:p w14:paraId="26FDE914" w14:textId="440E1E80" w:rsidR="006652C1" w:rsidRPr="003A6E5A" w:rsidRDefault="006652C1" w:rsidP="006652C1">
      <w:pPr>
        <w:pStyle w:val="aa"/>
        <w:spacing w:beforeAutospacing="0" w:after="0" w:afterAutospacing="0" w:line="240" w:lineRule="auto"/>
        <w:ind w:firstLineChars="200" w:firstLine="560"/>
        <w:jc w:val="both"/>
        <w:rPr>
          <w:rFonts w:eastAsiaTheme="minorHAnsi"/>
          <w:sz w:val="28"/>
          <w:szCs w:val="28"/>
          <w:lang w:val="ru-RU" w:eastAsia="en-US"/>
        </w:rPr>
      </w:pPr>
      <w:r w:rsidRPr="003A6E5A">
        <w:rPr>
          <w:rFonts w:eastAsiaTheme="minorHAnsi"/>
          <w:sz w:val="28"/>
          <w:szCs w:val="28"/>
          <w:lang w:val="ru-RU" w:eastAsia="en-US"/>
        </w:rPr>
        <w:t>Как подчёркивает Л. С. Колесникова, данная стратегия стала платформой для запуска масштабных программ технической и финансовой помощи со стороны ЕС</w:t>
      </w:r>
      <w:r w:rsidR="005A2C46" w:rsidRPr="003A6E5A">
        <w:rPr>
          <w:rFonts w:eastAsiaTheme="minorHAnsi"/>
          <w:sz w:val="28"/>
          <w:szCs w:val="28"/>
          <w:lang w:val="ru-RU" w:eastAsia="en-US"/>
        </w:rPr>
        <w:t xml:space="preserve"> [23]</w:t>
      </w:r>
      <w:r w:rsidRPr="003A6E5A">
        <w:rPr>
          <w:rFonts w:eastAsiaTheme="minorHAnsi"/>
          <w:sz w:val="28"/>
          <w:szCs w:val="28"/>
          <w:lang w:val="ru-RU" w:eastAsia="en-US"/>
        </w:rPr>
        <w:t>. В период с 2007 по 2018 год общий объём выделенного финансирования составил около 2 млрд евро. К числу ключевых инициатив можно отнести такие программы, как BOMCA (программа модернизации пограничного управления), CADAP (инициатива по борьбе с наркотрафиком), а также проекты в сфере образования и академической мобильности, прежде всего ERASMUS+, в рамках которого было направлено около 115 млн евро. Эти меры способствовали формированию институциональной базы для развития устойчивого партнёрства и свидетельствовали о заинтересованности ЕС в укреплении социальной и административной инфраструктуры стран региона [2</w:t>
      </w:r>
      <w:r w:rsidR="005A2C46" w:rsidRPr="003A6E5A">
        <w:rPr>
          <w:rFonts w:eastAsiaTheme="minorHAnsi"/>
          <w:sz w:val="28"/>
          <w:szCs w:val="28"/>
          <w:lang w:val="ru-RU" w:eastAsia="en-US"/>
        </w:rPr>
        <w:t>3</w:t>
      </w:r>
      <w:r w:rsidRPr="003A6E5A">
        <w:rPr>
          <w:rFonts w:eastAsiaTheme="minorHAnsi"/>
          <w:sz w:val="28"/>
          <w:szCs w:val="28"/>
          <w:lang w:val="ru-RU" w:eastAsia="en-US"/>
        </w:rPr>
        <w:t>].</w:t>
      </w:r>
    </w:p>
    <w:p w14:paraId="75E372B6" w14:textId="6F33FFA8" w:rsidR="006652C1" w:rsidRPr="003A6E5A" w:rsidRDefault="006652C1" w:rsidP="006652C1">
      <w:pPr>
        <w:pStyle w:val="aa"/>
        <w:spacing w:beforeAutospacing="0" w:after="0" w:afterAutospacing="0" w:line="240" w:lineRule="auto"/>
        <w:ind w:firstLineChars="200" w:firstLine="560"/>
        <w:jc w:val="both"/>
        <w:rPr>
          <w:rFonts w:eastAsiaTheme="minorHAnsi"/>
          <w:sz w:val="28"/>
          <w:szCs w:val="28"/>
          <w:lang w:val="ru-RU" w:eastAsia="en-US"/>
        </w:rPr>
      </w:pPr>
      <w:r w:rsidRPr="003A6E5A">
        <w:rPr>
          <w:rFonts w:eastAsiaTheme="minorHAnsi"/>
          <w:sz w:val="28"/>
          <w:szCs w:val="28"/>
          <w:lang w:val="ru-RU" w:eastAsia="en-US"/>
        </w:rPr>
        <w:t>Тем не менее, несмотря на заявленные амбиции, стратегия, по мнению Л. С. Колесниковой, страдала от недостаточной институциональной проработки. В документе отсутствовали чёткие механизмы реализации и согласованные инструменты достижения стратегических целей. Более того, в странах Центральной Азии не сформировалась устойчивая мотивация к содержательному и долгосрочному сотрудничеству: во многих случаях взаимодействие с ЕС ограничивалось получением материальных выгод без стремления к глубинным институциональным преобразованиям. Несмотря на последующие попытки корректировки стратегии, её практическое влияние на внутренние политико-экономические процессы в регионе оказалось весьма ограниченным [</w:t>
      </w:r>
      <w:r w:rsidR="00590B1F" w:rsidRPr="003A6E5A">
        <w:rPr>
          <w:rFonts w:eastAsiaTheme="minorHAnsi"/>
          <w:sz w:val="28"/>
          <w:szCs w:val="28"/>
          <w:lang w:val="ru-RU" w:eastAsia="en-US"/>
        </w:rPr>
        <w:t>23, с. 139</w:t>
      </w:r>
      <w:r w:rsidRPr="003A6E5A">
        <w:rPr>
          <w:rFonts w:eastAsiaTheme="minorHAnsi"/>
          <w:sz w:val="28"/>
          <w:szCs w:val="28"/>
          <w:lang w:val="ru-RU" w:eastAsia="en-US"/>
        </w:rPr>
        <w:t>].</w:t>
      </w:r>
    </w:p>
    <w:p w14:paraId="31B4B724" w14:textId="77777777"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sz w:val="28"/>
          <w:szCs w:val="28"/>
          <w:lang w:val="ru-RU"/>
        </w:rPr>
        <w:t xml:space="preserve">Стратегия Европейского союза в отношении Центральной Азии, принятая в 2007 году, не была полностью реализована, что, вероятно, обусловлено как институциональными ограничениями со стороны стран региона, так и ограниченной заинтересованностью самого ЕС на фоне тогдашней стабильности внешних энергетических поставок. Однако к концу 2010-х годов ситуация изменилась. Внутреннее производство энергоносителей в Европейском союзе снизилось, а высокая волатильность цен на мировых энергетических рынках </w:t>
      </w:r>
      <w:r w:rsidRPr="003A6E5A">
        <w:rPr>
          <w:rFonts w:eastAsia="Times New Roman"/>
          <w:sz w:val="28"/>
          <w:szCs w:val="28"/>
          <w:lang w:val="kk-KZ" w:eastAsia="ru-RU"/>
        </w:rPr>
        <w:t>–</w:t>
      </w:r>
      <w:r w:rsidRPr="003A6E5A">
        <w:rPr>
          <w:sz w:val="28"/>
          <w:szCs w:val="28"/>
          <w:lang w:val="ru-RU"/>
        </w:rPr>
        <w:t xml:space="preserve"> особенно после резкого падения стоимости углеводородов в 2014 году </w:t>
      </w:r>
      <w:r w:rsidRPr="003A6E5A">
        <w:rPr>
          <w:rFonts w:eastAsia="Times New Roman"/>
          <w:sz w:val="28"/>
          <w:szCs w:val="28"/>
          <w:lang w:val="kk-KZ" w:eastAsia="ru-RU"/>
        </w:rPr>
        <w:t>–</w:t>
      </w:r>
      <w:r w:rsidRPr="003A6E5A">
        <w:rPr>
          <w:sz w:val="28"/>
          <w:szCs w:val="28"/>
          <w:lang w:val="ru-RU"/>
        </w:rPr>
        <w:t xml:space="preserve"> способствовала формированию у ЕС устойчивой потребности в диверсификации источников энергоснабжения. Это может быть связано с необходимостью снижения зависимости от традиционных поставщиков и минимизации внешних энергетических рисков. На фоне обострения конкуренции между ведущими экспортёрами энергоресурсов </w:t>
      </w:r>
      <w:r w:rsidRPr="003A6E5A">
        <w:rPr>
          <w:rFonts w:eastAsia="Times New Roman"/>
          <w:sz w:val="28"/>
          <w:szCs w:val="28"/>
          <w:lang w:val="kk-KZ" w:eastAsia="ru-RU"/>
        </w:rPr>
        <w:t>–</w:t>
      </w:r>
      <w:r w:rsidRPr="003A6E5A">
        <w:rPr>
          <w:sz w:val="28"/>
          <w:szCs w:val="28"/>
          <w:lang w:val="ru-RU"/>
        </w:rPr>
        <w:t xml:space="preserve"> Россией, Норвегией и Алжиром </w:t>
      </w:r>
      <w:r w:rsidRPr="003A6E5A">
        <w:rPr>
          <w:rFonts w:eastAsia="Times New Roman"/>
          <w:sz w:val="28"/>
          <w:szCs w:val="28"/>
          <w:lang w:val="kk-KZ" w:eastAsia="ru-RU"/>
        </w:rPr>
        <w:t>–</w:t>
      </w:r>
      <w:r w:rsidRPr="003A6E5A">
        <w:rPr>
          <w:sz w:val="28"/>
          <w:szCs w:val="28"/>
          <w:lang w:val="ru-RU"/>
        </w:rPr>
        <w:t xml:space="preserve"> Европейский союз, по-видимому, был вынужден активизировать поиск альтернативных партнёров, в том числе в регионах с недооценённым энергетическим потенциалом, таких как Центральная Азия.</w:t>
      </w:r>
    </w:p>
    <w:p w14:paraId="7CE29FD7" w14:textId="335A9EBC" w:rsidR="006652C1" w:rsidRPr="003A6E5A" w:rsidRDefault="006652C1" w:rsidP="006652C1">
      <w:pPr>
        <w:pStyle w:val="aa"/>
        <w:spacing w:beforeAutospacing="0" w:after="0" w:afterAutospacing="0" w:line="240" w:lineRule="auto"/>
        <w:ind w:firstLineChars="200" w:firstLine="560"/>
        <w:jc w:val="both"/>
        <w:rPr>
          <w:sz w:val="28"/>
          <w:szCs w:val="28"/>
          <w:lang w:val="ru-RU"/>
        </w:rPr>
      </w:pPr>
      <w:r w:rsidRPr="003A6E5A">
        <w:rPr>
          <w:sz w:val="28"/>
          <w:szCs w:val="28"/>
          <w:lang w:val="ru-RU"/>
        </w:rPr>
        <w:t xml:space="preserve">В этом контексте представляется логичным принятие </w:t>
      </w:r>
      <w:r w:rsidRPr="003A6E5A">
        <w:rPr>
          <w:rStyle w:val="ab"/>
          <w:b w:val="0"/>
          <w:bCs w:val="0"/>
          <w:sz w:val="28"/>
          <w:szCs w:val="28"/>
          <w:lang w:val="ru-RU"/>
        </w:rPr>
        <w:t>15 мая 2019 года Новой стратегии по Центральной Азии</w:t>
      </w:r>
      <w:r w:rsidRPr="003A6E5A">
        <w:rPr>
          <w:sz w:val="28"/>
          <w:szCs w:val="28"/>
          <w:lang w:val="ru-RU"/>
        </w:rPr>
        <w:t xml:space="preserve"> [</w:t>
      </w:r>
      <w:r w:rsidR="00590B1F" w:rsidRPr="003A6E5A">
        <w:rPr>
          <w:sz w:val="28"/>
          <w:szCs w:val="28"/>
          <w:lang w:val="ru-RU"/>
        </w:rPr>
        <w:t>1</w:t>
      </w:r>
      <w:r w:rsidR="00890E7A" w:rsidRPr="003A6E5A">
        <w:rPr>
          <w:sz w:val="28"/>
          <w:szCs w:val="28"/>
          <w:lang w:val="ru-RU"/>
        </w:rPr>
        <w:t>2</w:t>
      </w:r>
      <w:r w:rsidR="00B67905" w:rsidRPr="003A6E5A">
        <w:rPr>
          <w:sz w:val="28"/>
          <w:szCs w:val="28"/>
          <w:lang w:val="ru-RU"/>
        </w:rPr>
        <w:t>6</w:t>
      </w:r>
      <w:r w:rsidRPr="003A6E5A">
        <w:rPr>
          <w:sz w:val="28"/>
          <w:szCs w:val="28"/>
          <w:lang w:val="ru-RU"/>
        </w:rPr>
        <w:t xml:space="preserve">], в которой фокус сотрудничества сместился от традиционно преобладавших гуманитарных и институциональных </w:t>
      </w:r>
      <w:r w:rsidRPr="003A6E5A">
        <w:rPr>
          <w:sz w:val="28"/>
          <w:szCs w:val="28"/>
          <w:lang w:val="ru-RU"/>
        </w:rPr>
        <w:lastRenderedPageBreak/>
        <w:t xml:space="preserve">приоритетов к вопросам энергетики, инфраструктуры и цифровой трансформации. В отличие от Стратегии 2007 года, в новой концепции наблюдается явное стремление устранить структурные барьеры, препятствующие развитию торговли и инвестиций, а также усилить региональную связанность. Хотя в документе сохраняется приверженность прежним направлениям </w:t>
      </w:r>
      <w:r w:rsidRPr="003A6E5A">
        <w:rPr>
          <w:rFonts w:eastAsia="Times New Roman"/>
          <w:sz w:val="28"/>
          <w:szCs w:val="28"/>
          <w:lang w:val="kk-KZ" w:eastAsia="ru-RU"/>
        </w:rPr>
        <w:t>–</w:t>
      </w:r>
      <w:r w:rsidRPr="003A6E5A">
        <w:rPr>
          <w:sz w:val="28"/>
          <w:szCs w:val="28"/>
          <w:lang w:val="ru-RU"/>
        </w:rPr>
        <w:t xml:space="preserve"> таким как безопасность, верховенство права и защита прав человека, </w:t>
      </w:r>
      <w:r w:rsidRPr="003A6E5A">
        <w:rPr>
          <w:rFonts w:eastAsia="Times New Roman"/>
          <w:sz w:val="28"/>
          <w:szCs w:val="28"/>
          <w:lang w:val="kk-KZ" w:eastAsia="ru-RU"/>
        </w:rPr>
        <w:t>–</w:t>
      </w:r>
      <w:r w:rsidRPr="003A6E5A">
        <w:rPr>
          <w:sz w:val="28"/>
          <w:szCs w:val="28"/>
          <w:lang w:val="ru-RU"/>
        </w:rPr>
        <w:t xml:space="preserve"> всё большее внимание уделяется экономической интеграции, инвестициям в инфраструктуру и развитию человеческого капитала, прежде всего через модернизацию образовательных систем.</w:t>
      </w:r>
    </w:p>
    <w:p w14:paraId="1D1AEB0D" w14:textId="77777777" w:rsidR="006652C1" w:rsidRPr="003A6E5A" w:rsidRDefault="006652C1" w:rsidP="007F3BC4">
      <w:pPr>
        <w:pStyle w:val="aa"/>
        <w:spacing w:beforeAutospacing="0" w:after="0" w:afterAutospacing="0" w:line="240" w:lineRule="auto"/>
        <w:ind w:firstLine="709"/>
        <w:jc w:val="both"/>
        <w:rPr>
          <w:sz w:val="28"/>
          <w:szCs w:val="28"/>
          <w:lang w:val="ru-RU"/>
        </w:rPr>
      </w:pPr>
      <w:r w:rsidRPr="003A6E5A">
        <w:rPr>
          <w:sz w:val="28"/>
          <w:szCs w:val="28"/>
          <w:lang w:val="ru-RU"/>
        </w:rPr>
        <w:t xml:space="preserve">Сравнительный анализ стратегий ЕС 2007 и 2019 годов позволяет сделать вывод о вероятной эволюции европейского подхода к региону </w:t>
      </w:r>
      <w:r w:rsidRPr="003A6E5A">
        <w:rPr>
          <w:rFonts w:eastAsia="Times New Roman"/>
          <w:sz w:val="28"/>
          <w:szCs w:val="28"/>
          <w:lang w:val="kk-KZ" w:eastAsia="ru-RU"/>
        </w:rPr>
        <w:t>–</w:t>
      </w:r>
      <w:r w:rsidRPr="003A6E5A">
        <w:rPr>
          <w:sz w:val="28"/>
          <w:szCs w:val="28"/>
          <w:lang w:val="ru-RU"/>
        </w:rPr>
        <w:t xml:space="preserve"> от нормативно-гуманитарной парадигмы к более прагматичной и взаимовыгодной модели экономического партнёрства. Параллельно с этим прослеживается тенденция к усилению интереса стран Центральной Азии к расширению внешнеэкономических связей, диверсификации партнёров и улучшению инвестиционного климата. Это, в свою очередь, может способствовать формированию более благоприятной среды для многостороннего диалога (включая форматы «Центральная Азия + ЕС» или «5+1») и запуску трансграничных инициатив в таких приоритетных сферах, как транспорт, энергетика и цифровизация.</w:t>
      </w:r>
    </w:p>
    <w:p w14:paraId="2CB81396" w14:textId="63A2B652" w:rsidR="006652C1" w:rsidRPr="003A6E5A" w:rsidRDefault="006652C1" w:rsidP="003077C8">
      <w:pPr>
        <w:pStyle w:val="aa"/>
        <w:spacing w:beforeAutospacing="0" w:after="0" w:afterAutospacing="0" w:line="240" w:lineRule="auto"/>
        <w:ind w:firstLine="709"/>
        <w:jc w:val="both"/>
        <w:rPr>
          <w:sz w:val="28"/>
          <w:szCs w:val="28"/>
          <w:lang w:val="ru-RU"/>
        </w:rPr>
      </w:pPr>
      <w:r w:rsidRPr="003A6E5A">
        <w:rPr>
          <w:sz w:val="28"/>
          <w:szCs w:val="28"/>
          <w:lang w:val="ru-RU"/>
        </w:rPr>
        <w:t>Геоэкономическая значимость Центральной Азии, усилилась и под влиянием трансформации глобального политического ландшафта после 2022 года. Обострение отношений между Европейским союзом и Российской Федерацией, а также нарастающие озабоченности по поводу потенциальной экономической зависимости от КНР, по всей видимости, побудили ЕС к переосмыслению своей региональной стратегии. Это проявляется в стремлении развивать устойчивые, надёжные и взаимовыгодные партнёрские связи с центральноазиатскими странами. Регион всё чаще рассматривается не только как поставщик стратегического сырья и транзитный коридор, но и как перспективный рынок сбыта и зона активной экономической кооперации. Несмотря на сохраняющийся разрыв между потенциальными и фактическими объёмами двусторонней торговли, существует обоюдный интерес к расширению взаимодействия, прежде всего в сфере инфраструктуры и логистики [2</w:t>
      </w:r>
      <w:r w:rsidR="00590B1F" w:rsidRPr="003A6E5A">
        <w:rPr>
          <w:sz w:val="28"/>
          <w:szCs w:val="28"/>
          <w:lang w:val="ru-RU"/>
        </w:rPr>
        <w:t>4</w:t>
      </w:r>
      <w:r w:rsidRPr="003A6E5A">
        <w:rPr>
          <w:sz w:val="28"/>
          <w:szCs w:val="28"/>
          <w:lang w:val="ru-RU"/>
        </w:rPr>
        <w:t xml:space="preserve">, </w:t>
      </w:r>
      <w:bookmarkStart w:id="26" w:name="_Hlk210373121"/>
      <w:r w:rsidRPr="003A6E5A">
        <w:rPr>
          <w:sz w:val="28"/>
          <w:szCs w:val="28"/>
          <w:lang w:val="ru-RU"/>
        </w:rPr>
        <w:t>С. 2</w:t>
      </w:r>
      <w:bookmarkEnd w:id="26"/>
      <w:r w:rsidRPr="003A6E5A">
        <w:rPr>
          <w:sz w:val="28"/>
          <w:szCs w:val="28"/>
          <w:lang w:val="ru-RU"/>
        </w:rPr>
        <w:t>8].</w:t>
      </w:r>
    </w:p>
    <w:p w14:paraId="2CD42E5F" w14:textId="52ADBF25" w:rsidR="006652C1" w:rsidRPr="003A6E5A" w:rsidRDefault="006652C1" w:rsidP="003077C8">
      <w:pPr>
        <w:pStyle w:val="aa"/>
        <w:spacing w:beforeAutospacing="0" w:after="0" w:afterAutospacing="0" w:line="240" w:lineRule="auto"/>
        <w:ind w:firstLine="709"/>
        <w:jc w:val="both"/>
        <w:rPr>
          <w:sz w:val="28"/>
          <w:szCs w:val="28"/>
          <w:lang w:val="ru-RU"/>
        </w:rPr>
      </w:pPr>
      <w:r w:rsidRPr="003A6E5A">
        <w:rPr>
          <w:sz w:val="28"/>
          <w:szCs w:val="28"/>
          <w:lang w:val="ru-RU"/>
        </w:rPr>
        <w:t xml:space="preserve">В условиях обозначенной переориентации интересов ЕС внимание к Центральной Азии как потенциальному поставщику стратегически важных энергоресурсов приобретает системный и долгосрочный характер. Кроме традиционного интереса к природному газу, всё более значимым направлением, вероятно, становится сотрудничество в области поставок урана </w:t>
      </w:r>
      <w:r w:rsidRPr="003A6E5A">
        <w:rPr>
          <w:rFonts w:eastAsia="Times New Roman"/>
          <w:sz w:val="28"/>
          <w:szCs w:val="28"/>
          <w:lang w:val="kk-KZ" w:eastAsia="ru-RU"/>
        </w:rPr>
        <w:t>–</w:t>
      </w:r>
      <w:r w:rsidRPr="003A6E5A">
        <w:rPr>
          <w:sz w:val="28"/>
          <w:szCs w:val="28"/>
          <w:lang w:val="ru-RU"/>
        </w:rPr>
        <w:t xml:space="preserve"> ключевого ресурса в контексте перехода к климатически нейтральной энергетике, в рамках реализации целей «Зелёного курса» Европейского союза. Казахстан, обладающий крупнейшими в мире разведанными запасами урана и стабильно входящий в число мировых лидеров по его добыче, представляется особенно важным партнёром в обеспечении энергетической безопасности ЕС. Можно предположить, что уже наблюдаемая положительная динамика в объёмах </w:t>
      </w:r>
      <w:r w:rsidRPr="003A6E5A">
        <w:rPr>
          <w:sz w:val="28"/>
          <w:szCs w:val="28"/>
          <w:lang w:val="ru-RU"/>
        </w:rPr>
        <w:lastRenderedPageBreak/>
        <w:t>поставок казахстанского урана в ЕС будет сохраняться и усиливаться в ближайшей перспективе [2</w:t>
      </w:r>
      <w:r w:rsidR="00A846D5" w:rsidRPr="003A6E5A">
        <w:rPr>
          <w:sz w:val="28"/>
          <w:szCs w:val="28"/>
          <w:lang w:val="ru-RU"/>
        </w:rPr>
        <w:t>2</w:t>
      </w:r>
      <w:r w:rsidRPr="003A6E5A">
        <w:rPr>
          <w:sz w:val="28"/>
          <w:szCs w:val="28"/>
          <w:lang w:val="ru-RU"/>
        </w:rPr>
        <w:t>].</w:t>
      </w:r>
    </w:p>
    <w:p w14:paraId="03041206" w14:textId="272594DE" w:rsidR="007F3BC4" w:rsidRPr="003A6E5A" w:rsidRDefault="007F3BC4" w:rsidP="003077C8">
      <w:pPr>
        <w:pStyle w:val="aa"/>
        <w:spacing w:beforeAutospacing="0" w:after="0" w:afterAutospacing="0" w:line="240" w:lineRule="auto"/>
        <w:ind w:firstLine="709"/>
        <w:jc w:val="both"/>
        <w:rPr>
          <w:sz w:val="28"/>
          <w:szCs w:val="28"/>
          <w:lang w:val="ru-RU"/>
        </w:rPr>
      </w:pPr>
      <w:r w:rsidRPr="003A6E5A">
        <w:rPr>
          <w:sz w:val="28"/>
          <w:szCs w:val="28"/>
          <w:lang w:val="ru-RU"/>
        </w:rPr>
        <w:t>Однако, несмотря на высокий потенциал, реализация проектов в энергетической сфере остаётся сопряжённой с рядом ограничений. К ним относятся как инфраструктурные барьеры – отсутствие прямых трубопроводных маршрутов, необходимость мультимодальных схем доставки, в том числе через Каспийское море и Закавказье, – так и политико-правовые сложности, включая необходимость согласования условий транзита с третьими странами (например, Туркменистан, Азербайджан, Иран) [</w:t>
      </w:r>
      <w:r w:rsidR="009A1326" w:rsidRPr="003A6E5A">
        <w:rPr>
          <w:sz w:val="28"/>
          <w:szCs w:val="28"/>
          <w:lang w:val="ru-RU"/>
        </w:rPr>
        <w:t>1</w:t>
      </w:r>
      <w:r w:rsidR="00890E7A" w:rsidRPr="003A6E5A">
        <w:rPr>
          <w:sz w:val="28"/>
          <w:szCs w:val="28"/>
          <w:lang w:val="ru-RU"/>
        </w:rPr>
        <w:t>2</w:t>
      </w:r>
      <w:r w:rsidR="00B67905" w:rsidRPr="003A6E5A">
        <w:rPr>
          <w:sz w:val="28"/>
          <w:szCs w:val="28"/>
          <w:lang w:val="ru-RU"/>
        </w:rPr>
        <w:t>7</w:t>
      </w:r>
      <w:r w:rsidRPr="003A6E5A">
        <w:rPr>
          <w:sz w:val="28"/>
          <w:szCs w:val="28"/>
          <w:lang w:val="ru-RU"/>
        </w:rPr>
        <w:t>]. Преодоление этих системных ограничений, как обоснованно указывает Матвеева А.А., требует не только диверсификации источников поставок, но и комплексной институциональной поддержки со стороны ЕС в рамках многоуровневого взаимодействия с государствами Центральной Азии, включая привлечение международных финансовых институтов, таких как Европейский банк реконструкции и развития (</w:t>
      </w:r>
      <w:r w:rsidR="008734EB" w:rsidRPr="003A6E5A">
        <w:rPr>
          <w:sz w:val="28"/>
          <w:szCs w:val="28"/>
          <w:lang w:val="ru-RU"/>
        </w:rPr>
        <w:t xml:space="preserve">далее – </w:t>
      </w:r>
      <w:r w:rsidRPr="003A6E5A">
        <w:rPr>
          <w:sz w:val="28"/>
          <w:szCs w:val="28"/>
          <w:lang w:val="ru-RU"/>
        </w:rPr>
        <w:t>ЕБРР), Всемирный банк и Азиатский банк развития [2</w:t>
      </w:r>
      <w:r w:rsidR="00722E92" w:rsidRPr="003A6E5A">
        <w:rPr>
          <w:sz w:val="28"/>
          <w:szCs w:val="28"/>
          <w:lang w:val="ru-RU"/>
        </w:rPr>
        <w:t>5</w:t>
      </w:r>
      <w:r w:rsidRPr="003A6E5A">
        <w:rPr>
          <w:sz w:val="28"/>
          <w:szCs w:val="28"/>
          <w:lang w:val="ru-RU"/>
        </w:rPr>
        <w:t>].</w:t>
      </w:r>
    </w:p>
    <w:p w14:paraId="02333807" w14:textId="66D3F7B0" w:rsidR="007F3BC4" w:rsidRPr="003A6E5A" w:rsidRDefault="007F3BC4" w:rsidP="003077C8">
      <w:pPr>
        <w:pStyle w:val="aa"/>
        <w:spacing w:beforeAutospacing="0" w:after="0" w:afterAutospacing="0" w:line="240" w:lineRule="auto"/>
        <w:ind w:firstLine="709"/>
        <w:jc w:val="both"/>
        <w:rPr>
          <w:sz w:val="28"/>
          <w:szCs w:val="28"/>
          <w:lang w:val="ru-RU"/>
        </w:rPr>
      </w:pPr>
      <w:r w:rsidRPr="003A6E5A">
        <w:rPr>
          <w:sz w:val="28"/>
          <w:szCs w:val="28"/>
          <w:lang w:val="ru-RU"/>
        </w:rPr>
        <w:t>На этом фоне становится особенно показательной наблюдаемая трансформация роли Центральной Азии – от объекта внешнеполитических интересов ЕС к полноправному субъекту, способному внести существенный вклад в устойчивое развитие европейского пространства, особенно в сферах энергетики, транспорта и цифровой инфраструктуры. Инициатива «Глобальные ворота» отражает стратегический курс ЕС, ориентированный не только на обеспечение доступа к критически важному сырью, но и на развитие диверсифицированных логистических цепочек [</w:t>
      </w:r>
      <w:r w:rsidR="009A1326" w:rsidRPr="003A6E5A">
        <w:rPr>
          <w:sz w:val="28"/>
          <w:szCs w:val="28"/>
          <w:lang w:val="ru-RU"/>
        </w:rPr>
        <w:t>1</w:t>
      </w:r>
      <w:r w:rsidR="00890E7A" w:rsidRPr="003A6E5A">
        <w:rPr>
          <w:sz w:val="28"/>
          <w:szCs w:val="28"/>
          <w:lang w:val="ru-RU"/>
        </w:rPr>
        <w:t>2</w:t>
      </w:r>
      <w:r w:rsidR="00B67905" w:rsidRPr="003A6E5A">
        <w:rPr>
          <w:sz w:val="28"/>
          <w:szCs w:val="28"/>
          <w:lang w:val="ru-RU"/>
        </w:rPr>
        <w:t>7</w:t>
      </w:r>
      <w:r w:rsidRPr="003A6E5A">
        <w:rPr>
          <w:sz w:val="28"/>
          <w:szCs w:val="28"/>
          <w:lang w:val="ru-RU"/>
        </w:rPr>
        <w:t>]. Конкретным выражением данного стратегического курса выступает масштабное целевое финансирование ключевых направлений развития региона. В рамках инициативы «Глобальные ворота» предусмотрено выделение 12 млрд евро на развитие четырёх приоритетных сфер: транспорта (3 млрд евро), критически важных минералов (2,5 млрд евро), водных ресурсов, энергетики и климата (6,4 млрд евро), цифровой связи (100 млн евро) [</w:t>
      </w:r>
      <w:r w:rsidR="009A1326" w:rsidRPr="003A6E5A">
        <w:rPr>
          <w:sz w:val="28"/>
          <w:szCs w:val="28"/>
          <w:lang w:val="ru-RU"/>
        </w:rPr>
        <w:t>1</w:t>
      </w:r>
      <w:r w:rsidR="00890E7A" w:rsidRPr="003A6E5A">
        <w:rPr>
          <w:sz w:val="28"/>
          <w:szCs w:val="28"/>
          <w:lang w:val="ru-RU"/>
        </w:rPr>
        <w:t>2</w:t>
      </w:r>
      <w:r w:rsidR="00B67905" w:rsidRPr="003A6E5A">
        <w:rPr>
          <w:sz w:val="28"/>
          <w:szCs w:val="28"/>
          <w:lang w:val="ru-RU"/>
        </w:rPr>
        <w:t>8</w:t>
      </w:r>
      <w:r w:rsidRPr="003A6E5A">
        <w:rPr>
          <w:sz w:val="28"/>
          <w:szCs w:val="28"/>
          <w:lang w:val="ru-RU"/>
        </w:rPr>
        <w:t>]. Данное распределение финансовых ресурсов демонстрирует комплексный подход ЕС, последовательно сочетающий инфраструктурные проекты с решением долгосрочных задач устойчивого развития.</w:t>
      </w:r>
    </w:p>
    <w:p w14:paraId="0335BC91" w14:textId="7B299D4A" w:rsidR="00E1304C" w:rsidRPr="003A6E5A" w:rsidRDefault="00E1304C" w:rsidP="003077C8">
      <w:pPr>
        <w:pStyle w:val="aa"/>
        <w:spacing w:beforeAutospacing="0" w:after="0" w:afterAutospacing="0" w:line="240" w:lineRule="auto"/>
        <w:ind w:firstLine="709"/>
        <w:jc w:val="both"/>
        <w:rPr>
          <w:sz w:val="28"/>
          <w:szCs w:val="28"/>
          <w:lang w:val="ru-RU"/>
        </w:rPr>
      </w:pPr>
      <w:r w:rsidRPr="003A6E5A">
        <w:rPr>
          <w:sz w:val="28"/>
          <w:szCs w:val="28"/>
          <w:lang w:val="ru-RU"/>
        </w:rPr>
        <w:t>Центральноазиатские государства, в свою очередь, демонстрируют высокую степень вовлечённости в реализацию своего транзитного потенциала. В целях повышения эффективности трансграничного перемещения грузов и укрепления инфраструктурной совместимости предпринимаются активные институциональные и технологические меры: внедряются автоматизированные платёжные системы, развиваются электронные логистические платформы и продвигается цифровизация документооборота в рамках реализации «Цифровой стратегии ЦАРЭС-2030». Как отмечает Лексютин Я.В., эти меры направлены на стимулирование внешней торговли и повышение инвестиционной привлекательности региона для европейского капитала [2</w:t>
      </w:r>
      <w:r w:rsidR="005A2C46" w:rsidRPr="003A6E5A">
        <w:rPr>
          <w:sz w:val="28"/>
          <w:szCs w:val="28"/>
          <w:lang w:val="ru-RU"/>
        </w:rPr>
        <w:t>4</w:t>
      </w:r>
      <w:r w:rsidRPr="003A6E5A">
        <w:rPr>
          <w:sz w:val="28"/>
          <w:szCs w:val="28"/>
          <w:lang w:val="ru-RU"/>
        </w:rPr>
        <w:t>, c. 27].</w:t>
      </w:r>
    </w:p>
    <w:p w14:paraId="0A663F02" w14:textId="52D56C58" w:rsidR="00E1304C" w:rsidRPr="003A6E5A" w:rsidRDefault="00E1304C" w:rsidP="003077C8">
      <w:pPr>
        <w:pStyle w:val="aa"/>
        <w:spacing w:beforeAutospacing="0" w:after="0" w:afterAutospacing="0" w:line="240" w:lineRule="auto"/>
        <w:ind w:firstLine="709"/>
        <w:jc w:val="both"/>
        <w:rPr>
          <w:sz w:val="28"/>
          <w:szCs w:val="28"/>
          <w:lang w:val="ru-RU"/>
        </w:rPr>
      </w:pPr>
      <w:r w:rsidRPr="003A6E5A">
        <w:rPr>
          <w:sz w:val="28"/>
          <w:szCs w:val="28"/>
          <w:lang w:val="ru-RU"/>
        </w:rPr>
        <w:t>Наиболее показательным примером практической реализации данной стратегии является развитие Транскаспийского транспортного коридора (</w:t>
      </w:r>
      <w:r w:rsidR="008734EB" w:rsidRPr="003A6E5A">
        <w:rPr>
          <w:sz w:val="28"/>
          <w:szCs w:val="28"/>
          <w:lang w:val="ru-RU"/>
        </w:rPr>
        <w:t xml:space="preserve">далее </w:t>
      </w:r>
      <w:r w:rsidR="008734EB" w:rsidRPr="003A6E5A">
        <w:rPr>
          <w:sz w:val="28"/>
          <w:szCs w:val="28"/>
          <w:lang w:val="ru-RU"/>
        </w:rPr>
        <w:lastRenderedPageBreak/>
        <w:t xml:space="preserve">– </w:t>
      </w:r>
      <w:r w:rsidRPr="003A6E5A">
        <w:rPr>
          <w:sz w:val="28"/>
          <w:szCs w:val="28"/>
          <w:lang w:val="ru-RU"/>
        </w:rPr>
        <w:t>Т</w:t>
      </w:r>
      <w:r w:rsidR="008734EB" w:rsidRPr="003A6E5A">
        <w:rPr>
          <w:sz w:val="28"/>
          <w:szCs w:val="28"/>
          <w:lang w:val="ru-RU"/>
        </w:rPr>
        <w:t>КТК</w:t>
      </w:r>
      <w:r w:rsidRPr="003A6E5A">
        <w:rPr>
          <w:sz w:val="28"/>
          <w:szCs w:val="28"/>
          <w:lang w:val="ru-RU"/>
        </w:rPr>
        <w:t>). Согласно отчёту о реализации инициативы «Глобальные ворота», ЕС добился значительного прогресса в этом направлении. Проведенный в январе 2024 года Инвестиционный форум по транспорту мобилизовал финансовые обязательства на сумму 10 млрд евро, включая 1,47 млрд евро от Европейского инвестиционного банка и 1,5 млрд евро от Европейского банка реконструкции и развития</w:t>
      </w:r>
      <w:r w:rsidR="007F3BC4" w:rsidRPr="003A6E5A">
        <w:rPr>
          <w:sz w:val="28"/>
          <w:szCs w:val="28"/>
          <w:lang w:val="ru-RU"/>
        </w:rPr>
        <w:t xml:space="preserve"> </w:t>
      </w:r>
      <w:r w:rsidR="009A1326" w:rsidRPr="003A6E5A">
        <w:rPr>
          <w:sz w:val="28"/>
          <w:szCs w:val="28"/>
          <w:lang w:val="ru-RU"/>
        </w:rPr>
        <w:t>[1</w:t>
      </w:r>
      <w:r w:rsidR="00890E7A" w:rsidRPr="003A6E5A">
        <w:rPr>
          <w:sz w:val="28"/>
          <w:szCs w:val="28"/>
          <w:lang w:val="ru-RU"/>
        </w:rPr>
        <w:t>2</w:t>
      </w:r>
      <w:r w:rsidR="00B67905" w:rsidRPr="003A6E5A">
        <w:rPr>
          <w:sz w:val="28"/>
          <w:szCs w:val="28"/>
          <w:lang w:val="ru-RU"/>
        </w:rPr>
        <w:t>9</w:t>
      </w:r>
      <w:r w:rsidR="009A1326" w:rsidRPr="003A6E5A">
        <w:rPr>
          <w:sz w:val="28"/>
          <w:szCs w:val="28"/>
          <w:lang w:val="ru-RU"/>
        </w:rPr>
        <w:t>]</w:t>
      </w:r>
      <w:r w:rsidRPr="003A6E5A">
        <w:rPr>
          <w:sz w:val="28"/>
          <w:szCs w:val="28"/>
          <w:lang w:val="ru-RU"/>
        </w:rPr>
        <w:t>. Данные инвестиции направлены на создание альтернативных транспортных маршрутов, что соответствует стратегической задаче ЕС по диверсификации логистических цепочек в условиях геополитической нестабильности.</w:t>
      </w:r>
    </w:p>
    <w:p w14:paraId="353A6580" w14:textId="4B48AB5B" w:rsidR="00E1304C" w:rsidRPr="003A6E5A" w:rsidRDefault="00E1304C" w:rsidP="003077C8">
      <w:pPr>
        <w:pStyle w:val="aa"/>
        <w:spacing w:beforeAutospacing="0" w:after="0" w:afterAutospacing="0" w:line="240" w:lineRule="auto"/>
        <w:ind w:firstLine="709"/>
        <w:jc w:val="both"/>
        <w:rPr>
          <w:sz w:val="28"/>
          <w:szCs w:val="28"/>
          <w:lang w:val="ru-RU"/>
        </w:rPr>
      </w:pPr>
      <w:r w:rsidRPr="003A6E5A">
        <w:rPr>
          <w:sz w:val="28"/>
          <w:szCs w:val="28"/>
          <w:lang w:val="ru-RU"/>
        </w:rPr>
        <w:t xml:space="preserve">Финансирование </w:t>
      </w:r>
      <w:r w:rsidR="008734EB" w:rsidRPr="003A6E5A">
        <w:rPr>
          <w:sz w:val="28"/>
          <w:szCs w:val="28"/>
          <w:lang w:val="ru-RU"/>
        </w:rPr>
        <w:t>ТКТК</w:t>
      </w:r>
      <w:r w:rsidRPr="003A6E5A">
        <w:rPr>
          <w:sz w:val="28"/>
          <w:szCs w:val="28"/>
          <w:lang w:val="ru-RU"/>
        </w:rPr>
        <w:t xml:space="preserve"> сосредоточено на устранении системных «узких мест», выявленных в исследовании ЕБРР, которое определило 33 инфраструктурные потребности и 7 ключевых действий по развитию «мягкой» связности</w:t>
      </w:r>
      <w:r w:rsidR="007F3BC4" w:rsidRPr="003A6E5A">
        <w:rPr>
          <w:sz w:val="28"/>
          <w:szCs w:val="28"/>
          <w:lang w:val="ru-RU"/>
        </w:rPr>
        <w:t xml:space="preserve"> </w:t>
      </w:r>
      <w:r w:rsidR="009A1326" w:rsidRPr="003A6E5A">
        <w:rPr>
          <w:sz w:val="28"/>
          <w:szCs w:val="28"/>
          <w:lang w:val="ru-RU"/>
        </w:rPr>
        <w:t>[1</w:t>
      </w:r>
      <w:r w:rsidR="00B67905" w:rsidRPr="002452E6">
        <w:rPr>
          <w:sz w:val="28"/>
          <w:szCs w:val="28"/>
          <w:lang w:val="ru-RU"/>
        </w:rPr>
        <w:t>30</w:t>
      </w:r>
      <w:r w:rsidR="009A1326" w:rsidRPr="003A6E5A">
        <w:rPr>
          <w:sz w:val="28"/>
          <w:szCs w:val="28"/>
          <w:lang w:val="ru-RU"/>
        </w:rPr>
        <w:t>]</w:t>
      </w:r>
      <w:r w:rsidRPr="003A6E5A">
        <w:rPr>
          <w:sz w:val="28"/>
          <w:szCs w:val="28"/>
          <w:lang w:val="ru-RU"/>
        </w:rPr>
        <w:t>. Параллельно с инвестициями ЕС создаёт институциональные механизмы для реализации проекта, включая Координационную платформу для мониторинга прогресса, новую Региональную транспортную программу технической помощи и внедрение советников ЕС в министерства транспорта всех пяти центральноазиатских стран.</w:t>
      </w:r>
      <w:r w:rsidR="007F3BC4" w:rsidRPr="003A6E5A">
        <w:rPr>
          <w:sz w:val="28"/>
          <w:szCs w:val="28"/>
          <w:lang w:val="ru-RU"/>
        </w:rPr>
        <w:t xml:space="preserve"> </w:t>
      </w:r>
      <w:r w:rsidRPr="003A6E5A">
        <w:rPr>
          <w:sz w:val="28"/>
          <w:szCs w:val="28"/>
          <w:lang w:val="ru-RU"/>
        </w:rPr>
        <w:t xml:space="preserve">Вместе с тем, успешная реализация потенциала </w:t>
      </w:r>
      <w:r w:rsidR="008734EB" w:rsidRPr="003A6E5A">
        <w:rPr>
          <w:sz w:val="28"/>
          <w:szCs w:val="28"/>
          <w:lang w:val="ru-RU"/>
        </w:rPr>
        <w:t>ТКТК</w:t>
      </w:r>
      <w:r w:rsidRPr="003A6E5A">
        <w:rPr>
          <w:sz w:val="28"/>
          <w:szCs w:val="28"/>
          <w:lang w:val="ru-RU"/>
        </w:rPr>
        <w:t xml:space="preserve"> сталкивается с серьёзными вызовами. Несмотря на амбициозные планы по сокращению времени перевозки грузов из Китая в Европу до 15 дней, сохраняются проблемы мультимодальности, приводящей к задержкам и росту затрат, недостаточной пропускной способности портов Каспийского моря и железных дорог, а также отсутствия единого тарифа и скоординированного управления</w:t>
      </w:r>
      <w:r w:rsidR="003077C8" w:rsidRPr="003A6E5A">
        <w:rPr>
          <w:sz w:val="28"/>
          <w:szCs w:val="28"/>
          <w:lang w:val="ru-RU"/>
        </w:rPr>
        <w:t xml:space="preserve"> </w:t>
      </w:r>
      <w:r w:rsidR="009A1326" w:rsidRPr="003A6E5A">
        <w:rPr>
          <w:sz w:val="28"/>
          <w:szCs w:val="28"/>
          <w:lang w:val="ru-RU"/>
        </w:rPr>
        <w:t>[1</w:t>
      </w:r>
      <w:r w:rsidR="00B67905" w:rsidRPr="003A6E5A">
        <w:rPr>
          <w:sz w:val="28"/>
          <w:szCs w:val="28"/>
          <w:lang w:val="ru-RU"/>
        </w:rPr>
        <w:t>31</w:t>
      </w:r>
      <w:r w:rsidR="009A1326" w:rsidRPr="003A6E5A">
        <w:rPr>
          <w:sz w:val="28"/>
          <w:szCs w:val="28"/>
          <w:lang w:val="ru-RU"/>
        </w:rPr>
        <w:t>]</w:t>
      </w:r>
      <w:r w:rsidRPr="003A6E5A">
        <w:rPr>
          <w:sz w:val="28"/>
          <w:szCs w:val="28"/>
          <w:lang w:val="ru-RU"/>
        </w:rPr>
        <w:t>.</w:t>
      </w:r>
    </w:p>
    <w:p w14:paraId="2EA50DCF" w14:textId="5FAD873F" w:rsidR="003077C8" w:rsidRPr="003A6E5A" w:rsidRDefault="00E1304C" w:rsidP="003077C8">
      <w:pPr>
        <w:pStyle w:val="aa"/>
        <w:spacing w:beforeAutospacing="0" w:after="0" w:afterAutospacing="0" w:line="240" w:lineRule="auto"/>
        <w:ind w:firstLine="709"/>
        <w:jc w:val="both"/>
        <w:rPr>
          <w:sz w:val="28"/>
          <w:szCs w:val="28"/>
          <w:lang w:val="ru-RU"/>
        </w:rPr>
      </w:pPr>
      <w:r w:rsidRPr="003A6E5A">
        <w:rPr>
          <w:sz w:val="28"/>
          <w:szCs w:val="28"/>
          <w:lang w:val="ru-RU"/>
        </w:rPr>
        <w:t xml:space="preserve">Таким образом, анализ развития Транскаспийского транспортного коридора позволяет сделать вывод, что хотя инициатива </w:t>
      </w:r>
      <w:r w:rsidR="003077C8" w:rsidRPr="003A6E5A">
        <w:rPr>
          <w:sz w:val="28"/>
          <w:szCs w:val="28"/>
          <w:lang w:val="ru-RU"/>
        </w:rPr>
        <w:t>Глобальные ворота</w:t>
      </w:r>
      <w:r w:rsidRPr="003A6E5A">
        <w:rPr>
          <w:sz w:val="28"/>
          <w:szCs w:val="28"/>
          <w:lang w:val="ru-RU"/>
        </w:rPr>
        <w:t xml:space="preserve"> придала мощный импульс его развитию, предоставив значительные финансовые и институциональные ресурсы, окончательный успех коридора в превращении из запасного маршрута в экономически эффективную и конкурентоспособную артерию будет зависеть от способности ЕС и стран-партнёров преодолеть существующие инфраструктурные и административные барьеры. В перспективе успешная реализация Среднего коридора и сопряжённых энергетических проектов может не только сократить зависимость ЕС от нестабильных маршрутов, но и стать важным звеном в формировании многополярной модели международной торговли, одновременно позволяя Центральной Азии закрепиться в качестве ключевого транзитного и ресурсного узла Евразии [2</w:t>
      </w:r>
      <w:r w:rsidR="00A846D5" w:rsidRPr="003A6E5A">
        <w:rPr>
          <w:sz w:val="28"/>
          <w:szCs w:val="28"/>
          <w:lang w:val="ru-RU"/>
        </w:rPr>
        <w:t>2</w:t>
      </w:r>
      <w:r w:rsidRPr="003A6E5A">
        <w:rPr>
          <w:sz w:val="28"/>
          <w:szCs w:val="28"/>
          <w:lang w:val="ru-RU"/>
        </w:rPr>
        <w:t>, c. 13].</w:t>
      </w:r>
    </w:p>
    <w:p w14:paraId="74382757" w14:textId="77777777" w:rsidR="003077C8" w:rsidRPr="003A6E5A" w:rsidRDefault="000F10F0" w:rsidP="003077C8">
      <w:pPr>
        <w:pStyle w:val="aa"/>
        <w:spacing w:beforeAutospacing="0" w:after="0" w:afterAutospacing="0" w:line="240" w:lineRule="auto"/>
        <w:ind w:firstLine="709"/>
        <w:jc w:val="both"/>
        <w:rPr>
          <w:sz w:val="28"/>
          <w:szCs w:val="28"/>
          <w:lang w:val="ru-RU"/>
        </w:rPr>
      </w:pPr>
      <w:r w:rsidRPr="003A6E5A">
        <w:rPr>
          <w:sz w:val="28"/>
          <w:szCs w:val="28"/>
          <w:lang w:val="ru-RU"/>
        </w:rPr>
        <w:t xml:space="preserve">Проведенный анализ позволяет констатировать, что инвестиционное взаимодействие между Европейским союзом и странами Центральной Азии формируется на двух взаимодополняющих уровнях – двустороннем и региональном. При этом с 2017 года наблюдается качественный сдвиг в сторону институционализации именно регионального формата сотрудничества. Центральная Азия всё чаще позиционируется в стратегических документах ЕС не как совокупность разрозненных государств, а как целостный субъект международных отношений, что находит отражение в новых инвестиционных </w:t>
      </w:r>
      <w:r w:rsidRPr="003A6E5A">
        <w:rPr>
          <w:sz w:val="28"/>
          <w:szCs w:val="28"/>
          <w:lang w:val="ru-RU"/>
        </w:rPr>
        <w:lastRenderedPageBreak/>
        <w:t>инициативах, нацеленных на укрепление макрорегиональной связанности и устойчивости.</w:t>
      </w:r>
      <w:r w:rsidR="003077C8" w:rsidRPr="003A6E5A">
        <w:rPr>
          <w:sz w:val="28"/>
          <w:szCs w:val="28"/>
          <w:lang w:val="ru-RU"/>
        </w:rPr>
        <w:t xml:space="preserve"> </w:t>
      </w:r>
    </w:p>
    <w:p w14:paraId="6CD83BEE" w14:textId="7D618A05" w:rsidR="003077C8" w:rsidRPr="003A6E5A" w:rsidRDefault="000F10F0" w:rsidP="003077C8">
      <w:pPr>
        <w:pStyle w:val="aa"/>
        <w:spacing w:beforeAutospacing="0" w:after="0" w:afterAutospacing="0" w:line="240" w:lineRule="auto"/>
        <w:ind w:firstLine="709"/>
        <w:jc w:val="both"/>
        <w:rPr>
          <w:sz w:val="28"/>
          <w:szCs w:val="28"/>
          <w:lang w:val="ru-RU"/>
        </w:rPr>
      </w:pPr>
      <w:r w:rsidRPr="003A6E5A">
        <w:rPr>
          <w:sz w:val="28"/>
          <w:szCs w:val="28"/>
          <w:lang w:val="ru-RU"/>
        </w:rPr>
        <w:t xml:space="preserve">С научной и практической точек зрения реализация инициативы </w:t>
      </w:r>
      <w:r w:rsidR="006B6CC8" w:rsidRPr="003A6E5A">
        <w:rPr>
          <w:sz w:val="28"/>
          <w:szCs w:val="28"/>
          <w:lang w:val="ru-RU"/>
        </w:rPr>
        <w:t>«</w:t>
      </w:r>
      <w:r w:rsidRPr="003A6E5A">
        <w:rPr>
          <w:sz w:val="28"/>
          <w:szCs w:val="28"/>
          <w:lang w:val="ru-RU"/>
        </w:rPr>
        <w:t>Глобальные ворота</w:t>
      </w:r>
      <w:r w:rsidR="006B6CC8" w:rsidRPr="003A6E5A">
        <w:rPr>
          <w:sz w:val="28"/>
          <w:szCs w:val="28"/>
          <w:lang w:val="ru-RU"/>
        </w:rPr>
        <w:t>»</w:t>
      </w:r>
      <w:r w:rsidRPr="003A6E5A">
        <w:rPr>
          <w:sz w:val="28"/>
          <w:szCs w:val="28"/>
          <w:lang w:val="ru-RU"/>
        </w:rPr>
        <w:t xml:space="preserve"> открывает качественно новый этап сотрудничества, создавая институциональные и финансовые предпосылки для перехода от сырьевой модели к диверсифицированным экономическим отношениям. Ключевым условием реализации этого потенциала для Казахстана становится способность выстроить полные цепочки добавленной стоимости на своей территории, трансформируясь из поставщика сырья в равноправного партнера по созданию продукции с высокой добавленной стоимостью. Одновременно развитие Транскаспийского транспортного коридора в общерегиональном контексте приобретает стратегическое значение как инструмент решения системных транспортных проблем Центральной Азии, обеспечивая выход к мировым рынкам и снижая транзакционные издержки международной торговли.</w:t>
      </w:r>
      <w:r w:rsidR="003077C8" w:rsidRPr="003A6E5A">
        <w:rPr>
          <w:sz w:val="28"/>
          <w:szCs w:val="28"/>
          <w:lang w:val="ru-RU"/>
        </w:rPr>
        <w:t xml:space="preserve"> </w:t>
      </w:r>
    </w:p>
    <w:p w14:paraId="0DEAEE64" w14:textId="77777777" w:rsidR="00DA5867" w:rsidRPr="003A6E5A" w:rsidRDefault="000F10F0" w:rsidP="00DA5867">
      <w:pPr>
        <w:pStyle w:val="aa"/>
        <w:spacing w:beforeAutospacing="0" w:after="0" w:afterAutospacing="0" w:line="240" w:lineRule="auto"/>
        <w:ind w:firstLine="709"/>
        <w:jc w:val="both"/>
        <w:rPr>
          <w:sz w:val="28"/>
          <w:szCs w:val="28"/>
          <w:lang w:val="ru-RU"/>
        </w:rPr>
      </w:pPr>
      <w:r w:rsidRPr="003A6E5A">
        <w:rPr>
          <w:sz w:val="28"/>
          <w:szCs w:val="28"/>
          <w:lang w:val="ru-RU"/>
        </w:rPr>
        <w:t>Тем не менее, сохраняется ряд существенных барьеров, ограничивающих полноформатное развитие партнёрства. Институциональная закрытость и ограниченный уровень прозрачности в таких странах, как Туркменистан и Таджикистан, по-прежнему препятствуют глубокому вовлечению европейского капитала. Кроме того, объективная оценка инвестиционного климата в ряде случаев затруднена из-за ограниченного доступа к достоверной статистической информации, что сдерживает интерес частного сектора и транснациональных финансовых институтов.</w:t>
      </w:r>
      <w:r w:rsidR="003077C8" w:rsidRPr="003A6E5A">
        <w:rPr>
          <w:sz w:val="28"/>
          <w:szCs w:val="28"/>
          <w:lang w:val="ru-RU"/>
        </w:rPr>
        <w:t xml:space="preserve"> </w:t>
      </w:r>
      <w:r w:rsidRPr="003A6E5A">
        <w:rPr>
          <w:sz w:val="28"/>
          <w:szCs w:val="28"/>
          <w:lang w:val="ru-RU"/>
        </w:rPr>
        <w:t>В этой связи особенно показателен контраст между отдельными странами региона. Очевидна положительная динамика в инвестиционных отношениях между ЕС и Узбекистаном, где рост объясняется как внутренними институциональными и экономическими реформами, так и возрастающим значением страны в региональных сырьевых и логистических цепочках. Как указывает Китакхунов А., Узбекистан, как сравнительно открытая и реформирующаяся экономика с транзитным потенциалом, всё более воспринимается как «узловая точка» для построения устойчивой архитектуры энергетической, логистической и ресурсной безопасности Европы [2</w:t>
      </w:r>
      <w:r w:rsidR="00FD6B6F" w:rsidRPr="003A6E5A">
        <w:rPr>
          <w:sz w:val="28"/>
          <w:szCs w:val="28"/>
          <w:lang w:val="ru-RU"/>
        </w:rPr>
        <w:t>6</w:t>
      </w:r>
      <w:r w:rsidRPr="003A6E5A">
        <w:rPr>
          <w:sz w:val="28"/>
          <w:szCs w:val="28"/>
          <w:lang w:val="ru-RU"/>
        </w:rPr>
        <w:t>].</w:t>
      </w:r>
    </w:p>
    <w:p w14:paraId="20801ACF" w14:textId="78AFDE2A" w:rsidR="000F10F0" w:rsidRPr="003A6E5A" w:rsidRDefault="000F10F0" w:rsidP="00DA5867">
      <w:pPr>
        <w:pStyle w:val="aa"/>
        <w:spacing w:beforeAutospacing="0" w:after="0" w:afterAutospacing="0" w:line="240" w:lineRule="auto"/>
        <w:ind w:firstLine="709"/>
        <w:jc w:val="both"/>
        <w:rPr>
          <w:sz w:val="28"/>
          <w:szCs w:val="28"/>
          <w:lang w:val="ru-RU"/>
        </w:rPr>
      </w:pPr>
      <w:r w:rsidRPr="003A6E5A">
        <w:rPr>
          <w:sz w:val="28"/>
          <w:szCs w:val="28"/>
          <w:lang w:val="ru-RU"/>
        </w:rPr>
        <w:t>Не менее стабильным остаётся инвестиционное сотрудничество между ЕС и Казахстаном, который сохраняет статус ключевого стратегического партнёра благодаря институциональной устойчивости и богатой ресурсной базе. Однако структурный анализ выявляет существенное различие в отраслевой направленности инвестиций: если в Казахстане инвестиции ЕС сосредоточены преимущественно в горнодобывающем секторе (6,48 млрд долларов), то Узбекистан демонстрирует более диверсифицированную структуру вложений с акцентом на обрабатывающую промышленность (9,42 млрд долларов).</w:t>
      </w:r>
    </w:p>
    <w:p w14:paraId="107C440E" w14:textId="4C2255FD" w:rsidR="003077C8" w:rsidRPr="003A6E5A" w:rsidRDefault="003077C8" w:rsidP="003077C8">
      <w:pPr>
        <w:spacing w:after="0" w:line="240" w:lineRule="auto"/>
        <w:ind w:firstLine="709"/>
        <w:jc w:val="both"/>
        <w:rPr>
          <w:rFonts w:ascii="Times New Roman" w:eastAsia="SimSun" w:hAnsi="Times New Roman" w:cs="Times New Roman"/>
          <w:sz w:val="28"/>
          <w:szCs w:val="28"/>
          <w:lang w:eastAsia="zh-CN"/>
        </w:rPr>
      </w:pPr>
      <w:r w:rsidRPr="003A6E5A">
        <w:rPr>
          <w:rFonts w:ascii="Times New Roman" w:eastAsia="SimSun" w:hAnsi="Times New Roman" w:cs="Times New Roman"/>
          <w:sz w:val="28"/>
          <w:szCs w:val="28"/>
          <w:lang w:eastAsia="zh-CN"/>
        </w:rPr>
        <w:t xml:space="preserve">Таким образом, опираясь на вышеизложенные данные, можно утверждать, что дальнейшее </w:t>
      </w:r>
      <w:bookmarkStart w:id="27" w:name="_Hlk213267461"/>
      <w:r w:rsidRPr="003A6E5A">
        <w:rPr>
          <w:rFonts w:ascii="Times New Roman" w:eastAsia="SimSun" w:hAnsi="Times New Roman" w:cs="Times New Roman"/>
          <w:sz w:val="28"/>
          <w:szCs w:val="28"/>
          <w:lang w:eastAsia="zh-CN"/>
        </w:rPr>
        <w:t xml:space="preserve">успешное развитие инвестиционного сотрудничества между ЕС и Центральной Азией будет определяться способностью региона предложить комплексную модель партнёрства, сочетающую сырьевой потенциал с развитием перерабатывающих производств и транспортно-логистической инфраструктуры. </w:t>
      </w:r>
      <w:bookmarkStart w:id="28" w:name="_Hlk213267520"/>
      <w:bookmarkEnd w:id="27"/>
      <w:r w:rsidRPr="003A6E5A">
        <w:rPr>
          <w:rFonts w:ascii="Times New Roman" w:eastAsia="SimSun" w:hAnsi="Times New Roman" w:cs="Times New Roman"/>
          <w:sz w:val="28"/>
          <w:szCs w:val="28"/>
          <w:lang w:eastAsia="zh-CN"/>
        </w:rPr>
        <w:t xml:space="preserve">Для максимизации экономических </w:t>
      </w:r>
      <w:r w:rsidR="00C32DDE" w:rsidRPr="003A6E5A">
        <w:rPr>
          <w:rFonts w:ascii="Times New Roman" w:eastAsia="SimSun" w:hAnsi="Times New Roman" w:cs="Times New Roman"/>
          <w:sz w:val="28"/>
          <w:szCs w:val="28"/>
          <w:lang w:eastAsia="zh-CN"/>
        </w:rPr>
        <w:t>преимуществ</w:t>
      </w:r>
      <w:r w:rsidRPr="003A6E5A">
        <w:rPr>
          <w:rFonts w:ascii="Times New Roman" w:eastAsia="SimSun" w:hAnsi="Times New Roman" w:cs="Times New Roman"/>
          <w:sz w:val="28"/>
          <w:szCs w:val="28"/>
          <w:lang w:eastAsia="zh-CN"/>
        </w:rPr>
        <w:t xml:space="preserve"> от </w:t>
      </w:r>
      <w:r w:rsidRPr="003A6E5A">
        <w:rPr>
          <w:rFonts w:ascii="Times New Roman" w:eastAsia="SimSun" w:hAnsi="Times New Roman" w:cs="Times New Roman"/>
          <w:sz w:val="28"/>
          <w:szCs w:val="28"/>
          <w:lang w:eastAsia="zh-CN"/>
        </w:rPr>
        <w:lastRenderedPageBreak/>
        <w:t>сотрудничества необходима реализация конкретных проектов по созданию регионального хаба глубокой переработки редкоземельных металлов в Казахстане и формированию аккумуляторных цепочек стоимости в Узбекистане. Это позволит странам региона преодолеть ресурсное проклятие и интегрироваться в высокотехнологичные сегменты глобальных цепочек создания стоимости, одновременно обеспечивая ЕС диверсифицированный доступ к критически важным сырьевым материалам.</w:t>
      </w:r>
    </w:p>
    <w:bookmarkEnd w:id="28"/>
    <w:p w14:paraId="0E37B273" w14:textId="3E6FB4DF" w:rsidR="003077C8" w:rsidRPr="003A6E5A" w:rsidRDefault="003077C8" w:rsidP="003077C8">
      <w:pPr>
        <w:spacing w:after="0" w:line="240" w:lineRule="auto"/>
        <w:ind w:firstLine="709"/>
        <w:jc w:val="both"/>
        <w:rPr>
          <w:rFonts w:ascii="Times New Roman" w:eastAsia="SimSun" w:hAnsi="Times New Roman" w:cs="Times New Roman"/>
          <w:sz w:val="28"/>
          <w:szCs w:val="28"/>
          <w:lang w:eastAsia="zh-CN"/>
        </w:rPr>
      </w:pPr>
      <w:r w:rsidRPr="003A6E5A">
        <w:rPr>
          <w:rFonts w:ascii="Times New Roman" w:eastAsia="SimSun" w:hAnsi="Times New Roman" w:cs="Times New Roman"/>
          <w:sz w:val="28"/>
          <w:szCs w:val="28"/>
          <w:lang w:eastAsia="zh-CN"/>
        </w:rPr>
        <w:t xml:space="preserve">Дальнейшая эффективность сотрудничества будет определяться способностью сторон найти баланс между экологическими стандартами ЕС и экономическими интересами стран Центральной Азии, при этом стоит акцентировать внимание и на региональные проекты, так как для развития транспортного потенциала это является стратегически важным. Для Казахстана это предполагает необходимость активизации усилий по привлечению инвестиций в несырьевые сектора экономики, тогда как для региона в целом - продолжение институциональных реформ и повышение прозрачности инвестиционного климата. Реализация потенциала инициативы </w:t>
      </w:r>
      <w:r w:rsidR="00D271B2" w:rsidRPr="003A6E5A">
        <w:rPr>
          <w:rFonts w:ascii="Times New Roman" w:eastAsia="SimSun" w:hAnsi="Times New Roman" w:cs="Times New Roman"/>
          <w:sz w:val="28"/>
          <w:szCs w:val="28"/>
          <w:lang w:eastAsia="zh-CN"/>
        </w:rPr>
        <w:t>«</w:t>
      </w:r>
      <w:r w:rsidRPr="003A6E5A">
        <w:rPr>
          <w:rFonts w:ascii="Times New Roman" w:eastAsia="SimSun" w:hAnsi="Times New Roman" w:cs="Times New Roman"/>
          <w:sz w:val="28"/>
          <w:szCs w:val="28"/>
          <w:lang w:eastAsia="zh-CN"/>
        </w:rPr>
        <w:t>Глобальные ворота</w:t>
      </w:r>
      <w:r w:rsidR="00D271B2" w:rsidRPr="003A6E5A">
        <w:rPr>
          <w:rFonts w:ascii="Times New Roman" w:eastAsia="SimSun" w:hAnsi="Times New Roman" w:cs="Times New Roman"/>
          <w:sz w:val="28"/>
          <w:szCs w:val="28"/>
          <w:lang w:eastAsia="zh-CN"/>
        </w:rPr>
        <w:t>»</w:t>
      </w:r>
      <w:r w:rsidRPr="003A6E5A">
        <w:rPr>
          <w:rFonts w:ascii="Times New Roman" w:eastAsia="SimSun" w:hAnsi="Times New Roman" w:cs="Times New Roman"/>
          <w:sz w:val="28"/>
          <w:szCs w:val="28"/>
          <w:lang w:eastAsia="zh-CN"/>
        </w:rPr>
        <w:t xml:space="preserve"> способна стать катализатором этого процесса, создавая основу для перехода к качественно новой модели экономического взаимодействия, основанной на принципах взаимной выгоды и устойчивого развития.</w:t>
      </w:r>
    </w:p>
    <w:p w14:paraId="350AB918" w14:textId="77777777" w:rsidR="000F10F0" w:rsidRPr="003A6E5A" w:rsidRDefault="000F10F0" w:rsidP="00760171">
      <w:pPr>
        <w:spacing w:after="0" w:line="240" w:lineRule="auto"/>
        <w:rPr>
          <w:rFonts w:ascii="Times New Roman" w:hAnsi="Times New Roman" w:cs="Times New Roman"/>
          <w:sz w:val="28"/>
          <w:szCs w:val="28"/>
          <w:lang w:eastAsia="zh-CN"/>
        </w:rPr>
      </w:pPr>
    </w:p>
    <w:p w14:paraId="1396E2DC" w14:textId="77777777" w:rsidR="006652C1" w:rsidRPr="003A6E5A" w:rsidRDefault="006652C1" w:rsidP="00760171">
      <w:pPr>
        <w:pStyle w:val="2-"/>
        <w:spacing w:before="0" w:line="240" w:lineRule="auto"/>
        <w:ind w:firstLine="709"/>
        <w:jc w:val="both"/>
        <w:rPr>
          <w:rFonts w:ascii="Times New Roman" w:hAnsi="Times New Roman" w:cs="Times New Roman"/>
          <w:color w:val="auto"/>
          <w:sz w:val="28"/>
          <w:szCs w:val="28"/>
        </w:rPr>
      </w:pPr>
    </w:p>
    <w:p w14:paraId="57609456" w14:textId="30E1938D" w:rsidR="0003217D" w:rsidRPr="003A6E5A" w:rsidRDefault="00FC275D" w:rsidP="00975DB7">
      <w:pPr>
        <w:spacing w:after="0" w:line="240" w:lineRule="auto"/>
        <w:ind w:firstLine="708"/>
        <w:jc w:val="both"/>
        <w:outlineLvl w:val="1"/>
        <w:rPr>
          <w:rFonts w:ascii="Times New Roman" w:hAnsi="Times New Roman" w:cs="Times New Roman"/>
          <w:b/>
          <w:sz w:val="28"/>
          <w:szCs w:val="28"/>
        </w:rPr>
      </w:pPr>
      <w:bookmarkStart w:id="29" w:name="_Toc209538981"/>
      <w:bookmarkStart w:id="30" w:name="_Hlk213168041"/>
      <w:bookmarkEnd w:id="24"/>
      <w:r w:rsidRPr="003A6E5A">
        <w:rPr>
          <w:rFonts w:ascii="Times New Roman" w:hAnsi="Times New Roman" w:cs="Times New Roman"/>
          <w:b/>
          <w:sz w:val="28"/>
          <w:szCs w:val="28"/>
          <w:lang w:val="kk-KZ"/>
        </w:rPr>
        <w:t xml:space="preserve">2.2 </w:t>
      </w:r>
      <w:r w:rsidR="00E25922" w:rsidRPr="003A6E5A">
        <w:rPr>
          <w:rFonts w:ascii="Times New Roman" w:hAnsi="Times New Roman" w:cs="Times New Roman"/>
          <w:b/>
          <w:sz w:val="28"/>
          <w:szCs w:val="28"/>
        </w:rPr>
        <w:t>Оценка влияния пространственной автокорреляции на инвестиционный потенциал и фактический поток инвестиций</w:t>
      </w:r>
      <w:bookmarkEnd w:id="29"/>
    </w:p>
    <w:bookmarkEnd w:id="30"/>
    <w:p w14:paraId="5E2997CD" w14:textId="77777777" w:rsidR="001B2C91" w:rsidRPr="003A6E5A" w:rsidRDefault="001B2C91" w:rsidP="001608EA">
      <w:pPr>
        <w:spacing w:after="0" w:line="240" w:lineRule="auto"/>
        <w:jc w:val="both"/>
        <w:rPr>
          <w:rFonts w:ascii="Times New Roman" w:hAnsi="Times New Roman" w:cs="Times New Roman"/>
          <w:sz w:val="28"/>
          <w:szCs w:val="28"/>
        </w:rPr>
      </w:pPr>
    </w:p>
    <w:p w14:paraId="745C992A" w14:textId="45C657F2" w:rsidR="00156173" w:rsidRPr="003A6E5A" w:rsidRDefault="00FC275D" w:rsidP="001608EA">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Представленные в последующем разделе различные модели, построенные на основе единого массива эмпирических данных, </w:t>
      </w:r>
      <w:r w:rsidR="000738CF" w:rsidRPr="003A6E5A">
        <w:rPr>
          <w:rFonts w:ascii="Times New Roman" w:hAnsi="Times New Roman" w:cs="Times New Roman"/>
          <w:sz w:val="28"/>
          <w:szCs w:val="28"/>
          <w:lang w:val="kk-KZ"/>
        </w:rPr>
        <w:t xml:space="preserve">по нашему мнению, </w:t>
      </w:r>
      <w:r w:rsidRPr="003A6E5A">
        <w:rPr>
          <w:rFonts w:ascii="Times New Roman" w:hAnsi="Times New Roman" w:cs="Times New Roman"/>
          <w:sz w:val="28"/>
          <w:szCs w:val="28"/>
          <w:lang w:val="kk-KZ"/>
        </w:rPr>
        <w:t>являются методологически обоснованным решением и составляют значимый элемент комплексного анализа социально-экономических процессов, протекающих в региональной экономике Республики Казахстан. Использование нескольких моделей позволяет учитывать разнообразные источники вариативности, присущие исследуемому явлению, и способствует более всестороннему раскрытию структуры взаимосвязей между ключевыми переменными. Каждая из моделей основана на определённой системе допущений и направлена на получение ответов на конкретные исследовательские вопросы, что обосновывает необходимость применения множественных аналитических подходов в рамках настоящего диссертационного исследования.</w:t>
      </w:r>
    </w:p>
    <w:p w14:paraId="51EE6D67" w14:textId="54043E68" w:rsidR="00156173" w:rsidRPr="003A6E5A" w:rsidRDefault="00BC1385" w:rsidP="001608EA">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Отметим, что м</w:t>
      </w:r>
      <w:r w:rsidR="00FC275D" w:rsidRPr="003A6E5A">
        <w:rPr>
          <w:rFonts w:ascii="Times New Roman" w:hAnsi="Times New Roman" w:cs="Times New Roman"/>
          <w:sz w:val="28"/>
          <w:szCs w:val="28"/>
        </w:rPr>
        <w:t xml:space="preserve">одели множественной регрессии в настоящем исследовании использовались для выявления фундаментальных факторов, определяющих экономическое поведение, в частности </w:t>
      </w:r>
      <w:r w:rsidR="00FC275D" w:rsidRPr="003A6E5A">
        <w:rPr>
          <w:rFonts w:ascii="Times New Roman" w:hAnsi="Times New Roman" w:cs="Times New Roman"/>
          <w:sz w:val="28"/>
          <w:szCs w:val="28"/>
          <w:lang w:val="kk-KZ"/>
        </w:rPr>
        <w:t>–</w:t>
      </w:r>
      <w:r w:rsidR="00FC275D" w:rsidRPr="003A6E5A">
        <w:rPr>
          <w:rFonts w:ascii="Times New Roman" w:hAnsi="Times New Roman" w:cs="Times New Roman"/>
          <w:sz w:val="28"/>
          <w:szCs w:val="28"/>
        </w:rPr>
        <w:t xml:space="preserve"> оценки влияния валового регионального продукта на душу населения, внутренних затрат на научно-исследовательские и опытно-конструкторские работы, а также среднемесячной заработной платы на объем инвестиций в основной капитал. Представленные в следующем разделе регрессионные модели основаны на стандартных допущениях о независимости наблюдений и структурной </w:t>
      </w:r>
      <w:r w:rsidR="00FC275D" w:rsidRPr="003A6E5A">
        <w:rPr>
          <w:rFonts w:ascii="Times New Roman" w:hAnsi="Times New Roman" w:cs="Times New Roman"/>
          <w:sz w:val="28"/>
          <w:szCs w:val="28"/>
        </w:rPr>
        <w:lastRenderedPageBreak/>
        <w:t>однородности данных между регионами</w:t>
      </w:r>
      <w:r w:rsidRPr="003A6E5A">
        <w:rPr>
          <w:rFonts w:ascii="Times New Roman" w:hAnsi="Times New Roman" w:cs="Times New Roman"/>
          <w:sz w:val="28"/>
          <w:szCs w:val="28"/>
        </w:rPr>
        <w:t xml:space="preserve"> Республики Казахстан</w:t>
      </w:r>
      <w:r w:rsidR="00FC275D" w:rsidRPr="003A6E5A">
        <w:rPr>
          <w:rFonts w:ascii="Times New Roman" w:hAnsi="Times New Roman" w:cs="Times New Roman"/>
          <w:sz w:val="28"/>
          <w:szCs w:val="28"/>
        </w:rPr>
        <w:t xml:space="preserve">. Однако в условиях практической </w:t>
      </w:r>
      <w:r w:rsidRPr="003A6E5A">
        <w:rPr>
          <w:rFonts w:ascii="Times New Roman" w:hAnsi="Times New Roman" w:cs="Times New Roman"/>
          <w:sz w:val="28"/>
          <w:szCs w:val="28"/>
        </w:rPr>
        <w:t>реализации</w:t>
      </w:r>
      <w:r w:rsidR="00FC275D" w:rsidRPr="003A6E5A">
        <w:rPr>
          <w:rFonts w:ascii="Times New Roman" w:hAnsi="Times New Roman" w:cs="Times New Roman"/>
          <w:sz w:val="28"/>
          <w:szCs w:val="28"/>
        </w:rPr>
        <w:t xml:space="preserve"> выполнение данных предпосылок представляется затруднительным, поскольку регионы отличаются по уровню инфраструктурного развития, социально-демографическим характеристикам и институциональным условиям. Учитывая указанные обстоятельства, в рамках </w:t>
      </w:r>
      <w:r w:rsidRPr="003A6E5A">
        <w:rPr>
          <w:rFonts w:ascii="Times New Roman" w:hAnsi="Times New Roman" w:cs="Times New Roman"/>
          <w:sz w:val="28"/>
          <w:szCs w:val="28"/>
        </w:rPr>
        <w:t xml:space="preserve">данного </w:t>
      </w:r>
      <w:r w:rsidR="00FC275D" w:rsidRPr="003A6E5A">
        <w:rPr>
          <w:rFonts w:ascii="Times New Roman" w:hAnsi="Times New Roman" w:cs="Times New Roman"/>
          <w:sz w:val="28"/>
          <w:szCs w:val="28"/>
        </w:rPr>
        <w:t>диссертационного исследования целесообразным признано применение моделей панельных данных, позволяющих одновременно учитывать как временные изменения, так и индивидуальные особенности субъектов анализа. Использование моделей с фиксированными и случайными эффектами обеспечи</w:t>
      </w:r>
      <w:r w:rsidR="00AE0BAD" w:rsidRPr="003A6E5A">
        <w:rPr>
          <w:rFonts w:ascii="Times New Roman" w:hAnsi="Times New Roman" w:cs="Times New Roman"/>
          <w:sz w:val="28"/>
          <w:szCs w:val="28"/>
        </w:rPr>
        <w:t>ло</w:t>
      </w:r>
      <w:r w:rsidR="00FC275D" w:rsidRPr="003A6E5A">
        <w:rPr>
          <w:rFonts w:ascii="Times New Roman" w:hAnsi="Times New Roman" w:cs="Times New Roman"/>
          <w:sz w:val="28"/>
          <w:szCs w:val="28"/>
        </w:rPr>
        <w:t xml:space="preserve"> контроль за неизменными во времени, но трудноизмеримыми характеристиками регионов, включая особенности налоговой политики, объем административной поддержки инвесторов, наличие вузов и научных учреждений, а также специфику институционального контекста. Учет этих факторов имеет принципиальное значение в рамках заявленной исследовательской задачи, поскольку региональная специфика выступает одним из ключевых условий формирования инвестиционной активности в стране.</w:t>
      </w:r>
    </w:p>
    <w:p w14:paraId="5255C51B" w14:textId="6C6BA340" w:rsidR="00156173" w:rsidRPr="003A6E5A" w:rsidRDefault="00FC275D" w:rsidP="001608EA">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В дополнение к классическим регрессионным подходам в настоящем исследовании используются пространственные эконометрические модели, включая модели пространственной авторегрессии (SAR), </w:t>
      </w:r>
      <w:r w:rsidR="00AE0BAD" w:rsidRPr="003A6E5A">
        <w:rPr>
          <w:rFonts w:ascii="Times New Roman" w:hAnsi="Times New Roman" w:cs="Times New Roman"/>
          <w:sz w:val="28"/>
          <w:szCs w:val="28"/>
        </w:rPr>
        <w:t xml:space="preserve">модели </w:t>
      </w:r>
      <w:r w:rsidRPr="003A6E5A">
        <w:rPr>
          <w:rFonts w:ascii="Times New Roman" w:hAnsi="Times New Roman" w:cs="Times New Roman"/>
          <w:sz w:val="28"/>
          <w:szCs w:val="28"/>
        </w:rPr>
        <w:t xml:space="preserve">пространственных ошибок (SEM) и обобщённые модели Дарбина (SDM). Применение </w:t>
      </w:r>
      <w:r w:rsidR="00AE0BAD" w:rsidRPr="003A6E5A">
        <w:rPr>
          <w:rFonts w:ascii="Times New Roman" w:hAnsi="Times New Roman" w:cs="Times New Roman"/>
          <w:sz w:val="28"/>
          <w:szCs w:val="28"/>
        </w:rPr>
        <w:t>данных</w:t>
      </w:r>
      <w:r w:rsidRPr="003A6E5A">
        <w:rPr>
          <w:rFonts w:ascii="Times New Roman" w:hAnsi="Times New Roman" w:cs="Times New Roman"/>
          <w:sz w:val="28"/>
          <w:szCs w:val="28"/>
        </w:rPr>
        <w:t xml:space="preserve"> моделей обусловлено необходимостью учета межрегиональных взаимосвязей, поскольку инвестиционная активность в одном субъекте может оказывать как положительное, так и отрицательное воздействие на экономические процессы в смежных территориях. К числу таких воздействий относятся, с одной стороны, синергетические эффекты (например, диффузия технологий, мобильность трудовых ресурсов, развитие совместной инфраструктуры), а с другой </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конкуренция за капитальные вложения, природные и институциональные ресурсы.</w:t>
      </w:r>
    </w:p>
    <w:p w14:paraId="2D45B4AC" w14:textId="77777777" w:rsidR="00156173" w:rsidRPr="003A6E5A" w:rsidRDefault="00FC275D" w:rsidP="001608EA">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Интеграция пространственных лагов в модельную структуру позволила отразить влияние соседних регионов как на эндогенную переменную, так и на объясняющие факторы, что особенно актуально для стран с обширной территорией и высокой степенью региональной дифференциации, каковой является Республика Казахстан. Пренебрежение такими эффектами способно привести к смещению оценок и искажению выводов относительно детерминант инвестиционной активности.</w:t>
      </w:r>
      <w:r w:rsidR="00156173" w:rsidRPr="003A6E5A">
        <w:rPr>
          <w:rFonts w:ascii="Times New Roman" w:hAnsi="Times New Roman" w:cs="Times New Roman"/>
          <w:sz w:val="28"/>
          <w:szCs w:val="28"/>
        </w:rPr>
        <w:t xml:space="preserve"> </w:t>
      </w:r>
      <w:r w:rsidRPr="003A6E5A">
        <w:rPr>
          <w:rFonts w:ascii="Times New Roman" w:hAnsi="Times New Roman" w:cs="Times New Roman"/>
          <w:sz w:val="28"/>
          <w:szCs w:val="28"/>
        </w:rPr>
        <w:t>Таким образом, использование различных типов моделей, основанных на едином массиве данных, не только методологически оправдано, но и необходимо для повышения надежности и валидности полученных результатов. Такой подход позволил сопоставить альтернативные спецификации, проверить устойчивость эмпирических выводов, минимизировать риски спецификационной ошибки и, в конечном итоге, сформировать более точные и теоретически обоснованные эконометрические интерпретации исследуемых взаимосвязей.</w:t>
      </w:r>
    </w:p>
    <w:p w14:paraId="66E21254" w14:textId="6CCEB29D" w:rsidR="0003217D" w:rsidRPr="003A6E5A" w:rsidRDefault="00FC275D" w:rsidP="001608EA">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В рамках </w:t>
      </w:r>
      <w:r w:rsidR="00AE0BAD" w:rsidRPr="003A6E5A">
        <w:rPr>
          <w:rFonts w:ascii="Times New Roman" w:hAnsi="Times New Roman" w:cs="Times New Roman"/>
          <w:sz w:val="28"/>
          <w:szCs w:val="28"/>
        </w:rPr>
        <w:t xml:space="preserve">проводимого </w:t>
      </w:r>
      <w:r w:rsidRPr="003A6E5A">
        <w:rPr>
          <w:rFonts w:ascii="Times New Roman" w:hAnsi="Times New Roman" w:cs="Times New Roman"/>
          <w:sz w:val="28"/>
          <w:szCs w:val="28"/>
        </w:rPr>
        <w:t>диссертационного исследования были сформулированы следующие научные гипотезы:</w:t>
      </w:r>
    </w:p>
    <w:p w14:paraId="09E61482" w14:textId="7A7BA200" w:rsidR="0003217D" w:rsidRPr="003A6E5A" w:rsidRDefault="00AE0BAD" w:rsidP="00AE0BA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 </w:t>
      </w:r>
      <w:r w:rsidRPr="003A6E5A">
        <w:rPr>
          <w:rFonts w:ascii="Times New Roman" w:hAnsi="Times New Roman" w:cs="Times New Roman"/>
          <w:i/>
          <w:iCs/>
          <w:sz w:val="28"/>
          <w:szCs w:val="28"/>
        </w:rPr>
        <w:t>г</w:t>
      </w:r>
      <w:r w:rsidR="00FC275D" w:rsidRPr="003A6E5A">
        <w:rPr>
          <w:rFonts w:ascii="Times New Roman" w:hAnsi="Times New Roman" w:cs="Times New Roman"/>
          <w:i/>
          <w:iCs/>
          <w:sz w:val="28"/>
          <w:szCs w:val="28"/>
        </w:rPr>
        <w:t>ипотеза 1:</w:t>
      </w:r>
      <w:r w:rsidR="00FC275D" w:rsidRPr="003A6E5A">
        <w:rPr>
          <w:rFonts w:ascii="Times New Roman" w:hAnsi="Times New Roman" w:cs="Times New Roman"/>
          <w:sz w:val="28"/>
          <w:szCs w:val="28"/>
        </w:rPr>
        <w:t xml:space="preserve"> присутствует положительная пространственная зависимость в инвестициях</w:t>
      </w:r>
      <w:r w:rsidRPr="003A6E5A">
        <w:rPr>
          <w:rFonts w:ascii="Times New Roman" w:hAnsi="Times New Roman" w:cs="Times New Roman"/>
          <w:sz w:val="28"/>
          <w:szCs w:val="28"/>
        </w:rPr>
        <w:t xml:space="preserve"> в основной капитал</w:t>
      </w:r>
      <w:r w:rsidR="00FC275D" w:rsidRPr="003A6E5A">
        <w:rPr>
          <w:rFonts w:ascii="Times New Roman" w:hAnsi="Times New Roman" w:cs="Times New Roman"/>
          <w:sz w:val="28"/>
          <w:szCs w:val="28"/>
        </w:rPr>
        <w:t>: рост инвестиций в основной капитал в соседних регионах оказывает положительное влияние на инвестиции в основной капитал рассматриваемого региона;</w:t>
      </w:r>
    </w:p>
    <w:p w14:paraId="5AAD7998" w14:textId="70140300" w:rsidR="0003217D" w:rsidRPr="003A6E5A" w:rsidRDefault="00AE0BAD" w:rsidP="00AE0BA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Pr="003A6E5A">
        <w:rPr>
          <w:rFonts w:ascii="Times New Roman" w:hAnsi="Times New Roman" w:cs="Times New Roman"/>
          <w:i/>
          <w:iCs/>
          <w:sz w:val="28"/>
          <w:szCs w:val="28"/>
        </w:rPr>
        <w:t>г</w:t>
      </w:r>
      <w:r w:rsidR="00FC275D" w:rsidRPr="003A6E5A">
        <w:rPr>
          <w:rFonts w:ascii="Times New Roman" w:hAnsi="Times New Roman" w:cs="Times New Roman"/>
          <w:i/>
          <w:iCs/>
          <w:sz w:val="28"/>
          <w:szCs w:val="28"/>
        </w:rPr>
        <w:t xml:space="preserve">ипотеза 2: </w:t>
      </w:r>
      <w:r w:rsidR="00FC275D" w:rsidRPr="003A6E5A">
        <w:rPr>
          <w:rFonts w:ascii="Times New Roman" w:hAnsi="Times New Roman" w:cs="Times New Roman"/>
          <w:sz w:val="28"/>
          <w:szCs w:val="28"/>
        </w:rPr>
        <w:t>валовый региональный продукт на душу населения, при прочих равных условиях, положительно влияет на объем инвестиц</w:t>
      </w:r>
      <w:r w:rsidRPr="003A6E5A">
        <w:rPr>
          <w:rFonts w:ascii="Times New Roman" w:hAnsi="Times New Roman" w:cs="Times New Roman"/>
          <w:sz w:val="28"/>
          <w:szCs w:val="28"/>
        </w:rPr>
        <w:t>ий в основной капитал</w:t>
      </w:r>
      <w:r w:rsidR="00FC275D" w:rsidRPr="003A6E5A">
        <w:rPr>
          <w:rFonts w:ascii="Times New Roman" w:hAnsi="Times New Roman" w:cs="Times New Roman"/>
          <w:sz w:val="28"/>
          <w:szCs w:val="28"/>
        </w:rPr>
        <w:t xml:space="preserve">, выступая одним из основных индикаторов </w:t>
      </w:r>
      <w:r w:rsidR="00263B1F" w:rsidRPr="003A6E5A">
        <w:rPr>
          <w:rFonts w:ascii="Times New Roman" w:hAnsi="Times New Roman" w:cs="Times New Roman"/>
          <w:sz w:val="28"/>
          <w:szCs w:val="28"/>
        </w:rPr>
        <w:t xml:space="preserve">регионального </w:t>
      </w:r>
      <w:r w:rsidR="00FC275D" w:rsidRPr="003A6E5A">
        <w:rPr>
          <w:rFonts w:ascii="Times New Roman" w:hAnsi="Times New Roman" w:cs="Times New Roman"/>
          <w:sz w:val="28"/>
          <w:szCs w:val="28"/>
        </w:rPr>
        <w:t>уровня экономического развития;</w:t>
      </w:r>
    </w:p>
    <w:p w14:paraId="4C1EA92A" w14:textId="520DAE2E" w:rsidR="0003217D" w:rsidRPr="003A6E5A" w:rsidRDefault="00AE0BAD" w:rsidP="00AE0BA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Pr="003A6E5A">
        <w:rPr>
          <w:rFonts w:ascii="Times New Roman" w:hAnsi="Times New Roman" w:cs="Times New Roman"/>
          <w:i/>
          <w:iCs/>
          <w:sz w:val="28"/>
          <w:szCs w:val="28"/>
        </w:rPr>
        <w:t>г</w:t>
      </w:r>
      <w:r w:rsidR="00FC275D" w:rsidRPr="003A6E5A">
        <w:rPr>
          <w:rFonts w:ascii="Times New Roman" w:hAnsi="Times New Roman" w:cs="Times New Roman"/>
          <w:i/>
          <w:iCs/>
          <w:sz w:val="28"/>
          <w:szCs w:val="28"/>
        </w:rPr>
        <w:t>ипотеза 3:</w:t>
      </w:r>
      <w:r w:rsidR="00FC275D" w:rsidRPr="003A6E5A">
        <w:rPr>
          <w:rFonts w:ascii="Times New Roman" w:hAnsi="Times New Roman" w:cs="Times New Roman"/>
          <w:sz w:val="28"/>
          <w:szCs w:val="28"/>
        </w:rPr>
        <w:t xml:space="preserve"> внутренние затраты на научно-исследовательские и опытно-конструкторские работы, при прочих равных условиях, оказывают устойчивое положительное влияние на инвестиции в основной капитал на региональным уровне;</w:t>
      </w:r>
    </w:p>
    <w:p w14:paraId="4F4C8E24" w14:textId="2C6B5ABE" w:rsidR="0003217D" w:rsidRPr="003A6E5A" w:rsidRDefault="00B259B6" w:rsidP="00B259B6">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Pr="003A6E5A">
        <w:rPr>
          <w:rFonts w:ascii="Times New Roman" w:hAnsi="Times New Roman" w:cs="Times New Roman"/>
          <w:i/>
          <w:iCs/>
          <w:sz w:val="28"/>
          <w:szCs w:val="28"/>
        </w:rPr>
        <w:t>г</w:t>
      </w:r>
      <w:r w:rsidR="00FC275D" w:rsidRPr="003A6E5A">
        <w:rPr>
          <w:rFonts w:ascii="Times New Roman" w:hAnsi="Times New Roman" w:cs="Times New Roman"/>
          <w:i/>
          <w:iCs/>
          <w:sz w:val="28"/>
          <w:szCs w:val="28"/>
        </w:rPr>
        <w:t>ипотеза 4:</w:t>
      </w:r>
      <w:r w:rsidR="00FC275D" w:rsidRPr="003A6E5A">
        <w:rPr>
          <w:rFonts w:ascii="Times New Roman" w:hAnsi="Times New Roman" w:cs="Times New Roman"/>
          <w:sz w:val="28"/>
          <w:szCs w:val="28"/>
        </w:rPr>
        <w:t xml:space="preserve"> пространственные и временные эффекты играют важную роль в формировании инвестиционной активности, и их учет повышает объяснительную способность моделей;</w:t>
      </w:r>
    </w:p>
    <w:p w14:paraId="0F8A13FC" w14:textId="77777777" w:rsidR="00E277DF" w:rsidRPr="003A6E5A" w:rsidRDefault="00B259B6" w:rsidP="00E277DF">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Pr="003A6E5A">
        <w:rPr>
          <w:rFonts w:ascii="Times New Roman" w:hAnsi="Times New Roman" w:cs="Times New Roman"/>
          <w:i/>
          <w:iCs/>
          <w:sz w:val="28"/>
          <w:szCs w:val="28"/>
        </w:rPr>
        <w:t>г</w:t>
      </w:r>
      <w:r w:rsidR="00FC275D" w:rsidRPr="003A6E5A">
        <w:rPr>
          <w:rFonts w:ascii="Times New Roman" w:hAnsi="Times New Roman" w:cs="Times New Roman"/>
          <w:i/>
          <w:iCs/>
          <w:sz w:val="28"/>
          <w:szCs w:val="28"/>
        </w:rPr>
        <w:t>ипотеза 5:</w:t>
      </w:r>
      <w:r w:rsidR="00FC275D" w:rsidRPr="003A6E5A">
        <w:rPr>
          <w:rFonts w:ascii="Times New Roman" w:hAnsi="Times New Roman" w:cs="Times New Roman"/>
          <w:sz w:val="28"/>
          <w:szCs w:val="28"/>
        </w:rPr>
        <w:t xml:space="preserve"> среднемесячная заработная плата как прокси переменная, отражающая уровень жизни и квалификацию рабочей силы, оказывает положительное влияние на инвестици</w:t>
      </w:r>
      <w:r w:rsidR="00E277DF" w:rsidRPr="003A6E5A">
        <w:rPr>
          <w:rFonts w:ascii="Times New Roman" w:hAnsi="Times New Roman" w:cs="Times New Roman"/>
          <w:sz w:val="28"/>
          <w:szCs w:val="28"/>
        </w:rPr>
        <w:t>и в основной капитал</w:t>
      </w:r>
      <w:r w:rsidR="00FC275D" w:rsidRPr="003A6E5A">
        <w:rPr>
          <w:rFonts w:ascii="Times New Roman" w:hAnsi="Times New Roman" w:cs="Times New Roman"/>
          <w:sz w:val="28"/>
          <w:szCs w:val="28"/>
        </w:rPr>
        <w:t xml:space="preserve"> региона, особенно при контроле за временными эффектами.</w:t>
      </w:r>
    </w:p>
    <w:p w14:paraId="56D8CBAC" w14:textId="77777777" w:rsidR="0067566E" w:rsidRPr="003A6E5A" w:rsidRDefault="00FC275D" w:rsidP="0067566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Таким образом, в рамках единого эмпирического массива в настоящем диссертационном исследовании реализована последовательная апробация различных классов эконометрических моделей</w:t>
      </w:r>
      <w:r w:rsidR="00E277DF" w:rsidRPr="003A6E5A">
        <w:rPr>
          <w:rFonts w:ascii="Times New Roman" w:hAnsi="Times New Roman" w:cs="Times New Roman"/>
          <w:sz w:val="28"/>
          <w:szCs w:val="28"/>
        </w:rPr>
        <w:t>:</w:t>
      </w:r>
      <w:r w:rsidRPr="003A6E5A">
        <w:rPr>
          <w:rFonts w:ascii="Times New Roman" w:hAnsi="Times New Roman" w:cs="Times New Roman"/>
          <w:sz w:val="28"/>
          <w:szCs w:val="28"/>
        </w:rPr>
        <w:t xml:space="preserve"> от классических множественных регрессий до пространственно-панельных спецификаций. Такой многоуровневый методологический подход направлен на получение всестороннего, статистически устойчивого и теоретически обоснованного представления о закономерностях инвестиционной активности на региональном уровне в Республике Казахстан. Комплексность используемых инструментов не только повышает достоверность и валидность эмпирических выводов, но и усиливает их прикладную значимость в контексте выработки эффективных и адаптированных к территориальной специфике инвестиционных стратегий и региональной экономической политики.</w:t>
      </w:r>
    </w:p>
    <w:p w14:paraId="5F436109" w14:textId="67148387" w:rsidR="0003217D" w:rsidRPr="003A6E5A" w:rsidRDefault="00FC275D" w:rsidP="0067566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Как известно, использование переменных с высокой корреляцией (коэффициент больше 0,7) в пространственных моделях, как и в традиционных регрессионных моделях, требует особой осторожности. В пространственных моделях, несмотря на их расширенные возможности учета пространственной зависимости, все еще сохраняет</w:t>
      </w:r>
      <w:r w:rsidR="0067566E" w:rsidRPr="003A6E5A">
        <w:rPr>
          <w:rFonts w:ascii="Times New Roman" w:hAnsi="Times New Roman" w:cs="Times New Roman"/>
          <w:sz w:val="28"/>
          <w:szCs w:val="28"/>
        </w:rPr>
        <w:t>ся</w:t>
      </w:r>
      <w:r w:rsidRPr="003A6E5A">
        <w:rPr>
          <w:rFonts w:ascii="Times New Roman" w:hAnsi="Times New Roman" w:cs="Times New Roman"/>
          <w:sz w:val="28"/>
          <w:szCs w:val="28"/>
        </w:rPr>
        <w:t xml:space="preserve"> риск мультиколлинеарности, если в модель одновременно включаются высоко коррелированные переменные. Как было отмечено в первой главе, мультиколлинераность приводит к нестабильности оценок коэффициентов, увеличению стандартных ошибок и снижению точности интерпретации влияния отдельных регрессоров. Учет данного факта особенно важен в случае пространственных моделей, где дополнительно вводятся пространственные лаги независимых переменных и пространственная структура ошибок, что само по себе усложняет модель и повышает чувствительность к мультиколлинеарности. Тем не менее, наличие корреляции выше 0,7 между </w:t>
      </w:r>
      <w:r w:rsidRPr="003A6E5A">
        <w:rPr>
          <w:rFonts w:ascii="Times New Roman" w:hAnsi="Times New Roman" w:cs="Times New Roman"/>
          <w:sz w:val="28"/>
          <w:szCs w:val="28"/>
        </w:rPr>
        <w:lastRenderedPageBreak/>
        <w:t>переменными не является абсолютным запретом для их включения в модель, особенно если:</w:t>
      </w:r>
    </w:p>
    <w:p w14:paraId="36EE8A09" w14:textId="77777777" w:rsidR="0003217D" w:rsidRPr="003A6E5A" w:rsidRDefault="00FC275D" w:rsidP="0067566E">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регрессоры интерпретируются как взаимосвязанные, но теоретически обоснованные факторы;</w:t>
      </w:r>
    </w:p>
    <w:p w14:paraId="78324718" w14:textId="77777777" w:rsidR="0003217D" w:rsidRPr="003A6E5A" w:rsidRDefault="00FC275D" w:rsidP="0067566E">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цель модели – оценить общее влияние комплексного экономического механизма, а не строго идентифицировать вклад каждой переменной;</w:t>
      </w:r>
    </w:p>
    <w:p w14:paraId="793848E4" w14:textId="77777777" w:rsidR="0067566E" w:rsidRPr="003A6E5A" w:rsidRDefault="00FC275D" w:rsidP="0067566E">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используются подходы к снижению мультиколлинеарности (например, исключение одной из коррелирующих переменных, агрегация переменных в индекс, метод главных компонент, оценка устойчивости модели при последовательном включении</w:t>
      </w:r>
      <w:r w:rsidR="0067566E" w:rsidRPr="003A6E5A">
        <w:rPr>
          <w:rFonts w:ascii="Times New Roman" w:hAnsi="Times New Roman" w:cs="Times New Roman"/>
          <w:sz w:val="28"/>
          <w:szCs w:val="28"/>
        </w:rPr>
        <w:t xml:space="preserve"> </w:t>
      </w:r>
      <w:r w:rsidRPr="003A6E5A">
        <w:rPr>
          <w:rFonts w:ascii="Times New Roman" w:hAnsi="Times New Roman" w:cs="Times New Roman"/>
          <w:sz w:val="28"/>
          <w:szCs w:val="28"/>
        </w:rPr>
        <w:t>/</w:t>
      </w:r>
      <w:r w:rsidR="0067566E" w:rsidRPr="003A6E5A">
        <w:rPr>
          <w:rFonts w:ascii="Times New Roman" w:hAnsi="Times New Roman" w:cs="Times New Roman"/>
          <w:sz w:val="28"/>
          <w:szCs w:val="28"/>
        </w:rPr>
        <w:t xml:space="preserve"> </w:t>
      </w:r>
      <w:r w:rsidRPr="003A6E5A">
        <w:rPr>
          <w:rFonts w:ascii="Times New Roman" w:hAnsi="Times New Roman" w:cs="Times New Roman"/>
          <w:sz w:val="28"/>
          <w:szCs w:val="28"/>
        </w:rPr>
        <w:t>исключении переменных).</w:t>
      </w:r>
    </w:p>
    <w:p w14:paraId="0EFF0F1B" w14:textId="28279CFF" w:rsidR="0003217D" w:rsidRPr="003A6E5A" w:rsidRDefault="00FC275D" w:rsidP="004C707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Таким образом, пространственные модели диссертационного исследования включали переменные с корреляции выше 0,7, так как это было методологически оправданно. Была проведена дополнительная проверка на мультиколлинеарность и оценка чувствительности результатов к изменениям спецификации модели. В рамках диссертационного исследования такой подход сопровождался подробным теоретическим обоснованием (см. раздел 1.4) и интерпретацией результатов с учетом потенциальных искажений (см. раздел 2.5).</w:t>
      </w:r>
    </w:p>
    <w:p w14:paraId="04D456F3" w14:textId="77777777" w:rsidR="003077C8" w:rsidRPr="003A6E5A" w:rsidRDefault="004C7073" w:rsidP="003077C8">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На приведенном далее графике 7 изображена территориальная дифференциация уровня инвестиций в основной капитал в 2024 году по регионам Республики Казахстан. </w:t>
      </w:r>
      <w:r w:rsidR="003077C8" w:rsidRPr="003A6E5A">
        <w:rPr>
          <w:rFonts w:ascii="Times New Roman" w:hAnsi="Times New Roman" w:cs="Times New Roman"/>
          <w:sz w:val="28"/>
          <w:szCs w:val="28"/>
        </w:rPr>
        <w:t xml:space="preserve">Данный показатель обозначен в программе </w:t>
      </w:r>
      <w:r w:rsidR="003077C8" w:rsidRPr="003A6E5A">
        <w:rPr>
          <w:rFonts w:ascii="Times New Roman" w:hAnsi="Times New Roman" w:cs="Times New Roman"/>
          <w:sz w:val="28"/>
          <w:szCs w:val="28"/>
          <w:lang w:val="en-US"/>
        </w:rPr>
        <w:t>GeoDa</w:t>
      </w:r>
      <w:r w:rsidR="003077C8" w:rsidRPr="003A6E5A">
        <w:rPr>
          <w:rFonts w:ascii="Times New Roman" w:hAnsi="Times New Roman" w:cs="Times New Roman"/>
          <w:sz w:val="28"/>
          <w:szCs w:val="28"/>
        </w:rPr>
        <w:t xml:space="preserve"> аббревиатурой </w:t>
      </w:r>
      <w:r w:rsidR="003077C8" w:rsidRPr="003A6E5A">
        <w:rPr>
          <w:rFonts w:ascii="Times New Roman" w:hAnsi="Times New Roman" w:cs="Times New Roman"/>
          <w:sz w:val="28"/>
          <w:szCs w:val="28"/>
          <w:lang w:val="en-US"/>
        </w:rPr>
        <w:t>IFC</w:t>
      </w:r>
      <w:r w:rsidR="003077C8" w:rsidRPr="003A6E5A">
        <w:rPr>
          <w:rFonts w:ascii="Times New Roman" w:hAnsi="Times New Roman" w:cs="Times New Roman"/>
          <w:sz w:val="28"/>
          <w:szCs w:val="28"/>
        </w:rPr>
        <w:t>2024 и выражен в млн. тенге. Например, указанн</w:t>
      </w:r>
      <w:r w:rsidR="003077C8" w:rsidRPr="003A6E5A">
        <w:rPr>
          <w:rFonts w:ascii="Times New Roman" w:hAnsi="Times New Roman" w:cs="Times New Roman"/>
          <w:sz w:val="28"/>
          <w:szCs w:val="28"/>
          <w:lang w:val="kk-KZ"/>
        </w:rPr>
        <w:t>ый</w:t>
      </w:r>
      <w:r w:rsidR="003077C8" w:rsidRPr="003A6E5A">
        <w:rPr>
          <w:rFonts w:ascii="Times New Roman" w:hAnsi="Times New Roman" w:cs="Times New Roman"/>
          <w:sz w:val="28"/>
          <w:szCs w:val="28"/>
        </w:rPr>
        <w:t xml:space="preserve"> </w:t>
      </w:r>
      <w:r w:rsidR="003077C8" w:rsidRPr="003A6E5A">
        <w:rPr>
          <w:rFonts w:ascii="Times New Roman" w:hAnsi="Times New Roman" w:cs="Times New Roman"/>
          <w:sz w:val="28"/>
          <w:szCs w:val="28"/>
          <w:lang w:val="kk-KZ"/>
        </w:rPr>
        <w:t xml:space="preserve">диапазон </w:t>
      </w:r>
      <w:r w:rsidR="003077C8" w:rsidRPr="003A6E5A">
        <w:rPr>
          <w:rFonts w:ascii="Times New Roman" w:hAnsi="Times New Roman" w:cs="Times New Roman"/>
          <w:sz w:val="28"/>
          <w:szCs w:val="28"/>
        </w:rPr>
        <w:t>значени</w:t>
      </w:r>
      <w:r w:rsidR="003077C8" w:rsidRPr="003A6E5A">
        <w:rPr>
          <w:rFonts w:ascii="Times New Roman" w:hAnsi="Times New Roman" w:cs="Times New Roman"/>
          <w:sz w:val="28"/>
          <w:szCs w:val="28"/>
          <w:lang w:val="kk-KZ"/>
        </w:rPr>
        <w:t>й</w:t>
      </w:r>
      <w:r w:rsidR="003077C8" w:rsidRPr="003A6E5A">
        <w:rPr>
          <w:rFonts w:ascii="Times New Roman" w:hAnsi="Times New Roman" w:cs="Times New Roman"/>
          <w:sz w:val="28"/>
          <w:szCs w:val="28"/>
        </w:rPr>
        <w:t xml:space="preserve"> [766:980] эквивалентен интервалу от 766 млн. тенге до 980 млн. тенге. В качестве метода группировки был использован подход, основанный на разделении данных на квантили, который позволяет наглядно продемонстрировать распределение показателя «Инвестиции в основной капитал» по всей совокупности регионов Республики Казахстан.</w:t>
      </w:r>
    </w:p>
    <w:p w14:paraId="5DF3905E" w14:textId="77777777" w:rsidR="00566B59" w:rsidRPr="003A6E5A" w:rsidRDefault="00566B59" w:rsidP="00566B59">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На графике 7 области Республики Казахстан разделены на 5 квантильных групп, каждый из которых содержит приблизительно равное количество территориальных единиц. Такой подход дает возможность более детально проследить различия в уровне инвестиций в основной капитал по регионам страны и выделить области Казахстана с наименьшими и наибольшими значениями рассматриваемого показателя:</w:t>
      </w:r>
    </w:p>
    <w:p w14:paraId="63F65CC2" w14:textId="77777777" w:rsidR="00566B59" w:rsidRPr="003A6E5A" w:rsidRDefault="00566B59"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первый квантиль (или первые 20-й процентиль) включает даипазон (1–1) млн. тенге, однако фактически в этом </w:t>
      </w:r>
      <w:r w:rsidRPr="003A6E5A">
        <w:rPr>
          <w:rFonts w:ascii="Times New Roman" w:hAnsi="Times New Roman" w:cs="Times New Roman"/>
          <w:sz w:val="28"/>
          <w:szCs w:val="28"/>
          <w:lang w:val="kk-KZ"/>
        </w:rPr>
        <w:t>интервале</w:t>
      </w:r>
      <w:r w:rsidRPr="003A6E5A">
        <w:rPr>
          <w:rFonts w:ascii="Times New Roman" w:hAnsi="Times New Roman" w:cs="Times New Roman"/>
          <w:sz w:val="28"/>
          <w:szCs w:val="28"/>
        </w:rPr>
        <w:t xml:space="preserve"> оказалось 0 регионов. Полученный результат свидетельствует о том, что в 2024 году ни один из областей Казахстана не продемонстрировал столь низкого уровня инвестиций в основной капитал;</w:t>
      </w:r>
    </w:p>
    <w:p w14:paraId="7D516CEB" w14:textId="77777777" w:rsidR="00566B59" w:rsidRPr="003A6E5A" w:rsidRDefault="00566B59"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второй квантиль охватывает интервал (1–226) млн. тенге, в который попали 8 </w:t>
      </w:r>
      <w:r w:rsidRPr="003A6E5A">
        <w:rPr>
          <w:rFonts w:ascii="Times New Roman" w:hAnsi="Times New Roman" w:cs="Times New Roman"/>
          <w:sz w:val="28"/>
          <w:szCs w:val="28"/>
          <w:lang w:val="kk-KZ"/>
        </w:rPr>
        <w:t>областей</w:t>
      </w:r>
      <w:r w:rsidRPr="003A6E5A">
        <w:rPr>
          <w:rFonts w:ascii="Times New Roman" w:hAnsi="Times New Roman" w:cs="Times New Roman"/>
          <w:sz w:val="28"/>
          <w:szCs w:val="28"/>
        </w:rPr>
        <w:t xml:space="preserve"> Казахстана, что примерно соответствует 40-45% от общего числа регионов страны. Данные области характеризуются относительно низким уровнем капитальных вложений, что может </w:t>
      </w:r>
      <w:r w:rsidRPr="003A6E5A">
        <w:rPr>
          <w:rFonts w:ascii="Times New Roman" w:hAnsi="Times New Roman" w:cs="Times New Roman"/>
          <w:sz w:val="28"/>
          <w:szCs w:val="28"/>
          <w:lang w:val="kk-KZ"/>
        </w:rPr>
        <w:t xml:space="preserve">быть </w:t>
      </w:r>
      <w:r w:rsidRPr="003A6E5A">
        <w:rPr>
          <w:rFonts w:ascii="Times New Roman" w:hAnsi="Times New Roman" w:cs="Times New Roman"/>
          <w:sz w:val="28"/>
          <w:szCs w:val="28"/>
        </w:rPr>
        <w:t>связано с их экономической спецификой, например, аграрной направленностью, меньшей долей промышленности или отсутствием относительно крупных инфраструктурных и инвестиционных проектов;</w:t>
      </w:r>
    </w:p>
    <w:p w14:paraId="37CC6989" w14:textId="77777777" w:rsidR="00566B59" w:rsidRPr="003A6E5A" w:rsidRDefault="00566B59"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lastRenderedPageBreak/>
        <w:t>–</w:t>
      </w:r>
      <w:r w:rsidRPr="003A6E5A">
        <w:rPr>
          <w:rFonts w:ascii="Times New Roman" w:hAnsi="Times New Roman" w:cs="Times New Roman"/>
          <w:sz w:val="28"/>
          <w:szCs w:val="28"/>
        </w:rPr>
        <w:t xml:space="preserve"> третий квантиль охватывает диапазон (506–562) млн. тенге, куда попало 4 области Казахстана, демонстрирующих умеренно высокий уровень инвестиций в основной капитал;</w:t>
      </w:r>
    </w:p>
    <w:p w14:paraId="37F9717B" w14:textId="77777777" w:rsidR="00566B59" w:rsidRPr="003A6E5A" w:rsidRDefault="00566B59"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четвертый квантиль соответствует интералу от 575 до 712 млн. тенге, в который также вошли 4 области, обладающие еще более значительными объемами капитальных вложений;</w:t>
      </w:r>
    </w:p>
    <w:p w14:paraId="778344CF" w14:textId="77777777" w:rsidR="00566B59" w:rsidRPr="003A6E5A" w:rsidRDefault="00566B59"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пятый квантиль, который представляет собой верхние 20% распределения, охватывает интервал от 766 до 980 млн. тенге, включая 4 области, демонстрирующие наиболее высокие значения инвестиций в основной капитал среди всех регионов Казахстана в 2024 году.</w:t>
      </w:r>
    </w:p>
    <w:p w14:paraId="352CE139" w14:textId="39762774" w:rsidR="004C7073" w:rsidRPr="003A6E5A" w:rsidRDefault="004C7073" w:rsidP="004C7073">
      <w:pPr>
        <w:spacing w:after="0" w:line="240" w:lineRule="auto"/>
        <w:ind w:firstLine="709"/>
        <w:jc w:val="both"/>
        <w:rPr>
          <w:rFonts w:ascii="Times New Roman" w:hAnsi="Times New Roman" w:cs="Times New Roman"/>
          <w:sz w:val="28"/>
          <w:szCs w:val="28"/>
        </w:rPr>
      </w:pPr>
    </w:p>
    <w:p w14:paraId="69F32672" w14:textId="61185888" w:rsidR="0003217D" w:rsidRPr="003A6E5A" w:rsidRDefault="003077C8" w:rsidP="003077C8">
      <w:pPr>
        <w:spacing w:after="0" w:line="240" w:lineRule="auto"/>
        <w:jc w:val="both"/>
        <w:rPr>
          <w:rFonts w:ascii="Times New Roman" w:hAnsi="Times New Roman" w:cs="Times New Roman"/>
        </w:rPr>
      </w:pPr>
      <w:r w:rsidRPr="003A6E5A">
        <w:rPr>
          <w:rFonts w:ascii="Times New Roman" w:hAnsi="Times New Roman" w:cs="Times New Roman"/>
          <w:sz w:val="28"/>
          <w:szCs w:val="28"/>
        </w:rPr>
        <w:t xml:space="preserve"> </w:t>
      </w:r>
      <w:r w:rsidR="00FC275D" w:rsidRPr="003A6E5A">
        <w:rPr>
          <w:rFonts w:ascii="Times New Roman" w:eastAsia="SimSun" w:hAnsi="Times New Roman" w:cs="Times New Roman"/>
          <w:noProof/>
          <w:sz w:val="24"/>
          <w:szCs w:val="24"/>
          <w:lang w:val="en-US" w:eastAsia="zh-CN" w:bidi="ar"/>
        </w:rPr>
        <w:drawing>
          <wp:inline distT="0" distB="0" distL="114300" distR="114300" wp14:anchorId="6474B291" wp14:editId="4C3C9577">
            <wp:extent cx="5982970" cy="2598345"/>
            <wp:effectExtent l="0" t="0" r="0" b="0"/>
            <wp:docPr id="1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IMG_256"/>
                    <pic:cNvPicPr>
                      <a:picLocks noChangeAspect="1"/>
                    </pic:cNvPicPr>
                  </pic:nvPicPr>
                  <pic:blipFill>
                    <a:blip r:embed="rId10"/>
                    <a:stretch>
                      <a:fillRect/>
                    </a:stretch>
                  </pic:blipFill>
                  <pic:spPr>
                    <a:xfrm>
                      <a:off x="0" y="0"/>
                      <a:ext cx="5985278" cy="2599347"/>
                    </a:xfrm>
                    <a:prstGeom prst="rect">
                      <a:avLst/>
                    </a:prstGeom>
                    <a:noFill/>
                    <a:ln w="9525">
                      <a:noFill/>
                    </a:ln>
                  </pic:spPr>
                </pic:pic>
              </a:graphicData>
            </a:graphic>
          </wp:inline>
        </w:drawing>
      </w:r>
    </w:p>
    <w:p w14:paraId="25E24252" w14:textId="77777777" w:rsidR="00A05C45" w:rsidRPr="003A6E5A" w:rsidRDefault="00A05C45" w:rsidP="00A05C45">
      <w:pPr>
        <w:spacing w:after="0" w:line="240" w:lineRule="auto"/>
        <w:jc w:val="both"/>
        <w:rPr>
          <w:rFonts w:ascii="Times New Roman" w:hAnsi="Times New Roman" w:cs="Times New Roman"/>
          <w:sz w:val="28"/>
          <w:szCs w:val="28"/>
          <w:lang w:val="kk-KZ"/>
        </w:rPr>
      </w:pPr>
    </w:p>
    <w:p w14:paraId="3016C0A0" w14:textId="5B31F073" w:rsidR="0003217D" w:rsidRPr="003A6E5A" w:rsidRDefault="00FC275D" w:rsidP="00A05C45">
      <w:pPr>
        <w:spacing w:after="0" w:line="240" w:lineRule="auto"/>
        <w:jc w:val="center"/>
        <w:rPr>
          <w:rFonts w:ascii="Times New Roman" w:hAnsi="Times New Roman" w:cs="Times New Roman"/>
          <w:sz w:val="20"/>
          <w:szCs w:val="20"/>
        </w:rPr>
      </w:pPr>
      <w:r w:rsidRPr="003A6E5A">
        <w:rPr>
          <w:rFonts w:ascii="Times New Roman" w:hAnsi="Times New Roman" w:cs="Times New Roman"/>
          <w:sz w:val="28"/>
          <w:szCs w:val="28"/>
          <w:lang w:val="kk-KZ"/>
        </w:rPr>
        <w:t xml:space="preserve">График </w:t>
      </w:r>
      <w:r w:rsidR="00A05C45" w:rsidRPr="003A6E5A">
        <w:rPr>
          <w:rFonts w:ascii="Times New Roman" w:hAnsi="Times New Roman" w:cs="Times New Roman"/>
          <w:sz w:val="28"/>
          <w:szCs w:val="28"/>
        </w:rPr>
        <w:t>7</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Картограмма распределения инвестиций в основной капитал по регионам Республики Казахстан за 2024 г.</w:t>
      </w:r>
    </w:p>
    <w:p w14:paraId="73E89276" w14:textId="43AE1FF2"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w:t>
      </w:r>
      <w:r w:rsidR="00E018D4" w:rsidRPr="003A6E5A">
        <w:rPr>
          <w:rFonts w:ascii="Times New Roman" w:hAnsi="Times New Roman" w:cs="Times New Roman"/>
          <w:sz w:val="20"/>
          <w:szCs w:val="20"/>
        </w:rPr>
        <w:t xml:space="preserve">получены в </w:t>
      </w:r>
      <w:r w:rsidRPr="003A6E5A">
        <w:rPr>
          <w:rFonts w:ascii="Times New Roman" w:hAnsi="Times New Roman" w:cs="Times New Roman"/>
          <w:sz w:val="20"/>
          <w:szCs w:val="20"/>
        </w:rPr>
        <w:t>программном обеспечении GeoDa</w:t>
      </w:r>
    </w:p>
    <w:p w14:paraId="77685D7E" w14:textId="77777777" w:rsidR="004C4949" w:rsidRPr="003A6E5A" w:rsidRDefault="004C4949" w:rsidP="008211B2">
      <w:pPr>
        <w:spacing w:after="0" w:line="240" w:lineRule="auto"/>
        <w:ind w:firstLine="709"/>
        <w:jc w:val="both"/>
        <w:rPr>
          <w:rFonts w:ascii="Times New Roman" w:hAnsi="Times New Roman" w:cs="Times New Roman"/>
          <w:sz w:val="20"/>
          <w:szCs w:val="20"/>
        </w:rPr>
      </w:pPr>
    </w:p>
    <w:p w14:paraId="37DA479E" w14:textId="25593437" w:rsidR="0003217D" w:rsidRPr="003A6E5A" w:rsidRDefault="00FC275D" w:rsidP="004C707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Пространственное распределение данных величин, визуализированное на </w:t>
      </w:r>
      <w:r w:rsidR="00441450" w:rsidRPr="003A6E5A">
        <w:rPr>
          <w:rFonts w:ascii="Times New Roman" w:hAnsi="Times New Roman" w:cs="Times New Roman"/>
          <w:sz w:val="28"/>
          <w:szCs w:val="28"/>
        </w:rPr>
        <w:t>графике 7</w:t>
      </w:r>
      <w:r w:rsidRPr="003A6E5A">
        <w:rPr>
          <w:rFonts w:ascii="Times New Roman" w:hAnsi="Times New Roman" w:cs="Times New Roman"/>
          <w:sz w:val="28"/>
          <w:szCs w:val="28"/>
        </w:rPr>
        <w:t>, демонстрирует отчетливое преобладание более темных оттенков (соответствуют пятому квантилю и наибольшим инвестициям) на западе, юго-западе и юго-востоке страны. Данный результат наглядно отражает известную экономико-географическую особенность Казахстана, связанную с концентрацией крупных производств, сырьевых и инфраструктурных проектов именно в этих регионах. Наиболее светлые тона, характерные для второго квантиля, чаще встречаются в центральных и южных областях, что может свидетельствовать о более скромных инвестиционных потоках в этих частях страны.</w:t>
      </w:r>
      <w:r w:rsidR="004C7073" w:rsidRPr="003A6E5A">
        <w:rPr>
          <w:rFonts w:ascii="Times New Roman" w:hAnsi="Times New Roman" w:cs="Times New Roman"/>
          <w:sz w:val="28"/>
          <w:szCs w:val="28"/>
        </w:rPr>
        <w:t xml:space="preserve"> </w:t>
      </w:r>
      <w:r w:rsidRPr="003A6E5A">
        <w:rPr>
          <w:rFonts w:ascii="Times New Roman" w:hAnsi="Times New Roman" w:cs="Times New Roman"/>
          <w:sz w:val="28"/>
          <w:szCs w:val="28"/>
        </w:rPr>
        <w:t>Для комплексной оценки пространственной структуры распределения инвестиций в основной капитал Республик</w:t>
      </w:r>
      <w:r w:rsidR="009C67C0" w:rsidRPr="003A6E5A">
        <w:rPr>
          <w:rFonts w:ascii="Times New Roman" w:hAnsi="Times New Roman" w:cs="Times New Roman"/>
          <w:sz w:val="28"/>
          <w:szCs w:val="28"/>
        </w:rPr>
        <w:t>и</w:t>
      </w:r>
      <w:r w:rsidRPr="003A6E5A">
        <w:rPr>
          <w:rFonts w:ascii="Times New Roman" w:hAnsi="Times New Roman" w:cs="Times New Roman"/>
          <w:sz w:val="28"/>
          <w:szCs w:val="28"/>
        </w:rPr>
        <w:t xml:space="preserve"> Казахстан в 2024 году целесообразно обратиться также к анализу пространственной автокорреляции с использованием индекса Морана, результаты которого представлен</w:t>
      </w:r>
      <w:r w:rsidR="009C67C0" w:rsidRPr="003A6E5A">
        <w:rPr>
          <w:rFonts w:ascii="Times New Roman" w:hAnsi="Times New Roman" w:cs="Times New Roman"/>
          <w:sz w:val="28"/>
          <w:szCs w:val="28"/>
        </w:rPr>
        <w:t>ы</w:t>
      </w:r>
      <w:r w:rsidRPr="003A6E5A">
        <w:rPr>
          <w:rFonts w:ascii="Times New Roman" w:hAnsi="Times New Roman" w:cs="Times New Roman"/>
          <w:sz w:val="28"/>
          <w:szCs w:val="28"/>
        </w:rPr>
        <w:t xml:space="preserve"> на графике </w:t>
      </w:r>
      <w:r w:rsidR="009C67C0" w:rsidRPr="003A6E5A">
        <w:rPr>
          <w:rFonts w:ascii="Times New Roman" w:hAnsi="Times New Roman" w:cs="Times New Roman"/>
          <w:sz w:val="28"/>
          <w:szCs w:val="28"/>
        </w:rPr>
        <w:t>8</w:t>
      </w:r>
      <w:r w:rsidRPr="003A6E5A">
        <w:rPr>
          <w:rFonts w:ascii="Times New Roman" w:hAnsi="Times New Roman" w:cs="Times New Roman"/>
          <w:sz w:val="28"/>
          <w:szCs w:val="28"/>
        </w:rPr>
        <w:t xml:space="preserve">. </w:t>
      </w:r>
    </w:p>
    <w:p w14:paraId="5E5132E6" w14:textId="77777777" w:rsidR="0003217D" w:rsidRPr="003A6E5A" w:rsidRDefault="00FC275D" w:rsidP="00392AB5">
      <w:pPr>
        <w:spacing w:after="0" w:line="240" w:lineRule="auto"/>
        <w:jc w:val="center"/>
        <w:rPr>
          <w:rFonts w:ascii="Times New Roman" w:hAnsi="Times New Roman" w:cs="Times New Roman"/>
          <w:sz w:val="28"/>
          <w:szCs w:val="28"/>
        </w:rPr>
      </w:pPr>
      <w:r w:rsidRPr="003A6E5A">
        <w:rPr>
          <w:rFonts w:ascii="Times New Roman" w:eastAsia="SimSun" w:hAnsi="Times New Roman" w:cs="Times New Roman"/>
          <w:noProof/>
          <w:sz w:val="28"/>
          <w:szCs w:val="28"/>
          <w:lang w:val="en-US" w:eastAsia="zh-CN" w:bidi="ar"/>
        </w:rPr>
        <w:lastRenderedPageBreak/>
        <w:drawing>
          <wp:inline distT="0" distB="0" distL="114300" distR="114300" wp14:anchorId="704A21C0" wp14:editId="432CA002">
            <wp:extent cx="3176270" cy="2978590"/>
            <wp:effectExtent l="0" t="0" r="5080" b="0"/>
            <wp:docPr id="1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IMG_256"/>
                    <pic:cNvPicPr>
                      <a:picLocks noChangeAspect="1"/>
                    </pic:cNvPicPr>
                  </pic:nvPicPr>
                  <pic:blipFill>
                    <a:blip r:embed="rId11"/>
                    <a:stretch>
                      <a:fillRect/>
                    </a:stretch>
                  </pic:blipFill>
                  <pic:spPr>
                    <a:xfrm>
                      <a:off x="0" y="0"/>
                      <a:ext cx="3179317" cy="2981447"/>
                    </a:xfrm>
                    <a:prstGeom prst="rect">
                      <a:avLst/>
                    </a:prstGeom>
                    <a:noFill/>
                    <a:ln w="9525">
                      <a:noFill/>
                    </a:ln>
                  </pic:spPr>
                </pic:pic>
              </a:graphicData>
            </a:graphic>
          </wp:inline>
        </w:drawing>
      </w:r>
    </w:p>
    <w:p w14:paraId="46FE1BCA" w14:textId="77777777" w:rsidR="00392AB5" w:rsidRPr="003A6E5A" w:rsidRDefault="00392AB5" w:rsidP="00392AB5">
      <w:pPr>
        <w:spacing w:after="0" w:line="240" w:lineRule="auto"/>
        <w:jc w:val="center"/>
        <w:rPr>
          <w:rFonts w:ascii="Times New Roman" w:hAnsi="Times New Roman" w:cs="Times New Roman"/>
          <w:sz w:val="28"/>
          <w:szCs w:val="28"/>
        </w:rPr>
      </w:pPr>
    </w:p>
    <w:p w14:paraId="6C1A84D5" w14:textId="1425A324" w:rsidR="0003217D" w:rsidRPr="003A6E5A" w:rsidRDefault="00FC275D" w:rsidP="00392AB5">
      <w:pPr>
        <w:spacing w:after="0" w:line="240" w:lineRule="auto"/>
        <w:jc w:val="center"/>
        <w:rPr>
          <w:rFonts w:ascii="Times New Roman" w:hAnsi="Times New Roman" w:cs="Times New Roman"/>
          <w:sz w:val="20"/>
          <w:szCs w:val="20"/>
        </w:rPr>
      </w:pPr>
      <w:r w:rsidRPr="003A6E5A">
        <w:rPr>
          <w:rFonts w:ascii="Times New Roman" w:hAnsi="Times New Roman" w:cs="Times New Roman"/>
          <w:sz w:val="28"/>
          <w:szCs w:val="28"/>
          <w:lang w:val="kk-KZ"/>
        </w:rPr>
        <w:t xml:space="preserve">График </w:t>
      </w:r>
      <w:r w:rsidR="009C67C0" w:rsidRPr="003A6E5A">
        <w:rPr>
          <w:rFonts w:ascii="Times New Roman" w:hAnsi="Times New Roman" w:cs="Times New Roman"/>
          <w:sz w:val="28"/>
          <w:szCs w:val="28"/>
        </w:rPr>
        <w:t>8</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Результаты пространственной автокорреляции Морана</w:t>
      </w:r>
      <w:r w:rsidR="007D7D53" w:rsidRPr="003A6E5A">
        <w:rPr>
          <w:rFonts w:ascii="Times New Roman" w:hAnsi="Times New Roman" w:cs="Times New Roman"/>
          <w:sz w:val="28"/>
          <w:szCs w:val="28"/>
        </w:rPr>
        <w:t xml:space="preserve"> для переменной</w:t>
      </w:r>
      <w:r w:rsidRPr="003A6E5A">
        <w:rPr>
          <w:rFonts w:ascii="Times New Roman" w:hAnsi="Times New Roman" w:cs="Times New Roman"/>
          <w:sz w:val="28"/>
          <w:szCs w:val="28"/>
        </w:rPr>
        <w:t xml:space="preserve"> </w:t>
      </w:r>
      <w:r w:rsidR="007D7D53" w:rsidRPr="003A6E5A">
        <w:rPr>
          <w:rFonts w:ascii="Times New Roman" w:hAnsi="Times New Roman" w:cs="Times New Roman"/>
          <w:sz w:val="28"/>
          <w:szCs w:val="28"/>
        </w:rPr>
        <w:t>«И</w:t>
      </w:r>
      <w:r w:rsidRPr="003A6E5A">
        <w:rPr>
          <w:rFonts w:ascii="Times New Roman" w:hAnsi="Times New Roman" w:cs="Times New Roman"/>
          <w:sz w:val="28"/>
          <w:szCs w:val="28"/>
        </w:rPr>
        <w:t>нвестици</w:t>
      </w:r>
      <w:r w:rsidR="007D7D53" w:rsidRPr="003A6E5A">
        <w:rPr>
          <w:rFonts w:ascii="Times New Roman" w:hAnsi="Times New Roman" w:cs="Times New Roman"/>
          <w:sz w:val="28"/>
          <w:szCs w:val="28"/>
        </w:rPr>
        <w:t>и</w:t>
      </w:r>
      <w:r w:rsidRPr="003A6E5A">
        <w:rPr>
          <w:rFonts w:ascii="Times New Roman" w:hAnsi="Times New Roman" w:cs="Times New Roman"/>
          <w:sz w:val="28"/>
          <w:szCs w:val="28"/>
        </w:rPr>
        <w:t xml:space="preserve"> в основной капитал</w:t>
      </w:r>
      <w:r w:rsidR="007D7D53" w:rsidRPr="003A6E5A">
        <w:rPr>
          <w:rFonts w:ascii="Times New Roman" w:hAnsi="Times New Roman" w:cs="Times New Roman"/>
          <w:sz w:val="28"/>
          <w:szCs w:val="28"/>
        </w:rPr>
        <w:t>»</w:t>
      </w:r>
      <w:r w:rsidRPr="003A6E5A">
        <w:rPr>
          <w:rFonts w:ascii="Times New Roman" w:hAnsi="Times New Roman" w:cs="Times New Roman"/>
          <w:sz w:val="28"/>
          <w:szCs w:val="28"/>
        </w:rPr>
        <w:t xml:space="preserve"> Республики Казахстан</w:t>
      </w:r>
    </w:p>
    <w:p w14:paraId="5066D311" w14:textId="743A1F44" w:rsidR="0003217D" w:rsidRPr="003A6E5A" w:rsidRDefault="004C4949"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Источник: расчеты автора исследования в программном обеспечении GeoDa</w:t>
      </w:r>
    </w:p>
    <w:p w14:paraId="3F864E58" w14:textId="77777777" w:rsidR="00392AB5" w:rsidRPr="003A6E5A" w:rsidRDefault="00392AB5" w:rsidP="001608EA">
      <w:pPr>
        <w:spacing w:after="0" w:line="240" w:lineRule="auto"/>
        <w:rPr>
          <w:rFonts w:ascii="Times New Roman" w:hAnsi="Times New Roman" w:cs="Times New Roman"/>
          <w:sz w:val="20"/>
          <w:szCs w:val="20"/>
        </w:rPr>
      </w:pPr>
    </w:p>
    <w:p w14:paraId="0E51988E" w14:textId="307B203C" w:rsidR="007C4D09" w:rsidRPr="003A6E5A" w:rsidRDefault="00C42557" w:rsidP="00C4255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На диаграмме рассеяния по оси </w:t>
      </w:r>
      <m:oMath>
        <m:r>
          <w:rPr>
            <w:rFonts w:ascii="Cambria Math" w:hAnsi="Cambria Math" w:cs="Times New Roman"/>
            <w:sz w:val="28"/>
            <w:szCs w:val="28"/>
          </w:rPr>
          <m:t>X</m:t>
        </m:r>
      </m:oMath>
      <w:r w:rsidRPr="003A6E5A">
        <w:rPr>
          <w:rFonts w:ascii="Times New Roman" w:hAnsi="Times New Roman" w:cs="Times New Roman"/>
          <w:sz w:val="28"/>
          <w:szCs w:val="28"/>
        </w:rPr>
        <w:t xml:space="preserve"> отложены стандартизированы значения инвестиций в основной капитал (</w:t>
      </w:r>
      <w:r w:rsidRPr="003A6E5A">
        <w:rPr>
          <w:rFonts w:ascii="Times New Roman" w:hAnsi="Times New Roman" w:cs="Times New Roman"/>
          <w:sz w:val="28"/>
          <w:szCs w:val="28"/>
          <w:lang w:val="en-US"/>
        </w:rPr>
        <w:t>IFC</w:t>
      </w:r>
      <w:r w:rsidRPr="003A6E5A">
        <w:rPr>
          <w:rFonts w:ascii="Times New Roman" w:hAnsi="Times New Roman" w:cs="Times New Roman"/>
          <w:sz w:val="28"/>
          <w:szCs w:val="28"/>
        </w:rPr>
        <w:t xml:space="preserve">2024) для каждого региона (отклонения от среднего уровня, нормированные на стандартное отклонение), по оси </w:t>
      </w:r>
      <m:oMath>
        <m:r>
          <w:rPr>
            <w:rFonts w:ascii="Cambria Math" w:hAnsi="Cambria Math" w:cs="Times New Roman"/>
            <w:sz w:val="28"/>
            <w:szCs w:val="28"/>
          </w:rPr>
          <m:t>Y</m:t>
        </m:r>
      </m:oMath>
      <w:r w:rsidRPr="003A6E5A">
        <w:rPr>
          <w:rFonts w:ascii="Times New Roman" w:hAnsi="Times New Roman" w:cs="Times New Roman"/>
          <w:sz w:val="28"/>
          <w:szCs w:val="28"/>
        </w:rPr>
        <w:t xml:space="preserve"> отложены пространствено лагированные значения </w:t>
      </w:r>
      <w:r w:rsidRPr="003A6E5A">
        <w:rPr>
          <w:rFonts w:ascii="Times New Roman" w:hAnsi="Times New Roman" w:cs="Times New Roman"/>
          <w:sz w:val="28"/>
          <w:szCs w:val="28"/>
          <w:lang w:val="en-US"/>
        </w:rPr>
        <w:t>IFC</w:t>
      </w:r>
      <w:r w:rsidRPr="003A6E5A">
        <w:rPr>
          <w:rFonts w:ascii="Times New Roman" w:hAnsi="Times New Roman" w:cs="Times New Roman"/>
          <w:sz w:val="28"/>
          <w:szCs w:val="28"/>
        </w:rPr>
        <w:t xml:space="preserve">2024, отражающие среднее значение показателя в соседних (смежных) регионах Казахстана. </w:t>
      </w:r>
      <w:r w:rsidR="007D7D53" w:rsidRPr="003A6E5A">
        <w:rPr>
          <w:rFonts w:ascii="Times New Roman" w:hAnsi="Times New Roman" w:cs="Times New Roman"/>
          <w:sz w:val="28"/>
          <w:szCs w:val="28"/>
        </w:rPr>
        <w:t>График 8</w:t>
      </w:r>
      <w:r w:rsidR="00FC275D" w:rsidRPr="003A6E5A">
        <w:rPr>
          <w:rFonts w:ascii="Times New Roman" w:hAnsi="Times New Roman" w:cs="Times New Roman"/>
          <w:sz w:val="28"/>
          <w:szCs w:val="28"/>
        </w:rPr>
        <w:t xml:space="preserve"> позволяет визуально оценить наличие пространственного эффекта</w:t>
      </w:r>
      <w:r w:rsidR="007D7D53"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rPr>
        <w:t xml:space="preserve">склонности </w:t>
      </w:r>
      <w:r w:rsidR="007D7D53" w:rsidRPr="003A6E5A">
        <w:rPr>
          <w:rFonts w:ascii="Times New Roman" w:hAnsi="Times New Roman" w:cs="Times New Roman"/>
          <w:sz w:val="28"/>
          <w:szCs w:val="28"/>
        </w:rPr>
        <w:t>областей Республики Казахстан</w:t>
      </w:r>
      <w:r w:rsidR="00FC275D" w:rsidRPr="003A6E5A">
        <w:rPr>
          <w:rFonts w:ascii="Times New Roman" w:hAnsi="Times New Roman" w:cs="Times New Roman"/>
          <w:sz w:val="28"/>
          <w:szCs w:val="28"/>
        </w:rPr>
        <w:t xml:space="preserve"> с близкими значениями </w:t>
      </w:r>
      <w:r w:rsidR="007D7D53" w:rsidRPr="003A6E5A">
        <w:rPr>
          <w:rFonts w:ascii="Times New Roman" w:hAnsi="Times New Roman" w:cs="Times New Roman"/>
          <w:sz w:val="28"/>
          <w:szCs w:val="28"/>
        </w:rPr>
        <w:t xml:space="preserve">изучаемого </w:t>
      </w:r>
      <w:r w:rsidR="00FC275D" w:rsidRPr="003A6E5A">
        <w:rPr>
          <w:rFonts w:ascii="Times New Roman" w:hAnsi="Times New Roman" w:cs="Times New Roman"/>
          <w:sz w:val="28"/>
          <w:szCs w:val="28"/>
        </w:rPr>
        <w:t>показателя располагаться географически рядом друг с другом.</w:t>
      </w:r>
      <w:r w:rsidR="007D7D53"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rPr>
        <w:t>Из полученн</w:t>
      </w:r>
      <w:r w:rsidR="007D7D53" w:rsidRPr="003A6E5A">
        <w:rPr>
          <w:rFonts w:ascii="Times New Roman" w:hAnsi="Times New Roman" w:cs="Times New Roman"/>
          <w:sz w:val="28"/>
          <w:szCs w:val="28"/>
        </w:rPr>
        <w:t>ых</w:t>
      </w:r>
      <w:r w:rsidR="00FC275D" w:rsidRPr="003A6E5A">
        <w:rPr>
          <w:rFonts w:ascii="Times New Roman" w:hAnsi="Times New Roman" w:cs="Times New Roman"/>
          <w:sz w:val="28"/>
          <w:szCs w:val="28"/>
        </w:rPr>
        <w:t xml:space="preserve"> </w:t>
      </w:r>
      <w:r w:rsidR="007D7D53" w:rsidRPr="003A6E5A">
        <w:rPr>
          <w:rFonts w:ascii="Times New Roman" w:hAnsi="Times New Roman" w:cs="Times New Roman"/>
          <w:sz w:val="28"/>
          <w:szCs w:val="28"/>
        </w:rPr>
        <w:t xml:space="preserve">результатов </w:t>
      </w:r>
      <w:r w:rsidR="00FC275D" w:rsidRPr="003A6E5A">
        <w:rPr>
          <w:rFonts w:ascii="Times New Roman" w:hAnsi="Times New Roman" w:cs="Times New Roman"/>
          <w:sz w:val="28"/>
          <w:szCs w:val="28"/>
        </w:rPr>
        <w:t xml:space="preserve">графика </w:t>
      </w:r>
      <w:r w:rsidR="00541762" w:rsidRPr="003A6E5A">
        <w:rPr>
          <w:rFonts w:ascii="Times New Roman" w:hAnsi="Times New Roman" w:cs="Times New Roman"/>
          <w:sz w:val="28"/>
          <w:szCs w:val="28"/>
        </w:rPr>
        <w:t>8</w:t>
      </w:r>
      <w:r w:rsidR="00FC275D" w:rsidRPr="003A6E5A">
        <w:rPr>
          <w:rFonts w:ascii="Times New Roman" w:hAnsi="Times New Roman" w:cs="Times New Roman"/>
          <w:sz w:val="28"/>
          <w:szCs w:val="28"/>
        </w:rPr>
        <w:t xml:space="preserve"> </w:t>
      </w:r>
      <w:r w:rsidR="007D7D53" w:rsidRPr="003A6E5A">
        <w:rPr>
          <w:rFonts w:ascii="Times New Roman" w:hAnsi="Times New Roman" w:cs="Times New Roman"/>
          <w:sz w:val="28"/>
          <w:szCs w:val="28"/>
        </w:rPr>
        <w:t>видно</w:t>
      </w:r>
      <w:r w:rsidR="00FC275D" w:rsidRPr="003A6E5A">
        <w:rPr>
          <w:rFonts w:ascii="Times New Roman" w:hAnsi="Times New Roman" w:cs="Times New Roman"/>
          <w:sz w:val="28"/>
          <w:szCs w:val="28"/>
        </w:rPr>
        <w:t>, что наклон регрессионной лини</w:t>
      </w:r>
      <w:r w:rsidR="007D7D53" w:rsidRPr="003A6E5A">
        <w:rPr>
          <w:rFonts w:ascii="Times New Roman" w:hAnsi="Times New Roman" w:cs="Times New Roman"/>
          <w:sz w:val="28"/>
          <w:szCs w:val="28"/>
        </w:rPr>
        <w:t>и</w:t>
      </w:r>
      <w:r w:rsidR="00FC275D" w:rsidRPr="003A6E5A">
        <w:rPr>
          <w:rFonts w:ascii="Times New Roman" w:hAnsi="Times New Roman" w:cs="Times New Roman"/>
          <w:sz w:val="28"/>
          <w:szCs w:val="28"/>
        </w:rPr>
        <w:t xml:space="preserve"> отрицательный, а значение индекса Морана составляет -0,303. Подчеркнем, что индекс Морана варьируется в диапазоне от -1 до 1: положительные значения указывают на пространственную автокорреляцию (соседние регионы имеют схожие значения показателя), нулевое значение свидетельствует об отсутствии пространственной зависимости (пространственное распределение носить случайный характер), а отрицательные значения говорят о пространственной дисперсии, то есть о том, что высокие значения показателя, как правило, граничат с низкими, и наоборот. Таким образом, наблюдаемая в </w:t>
      </w:r>
      <w:r w:rsidR="007D7D53" w:rsidRPr="003A6E5A">
        <w:rPr>
          <w:rFonts w:ascii="Times New Roman" w:hAnsi="Times New Roman" w:cs="Times New Roman"/>
          <w:sz w:val="28"/>
          <w:szCs w:val="28"/>
        </w:rPr>
        <w:t>нашем</w:t>
      </w:r>
      <w:r w:rsidR="00FC275D" w:rsidRPr="003A6E5A">
        <w:rPr>
          <w:rFonts w:ascii="Times New Roman" w:hAnsi="Times New Roman" w:cs="Times New Roman"/>
          <w:sz w:val="28"/>
          <w:szCs w:val="28"/>
        </w:rPr>
        <w:t xml:space="preserve"> случае отрицательная пространственная автокорреляция инвестиций в основной капитал Казахстан</w:t>
      </w:r>
      <w:r w:rsidR="007D7D53" w:rsidRPr="003A6E5A">
        <w:rPr>
          <w:rFonts w:ascii="Times New Roman" w:hAnsi="Times New Roman" w:cs="Times New Roman"/>
          <w:sz w:val="28"/>
          <w:szCs w:val="28"/>
        </w:rPr>
        <w:t>а</w:t>
      </w:r>
      <w:r w:rsidR="00FC275D" w:rsidRPr="003A6E5A">
        <w:rPr>
          <w:rFonts w:ascii="Times New Roman" w:hAnsi="Times New Roman" w:cs="Times New Roman"/>
          <w:sz w:val="28"/>
          <w:szCs w:val="28"/>
        </w:rPr>
        <w:t xml:space="preserve"> означает, что </w:t>
      </w:r>
      <w:r w:rsidR="007D7D53" w:rsidRPr="003A6E5A">
        <w:rPr>
          <w:rFonts w:ascii="Times New Roman" w:hAnsi="Times New Roman" w:cs="Times New Roman"/>
          <w:sz w:val="28"/>
          <w:szCs w:val="28"/>
        </w:rPr>
        <w:t>области</w:t>
      </w:r>
      <w:r w:rsidR="00FC275D" w:rsidRPr="003A6E5A">
        <w:rPr>
          <w:rFonts w:ascii="Times New Roman" w:hAnsi="Times New Roman" w:cs="Times New Roman"/>
          <w:sz w:val="28"/>
          <w:szCs w:val="28"/>
        </w:rPr>
        <w:t xml:space="preserve"> с высокими объемами инвестиций </w:t>
      </w:r>
      <w:r w:rsidR="007D7D53" w:rsidRPr="003A6E5A">
        <w:rPr>
          <w:rFonts w:ascii="Times New Roman" w:hAnsi="Times New Roman" w:cs="Times New Roman"/>
          <w:sz w:val="28"/>
          <w:szCs w:val="28"/>
        </w:rPr>
        <w:t xml:space="preserve">в основной капитал </w:t>
      </w:r>
      <w:r w:rsidR="00FC275D" w:rsidRPr="003A6E5A">
        <w:rPr>
          <w:rFonts w:ascii="Times New Roman" w:hAnsi="Times New Roman" w:cs="Times New Roman"/>
          <w:sz w:val="28"/>
          <w:szCs w:val="28"/>
        </w:rPr>
        <w:t>чаще всего соседствуют с регионами, демонстрирующими относительно низкие значения, формируя, по сути, своего рода «контрастные кластеры».</w:t>
      </w:r>
      <w:r w:rsidR="007D7D53"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rPr>
        <w:t xml:space="preserve">Подобная конфигурация простратственного распределения капитальных вложений может свидетельствовать о локализованности инвестиционной активности, при которой положительные эффекты крупных инвестиционных </w:t>
      </w:r>
      <w:r w:rsidR="007D7D53" w:rsidRPr="003A6E5A">
        <w:rPr>
          <w:rFonts w:ascii="Times New Roman" w:hAnsi="Times New Roman" w:cs="Times New Roman"/>
          <w:sz w:val="28"/>
          <w:szCs w:val="28"/>
        </w:rPr>
        <w:t xml:space="preserve">региональных </w:t>
      </w:r>
      <w:r w:rsidR="00FC275D" w:rsidRPr="003A6E5A">
        <w:rPr>
          <w:rFonts w:ascii="Times New Roman" w:hAnsi="Times New Roman" w:cs="Times New Roman"/>
          <w:sz w:val="28"/>
          <w:szCs w:val="28"/>
        </w:rPr>
        <w:t xml:space="preserve">проектов слабо транслируются на соседние </w:t>
      </w:r>
      <w:r w:rsidR="007D7D53" w:rsidRPr="003A6E5A">
        <w:rPr>
          <w:rFonts w:ascii="Times New Roman" w:hAnsi="Times New Roman" w:cs="Times New Roman"/>
          <w:sz w:val="28"/>
          <w:szCs w:val="28"/>
        </w:rPr>
        <w:t>области Казахстана</w:t>
      </w:r>
      <w:r w:rsidR="00FC275D" w:rsidRPr="003A6E5A">
        <w:rPr>
          <w:rFonts w:ascii="Times New Roman" w:hAnsi="Times New Roman" w:cs="Times New Roman"/>
          <w:sz w:val="28"/>
          <w:szCs w:val="28"/>
        </w:rPr>
        <w:t xml:space="preserve">. В долгосрочной </w:t>
      </w:r>
      <w:r w:rsidR="00FC275D" w:rsidRPr="003A6E5A">
        <w:rPr>
          <w:rFonts w:ascii="Times New Roman" w:hAnsi="Times New Roman" w:cs="Times New Roman"/>
          <w:sz w:val="28"/>
          <w:szCs w:val="28"/>
        </w:rPr>
        <w:lastRenderedPageBreak/>
        <w:t>перспективе данный факт будет способствовать затруднению формирования единых экономических пространств и замедлит процесс выравнивания уровней социально-экономического развития между регионами.</w:t>
      </w:r>
      <w:r w:rsidR="004E6B16"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rPr>
        <w:t xml:space="preserve">В заключение следует подчеркнуть, что результаты распределения инвестиций в основной капитала по регионам Казахстана в 2024 году, выраженных во всех случаях в миллионах тенге, а также оценка пространственной автокорреляции при помощи индекса Морана демонстрируют высокую степень территориальной неоднородности. Выявленная отрицательная пространственная автокорреляция указывает на наличие пространственной разобщенности инвестиционной активности, что подчеркивает актуальность реализации </w:t>
      </w:r>
      <w:r w:rsidR="002242B1" w:rsidRPr="003A6E5A">
        <w:rPr>
          <w:rFonts w:ascii="Times New Roman" w:hAnsi="Times New Roman" w:cs="Times New Roman"/>
          <w:sz w:val="28"/>
          <w:szCs w:val="28"/>
        </w:rPr>
        <w:t>Концепции инвестиционной политики Республики Казахстан до 2029 год</w:t>
      </w:r>
      <w:r w:rsidR="002242B1" w:rsidRPr="003A6E5A">
        <w:rPr>
          <w:rFonts w:ascii="Times New Roman" w:hAnsi="Times New Roman" w:cs="Times New Roman"/>
          <w:sz w:val="28"/>
          <w:szCs w:val="28"/>
          <w:lang w:val="kk-KZ"/>
        </w:rPr>
        <w:t xml:space="preserve">а, </w:t>
      </w:r>
      <w:r w:rsidR="00FC275D" w:rsidRPr="003A6E5A">
        <w:rPr>
          <w:rFonts w:ascii="Times New Roman" w:hAnsi="Times New Roman" w:cs="Times New Roman"/>
          <w:sz w:val="28"/>
          <w:szCs w:val="28"/>
        </w:rPr>
        <w:t xml:space="preserve">направленных на стимулирование инвестиционных потоков в регионы с относительно низкими значениями </w:t>
      </w:r>
      <w:r w:rsidR="00FC275D" w:rsidRPr="003A6E5A">
        <w:rPr>
          <w:rFonts w:ascii="Times New Roman" w:hAnsi="Times New Roman" w:cs="Times New Roman"/>
          <w:sz w:val="28"/>
          <w:szCs w:val="28"/>
          <w:lang w:val="en-US"/>
        </w:rPr>
        <w:t>IFC</w:t>
      </w:r>
      <w:r w:rsidR="00FC275D" w:rsidRPr="003A6E5A">
        <w:rPr>
          <w:rFonts w:ascii="Times New Roman" w:hAnsi="Times New Roman" w:cs="Times New Roman"/>
          <w:sz w:val="28"/>
          <w:szCs w:val="28"/>
        </w:rPr>
        <w:t>2024 и усиление экономических связей между территориями с различным уровнем развития. Такие меры будут способствовать формированию более сбалансированного и устойчивого экономического роста в масштабах всей страны.</w:t>
      </w:r>
    </w:p>
    <w:p w14:paraId="61A5B178" w14:textId="40061D95" w:rsidR="0003217D" w:rsidRPr="003A6E5A" w:rsidRDefault="00FC275D" w:rsidP="00E36C80">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Анализ взаимосвязи между уровнем валового регионального продукта на душу населения (</w:t>
      </w:r>
      <w:r w:rsidRPr="003A6E5A">
        <w:rPr>
          <w:rFonts w:ascii="Times New Roman" w:hAnsi="Times New Roman" w:cs="Times New Roman"/>
          <w:sz w:val="28"/>
          <w:szCs w:val="28"/>
          <w:lang w:val="en-US"/>
        </w:rPr>
        <w:t>LnGRPPC</w:t>
      </w:r>
      <w:r w:rsidRPr="003A6E5A">
        <w:rPr>
          <w:rFonts w:ascii="Times New Roman" w:hAnsi="Times New Roman" w:cs="Times New Roman"/>
          <w:sz w:val="28"/>
          <w:szCs w:val="28"/>
        </w:rPr>
        <w:t>) и объемом инвестиций в основной капитал (</w:t>
      </w:r>
      <w:r w:rsidRPr="003A6E5A">
        <w:rPr>
          <w:rFonts w:ascii="Times New Roman" w:hAnsi="Times New Roman" w:cs="Times New Roman"/>
          <w:sz w:val="28"/>
          <w:szCs w:val="28"/>
          <w:lang w:val="en-US"/>
        </w:rPr>
        <w:t>LnIFC</w:t>
      </w:r>
      <w:r w:rsidRPr="003A6E5A">
        <w:rPr>
          <w:rFonts w:ascii="Times New Roman" w:hAnsi="Times New Roman" w:cs="Times New Roman"/>
          <w:sz w:val="28"/>
          <w:szCs w:val="28"/>
        </w:rPr>
        <w:t xml:space="preserve">) в Республике Казахстан за 2024 год позволяет выявить определенные тенденции, которые представляют интерес как с научной, так и с практической точки значения. На представленном графике </w:t>
      </w:r>
      <w:r w:rsidR="007C4D09" w:rsidRPr="003A6E5A">
        <w:rPr>
          <w:rFonts w:ascii="Times New Roman" w:hAnsi="Times New Roman" w:cs="Times New Roman"/>
          <w:sz w:val="28"/>
          <w:szCs w:val="28"/>
        </w:rPr>
        <w:t>9</w:t>
      </w:r>
      <w:r w:rsidRPr="003A6E5A">
        <w:rPr>
          <w:rFonts w:ascii="Times New Roman" w:hAnsi="Times New Roman" w:cs="Times New Roman"/>
          <w:sz w:val="28"/>
          <w:szCs w:val="28"/>
        </w:rPr>
        <w:t xml:space="preserve"> отчетливо прослеживается положительная линейная зависимость между рассматриваемыми показателями, что </w:t>
      </w:r>
      <w:r w:rsidR="007C4D09" w:rsidRPr="003A6E5A">
        <w:rPr>
          <w:rFonts w:ascii="Times New Roman" w:hAnsi="Times New Roman" w:cs="Times New Roman"/>
          <w:sz w:val="28"/>
          <w:szCs w:val="28"/>
        </w:rPr>
        <w:t>подтвердило наше предположение:</w:t>
      </w:r>
      <w:r w:rsidRPr="003A6E5A">
        <w:rPr>
          <w:rFonts w:ascii="Times New Roman" w:hAnsi="Times New Roman" w:cs="Times New Roman"/>
          <w:sz w:val="28"/>
          <w:szCs w:val="28"/>
        </w:rPr>
        <w:t xml:space="preserve"> </w:t>
      </w:r>
      <w:r w:rsidR="007C4D09" w:rsidRPr="003A6E5A">
        <w:rPr>
          <w:rFonts w:ascii="Times New Roman" w:hAnsi="Times New Roman" w:cs="Times New Roman"/>
          <w:sz w:val="28"/>
          <w:szCs w:val="28"/>
        </w:rPr>
        <w:t>области Казахстана</w:t>
      </w:r>
      <w:r w:rsidRPr="003A6E5A">
        <w:rPr>
          <w:rFonts w:ascii="Times New Roman" w:hAnsi="Times New Roman" w:cs="Times New Roman"/>
          <w:sz w:val="28"/>
          <w:szCs w:val="28"/>
        </w:rPr>
        <w:t xml:space="preserve"> с более высоким уровнем ВРП на душу населения имеют тенденцию направлять больший объем средств на инвестиции в основной капитал. </w:t>
      </w:r>
      <w:r w:rsidR="00E36C80" w:rsidRPr="003A6E5A">
        <w:rPr>
          <w:rFonts w:ascii="Times New Roman" w:hAnsi="Times New Roman" w:cs="Times New Roman"/>
          <w:sz w:val="28"/>
          <w:szCs w:val="28"/>
        </w:rPr>
        <w:t>Таким образом,</w:t>
      </w:r>
      <w:r w:rsidRPr="003A6E5A">
        <w:rPr>
          <w:rFonts w:ascii="Times New Roman" w:hAnsi="Times New Roman" w:cs="Times New Roman"/>
          <w:sz w:val="28"/>
          <w:szCs w:val="28"/>
        </w:rPr>
        <w:t xml:space="preserve"> </w:t>
      </w:r>
      <w:r w:rsidR="00E36C80" w:rsidRPr="003A6E5A">
        <w:rPr>
          <w:rFonts w:ascii="Times New Roman" w:hAnsi="Times New Roman" w:cs="Times New Roman"/>
          <w:sz w:val="28"/>
          <w:szCs w:val="28"/>
        </w:rPr>
        <w:t>полученные расчеты</w:t>
      </w:r>
      <w:r w:rsidRPr="003A6E5A">
        <w:rPr>
          <w:rFonts w:ascii="Times New Roman" w:hAnsi="Times New Roman" w:cs="Times New Roman"/>
          <w:sz w:val="28"/>
          <w:szCs w:val="28"/>
        </w:rPr>
        <w:t xml:space="preserve"> подтвержда</w:t>
      </w:r>
      <w:r w:rsidR="00E36C80" w:rsidRPr="003A6E5A">
        <w:rPr>
          <w:rFonts w:ascii="Times New Roman" w:hAnsi="Times New Roman" w:cs="Times New Roman"/>
          <w:sz w:val="28"/>
          <w:szCs w:val="28"/>
        </w:rPr>
        <w:t>ю</w:t>
      </w:r>
      <w:r w:rsidRPr="003A6E5A">
        <w:rPr>
          <w:rFonts w:ascii="Times New Roman" w:hAnsi="Times New Roman" w:cs="Times New Roman"/>
          <w:sz w:val="28"/>
          <w:szCs w:val="28"/>
        </w:rPr>
        <w:t xml:space="preserve">т гипотезу, что рост доходов населения может выступать важным стимулом для экономического </w:t>
      </w:r>
      <w:r w:rsidR="00E36C80" w:rsidRPr="003A6E5A">
        <w:rPr>
          <w:rFonts w:ascii="Times New Roman" w:hAnsi="Times New Roman" w:cs="Times New Roman"/>
          <w:sz w:val="28"/>
          <w:szCs w:val="28"/>
        </w:rPr>
        <w:t xml:space="preserve">регионального </w:t>
      </w:r>
      <w:r w:rsidRPr="003A6E5A">
        <w:rPr>
          <w:rFonts w:ascii="Times New Roman" w:hAnsi="Times New Roman" w:cs="Times New Roman"/>
          <w:sz w:val="28"/>
          <w:szCs w:val="28"/>
        </w:rPr>
        <w:t>развития и активации инвестиционной деятельности</w:t>
      </w:r>
      <w:r w:rsidR="00E36C80" w:rsidRPr="003A6E5A">
        <w:rPr>
          <w:rFonts w:ascii="Times New Roman" w:hAnsi="Times New Roman" w:cs="Times New Roman"/>
          <w:sz w:val="28"/>
          <w:szCs w:val="28"/>
        </w:rPr>
        <w:t xml:space="preserve"> компаний</w:t>
      </w:r>
      <w:r w:rsidRPr="003A6E5A">
        <w:rPr>
          <w:rFonts w:ascii="Times New Roman" w:hAnsi="Times New Roman" w:cs="Times New Roman"/>
          <w:sz w:val="28"/>
          <w:szCs w:val="28"/>
        </w:rPr>
        <w:t>.</w:t>
      </w:r>
      <w:r w:rsidR="00E36C80" w:rsidRPr="003A6E5A">
        <w:rPr>
          <w:rFonts w:ascii="Times New Roman" w:hAnsi="Times New Roman" w:cs="Times New Roman"/>
          <w:sz w:val="28"/>
          <w:szCs w:val="28"/>
        </w:rPr>
        <w:t xml:space="preserve"> </w:t>
      </w:r>
      <w:r w:rsidRPr="003A6E5A">
        <w:rPr>
          <w:rFonts w:ascii="Times New Roman" w:hAnsi="Times New Roman" w:cs="Times New Roman"/>
          <w:sz w:val="28"/>
          <w:szCs w:val="28"/>
        </w:rPr>
        <w:t>Значение коэффициента детерминации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Pr="003A6E5A">
        <w:rPr>
          <w:rFonts w:ascii="Times New Roman" w:hAnsi="Times New Roman" w:cs="Times New Roman"/>
          <w:sz w:val="28"/>
          <w:szCs w:val="28"/>
        </w:rPr>
        <w:t xml:space="preserve">), равное 0,168, показывает, что около 16,8% вариации объема инвестиций в основной капитал можно объяснить вариацией уровня ВРП на душу населения. </w:t>
      </w:r>
      <w:r w:rsidR="00E36C80" w:rsidRPr="003A6E5A">
        <w:rPr>
          <w:rFonts w:ascii="Times New Roman" w:hAnsi="Times New Roman" w:cs="Times New Roman"/>
          <w:sz w:val="28"/>
          <w:szCs w:val="28"/>
        </w:rPr>
        <w:t>Хотя д</w:t>
      </w:r>
      <w:r w:rsidRPr="003A6E5A">
        <w:rPr>
          <w:rFonts w:ascii="Times New Roman" w:hAnsi="Times New Roman" w:cs="Times New Roman"/>
          <w:sz w:val="28"/>
          <w:szCs w:val="28"/>
        </w:rPr>
        <w:t>анное значение нельзя расценивать как высокое, однако оно демонстрирует наличие статистически обоснованной зависимости, пусть и умеренной по своей силе. Следовательно, помимо уровня доходов населения, на инвестици</w:t>
      </w:r>
      <w:r w:rsidR="00E36C80" w:rsidRPr="003A6E5A">
        <w:rPr>
          <w:rFonts w:ascii="Times New Roman" w:hAnsi="Times New Roman" w:cs="Times New Roman"/>
          <w:sz w:val="28"/>
          <w:szCs w:val="28"/>
        </w:rPr>
        <w:t>и в основной капитал</w:t>
      </w:r>
      <w:r w:rsidRPr="003A6E5A">
        <w:rPr>
          <w:rFonts w:ascii="Times New Roman" w:hAnsi="Times New Roman" w:cs="Times New Roman"/>
          <w:sz w:val="28"/>
          <w:szCs w:val="28"/>
        </w:rPr>
        <w:t xml:space="preserve"> влияют и другие многочисленные факторы: специфика региональной структуры экономики, степень развитости инфраструктуры, институциональная среда, наличие крупных предприятий, природно-ресурсный потенциал, качество управления на местах</w:t>
      </w:r>
      <w:r w:rsidR="00E36C80" w:rsidRPr="003A6E5A">
        <w:rPr>
          <w:rFonts w:ascii="Times New Roman" w:hAnsi="Times New Roman" w:cs="Times New Roman"/>
          <w:sz w:val="28"/>
          <w:szCs w:val="28"/>
        </w:rPr>
        <w:t xml:space="preserve"> и т.д</w:t>
      </w:r>
      <w:r w:rsidRPr="003A6E5A">
        <w:rPr>
          <w:rFonts w:ascii="Times New Roman" w:hAnsi="Times New Roman" w:cs="Times New Roman"/>
          <w:sz w:val="28"/>
          <w:szCs w:val="28"/>
        </w:rPr>
        <w:t>. Все эти аспекты в совокупности формируют уникальные инвестиционные траектории развития для каждо</w:t>
      </w:r>
      <w:r w:rsidR="00E36C80" w:rsidRPr="003A6E5A">
        <w:rPr>
          <w:rFonts w:ascii="Times New Roman" w:hAnsi="Times New Roman" w:cs="Times New Roman"/>
          <w:sz w:val="28"/>
          <w:szCs w:val="28"/>
        </w:rPr>
        <w:t>й области</w:t>
      </w:r>
      <w:r w:rsidRPr="003A6E5A">
        <w:rPr>
          <w:rFonts w:ascii="Times New Roman" w:hAnsi="Times New Roman" w:cs="Times New Roman"/>
          <w:sz w:val="28"/>
          <w:szCs w:val="28"/>
        </w:rPr>
        <w:t>.</w:t>
      </w:r>
      <w:r w:rsidR="00566B59" w:rsidRPr="003A6E5A">
        <w:rPr>
          <w:rFonts w:ascii="Times New Roman" w:hAnsi="Times New Roman" w:cs="Times New Roman"/>
          <w:sz w:val="28"/>
          <w:szCs w:val="28"/>
        </w:rPr>
        <w:t xml:space="preserve"> Анализ пространственных взаимосвязей социально-экономических показателей областей Казахстана представляет особую актуальность в контексте выявления локальных кластеров роста и потенциала для сбалансированного территориального развития.</w:t>
      </w:r>
    </w:p>
    <w:p w14:paraId="2C9630E5" w14:textId="77777777" w:rsidR="0003217D" w:rsidRPr="003A6E5A" w:rsidRDefault="00FC275D" w:rsidP="007C4D09">
      <w:pPr>
        <w:spacing w:after="0" w:line="240" w:lineRule="auto"/>
        <w:jc w:val="center"/>
        <w:rPr>
          <w:rFonts w:ascii="Times New Roman" w:hAnsi="Times New Roman" w:cs="Times New Roman"/>
        </w:rPr>
      </w:pPr>
      <w:r w:rsidRPr="003A6E5A">
        <w:rPr>
          <w:rFonts w:ascii="Times New Roman" w:eastAsia="SimSun" w:hAnsi="Times New Roman" w:cs="Times New Roman"/>
          <w:noProof/>
          <w:sz w:val="24"/>
          <w:szCs w:val="24"/>
          <w:lang w:val="en-US" w:eastAsia="zh-CN" w:bidi="ar"/>
        </w:rPr>
        <w:lastRenderedPageBreak/>
        <w:drawing>
          <wp:inline distT="0" distB="0" distL="114300" distR="114300" wp14:anchorId="2B6FD2F7" wp14:editId="3906962D">
            <wp:extent cx="4570730" cy="3168713"/>
            <wp:effectExtent l="0" t="0" r="1270" b="0"/>
            <wp:docPr id="1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IMG_256"/>
                    <pic:cNvPicPr>
                      <a:picLocks noChangeAspect="1"/>
                    </pic:cNvPicPr>
                  </pic:nvPicPr>
                  <pic:blipFill>
                    <a:blip r:embed="rId12"/>
                    <a:stretch>
                      <a:fillRect/>
                    </a:stretch>
                  </pic:blipFill>
                  <pic:spPr>
                    <a:xfrm>
                      <a:off x="0" y="0"/>
                      <a:ext cx="4620566" cy="3203263"/>
                    </a:xfrm>
                    <a:prstGeom prst="rect">
                      <a:avLst/>
                    </a:prstGeom>
                    <a:noFill/>
                    <a:ln w="9525">
                      <a:noFill/>
                    </a:ln>
                  </pic:spPr>
                </pic:pic>
              </a:graphicData>
            </a:graphic>
          </wp:inline>
        </w:drawing>
      </w:r>
    </w:p>
    <w:p w14:paraId="6633AFFF" w14:textId="77777777" w:rsidR="007C4D09" w:rsidRPr="003A6E5A" w:rsidRDefault="007C4D09" w:rsidP="001608EA">
      <w:pPr>
        <w:spacing w:after="0" w:line="240" w:lineRule="auto"/>
        <w:rPr>
          <w:rFonts w:ascii="Times New Roman" w:hAnsi="Times New Roman" w:cs="Times New Roman"/>
          <w:sz w:val="28"/>
          <w:szCs w:val="28"/>
          <w:lang w:val="kk-KZ"/>
        </w:rPr>
      </w:pPr>
    </w:p>
    <w:p w14:paraId="18DE950A" w14:textId="0E59915E" w:rsidR="0003217D" w:rsidRPr="003A6E5A" w:rsidRDefault="00FC275D" w:rsidP="007C4D09">
      <w:pPr>
        <w:spacing w:after="0" w:line="240" w:lineRule="auto"/>
        <w:jc w:val="center"/>
        <w:rPr>
          <w:rFonts w:ascii="Times New Roman" w:hAnsi="Times New Roman" w:cs="Times New Roman"/>
          <w:sz w:val="20"/>
          <w:szCs w:val="20"/>
        </w:rPr>
      </w:pPr>
      <w:r w:rsidRPr="003A6E5A">
        <w:rPr>
          <w:rFonts w:ascii="Times New Roman" w:hAnsi="Times New Roman" w:cs="Times New Roman"/>
          <w:sz w:val="28"/>
          <w:szCs w:val="28"/>
          <w:lang w:val="kk-KZ"/>
        </w:rPr>
        <w:t xml:space="preserve">График </w:t>
      </w:r>
      <w:r w:rsidR="007C4D09" w:rsidRPr="003A6E5A">
        <w:rPr>
          <w:rFonts w:ascii="Times New Roman" w:hAnsi="Times New Roman" w:cs="Times New Roman"/>
          <w:sz w:val="28"/>
          <w:szCs w:val="28"/>
        </w:rPr>
        <w:t>9</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Оценка влияния ВРП на душу населения на инвестиции в основной капитал в Республике Казахстан в 2024 году</w:t>
      </w:r>
    </w:p>
    <w:p w14:paraId="2E085DED"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Примечание: указанные переменные были прологарифмированы</w:t>
      </w:r>
    </w:p>
    <w:p w14:paraId="120816E8" w14:textId="2BDD4416" w:rsidR="0003217D" w:rsidRPr="003A6E5A" w:rsidRDefault="004C4949"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Источник: расчеты автора исследования в программном обеспечении GeoDa</w:t>
      </w:r>
    </w:p>
    <w:p w14:paraId="5B637289" w14:textId="77777777" w:rsidR="0003217D" w:rsidRPr="003A6E5A" w:rsidRDefault="0003217D" w:rsidP="00E36C80">
      <w:pPr>
        <w:spacing w:after="0" w:line="240" w:lineRule="auto"/>
        <w:jc w:val="both"/>
        <w:rPr>
          <w:rFonts w:ascii="Times New Roman" w:hAnsi="Times New Roman" w:cs="Times New Roman"/>
          <w:sz w:val="20"/>
          <w:szCs w:val="20"/>
        </w:rPr>
      </w:pPr>
    </w:p>
    <w:p w14:paraId="0E0A94BF" w14:textId="35E0F0C8" w:rsidR="00871035" w:rsidRPr="003A6E5A" w:rsidRDefault="00FC275D"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Как отмечалось ранее, пространственная автокорреляция позволяет определить, склонн</w:t>
      </w:r>
      <w:r w:rsidR="006A65F7" w:rsidRPr="003A6E5A">
        <w:rPr>
          <w:rFonts w:ascii="Times New Roman" w:hAnsi="Times New Roman" w:cs="Times New Roman"/>
          <w:sz w:val="28"/>
          <w:szCs w:val="28"/>
        </w:rPr>
        <w:t>ы</w:t>
      </w:r>
      <w:r w:rsidRPr="003A6E5A">
        <w:rPr>
          <w:rFonts w:ascii="Times New Roman" w:hAnsi="Times New Roman" w:cs="Times New Roman"/>
          <w:sz w:val="28"/>
          <w:szCs w:val="28"/>
        </w:rPr>
        <w:t xml:space="preserve"> ли регионы с высокими или низкими значениями исследуемых показателей группироваться в географические кластеры или, напротив, демонстрир</w:t>
      </w:r>
      <w:r w:rsidR="006A65F7" w:rsidRPr="003A6E5A">
        <w:rPr>
          <w:rFonts w:ascii="Times New Roman" w:hAnsi="Times New Roman" w:cs="Times New Roman"/>
          <w:sz w:val="28"/>
          <w:szCs w:val="28"/>
        </w:rPr>
        <w:t>уют</w:t>
      </w:r>
      <w:r w:rsidRPr="003A6E5A">
        <w:rPr>
          <w:rFonts w:ascii="Times New Roman" w:hAnsi="Times New Roman" w:cs="Times New Roman"/>
          <w:sz w:val="28"/>
          <w:szCs w:val="28"/>
        </w:rPr>
        <w:t xml:space="preserve"> хаотичное распределение. Настоящее исследование направлено на изучение пространственных зависимостей между инвестициями в основной капитал и рядом ключевых факторов социально-экономического развития, таких как валовой региональный продукт на душу населения, количество предприятий, осуществляющих НИОКР, численность персонала занятого в НИОКР, среднемесячная заработная плата, на примере данных за 2024 год. Для этих целей </w:t>
      </w:r>
      <w:r w:rsidR="00AD15FF" w:rsidRPr="003A6E5A">
        <w:rPr>
          <w:rFonts w:ascii="Times New Roman" w:hAnsi="Times New Roman" w:cs="Times New Roman"/>
          <w:sz w:val="28"/>
          <w:szCs w:val="28"/>
        </w:rPr>
        <w:t xml:space="preserve">были </w:t>
      </w:r>
      <w:r w:rsidRPr="003A6E5A">
        <w:rPr>
          <w:rFonts w:ascii="Times New Roman" w:hAnsi="Times New Roman" w:cs="Times New Roman"/>
          <w:sz w:val="28"/>
          <w:szCs w:val="28"/>
        </w:rPr>
        <w:t>построены диаграммы рассеяния Морана и рассчитаны соответствующие индексы, позволяющие количественно оценить степень пространственной автокорреляции.</w:t>
      </w:r>
    </w:p>
    <w:p w14:paraId="6C329FAB" w14:textId="61A165D1" w:rsidR="0003217D" w:rsidRPr="003A6E5A" w:rsidRDefault="00871035" w:rsidP="0087103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Результаты на графике 10а представляют собой диаграмму рассеяния Морана, полученную в программе GeoDa, иллюстрирующую пространственную автокорреляцию между переменной «</w:t>
      </w:r>
      <w:r w:rsidRPr="003A6E5A">
        <w:rPr>
          <w:rFonts w:ascii="Times New Roman" w:hAnsi="Times New Roman" w:cs="Times New Roman"/>
          <w:i/>
          <w:iCs/>
          <w:sz w:val="28"/>
          <w:szCs w:val="28"/>
          <w:lang w:val="en-US"/>
        </w:rPr>
        <w:t>GRPPC</w:t>
      </w:r>
      <w:r w:rsidRPr="003A6E5A">
        <w:rPr>
          <w:rFonts w:ascii="Times New Roman" w:hAnsi="Times New Roman" w:cs="Times New Roman"/>
          <w:i/>
          <w:iCs/>
          <w:sz w:val="28"/>
          <w:szCs w:val="28"/>
        </w:rPr>
        <w:t>2024</w:t>
      </w:r>
      <w:r w:rsidRPr="003A6E5A">
        <w:rPr>
          <w:rFonts w:ascii="Times New Roman" w:hAnsi="Times New Roman" w:cs="Times New Roman"/>
          <w:sz w:val="28"/>
          <w:szCs w:val="28"/>
        </w:rPr>
        <w:t>», отражающей валовой региональный продукт на душу населения, и пространственно лагированной переменной «</w:t>
      </w:r>
      <w:r w:rsidRPr="003A6E5A">
        <w:rPr>
          <w:rFonts w:ascii="Times New Roman" w:hAnsi="Times New Roman" w:cs="Times New Roman"/>
          <w:i/>
          <w:iCs/>
          <w:sz w:val="28"/>
          <w:szCs w:val="28"/>
          <w:lang w:val="en-US"/>
        </w:rPr>
        <w:t>IFC</w:t>
      </w:r>
      <w:r w:rsidRPr="003A6E5A">
        <w:rPr>
          <w:rFonts w:ascii="Times New Roman" w:hAnsi="Times New Roman" w:cs="Times New Roman"/>
          <w:i/>
          <w:iCs/>
          <w:sz w:val="28"/>
          <w:szCs w:val="28"/>
        </w:rPr>
        <w:t>2024</w:t>
      </w:r>
      <w:r w:rsidRPr="003A6E5A">
        <w:rPr>
          <w:rFonts w:ascii="Times New Roman" w:hAnsi="Times New Roman" w:cs="Times New Roman"/>
          <w:sz w:val="28"/>
          <w:szCs w:val="28"/>
        </w:rPr>
        <w:t>», представляющей инвестиции в основной капитал в 2024 году, усредненные для соседних регионов.</w:t>
      </w:r>
      <w:r w:rsidR="00390009" w:rsidRPr="003A6E5A">
        <w:rPr>
          <w:rFonts w:ascii="Times New Roman" w:hAnsi="Times New Roman" w:cs="Times New Roman"/>
          <w:sz w:val="28"/>
          <w:szCs w:val="28"/>
        </w:rPr>
        <w:t xml:space="preserve"> На графике 10а наблюдается положительный наклон регрессионной линии, указывающий на наличие положительной пространственной автокорреляции.</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B02CF8" w:rsidRPr="003A6E5A" w14:paraId="0184E1A1" w14:textId="77777777">
        <w:tc>
          <w:tcPr>
            <w:tcW w:w="4796" w:type="dxa"/>
          </w:tcPr>
          <w:p w14:paraId="6D245336" w14:textId="77777777" w:rsidR="0003217D" w:rsidRPr="003A6E5A" w:rsidRDefault="00FC275D" w:rsidP="001608EA">
            <w:pPr>
              <w:spacing w:after="0" w:line="240" w:lineRule="auto"/>
              <w:rPr>
                <w:rFonts w:ascii="Times New Roman" w:eastAsia="Times New Roman" w:hAnsi="Times New Roman" w:cs="Times New Roman"/>
                <w:sz w:val="24"/>
                <w:szCs w:val="24"/>
                <w:lang w:eastAsia="ru-RU"/>
              </w:rPr>
            </w:pPr>
            <w:r w:rsidRPr="003A6E5A">
              <w:rPr>
                <w:rFonts w:ascii="Times New Roman" w:hAnsi="Times New Roman" w:cs="Times New Roman"/>
                <w:noProof/>
                <w:sz w:val="28"/>
                <w:szCs w:val="28"/>
              </w:rPr>
              <w:lastRenderedPageBreak/>
              <w:drawing>
                <wp:inline distT="0" distB="0" distL="0" distR="0" wp14:anchorId="3706DEB1" wp14:editId="1D99EE77">
                  <wp:extent cx="2647315" cy="280162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53861" cy="2808466"/>
                          </a:xfrm>
                          <a:prstGeom prst="rect">
                            <a:avLst/>
                          </a:prstGeom>
                          <a:noFill/>
                          <a:ln>
                            <a:noFill/>
                          </a:ln>
                        </pic:spPr>
                      </pic:pic>
                    </a:graphicData>
                  </a:graphic>
                </wp:inline>
              </w:drawing>
            </w:r>
          </w:p>
        </w:tc>
        <w:tc>
          <w:tcPr>
            <w:tcW w:w="4796" w:type="dxa"/>
          </w:tcPr>
          <w:p w14:paraId="259934A2" w14:textId="77777777" w:rsidR="0003217D" w:rsidRPr="003A6E5A" w:rsidRDefault="00FC275D" w:rsidP="001608EA">
            <w:pPr>
              <w:spacing w:after="0" w:line="240" w:lineRule="auto"/>
              <w:rPr>
                <w:rFonts w:ascii="Times New Roman" w:eastAsia="Times New Roman" w:hAnsi="Times New Roman" w:cs="Times New Roman"/>
                <w:sz w:val="24"/>
                <w:szCs w:val="24"/>
                <w:lang w:eastAsia="ru-RU"/>
              </w:rPr>
            </w:pPr>
            <w:r w:rsidRPr="003A6E5A">
              <w:rPr>
                <w:rFonts w:ascii="Times New Roman" w:hAnsi="Times New Roman" w:cs="Times New Roman"/>
                <w:noProof/>
                <w:sz w:val="28"/>
                <w:szCs w:val="28"/>
              </w:rPr>
              <w:drawing>
                <wp:inline distT="0" distB="0" distL="0" distR="0" wp14:anchorId="355E0D9E" wp14:editId="2D937717">
                  <wp:extent cx="2664460" cy="280162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00952" cy="2839991"/>
                          </a:xfrm>
                          <a:prstGeom prst="rect">
                            <a:avLst/>
                          </a:prstGeom>
                          <a:noFill/>
                          <a:ln>
                            <a:noFill/>
                          </a:ln>
                        </pic:spPr>
                      </pic:pic>
                    </a:graphicData>
                  </a:graphic>
                </wp:inline>
              </w:drawing>
            </w:r>
          </w:p>
        </w:tc>
      </w:tr>
      <w:tr w:rsidR="0003217D" w:rsidRPr="003A6E5A" w14:paraId="6BD107A0" w14:textId="77777777">
        <w:tc>
          <w:tcPr>
            <w:tcW w:w="4796" w:type="dxa"/>
          </w:tcPr>
          <w:p w14:paraId="61D0887F" w14:textId="4C2FA11A" w:rsidR="0003217D" w:rsidRPr="003A6E5A" w:rsidRDefault="00FC275D" w:rsidP="00AD15FF">
            <w:pPr>
              <w:spacing w:after="0" w:line="240" w:lineRule="auto"/>
              <w:jc w:val="center"/>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(а) </w:t>
            </w:r>
            <w:r w:rsidR="00AD15FF" w:rsidRPr="003A6E5A">
              <w:rPr>
                <w:rFonts w:ascii="Times New Roman" w:hAnsi="Times New Roman" w:cs="Times New Roman"/>
                <w:sz w:val="28"/>
                <w:szCs w:val="28"/>
                <w:lang w:val="kk-KZ"/>
              </w:rPr>
              <w:t>зависимость</w:t>
            </w:r>
            <w:r w:rsidRPr="003A6E5A">
              <w:rPr>
                <w:rFonts w:ascii="Times New Roman" w:hAnsi="Times New Roman" w:cs="Times New Roman"/>
                <w:sz w:val="28"/>
                <w:szCs w:val="28"/>
                <w:lang w:val="kk-KZ"/>
              </w:rPr>
              <w:t xml:space="preserve"> между ВРП на душу населения и инвестициями в основной капитал</w:t>
            </w:r>
          </w:p>
        </w:tc>
        <w:tc>
          <w:tcPr>
            <w:tcW w:w="4796" w:type="dxa"/>
          </w:tcPr>
          <w:p w14:paraId="18115405" w14:textId="5C7D2BAB" w:rsidR="0003217D" w:rsidRPr="003A6E5A" w:rsidRDefault="00FC275D" w:rsidP="00AD15FF">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 xml:space="preserve">(б) </w:t>
            </w:r>
            <w:r w:rsidR="00AD15FF" w:rsidRPr="003A6E5A">
              <w:rPr>
                <w:rFonts w:ascii="Times New Roman" w:hAnsi="Times New Roman" w:cs="Times New Roman"/>
                <w:sz w:val="28"/>
                <w:szCs w:val="28"/>
              </w:rPr>
              <w:t>зависимость</w:t>
            </w:r>
            <w:r w:rsidRPr="003A6E5A">
              <w:rPr>
                <w:rFonts w:ascii="Times New Roman" w:hAnsi="Times New Roman" w:cs="Times New Roman"/>
                <w:sz w:val="28"/>
                <w:szCs w:val="28"/>
                <w:lang w:val="kk-KZ"/>
              </w:rPr>
              <w:t xml:space="preserve"> между количеством предприятий, осуществляющих НИОКР и инвестициями в основной капитал</w:t>
            </w:r>
          </w:p>
        </w:tc>
      </w:tr>
    </w:tbl>
    <w:p w14:paraId="4D1E6DB9" w14:textId="77777777" w:rsidR="0003217D" w:rsidRPr="003A6E5A" w:rsidRDefault="0003217D" w:rsidP="001608EA">
      <w:pPr>
        <w:spacing w:after="0" w:line="240" w:lineRule="auto"/>
        <w:rPr>
          <w:rFonts w:ascii="Times New Roman" w:hAnsi="Times New Roman" w:cs="Times New Roman"/>
          <w:sz w:val="28"/>
          <w:szCs w:val="28"/>
        </w:rPr>
      </w:pPr>
    </w:p>
    <w:p w14:paraId="236441ED" w14:textId="5B83A0C8" w:rsidR="0003217D" w:rsidRPr="003A6E5A" w:rsidRDefault="00FC275D" w:rsidP="00AD15FF">
      <w:pPr>
        <w:spacing w:after="0" w:line="240" w:lineRule="auto"/>
        <w:jc w:val="center"/>
        <w:rPr>
          <w:rFonts w:ascii="Times New Roman" w:hAnsi="Times New Roman" w:cs="Times New Roman"/>
          <w:sz w:val="20"/>
          <w:szCs w:val="20"/>
        </w:rPr>
      </w:pPr>
      <w:r w:rsidRPr="003A6E5A">
        <w:rPr>
          <w:rFonts w:ascii="Times New Roman" w:hAnsi="Times New Roman" w:cs="Times New Roman"/>
          <w:sz w:val="28"/>
          <w:szCs w:val="28"/>
          <w:lang w:val="kk-KZ"/>
        </w:rPr>
        <w:t xml:space="preserve">График </w:t>
      </w:r>
      <w:r w:rsidR="00AD15FF" w:rsidRPr="003A6E5A">
        <w:rPr>
          <w:rFonts w:ascii="Times New Roman" w:hAnsi="Times New Roman" w:cs="Times New Roman"/>
          <w:sz w:val="28"/>
          <w:szCs w:val="28"/>
        </w:rPr>
        <w:t>10</w:t>
      </w:r>
      <w:r w:rsidRPr="003A6E5A">
        <w:rPr>
          <w:rFonts w:ascii="Times New Roman" w:hAnsi="Times New Roman" w:cs="Times New Roman"/>
          <w:sz w:val="28"/>
          <w:szCs w:val="28"/>
          <w:lang w:val="kk-KZ"/>
        </w:rPr>
        <w:t xml:space="preserve">. Пространственная автокорреляция инвестиций в основной капитал и социально-экономических факторов </w:t>
      </w:r>
      <w:r w:rsidR="00AD15FF" w:rsidRPr="003A6E5A">
        <w:rPr>
          <w:rFonts w:ascii="Times New Roman" w:hAnsi="Times New Roman" w:cs="Times New Roman"/>
          <w:sz w:val="28"/>
          <w:szCs w:val="28"/>
          <w:lang w:val="kk-KZ"/>
        </w:rPr>
        <w:t xml:space="preserve">Республики </w:t>
      </w:r>
      <w:r w:rsidRPr="003A6E5A">
        <w:rPr>
          <w:rFonts w:ascii="Times New Roman" w:hAnsi="Times New Roman" w:cs="Times New Roman"/>
          <w:sz w:val="28"/>
          <w:szCs w:val="28"/>
          <w:lang w:val="kk-KZ"/>
        </w:rPr>
        <w:t>Казахстан</w:t>
      </w:r>
    </w:p>
    <w:p w14:paraId="5841F444" w14:textId="043B215F" w:rsidR="0003217D" w:rsidRPr="003A6E5A" w:rsidRDefault="00FC275D" w:rsidP="00841305">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00841305" w:rsidRPr="003A6E5A">
        <w:rPr>
          <w:rFonts w:ascii="Times New Roman" w:hAnsi="Times New Roman" w:cs="Times New Roman"/>
          <w:sz w:val="20"/>
          <w:szCs w:val="20"/>
        </w:rPr>
        <w:t>переменная «</w:t>
      </w:r>
      <w:r w:rsidRPr="003A6E5A">
        <w:rPr>
          <w:rFonts w:ascii="Times New Roman" w:hAnsi="Times New Roman" w:cs="Times New Roman"/>
          <w:sz w:val="20"/>
          <w:szCs w:val="20"/>
          <w:lang w:val="en-US"/>
        </w:rPr>
        <w:t>GRPPC</w:t>
      </w:r>
      <w:r w:rsidRPr="003A6E5A">
        <w:rPr>
          <w:rFonts w:ascii="Times New Roman" w:hAnsi="Times New Roman" w:cs="Times New Roman"/>
          <w:sz w:val="20"/>
          <w:szCs w:val="20"/>
        </w:rPr>
        <w:t>2024</w:t>
      </w:r>
      <w:r w:rsidR="00841305" w:rsidRPr="003A6E5A">
        <w:rPr>
          <w:rFonts w:ascii="Times New Roman" w:hAnsi="Times New Roman" w:cs="Times New Roman"/>
          <w:sz w:val="20"/>
          <w:szCs w:val="20"/>
        </w:rPr>
        <w:t>»</w:t>
      </w:r>
      <w:r w:rsidRPr="003A6E5A">
        <w:rPr>
          <w:rFonts w:ascii="Times New Roman" w:hAnsi="Times New Roman" w:cs="Times New Roman"/>
          <w:sz w:val="20"/>
          <w:szCs w:val="20"/>
        </w:rPr>
        <w:t xml:space="preserve"> – </w:t>
      </w:r>
      <w:r w:rsidR="00841305" w:rsidRPr="003A6E5A">
        <w:rPr>
          <w:rFonts w:ascii="Times New Roman" w:hAnsi="Times New Roman" w:cs="Times New Roman"/>
          <w:sz w:val="20"/>
          <w:szCs w:val="20"/>
        </w:rPr>
        <w:t xml:space="preserve">это </w:t>
      </w:r>
      <w:r w:rsidRPr="003A6E5A">
        <w:rPr>
          <w:rFonts w:ascii="Times New Roman" w:hAnsi="Times New Roman" w:cs="Times New Roman"/>
          <w:sz w:val="20"/>
          <w:szCs w:val="20"/>
        </w:rPr>
        <w:t xml:space="preserve">ВРП на душу населения Казахстана в 2024 году, </w:t>
      </w:r>
      <w:r w:rsidR="00841305" w:rsidRPr="003A6E5A">
        <w:rPr>
          <w:rFonts w:ascii="Times New Roman" w:hAnsi="Times New Roman" w:cs="Times New Roman"/>
          <w:sz w:val="20"/>
          <w:szCs w:val="20"/>
        </w:rPr>
        <w:t>переменная «</w:t>
      </w:r>
      <w:r w:rsidRPr="003A6E5A">
        <w:rPr>
          <w:rFonts w:ascii="Times New Roman" w:hAnsi="Times New Roman" w:cs="Times New Roman"/>
          <w:sz w:val="20"/>
          <w:szCs w:val="20"/>
          <w:lang w:val="en-US"/>
        </w:rPr>
        <w:t>NECORD</w:t>
      </w:r>
      <w:r w:rsidRPr="003A6E5A">
        <w:rPr>
          <w:rFonts w:ascii="Times New Roman" w:hAnsi="Times New Roman" w:cs="Times New Roman"/>
          <w:sz w:val="20"/>
          <w:szCs w:val="20"/>
        </w:rPr>
        <w:t>2024</w:t>
      </w:r>
      <w:r w:rsidR="00841305" w:rsidRPr="003A6E5A">
        <w:rPr>
          <w:rFonts w:ascii="Times New Roman" w:hAnsi="Times New Roman" w:cs="Times New Roman"/>
          <w:sz w:val="20"/>
          <w:szCs w:val="20"/>
        </w:rPr>
        <w:t>»</w:t>
      </w:r>
      <w:r w:rsidRPr="003A6E5A">
        <w:rPr>
          <w:rFonts w:ascii="Times New Roman" w:hAnsi="Times New Roman" w:cs="Times New Roman"/>
          <w:sz w:val="20"/>
          <w:szCs w:val="20"/>
        </w:rPr>
        <w:t xml:space="preserve"> </w:t>
      </w:r>
      <w:r w:rsidR="00841305" w:rsidRPr="003A6E5A">
        <w:rPr>
          <w:rFonts w:ascii="Times New Roman" w:hAnsi="Times New Roman" w:cs="Times New Roman"/>
          <w:sz w:val="20"/>
          <w:szCs w:val="20"/>
        </w:rPr>
        <w:t>–</w:t>
      </w:r>
      <w:r w:rsidRPr="003A6E5A">
        <w:rPr>
          <w:rFonts w:ascii="Times New Roman" w:hAnsi="Times New Roman" w:cs="Times New Roman"/>
          <w:sz w:val="20"/>
          <w:szCs w:val="20"/>
        </w:rPr>
        <w:t xml:space="preserve"> </w:t>
      </w:r>
      <w:r w:rsidR="00841305" w:rsidRPr="003A6E5A">
        <w:rPr>
          <w:rFonts w:ascii="Times New Roman" w:hAnsi="Times New Roman" w:cs="Times New Roman"/>
          <w:sz w:val="20"/>
          <w:szCs w:val="20"/>
        </w:rPr>
        <w:t xml:space="preserve">это </w:t>
      </w:r>
      <w:r w:rsidRPr="003A6E5A">
        <w:rPr>
          <w:rFonts w:ascii="Times New Roman" w:hAnsi="Times New Roman" w:cs="Times New Roman"/>
          <w:sz w:val="20"/>
          <w:szCs w:val="20"/>
        </w:rPr>
        <w:t>количество предприятий, осуществляющих НИОКР по регионам Казахстана в 2024 году</w:t>
      </w:r>
    </w:p>
    <w:p w14:paraId="7544C65E" w14:textId="5B3D6BA8" w:rsidR="0003217D" w:rsidRPr="003A6E5A" w:rsidRDefault="004C4949" w:rsidP="00841305">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Источник: расчеты автора исследования в программном обеспечении GeoDa</w:t>
      </w:r>
    </w:p>
    <w:p w14:paraId="295DE9C0" w14:textId="77777777" w:rsidR="00841305" w:rsidRPr="003A6E5A" w:rsidRDefault="00841305" w:rsidP="001608EA">
      <w:pPr>
        <w:spacing w:after="0" w:line="240" w:lineRule="auto"/>
        <w:rPr>
          <w:rFonts w:ascii="Times New Roman" w:hAnsi="Times New Roman" w:cs="Times New Roman"/>
          <w:sz w:val="28"/>
          <w:szCs w:val="28"/>
        </w:rPr>
      </w:pPr>
    </w:p>
    <w:p w14:paraId="4EEF9AF0" w14:textId="1D2D462C" w:rsidR="0077532B" w:rsidRPr="003A6E5A" w:rsidRDefault="00841305" w:rsidP="0077532B">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Области</w:t>
      </w:r>
      <w:r w:rsidR="00FC275D"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Республики </w:t>
      </w:r>
      <w:r w:rsidR="00FC275D" w:rsidRPr="003A6E5A">
        <w:rPr>
          <w:rFonts w:ascii="Times New Roman" w:hAnsi="Times New Roman" w:cs="Times New Roman"/>
          <w:sz w:val="28"/>
          <w:szCs w:val="28"/>
        </w:rPr>
        <w:t xml:space="preserve">Казахстан с высокими значениями ВРП на душу населения, как правило, окружены территориями с относительно высокими значениями лагированных инвестиций в основной капитал, тогда как </w:t>
      </w:r>
      <w:r w:rsidRPr="003A6E5A">
        <w:rPr>
          <w:rFonts w:ascii="Times New Roman" w:hAnsi="Times New Roman" w:cs="Times New Roman"/>
          <w:sz w:val="28"/>
          <w:szCs w:val="28"/>
        </w:rPr>
        <w:t>области страны</w:t>
      </w:r>
      <w:r w:rsidR="00FC275D" w:rsidRPr="003A6E5A">
        <w:rPr>
          <w:rFonts w:ascii="Times New Roman" w:hAnsi="Times New Roman" w:cs="Times New Roman"/>
          <w:sz w:val="28"/>
          <w:szCs w:val="28"/>
        </w:rPr>
        <w:t xml:space="preserve"> с низкими значениями ВРП на душу населения чаще соседствуют с регионами, где лагированные значения инвестиций в основной капитал также остаются невысокими.</w:t>
      </w:r>
      <w:r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rPr>
        <w:t>Подобная зависимость подтверждается значением индекса Морана, равным 0,274, свидетельствующим о слабой, но положительной пространственной зависимости</w:t>
      </w:r>
      <w:r w:rsidRPr="003A6E5A">
        <w:rPr>
          <w:rFonts w:ascii="Times New Roman" w:hAnsi="Times New Roman" w:cs="Times New Roman"/>
          <w:sz w:val="28"/>
          <w:szCs w:val="28"/>
        </w:rPr>
        <w:t>.</w:t>
      </w:r>
      <w:r w:rsidR="00FC275D" w:rsidRPr="003A6E5A">
        <w:rPr>
          <w:rFonts w:ascii="Times New Roman" w:hAnsi="Times New Roman" w:cs="Times New Roman"/>
          <w:sz w:val="28"/>
          <w:szCs w:val="28"/>
        </w:rPr>
        <w:t xml:space="preserve"> </w:t>
      </w:r>
      <w:r w:rsidRPr="003A6E5A">
        <w:rPr>
          <w:rFonts w:ascii="Times New Roman" w:hAnsi="Times New Roman" w:cs="Times New Roman"/>
          <w:sz w:val="28"/>
          <w:szCs w:val="28"/>
        </w:rPr>
        <w:t>П</w:t>
      </w:r>
      <w:r w:rsidR="00FC275D" w:rsidRPr="003A6E5A">
        <w:rPr>
          <w:rFonts w:ascii="Times New Roman" w:hAnsi="Times New Roman" w:cs="Times New Roman"/>
          <w:sz w:val="28"/>
          <w:szCs w:val="28"/>
        </w:rPr>
        <w:t xml:space="preserve">оскольку </w:t>
      </w:r>
      <w:r w:rsidRPr="003A6E5A">
        <w:rPr>
          <w:rFonts w:ascii="Times New Roman" w:hAnsi="Times New Roman" w:cs="Times New Roman"/>
          <w:sz w:val="28"/>
          <w:szCs w:val="28"/>
        </w:rPr>
        <w:t>полученный</w:t>
      </w:r>
      <w:r w:rsidR="00FC275D" w:rsidRPr="003A6E5A">
        <w:rPr>
          <w:rFonts w:ascii="Times New Roman" w:hAnsi="Times New Roman" w:cs="Times New Roman"/>
          <w:sz w:val="28"/>
          <w:szCs w:val="28"/>
        </w:rPr>
        <w:t xml:space="preserve"> показатель находится между 0 и 1 и </w:t>
      </w:r>
      <w:r w:rsidRPr="003A6E5A">
        <w:rPr>
          <w:rFonts w:ascii="Times New Roman" w:hAnsi="Times New Roman" w:cs="Times New Roman"/>
          <w:sz w:val="28"/>
          <w:szCs w:val="28"/>
        </w:rPr>
        <w:t xml:space="preserve">расположен </w:t>
      </w:r>
      <w:r w:rsidR="00FC275D" w:rsidRPr="003A6E5A">
        <w:rPr>
          <w:rFonts w:ascii="Times New Roman" w:hAnsi="Times New Roman" w:cs="Times New Roman"/>
          <w:sz w:val="28"/>
          <w:szCs w:val="28"/>
        </w:rPr>
        <w:t xml:space="preserve">ближе к нулю, </w:t>
      </w:r>
      <w:r w:rsidRPr="003A6E5A">
        <w:rPr>
          <w:rFonts w:ascii="Times New Roman" w:hAnsi="Times New Roman" w:cs="Times New Roman"/>
          <w:sz w:val="28"/>
          <w:szCs w:val="28"/>
        </w:rPr>
        <w:t>следовательно можно сделать вывод о</w:t>
      </w:r>
      <w:r w:rsidR="00FC275D" w:rsidRPr="003A6E5A">
        <w:rPr>
          <w:rFonts w:ascii="Times New Roman" w:hAnsi="Times New Roman" w:cs="Times New Roman"/>
          <w:sz w:val="28"/>
          <w:szCs w:val="28"/>
        </w:rPr>
        <w:t xml:space="preserve"> наличи</w:t>
      </w:r>
      <w:r w:rsidRPr="003A6E5A">
        <w:rPr>
          <w:rFonts w:ascii="Times New Roman" w:hAnsi="Times New Roman" w:cs="Times New Roman"/>
          <w:sz w:val="28"/>
          <w:szCs w:val="28"/>
        </w:rPr>
        <w:t>и</w:t>
      </w:r>
      <w:r w:rsidR="00FC275D"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умеренной </w:t>
      </w:r>
      <w:r w:rsidR="00FC275D" w:rsidRPr="003A6E5A">
        <w:rPr>
          <w:rFonts w:ascii="Times New Roman" w:hAnsi="Times New Roman" w:cs="Times New Roman"/>
          <w:sz w:val="28"/>
          <w:szCs w:val="28"/>
        </w:rPr>
        <w:t>пространственной автокорреляции.</w:t>
      </w:r>
      <w:r w:rsidR="007750F4" w:rsidRPr="003A6E5A">
        <w:rPr>
          <w:rFonts w:ascii="Times New Roman" w:hAnsi="Times New Roman" w:cs="Times New Roman"/>
          <w:sz w:val="28"/>
          <w:szCs w:val="28"/>
        </w:rPr>
        <w:t xml:space="preserve"> А</w:t>
      </w:r>
      <w:r w:rsidR="00FC275D" w:rsidRPr="003A6E5A">
        <w:rPr>
          <w:rFonts w:ascii="Times New Roman" w:hAnsi="Times New Roman" w:cs="Times New Roman"/>
          <w:sz w:val="28"/>
          <w:szCs w:val="28"/>
        </w:rPr>
        <w:t xml:space="preserve">налогичный анализ пространственной автокорреляции проведен для переменной </w:t>
      </w:r>
      <w:r w:rsidR="007750F4" w:rsidRPr="003A6E5A">
        <w:rPr>
          <w:rFonts w:ascii="Times New Roman" w:hAnsi="Times New Roman" w:cs="Times New Roman"/>
          <w:sz w:val="28"/>
          <w:szCs w:val="28"/>
        </w:rPr>
        <w:t>«</w:t>
      </w:r>
      <w:r w:rsidR="00FC275D" w:rsidRPr="003A6E5A">
        <w:rPr>
          <w:rFonts w:ascii="Times New Roman" w:hAnsi="Times New Roman" w:cs="Times New Roman"/>
          <w:i/>
          <w:iCs/>
          <w:sz w:val="28"/>
          <w:szCs w:val="28"/>
          <w:lang w:val="en-US"/>
        </w:rPr>
        <w:t>NECORD</w:t>
      </w:r>
      <w:r w:rsidR="00FC275D" w:rsidRPr="003A6E5A">
        <w:rPr>
          <w:rFonts w:ascii="Times New Roman" w:hAnsi="Times New Roman" w:cs="Times New Roman"/>
          <w:i/>
          <w:iCs/>
          <w:sz w:val="28"/>
          <w:szCs w:val="28"/>
        </w:rPr>
        <w:t>2024</w:t>
      </w:r>
      <w:r w:rsidR="007750F4" w:rsidRPr="003A6E5A">
        <w:rPr>
          <w:rFonts w:ascii="Times New Roman" w:hAnsi="Times New Roman" w:cs="Times New Roman"/>
          <w:sz w:val="28"/>
          <w:szCs w:val="28"/>
        </w:rPr>
        <w:t>»</w:t>
      </w:r>
      <w:r w:rsidR="00FC275D" w:rsidRPr="003A6E5A">
        <w:rPr>
          <w:rFonts w:ascii="Times New Roman" w:hAnsi="Times New Roman" w:cs="Times New Roman"/>
          <w:sz w:val="28"/>
          <w:szCs w:val="28"/>
        </w:rPr>
        <w:t>, характеризующей количество предприятий, осуществляющих НИОКР</w:t>
      </w:r>
      <w:r w:rsidR="007750F4" w:rsidRPr="003A6E5A">
        <w:rPr>
          <w:rFonts w:ascii="Times New Roman" w:hAnsi="Times New Roman" w:cs="Times New Roman"/>
          <w:sz w:val="28"/>
          <w:szCs w:val="28"/>
        </w:rPr>
        <w:t xml:space="preserve"> в 2024 году</w:t>
      </w:r>
      <w:r w:rsidR="00FC275D" w:rsidRPr="003A6E5A">
        <w:rPr>
          <w:rFonts w:ascii="Times New Roman" w:hAnsi="Times New Roman" w:cs="Times New Roman"/>
          <w:sz w:val="28"/>
          <w:szCs w:val="28"/>
        </w:rPr>
        <w:t xml:space="preserve">, по отношению к пространственно лагированной переменной </w:t>
      </w:r>
      <w:r w:rsidR="007750F4" w:rsidRPr="003A6E5A">
        <w:rPr>
          <w:rFonts w:ascii="Times New Roman" w:hAnsi="Times New Roman" w:cs="Times New Roman"/>
          <w:sz w:val="28"/>
          <w:szCs w:val="28"/>
        </w:rPr>
        <w:t>«</w:t>
      </w:r>
      <w:r w:rsidR="00FC275D" w:rsidRPr="003A6E5A">
        <w:rPr>
          <w:rFonts w:ascii="Times New Roman" w:hAnsi="Times New Roman" w:cs="Times New Roman"/>
          <w:i/>
          <w:iCs/>
          <w:sz w:val="28"/>
          <w:szCs w:val="28"/>
          <w:lang w:val="en-US"/>
        </w:rPr>
        <w:t>IFC</w:t>
      </w:r>
      <w:r w:rsidR="00FC275D" w:rsidRPr="003A6E5A">
        <w:rPr>
          <w:rFonts w:ascii="Times New Roman" w:hAnsi="Times New Roman" w:cs="Times New Roman"/>
          <w:i/>
          <w:iCs/>
          <w:sz w:val="28"/>
          <w:szCs w:val="28"/>
        </w:rPr>
        <w:t>2024</w:t>
      </w:r>
      <w:r w:rsidR="007750F4" w:rsidRPr="003A6E5A">
        <w:rPr>
          <w:rFonts w:ascii="Times New Roman" w:hAnsi="Times New Roman" w:cs="Times New Roman"/>
          <w:sz w:val="28"/>
          <w:szCs w:val="28"/>
        </w:rPr>
        <w:t>»</w:t>
      </w:r>
      <w:r w:rsidR="00FC275D" w:rsidRPr="003A6E5A">
        <w:rPr>
          <w:rFonts w:ascii="Times New Roman" w:hAnsi="Times New Roman" w:cs="Times New Roman"/>
          <w:sz w:val="28"/>
          <w:szCs w:val="28"/>
          <w:lang w:val="kk-KZ"/>
        </w:rPr>
        <w:t xml:space="preserve">. Результаты анализа отражены на графике </w:t>
      </w:r>
      <w:r w:rsidR="007750F4" w:rsidRPr="003A6E5A">
        <w:rPr>
          <w:rFonts w:ascii="Times New Roman" w:hAnsi="Times New Roman" w:cs="Times New Roman"/>
          <w:sz w:val="28"/>
          <w:szCs w:val="28"/>
          <w:lang w:val="kk-KZ"/>
        </w:rPr>
        <w:t>10</w:t>
      </w:r>
      <w:r w:rsidR="00FC275D" w:rsidRPr="003A6E5A">
        <w:rPr>
          <w:rFonts w:ascii="Times New Roman" w:hAnsi="Times New Roman" w:cs="Times New Roman"/>
          <w:sz w:val="28"/>
          <w:szCs w:val="28"/>
          <w:lang w:val="kk-KZ"/>
        </w:rPr>
        <w:t xml:space="preserve">б, где также виден положительный наклон линии регрессии, указывающий на существование положительной пространственной взаимосвязи между числом предприятий, осуществляющих НИОКР в регионе и уровнем инвестиций в основной капитал в соседних регионах. Значение индекса Морана, составившее 0,355, превышает аналогичный показатель для </w:t>
      </w:r>
      <w:r w:rsidR="007750F4" w:rsidRPr="003A6E5A">
        <w:rPr>
          <w:rFonts w:ascii="Times New Roman" w:hAnsi="Times New Roman" w:cs="Times New Roman"/>
          <w:sz w:val="28"/>
          <w:szCs w:val="28"/>
          <w:lang w:val="kk-KZ"/>
        </w:rPr>
        <w:t>переменной «</w:t>
      </w:r>
      <w:r w:rsidR="00FC275D" w:rsidRPr="003A6E5A">
        <w:rPr>
          <w:rFonts w:ascii="Times New Roman" w:hAnsi="Times New Roman" w:cs="Times New Roman"/>
          <w:i/>
          <w:iCs/>
          <w:sz w:val="28"/>
          <w:szCs w:val="28"/>
          <w:lang w:val="en-US"/>
        </w:rPr>
        <w:t>GRPPC</w:t>
      </w:r>
      <w:r w:rsidR="00FC275D" w:rsidRPr="003A6E5A">
        <w:rPr>
          <w:rFonts w:ascii="Times New Roman" w:hAnsi="Times New Roman" w:cs="Times New Roman"/>
          <w:i/>
          <w:iCs/>
          <w:sz w:val="28"/>
          <w:szCs w:val="28"/>
        </w:rPr>
        <w:t>2024</w:t>
      </w:r>
      <w:r w:rsidR="007750F4" w:rsidRPr="003A6E5A">
        <w:rPr>
          <w:rFonts w:ascii="Times New Roman" w:hAnsi="Times New Roman" w:cs="Times New Roman"/>
          <w:sz w:val="28"/>
          <w:szCs w:val="28"/>
        </w:rPr>
        <w:t>»</w:t>
      </w:r>
      <w:r w:rsidR="00FC275D" w:rsidRPr="003A6E5A">
        <w:rPr>
          <w:rFonts w:ascii="Times New Roman" w:hAnsi="Times New Roman" w:cs="Times New Roman"/>
          <w:sz w:val="28"/>
          <w:szCs w:val="28"/>
        </w:rPr>
        <w:t xml:space="preserve">, что свидетельствует о более выраженной пространственной автокорреляции и, следовательно, о тенденции к кластеризации </w:t>
      </w:r>
      <w:r w:rsidR="007750F4" w:rsidRPr="003A6E5A">
        <w:rPr>
          <w:rFonts w:ascii="Times New Roman" w:hAnsi="Times New Roman" w:cs="Times New Roman"/>
          <w:sz w:val="28"/>
          <w:szCs w:val="28"/>
        </w:rPr>
        <w:t>областей</w:t>
      </w:r>
      <w:r w:rsidR="00FC275D" w:rsidRPr="003A6E5A">
        <w:rPr>
          <w:rFonts w:ascii="Times New Roman" w:hAnsi="Times New Roman" w:cs="Times New Roman"/>
          <w:sz w:val="28"/>
          <w:szCs w:val="28"/>
        </w:rPr>
        <w:t xml:space="preserve"> Казахстана с близкими </w:t>
      </w:r>
      <w:r w:rsidR="00FC275D" w:rsidRPr="003A6E5A">
        <w:rPr>
          <w:rFonts w:ascii="Times New Roman" w:hAnsi="Times New Roman" w:cs="Times New Roman"/>
          <w:sz w:val="28"/>
          <w:szCs w:val="28"/>
        </w:rPr>
        <w:lastRenderedPageBreak/>
        <w:t>значениями числа предприятий, занимающихся НИОКР, и лагированных инвестиций в основной капитал.</w:t>
      </w:r>
    </w:p>
    <w:p w14:paraId="6D645328" w14:textId="77777777" w:rsidR="003077C8" w:rsidRPr="003A6E5A" w:rsidRDefault="00FC275D" w:rsidP="003077C8">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Дополнительно выполнен анализ пространственной автокорреляции между численностью персонала, занятого НИОКР в 2024 году (</w:t>
      </w:r>
      <w:r w:rsidRPr="003A6E5A">
        <w:rPr>
          <w:rFonts w:ascii="Times New Roman" w:hAnsi="Times New Roman" w:cs="Times New Roman"/>
          <w:i/>
          <w:iCs/>
          <w:sz w:val="28"/>
          <w:szCs w:val="28"/>
          <w:lang w:val="en-US"/>
        </w:rPr>
        <w:t>PERD</w:t>
      </w:r>
      <w:r w:rsidRPr="003A6E5A">
        <w:rPr>
          <w:rFonts w:ascii="Times New Roman" w:hAnsi="Times New Roman" w:cs="Times New Roman"/>
          <w:i/>
          <w:iCs/>
          <w:sz w:val="28"/>
          <w:szCs w:val="28"/>
        </w:rPr>
        <w:t>2024</w:t>
      </w:r>
      <w:r w:rsidRPr="003A6E5A">
        <w:rPr>
          <w:rFonts w:ascii="Times New Roman" w:hAnsi="Times New Roman" w:cs="Times New Roman"/>
          <w:sz w:val="28"/>
          <w:szCs w:val="28"/>
        </w:rPr>
        <w:t xml:space="preserve">), и пространственно лагированной переменной </w:t>
      </w:r>
      <w:r w:rsidR="0077532B" w:rsidRPr="003A6E5A">
        <w:rPr>
          <w:rFonts w:ascii="Times New Roman" w:hAnsi="Times New Roman" w:cs="Times New Roman"/>
          <w:sz w:val="28"/>
          <w:szCs w:val="28"/>
        </w:rPr>
        <w:t>«</w:t>
      </w:r>
      <w:r w:rsidRPr="003A6E5A">
        <w:rPr>
          <w:rFonts w:ascii="Times New Roman" w:hAnsi="Times New Roman" w:cs="Times New Roman"/>
          <w:i/>
          <w:iCs/>
          <w:sz w:val="28"/>
          <w:szCs w:val="28"/>
          <w:lang w:val="en-US"/>
        </w:rPr>
        <w:t>IFC</w:t>
      </w:r>
      <w:r w:rsidRPr="003A6E5A">
        <w:rPr>
          <w:rFonts w:ascii="Times New Roman" w:hAnsi="Times New Roman" w:cs="Times New Roman"/>
          <w:i/>
          <w:iCs/>
          <w:sz w:val="28"/>
          <w:szCs w:val="28"/>
        </w:rPr>
        <w:t>2024</w:t>
      </w:r>
      <w:r w:rsidR="0077532B" w:rsidRPr="003A6E5A">
        <w:rPr>
          <w:rFonts w:ascii="Times New Roman" w:hAnsi="Times New Roman" w:cs="Times New Roman"/>
          <w:sz w:val="28"/>
          <w:szCs w:val="28"/>
        </w:rPr>
        <w:t>»</w:t>
      </w:r>
      <w:r w:rsidRPr="003A6E5A">
        <w:rPr>
          <w:rFonts w:ascii="Times New Roman" w:hAnsi="Times New Roman" w:cs="Times New Roman"/>
          <w:sz w:val="28"/>
          <w:szCs w:val="28"/>
        </w:rPr>
        <w:t xml:space="preserve">, результаты которого представлены на графике </w:t>
      </w:r>
      <w:r w:rsidR="0077532B" w:rsidRPr="003A6E5A">
        <w:rPr>
          <w:rFonts w:ascii="Times New Roman" w:hAnsi="Times New Roman" w:cs="Times New Roman"/>
          <w:sz w:val="28"/>
          <w:szCs w:val="28"/>
        </w:rPr>
        <w:t>11</w:t>
      </w:r>
      <w:r w:rsidRPr="003A6E5A">
        <w:rPr>
          <w:rFonts w:ascii="Times New Roman" w:hAnsi="Times New Roman" w:cs="Times New Roman"/>
          <w:sz w:val="28"/>
          <w:szCs w:val="28"/>
        </w:rPr>
        <w:t xml:space="preserve">а. В отличие от предыдущих случаев, на данном графике </w:t>
      </w:r>
      <w:r w:rsidR="007D6897" w:rsidRPr="003A6E5A">
        <w:rPr>
          <w:rFonts w:ascii="Times New Roman" w:hAnsi="Times New Roman" w:cs="Times New Roman"/>
          <w:sz w:val="28"/>
          <w:szCs w:val="28"/>
        </w:rPr>
        <w:t>11</w:t>
      </w:r>
      <w:r w:rsidRPr="003A6E5A">
        <w:rPr>
          <w:rFonts w:ascii="Times New Roman" w:hAnsi="Times New Roman" w:cs="Times New Roman"/>
          <w:sz w:val="28"/>
          <w:szCs w:val="28"/>
        </w:rPr>
        <w:t xml:space="preserve">а прослеживается отрицательный наклон регрессионной линии, свидетельствующий об отсутствии четкой положительной пространственной зависимости и даже о слабой тенденции к отрицательной автокорреляции, при которой </w:t>
      </w:r>
      <w:r w:rsidR="007D6897" w:rsidRPr="003A6E5A">
        <w:rPr>
          <w:rFonts w:ascii="Times New Roman" w:hAnsi="Times New Roman" w:cs="Times New Roman"/>
          <w:sz w:val="28"/>
          <w:szCs w:val="28"/>
        </w:rPr>
        <w:t>области</w:t>
      </w:r>
      <w:r w:rsidRPr="003A6E5A">
        <w:rPr>
          <w:rFonts w:ascii="Times New Roman" w:hAnsi="Times New Roman" w:cs="Times New Roman"/>
          <w:sz w:val="28"/>
          <w:szCs w:val="28"/>
        </w:rPr>
        <w:t xml:space="preserve"> Казахстана с относительно более высокой численностью персонала, занятого НИОКР могут граничить с </w:t>
      </w:r>
      <w:r w:rsidR="007D6897" w:rsidRPr="003A6E5A">
        <w:rPr>
          <w:rFonts w:ascii="Times New Roman" w:hAnsi="Times New Roman" w:cs="Times New Roman"/>
          <w:sz w:val="28"/>
          <w:szCs w:val="28"/>
        </w:rPr>
        <w:t>регионами</w:t>
      </w:r>
      <w:r w:rsidRPr="003A6E5A">
        <w:rPr>
          <w:rFonts w:ascii="Times New Roman" w:hAnsi="Times New Roman" w:cs="Times New Roman"/>
          <w:sz w:val="28"/>
          <w:szCs w:val="28"/>
        </w:rPr>
        <w:t xml:space="preserve">, демонстрирующими меньшие значения </w:t>
      </w:r>
      <w:r w:rsidR="007D6897" w:rsidRPr="003A6E5A">
        <w:rPr>
          <w:rFonts w:ascii="Times New Roman" w:hAnsi="Times New Roman" w:cs="Times New Roman"/>
          <w:sz w:val="28"/>
          <w:szCs w:val="28"/>
        </w:rPr>
        <w:t xml:space="preserve">объемов </w:t>
      </w:r>
      <w:r w:rsidRPr="003A6E5A">
        <w:rPr>
          <w:rFonts w:ascii="Times New Roman" w:hAnsi="Times New Roman" w:cs="Times New Roman"/>
          <w:sz w:val="28"/>
          <w:szCs w:val="28"/>
        </w:rPr>
        <w:t>инвестиций в основной капитал. Указанное предположение подтверждается значением индек</w:t>
      </w:r>
      <w:r w:rsidR="007D6897" w:rsidRPr="003A6E5A">
        <w:rPr>
          <w:rFonts w:ascii="Times New Roman" w:hAnsi="Times New Roman" w:cs="Times New Roman"/>
          <w:sz w:val="28"/>
          <w:szCs w:val="28"/>
        </w:rPr>
        <w:t>са</w:t>
      </w:r>
      <w:r w:rsidRPr="003A6E5A">
        <w:rPr>
          <w:rFonts w:ascii="Times New Roman" w:hAnsi="Times New Roman" w:cs="Times New Roman"/>
          <w:sz w:val="28"/>
          <w:szCs w:val="28"/>
        </w:rPr>
        <w:t xml:space="preserve"> Морана, равным -0,092, что близко к нулю и отрицательно, указывая на слабую отрицательную пространственную автокорреляцию, практически не обладающую выраженной статистически значимой пространственной структурой, указывая </w:t>
      </w:r>
      <w:r w:rsidR="007D6897" w:rsidRPr="003A6E5A">
        <w:rPr>
          <w:rFonts w:ascii="Times New Roman" w:hAnsi="Times New Roman" w:cs="Times New Roman"/>
          <w:sz w:val="28"/>
          <w:szCs w:val="28"/>
        </w:rPr>
        <w:t xml:space="preserve">на </w:t>
      </w:r>
      <w:r w:rsidRPr="003A6E5A">
        <w:rPr>
          <w:rFonts w:ascii="Times New Roman" w:hAnsi="Times New Roman" w:cs="Times New Roman"/>
          <w:sz w:val="28"/>
          <w:szCs w:val="28"/>
        </w:rPr>
        <w:t>крайне низкий уровень показателя.</w:t>
      </w:r>
    </w:p>
    <w:p w14:paraId="7068315A" w14:textId="52F359E0" w:rsidR="0003217D" w:rsidRPr="003A6E5A" w:rsidRDefault="0003217D" w:rsidP="003077C8">
      <w:pPr>
        <w:spacing w:after="0" w:line="240" w:lineRule="auto"/>
        <w:ind w:firstLine="709"/>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6"/>
        <w:gridCol w:w="4796"/>
      </w:tblGrid>
      <w:tr w:rsidR="00B02CF8" w:rsidRPr="003A6E5A" w14:paraId="58D042AC" w14:textId="77777777">
        <w:tc>
          <w:tcPr>
            <w:tcW w:w="4796" w:type="dxa"/>
          </w:tcPr>
          <w:p w14:paraId="683A458D" w14:textId="77777777" w:rsidR="0003217D" w:rsidRPr="003A6E5A" w:rsidRDefault="00FC275D" w:rsidP="001608EA">
            <w:pPr>
              <w:spacing w:after="0" w:line="240" w:lineRule="auto"/>
              <w:rPr>
                <w:rFonts w:ascii="Times New Roman" w:eastAsia="Times New Roman" w:hAnsi="Times New Roman" w:cs="Times New Roman"/>
                <w:sz w:val="24"/>
                <w:szCs w:val="24"/>
                <w:lang w:eastAsia="ru-RU"/>
              </w:rPr>
            </w:pPr>
            <w:r w:rsidRPr="003A6E5A">
              <w:rPr>
                <w:rFonts w:ascii="Times New Roman" w:hAnsi="Times New Roman" w:cs="Times New Roman"/>
                <w:noProof/>
                <w:sz w:val="28"/>
                <w:szCs w:val="28"/>
              </w:rPr>
              <w:drawing>
                <wp:inline distT="0" distB="0" distL="0" distR="0" wp14:anchorId="6C747A3A" wp14:editId="2DBECE1B">
                  <wp:extent cx="2752090" cy="2716040"/>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68789" cy="2732520"/>
                          </a:xfrm>
                          <a:prstGeom prst="rect">
                            <a:avLst/>
                          </a:prstGeom>
                          <a:noFill/>
                          <a:ln>
                            <a:noFill/>
                          </a:ln>
                        </pic:spPr>
                      </pic:pic>
                    </a:graphicData>
                  </a:graphic>
                </wp:inline>
              </w:drawing>
            </w:r>
          </w:p>
        </w:tc>
        <w:tc>
          <w:tcPr>
            <w:tcW w:w="4796" w:type="dxa"/>
          </w:tcPr>
          <w:p w14:paraId="1E8B15CE" w14:textId="77777777" w:rsidR="0003217D" w:rsidRPr="003A6E5A" w:rsidRDefault="00FC275D" w:rsidP="001608EA">
            <w:pPr>
              <w:spacing w:after="0" w:line="240" w:lineRule="auto"/>
              <w:rPr>
                <w:rFonts w:ascii="Times New Roman" w:eastAsia="Times New Roman" w:hAnsi="Times New Roman" w:cs="Times New Roman"/>
                <w:sz w:val="24"/>
                <w:szCs w:val="24"/>
                <w:lang w:eastAsia="ru-RU"/>
              </w:rPr>
            </w:pPr>
            <w:r w:rsidRPr="003A6E5A">
              <w:rPr>
                <w:rFonts w:ascii="Times New Roman" w:hAnsi="Times New Roman" w:cs="Times New Roman"/>
                <w:noProof/>
                <w:sz w:val="28"/>
                <w:szCs w:val="28"/>
              </w:rPr>
              <w:drawing>
                <wp:inline distT="0" distB="0" distL="0" distR="0" wp14:anchorId="53B37DF9" wp14:editId="7E483C75">
                  <wp:extent cx="2679065" cy="2670772"/>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97789" cy="2689438"/>
                          </a:xfrm>
                          <a:prstGeom prst="rect">
                            <a:avLst/>
                          </a:prstGeom>
                          <a:noFill/>
                          <a:ln>
                            <a:noFill/>
                          </a:ln>
                        </pic:spPr>
                      </pic:pic>
                    </a:graphicData>
                  </a:graphic>
                </wp:inline>
              </w:drawing>
            </w:r>
          </w:p>
        </w:tc>
      </w:tr>
      <w:tr w:rsidR="0003217D" w:rsidRPr="003A6E5A" w14:paraId="6960F5BA" w14:textId="77777777">
        <w:tc>
          <w:tcPr>
            <w:tcW w:w="4796" w:type="dxa"/>
          </w:tcPr>
          <w:p w14:paraId="489A9B39" w14:textId="71196291" w:rsidR="0003217D" w:rsidRPr="003A6E5A" w:rsidRDefault="00FC275D" w:rsidP="007750F4">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lang w:val="kk-KZ"/>
              </w:rPr>
              <w:t xml:space="preserve">(а) </w:t>
            </w:r>
            <w:r w:rsidR="007750F4" w:rsidRPr="003A6E5A">
              <w:rPr>
                <w:rFonts w:ascii="Times New Roman" w:hAnsi="Times New Roman" w:cs="Times New Roman"/>
                <w:sz w:val="28"/>
                <w:szCs w:val="28"/>
                <w:lang w:val="kk-KZ"/>
              </w:rPr>
              <w:t>зависимость</w:t>
            </w:r>
            <w:r w:rsidRPr="003A6E5A">
              <w:rPr>
                <w:rFonts w:ascii="Times New Roman" w:hAnsi="Times New Roman" w:cs="Times New Roman"/>
                <w:sz w:val="28"/>
                <w:szCs w:val="28"/>
                <w:lang w:val="kk-KZ"/>
              </w:rPr>
              <w:t xml:space="preserve"> между численность</w:t>
            </w:r>
            <w:r w:rsidR="007750F4" w:rsidRPr="003A6E5A">
              <w:rPr>
                <w:rFonts w:ascii="Times New Roman" w:hAnsi="Times New Roman" w:cs="Times New Roman"/>
                <w:sz w:val="28"/>
                <w:szCs w:val="28"/>
                <w:lang w:val="kk-KZ"/>
              </w:rPr>
              <w:t>ю</w:t>
            </w:r>
            <w:r w:rsidRPr="003A6E5A">
              <w:rPr>
                <w:rFonts w:ascii="Times New Roman" w:hAnsi="Times New Roman" w:cs="Times New Roman"/>
                <w:sz w:val="28"/>
                <w:szCs w:val="28"/>
                <w:lang w:val="kk-KZ"/>
              </w:rPr>
              <w:t xml:space="preserve"> персонала, занятого НИОКР и инвестициями в основной капитал</w:t>
            </w:r>
          </w:p>
        </w:tc>
        <w:tc>
          <w:tcPr>
            <w:tcW w:w="4796" w:type="dxa"/>
          </w:tcPr>
          <w:p w14:paraId="6E41B245" w14:textId="4639187E" w:rsidR="0003217D" w:rsidRPr="003A6E5A" w:rsidRDefault="00FC275D" w:rsidP="007750F4">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lang w:val="kk-KZ"/>
              </w:rPr>
              <w:t xml:space="preserve">(б) </w:t>
            </w:r>
            <w:r w:rsidR="007750F4" w:rsidRPr="003A6E5A">
              <w:rPr>
                <w:rFonts w:ascii="Times New Roman" w:hAnsi="Times New Roman" w:cs="Times New Roman"/>
                <w:sz w:val="28"/>
                <w:szCs w:val="28"/>
                <w:lang w:val="kk-KZ"/>
              </w:rPr>
              <w:t>зависимость</w:t>
            </w:r>
            <w:r w:rsidRPr="003A6E5A">
              <w:rPr>
                <w:rFonts w:ascii="Times New Roman" w:hAnsi="Times New Roman" w:cs="Times New Roman"/>
                <w:sz w:val="28"/>
                <w:szCs w:val="28"/>
                <w:lang w:val="kk-KZ"/>
              </w:rPr>
              <w:t xml:space="preserve"> между среднемесячной заработной платой и инвестициями в основной капитал</w:t>
            </w:r>
          </w:p>
        </w:tc>
      </w:tr>
    </w:tbl>
    <w:p w14:paraId="47BFD9BB" w14:textId="77777777" w:rsidR="0003217D" w:rsidRPr="003A6E5A" w:rsidRDefault="0003217D" w:rsidP="001608EA">
      <w:pPr>
        <w:spacing w:after="0" w:line="240" w:lineRule="auto"/>
        <w:rPr>
          <w:rFonts w:ascii="Times New Roman" w:hAnsi="Times New Roman" w:cs="Times New Roman"/>
          <w:sz w:val="28"/>
          <w:szCs w:val="28"/>
          <w:lang w:val="kk-KZ"/>
        </w:rPr>
      </w:pPr>
    </w:p>
    <w:p w14:paraId="2610A9C3" w14:textId="1D395981" w:rsidR="0003217D" w:rsidRPr="003A6E5A" w:rsidRDefault="00FC275D" w:rsidP="007750F4">
      <w:pPr>
        <w:spacing w:after="0" w:line="240" w:lineRule="auto"/>
        <w:jc w:val="center"/>
        <w:rPr>
          <w:rFonts w:ascii="Times New Roman" w:hAnsi="Times New Roman" w:cs="Times New Roman"/>
          <w:sz w:val="20"/>
          <w:szCs w:val="20"/>
        </w:rPr>
      </w:pPr>
      <w:r w:rsidRPr="003A6E5A">
        <w:rPr>
          <w:rFonts w:ascii="Times New Roman" w:hAnsi="Times New Roman" w:cs="Times New Roman"/>
          <w:sz w:val="28"/>
          <w:szCs w:val="28"/>
          <w:lang w:val="kk-KZ"/>
        </w:rPr>
        <w:t xml:space="preserve">График </w:t>
      </w:r>
      <w:r w:rsidR="007750F4" w:rsidRPr="003A6E5A">
        <w:rPr>
          <w:rFonts w:ascii="Times New Roman" w:hAnsi="Times New Roman" w:cs="Times New Roman"/>
          <w:sz w:val="28"/>
          <w:szCs w:val="28"/>
        </w:rPr>
        <w:t>11</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Диаграмма рассеяния индекса Морана для ключевых переменных</w:t>
      </w:r>
    </w:p>
    <w:p w14:paraId="684D549C" w14:textId="100ADD7E"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007750F4" w:rsidRPr="003A6E5A">
        <w:rPr>
          <w:rFonts w:ascii="Times New Roman" w:hAnsi="Times New Roman" w:cs="Times New Roman"/>
          <w:sz w:val="20"/>
          <w:szCs w:val="20"/>
        </w:rPr>
        <w:t>переменная «</w:t>
      </w:r>
      <w:r w:rsidRPr="003A6E5A">
        <w:rPr>
          <w:rFonts w:ascii="Times New Roman" w:hAnsi="Times New Roman" w:cs="Times New Roman"/>
          <w:i/>
          <w:iCs/>
          <w:sz w:val="20"/>
          <w:szCs w:val="20"/>
          <w:lang w:val="en-US"/>
        </w:rPr>
        <w:t>PERD</w:t>
      </w:r>
      <w:r w:rsidRPr="003A6E5A">
        <w:rPr>
          <w:rFonts w:ascii="Times New Roman" w:hAnsi="Times New Roman" w:cs="Times New Roman"/>
          <w:i/>
          <w:iCs/>
          <w:sz w:val="20"/>
          <w:szCs w:val="20"/>
        </w:rPr>
        <w:t>2024</w:t>
      </w:r>
      <w:r w:rsidR="007750F4" w:rsidRPr="003A6E5A">
        <w:rPr>
          <w:rFonts w:ascii="Times New Roman" w:hAnsi="Times New Roman" w:cs="Times New Roman"/>
          <w:sz w:val="20"/>
          <w:szCs w:val="20"/>
        </w:rPr>
        <w:t>»</w:t>
      </w:r>
      <w:r w:rsidRPr="003A6E5A">
        <w:rPr>
          <w:rFonts w:ascii="Times New Roman" w:hAnsi="Times New Roman" w:cs="Times New Roman"/>
          <w:sz w:val="20"/>
          <w:szCs w:val="20"/>
        </w:rPr>
        <w:t xml:space="preserve"> – </w:t>
      </w:r>
      <w:r w:rsidR="007750F4" w:rsidRPr="003A6E5A">
        <w:rPr>
          <w:rFonts w:ascii="Times New Roman" w:hAnsi="Times New Roman" w:cs="Times New Roman"/>
          <w:sz w:val="20"/>
          <w:szCs w:val="20"/>
        </w:rPr>
        <w:t xml:space="preserve">это </w:t>
      </w:r>
      <w:r w:rsidRPr="003A6E5A">
        <w:rPr>
          <w:rFonts w:ascii="Times New Roman" w:hAnsi="Times New Roman" w:cs="Times New Roman"/>
          <w:sz w:val="20"/>
          <w:szCs w:val="20"/>
          <w:lang w:val="kk-KZ"/>
        </w:rPr>
        <w:t>численность персонала, занятого НИОКР</w:t>
      </w:r>
      <w:r w:rsidRPr="003A6E5A">
        <w:rPr>
          <w:rFonts w:ascii="Times New Roman" w:hAnsi="Times New Roman" w:cs="Times New Roman"/>
          <w:sz w:val="20"/>
          <w:szCs w:val="20"/>
        </w:rPr>
        <w:t xml:space="preserve"> </w:t>
      </w:r>
      <w:r w:rsidR="007750F4" w:rsidRPr="003A6E5A">
        <w:rPr>
          <w:rFonts w:ascii="Times New Roman" w:hAnsi="Times New Roman" w:cs="Times New Roman"/>
          <w:sz w:val="20"/>
          <w:szCs w:val="20"/>
        </w:rPr>
        <w:t>в</w:t>
      </w:r>
      <w:r w:rsidRPr="003A6E5A">
        <w:rPr>
          <w:rFonts w:ascii="Times New Roman" w:hAnsi="Times New Roman" w:cs="Times New Roman"/>
          <w:sz w:val="20"/>
          <w:szCs w:val="20"/>
        </w:rPr>
        <w:t xml:space="preserve"> региона</w:t>
      </w:r>
      <w:r w:rsidR="007750F4" w:rsidRPr="003A6E5A">
        <w:rPr>
          <w:rFonts w:ascii="Times New Roman" w:hAnsi="Times New Roman" w:cs="Times New Roman"/>
          <w:sz w:val="20"/>
          <w:szCs w:val="20"/>
        </w:rPr>
        <w:t>х</w:t>
      </w:r>
      <w:r w:rsidRPr="003A6E5A">
        <w:rPr>
          <w:rFonts w:ascii="Times New Roman" w:hAnsi="Times New Roman" w:cs="Times New Roman"/>
          <w:sz w:val="20"/>
          <w:szCs w:val="20"/>
        </w:rPr>
        <w:t xml:space="preserve"> Казахстана в 2024 году, </w:t>
      </w:r>
      <w:r w:rsidR="007750F4" w:rsidRPr="003A6E5A">
        <w:rPr>
          <w:rFonts w:ascii="Times New Roman" w:hAnsi="Times New Roman" w:cs="Times New Roman"/>
          <w:sz w:val="20"/>
          <w:szCs w:val="20"/>
        </w:rPr>
        <w:t>переменная «</w:t>
      </w:r>
      <w:r w:rsidRPr="003A6E5A">
        <w:rPr>
          <w:rFonts w:ascii="Times New Roman" w:hAnsi="Times New Roman" w:cs="Times New Roman"/>
          <w:i/>
          <w:iCs/>
          <w:sz w:val="20"/>
          <w:szCs w:val="20"/>
          <w:lang w:val="en-US"/>
        </w:rPr>
        <w:t>AMNW</w:t>
      </w:r>
      <w:r w:rsidRPr="003A6E5A">
        <w:rPr>
          <w:rFonts w:ascii="Times New Roman" w:hAnsi="Times New Roman" w:cs="Times New Roman"/>
          <w:i/>
          <w:iCs/>
          <w:sz w:val="20"/>
          <w:szCs w:val="20"/>
        </w:rPr>
        <w:t>2024</w:t>
      </w:r>
      <w:r w:rsidR="007750F4" w:rsidRPr="003A6E5A">
        <w:rPr>
          <w:rFonts w:ascii="Times New Roman" w:hAnsi="Times New Roman" w:cs="Times New Roman"/>
          <w:sz w:val="20"/>
          <w:szCs w:val="20"/>
        </w:rPr>
        <w:t>»</w:t>
      </w:r>
      <w:r w:rsidRPr="003A6E5A">
        <w:rPr>
          <w:rFonts w:ascii="Times New Roman" w:hAnsi="Times New Roman" w:cs="Times New Roman"/>
          <w:sz w:val="20"/>
          <w:szCs w:val="20"/>
        </w:rPr>
        <w:t xml:space="preserve"> – среднемесячная заработная плата </w:t>
      </w:r>
      <w:r w:rsidR="007750F4" w:rsidRPr="003A6E5A">
        <w:rPr>
          <w:rFonts w:ascii="Times New Roman" w:hAnsi="Times New Roman" w:cs="Times New Roman"/>
          <w:sz w:val="20"/>
          <w:szCs w:val="20"/>
        </w:rPr>
        <w:t>в</w:t>
      </w:r>
      <w:r w:rsidRPr="003A6E5A">
        <w:rPr>
          <w:rFonts w:ascii="Times New Roman" w:hAnsi="Times New Roman" w:cs="Times New Roman"/>
          <w:sz w:val="20"/>
          <w:szCs w:val="20"/>
        </w:rPr>
        <w:t xml:space="preserve"> региона</w:t>
      </w:r>
      <w:r w:rsidR="007750F4" w:rsidRPr="003A6E5A">
        <w:rPr>
          <w:rFonts w:ascii="Times New Roman" w:hAnsi="Times New Roman" w:cs="Times New Roman"/>
          <w:sz w:val="20"/>
          <w:szCs w:val="20"/>
        </w:rPr>
        <w:t>х</w:t>
      </w:r>
      <w:r w:rsidRPr="003A6E5A">
        <w:rPr>
          <w:rFonts w:ascii="Times New Roman" w:hAnsi="Times New Roman" w:cs="Times New Roman"/>
          <w:sz w:val="20"/>
          <w:szCs w:val="20"/>
        </w:rPr>
        <w:t xml:space="preserve"> Казахстана в 2024 году</w:t>
      </w:r>
    </w:p>
    <w:p w14:paraId="79B3DC67" w14:textId="6E95DC9C" w:rsidR="0003217D" w:rsidRPr="003A6E5A" w:rsidRDefault="004C4949"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Источник: расчеты автора исследования в программном обеспечении GeoDa</w:t>
      </w:r>
    </w:p>
    <w:p w14:paraId="041B65AA" w14:textId="77777777" w:rsidR="0003217D" w:rsidRPr="003A6E5A" w:rsidRDefault="0003217D" w:rsidP="001608EA">
      <w:pPr>
        <w:spacing w:after="0" w:line="240" w:lineRule="auto"/>
        <w:rPr>
          <w:rFonts w:ascii="Times New Roman" w:hAnsi="Times New Roman" w:cs="Times New Roman"/>
          <w:sz w:val="20"/>
          <w:szCs w:val="20"/>
        </w:rPr>
      </w:pPr>
    </w:p>
    <w:p w14:paraId="454DEDF1" w14:textId="0E635D9F" w:rsidR="00871035" w:rsidRPr="003A6E5A" w:rsidRDefault="00566B59" w:rsidP="0087103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На графике 11б представлена регрессионная зависимость между среднемесячной номинальной заработной платой в регионах Республики Казахстан в 2024 году (</w:t>
      </w:r>
      <w:r w:rsidRPr="003A6E5A">
        <w:rPr>
          <w:rFonts w:ascii="Times New Roman" w:hAnsi="Times New Roman" w:cs="Times New Roman"/>
          <w:i/>
          <w:iCs/>
          <w:sz w:val="28"/>
          <w:szCs w:val="28"/>
        </w:rPr>
        <w:t>AMNW2024</w:t>
      </w:r>
      <w:r w:rsidRPr="003A6E5A">
        <w:rPr>
          <w:rFonts w:ascii="Times New Roman" w:hAnsi="Times New Roman" w:cs="Times New Roman"/>
          <w:sz w:val="28"/>
          <w:szCs w:val="28"/>
        </w:rPr>
        <w:t xml:space="preserve">) и ключевой зависимой переменной </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объёмом инвестиций в основной капитал (</w:t>
      </w:r>
      <w:r w:rsidRPr="003A6E5A">
        <w:rPr>
          <w:rFonts w:ascii="Times New Roman" w:hAnsi="Times New Roman" w:cs="Times New Roman"/>
          <w:i/>
          <w:iCs/>
          <w:sz w:val="28"/>
          <w:szCs w:val="28"/>
        </w:rPr>
        <w:t>IFC2024</w:t>
      </w:r>
      <w:r w:rsidRPr="003A6E5A">
        <w:rPr>
          <w:rFonts w:ascii="Times New Roman" w:hAnsi="Times New Roman" w:cs="Times New Roman"/>
          <w:sz w:val="28"/>
          <w:szCs w:val="28"/>
        </w:rPr>
        <w:t xml:space="preserve">). Данная визуализация позволяет эмпирически зафиксировать направление и интенсивность </w:t>
      </w:r>
      <w:r w:rsidRPr="003A6E5A">
        <w:rPr>
          <w:rFonts w:ascii="Times New Roman" w:hAnsi="Times New Roman" w:cs="Times New Roman"/>
          <w:sz w:val="28"/>
          <w:szCs w:val="28"/>
        </w:rPr>
        <w:lastRenderedPageBreak/>
        <w:t xml:space="preserve">взаимосвязи между указанными показателями. Аппроксимация посредством регрессионной линии демонстрирует положительный наклон, что свидетельствует о наличии прямой корреляции: по мере увеличения уровня заработной платы наблюдается тенденция к росту инвестиционной активности. </w:t>
      </w:r>
      <w:r w:rsidR="00871035" w:rsidRPr="003A6E5A">
        <w:rPr>
          <w:rFonts w:ascii="Times New Roman" w:hAnsi="Times New Roman" w:cs="Times New Roman"/>
          <w:sz w:val="28"/>
          <w:szCs w:val="28"/>
        </w:rPr>
        <w:t>В то же время дисперсия наблюдаемых точек вокруг трендовой линии указывает на наличие существенного разброса значений, обусловленного как экзогенными факторами, так и внутригрупповой гетерогенностью областей Республики Казахстан.</w:t>
      </w:r>
    </w:p>
    <w:p w14:paraId="2A17E32E" w14:textId="6D2C260F" w:rsidR="0003217D" w:rsidRPr="003A6E5A" w:rsidRDefault="00FC275D" w:rsidP="00D1482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Расчёт пространственного индекса Морана, значение которого составляет 0,240, подтверждает наличие слабой, но статистически значимой пространственной автокорреляции. </w:t>
      </w:r>
      <w:r w:rsidR="0063034D" w:rsidRPr="003A6E5A">
        <w:rPr>
          <w:rFonts w:ascii="Times New Roman" w:hAnsi="Times New Roman" w:cs="Times New Roman"/>
          <w:sz w:val="28"/>
          <w:szCs w:val="28"/>
        </w:rPr>
        <w:t>Данный результат</w:t>
      </w:r>
      <w:r w:rsidRPr="003A6E5A">
        <w:rPr>
          <w:rFonts w:ascii="Times New Roman" w:hAnsi="Times New Roman" w:cs="Times New Roman"/>
          <w:sz w:val="28"/>
          <w:szCs w:val="28"/>
        </w:rPr>
        <w:t xml:space="preserve"> свидетельствует</w:t>
      </w:r>
      <w:r w:rsidR="0063034D" w:rsidRPr="003A6E5A">
        <w:rPr>
          <w:rFonts w:ascii="Times New Roman" w:hAnsi="Times New Roman" w:cs="Times New Roman"/>
          <w:sz w:val="28"/>
          <w:szCs w:val="28"/>
        </w:rPr>
        <w:t xml:space="preserve"> о том</w:t>
      </w:r>
      <w:r w:rsidRPr="003A6E5A">
        <w:rPr>
          <w:rFonts w:ascii="Times New Roman" w:hAnsi="Times New Roman" w:cs="Times New Roman"/>
          <w:sz w:val="28"/>
          <w:szCs w:val="28"/>
        </w:rPr>
        <w:t>, что увеличение среднемесячной заработной платы может служить одним из факторов, способствующих росту инвестиций в основной капитал, однако не обладает определяющим характером и требует учета совокупности иных социально-экономических детерминант.</w:t>
      </w:r>
    </w:p>
    <w:p w14:paraId="2364203B" w14:textId="3AB1128C" w:rsidR="0003217D" w:rsidRPr="003A6E5A" w:rsidRDefault="00C44471" w:rsidP="00D47B33">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Таким образом п</w:t>
      </w:r>
      <w:r w:rsidR="00FC275D" w:rsidRPr="003A6E5A">
        <w:rPr>
          <w:rFonts w:ascii="Times New Roman" w:hAnsi="Times New Roman" w:cs="Times New Roman"/>
          <w:sz w:val="28"/>
          <w:szCs w:val="28"/>
        </w:rPr>
        <w:t xml:space="preserve">олученные результаты акцентируют внимание на необходимости комплексного анализа дополнительных объясняющих переменных и пространственных эффектов, с целью выявления устойчивых закономерностей инвестиционного поведения на региональном уровне. Так, в ходе исследования были зафиксированы различные типы пространственной взаимосвязи: от умеренно положительной автокорреляции между валовым региональным продуктом на душу населения и инвестициями в основной капитал в смежных административных единицах до ярко выраженной кластеризации показателя численности предприятий, осуществляющих научно-исследовательские и опытно-конструкторские работы в контексте инвестиционной активности соседних </w:t>
      </w:r>
      <w:r w:rsidRPr="003A6E5A">
        <w:rPr>
          <w:rFonts w:ascii="Times New Roman" w:hAnsi="Times New Roman" w:cs="Times New Roman"/>
          <w:sz w:val="28"/>
          <w:szCs w:val="28"/>
        </w:rPr>
        <w:t>областей Казахстана</w:t>
      </w:r>
      <w:r w:rsidR="00FC275D" w:rsidRPr="003A6E5A">
        <w:rPr>
          <w:rFonts w:ascii="Times New Roman" w:hAnsi="Times New Roman" w:cs="Times New Roman"/>
          <w:sz w:val="28"/>
          <w:szCs w:val="28"/>
        </w:rPr>
        <w:t>. Вместе с тем, была выявлена практически отсутствующая либо слабо отрицательная пространственная зависимость между численностью персонала, занятого в сфере НИОКР и пространственно лагированными инвестициями, что подчёркивает многомерность и неоднородность пространственного взаимодействия исследуемых индикаторов.</w:t>
      </w:r>
      <w:r w:rsidR="00B97206" w:rsidRPr="003A6E5A">
        <w:rPr>
          <w:rFonts w:ascii="Times New Roman" w:hAnsi="Times New Roman" w:cs="Times New Roman"/>
          <w:sz w:val="28"/>
          <w:szCs w:val="28"/>
        </w:rPr>
        <w:t xml:space="preserve"> </w:t>
      </w:r>
      <w:r w:rsidR="00235238" w:rsidRPr="003A6E5A">
        <w:rPr>
          <w:rFonts w:ascii="Times New Roman" w:hAnsi="Times New Roman" w:cs="Times New Roman"/>
          <w:sz w:val="28"/>
          <w:szCs w:val="28"/>
        </w:rPr>
        <w:t>Следовательно,</w:t>
      </w:r>
      <w:r w:rsidR="00FC275D" w:rsidRPr="003A6E5A">
        <w:rPr>
          <w:rFonts w:ascii="Times New Roman" w:hAnsi="Times New Roman" w:cs="Times New Roman"/>
          <w:sz w:val="28"/>
          <w:szCs w:val="28"/>
        </w:rPr>
        <w:t xml:space="preserve"> установленные пространственные закономерности указывают на необходимость использования гибких и адаптивных методологических подходов при построении региональных моделей инвестиционного развития, обеспечивающих надлежащий уровень аналитической точности и применимости для стратегического планирования.</w:t>
      </w:r>
      <w:r w:rsidR="00D47B33"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lang w:val="kk-KZ"/>
        </w:rPr>
        <w:t xml:space="preserve">На </w:t>
      </w:r>
      <w:r w:rsidR="00B97206" w:rsidRPr="003A6E5A">
        <w:rPr>
          <w:rFonts w:ascii="Times New Roman" w:hAnsi="Times New Roman" w:cs="Times New Roman"/>
          <w:sz w:val="28"/>
          <w:szCs w:val="28"/>
          <w:lang w:val="kk-KZ"/>
        </w:rPr>
        <w:t xml:space="preserve">следующем </w:t>
      </w:r>
      <w:r w:rsidR="00FC275D" w:rsidRPr="003A6E5A">
        <w:rPr>
          <w:rFonts w:ascii="Times New Roman" w:hAnsi="Times New Roman" w:cs="Times New Roman"/>
          <w:sz w:val="28"/>
          <w:szCs w:val="28"/>
          <w:lang w:val="kk-KZ"/>
        </w:rPr>
        <w:t xml:space="preserve">графике </w:t>
      </w:r>
      <w:r w:rsidR="009F3F2D" w:rsidRPr="003A6E5A">
        <w:rPr>
          <w:rFonts w:ascii="Times New Roman" w:hAnsi="Times New Roman" w:cs="Times New Roman"/>
          <w:sz w:val="28"/>
          <w:szCs w:val="28"/>
          <w:lang w:val="kk-KZ"/>
        </w:rPr>
        <w:t>12</w:t>
      </w:r>
      <w:r w:rsidR="00FC275D" w:rsidRPr="003A6E5A">
        <w:rPr>
          <w:rFonts w:ascii="Times New Roman" w:hAnsi="Times New Roman" w:cs="Times New Roman"/>
          <w:sz w:val="28"/>
          <w:szCs w:val="28"/>
          <w:lang w:val="kk-KZ"/>
        </w:rPr>
        <w:t xml:space="preserve"> представлена регрессионная зависимость между внутренними затратами на научные исследования и опытно-конструкторские работы и объемом инвестиций в основной капитал в разрезе </w:t>
      </w:r>
      <w:r w:rsidR="009F3F2D" w:rsidRPr="003A6E5A">
        <w:rPr>
          <w:rFonts w:ascii="Times New Roman" w:hAnsi="Times New Roman" w:cs="Times New Roman"/>
          <w:sz w:val="28"/>
          <w:szCs w:val="28"/>
          <w:lang w:val="kk-KZ"/>
        </w:rPr>
        <w:t>областей</w:t>
      </w:r>
      <w:r w:rsidR="00FC275D" w:rsidRPr="003A6E5A">
        <w:rPr>
          <w:rFonts w:ascii="Times New Roman" w:hAnsi="Times New Roman" w:cs="Times New Roman"/>
          <w:sz w:val="28"/>
          <w:szCs w:val="28"/>
          <w:lang w:val="kk-KZ"/>
        </w:rPr>
        <w:t xml:space="preserve"> Республики Казахстан </w:t>
      </w:r>
      <w:r w:rsidR="009F3F2D" w:rsidRPr="003A6E5A">
        <w:rPr>
          <w:rFonts w:ascii="Times New Roman" w:hAnsi="Times New Roman" w:cs="Times New Roman"/>
          <w:sz w:val="28"/>
          <w:szCs w:val="28"/>
          <w:lang w:val="kk-KZ"/>
        </w:rPr>
        <w:t>в</w:t>
      </w:r>
      <w:r w:rsidR="00FC275D" w:rsidRPr="003A6E5A">
        <w:rPr>
          <w:rFonts w:ascii="Times New Roman" w:hAnsi="Times New Roman" w:cs="Times New Roman"/>
          <w:sz w:val="28"/>
          <w:szCs w:val="28"/>
          <w:lang w:val="kk-KZ"/>
        </w:rPr>
        <w:t xml:space="preserve"> 2024 год</w:t>
      </w:r>
      <w:r w:rsidR="009F3F2D" w:rsidRPr="003A6E5A">
        <w:rPr>
          <w:rFonts w:ascii="Times New Roman" w:hAnsi="Times New Roman" w:cs="Times New Roman"/>
          <w:sz w:val="28"/>
          <w:szCs w:val="28"/>
          <w:lang w:val="kk-KZ"/>
        </w:rPr>
        <w:t>у</w:t>
      </w:r>
      <w:r w:rsidR="00FC275D" w:rsidRPr="003A6E5A">
        <w:rPr>
          <w:rFonts w:ascii="Times New Roman" w:hAnsi="Times New Roman" w:cs="Times New Roman"/>
          <w:sz w:val="28"/>
          <w:szCs w:val="28"/>
          <w:lang w:val="kk-KZ"/>
        </w:rPr>
        <w:t xml:space="preserve">. Данная визуализация позволяет проанализировать характер и степень взаимосвязи между инвестиционной активностью и направленностью вложений в научно-инновационную сферу. Представленная зависимость отражает потенциальное влияние объема капитальных инвестиций на финансирование научных и </w:t>
      </w:r>
      <w:r w:rsidR="00FC275D" w:rsidRPr="003A6E5A">
        <w:rPr>
          <w:rFonts w:ascii="Times New Roman" w:hAnsi="Times New Roman" w:cs="Times New Roman"/>
          <w:sz w:val="28"/>
          <w:szCs w:val="28"/>
          <w:lang w:val="kk-KZ"/>
        </w:rPr>
        <w:lastRenderedPageBreak/>
        <w:t>технологических разработок, тем самым демонстрируя роль научного сектора как одного из направлений инвестиционной политики регионов.</w:t>
      </w:r>
    </w:p>
    <w:p w14:paraId="533547E8" w14:textId="77777777" w:rsidR="0003217D" w:rsidRPr="003A6E5A" w:rsidRDefault="0003217D" w:rsidP="001608EA">
      <w:pPr>
        <w:spacing w:after="0" w:line="240" w:lineRule="auto"/>
        <w:rPr>
          <w:rFonts w:ascii="Times New Roman" w:hAnsi="Times New Roman" w:cs="Times New Roman"/>
          <w:sz w:val="28"/>
          <w:szCs w:val="28"/>
        </w:rPr>
      </w:pPr>
    </w:p>
    <w:p w14:paraId="3E146C45" w14:textId="77777777" w:rsidR="0003217D" w:rsidRPr="003A6E5A" w:rsidRDefault="00FC275D" w:rsidP="00B97206">
      <w:pPr>
        <w:spacing w:after="0" w:line="240" w:lineRule="auto"/>
        <w:jc w:val="center"/>
        <w:rPr>
          <w:rFonts w:ascii="Times New Roman" w:eastAsia="Times New Roman" w:hAnsi="Times New Roman" w:cs="Times New Roman"/>
          <w:sz w:val="24"/>
          <w:szCs w:val="24"/>
          <w:lang w:eastAsia="ru-RU"/>
        </w:rPr>
      </w:pPr>
      <w:r w:rsidRPr="003A6E5A">
        <w:rPr>
          <w:rFonts w:ascii="Times New Roman" w:hAnsi="Times New Roman" w:cs="Times New Roman"/>
          <w:noProof/>
          <w:sz w:val="28"/>
          <w:szCs w:val="28"/>
        </w:rPr>
        <w:drawing>
          <wp:inline distT="0" distB="0" distL="0" distR="0" wp14:anchorId="6C64C08C" wp14:editId="0AE8100A">
            <wp:extent cx="2522663" cy="2598345"/>
            <wp:effectExtent l="0" t="0" r="0" b="0"/>
            <wp:docPr id="24" name="Рисунок 24" descr="Изображение выглядит как текст, линия,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линия, диаграмма, График&#10;&#10;Автоматически созданное описа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29620" cy="2605511"/>
                    </a:xfrm>
                    <a:prstGeom prst="rect">
                      <a:avLst/>
                    </a:prstGeom>
                    <a:noFill/>
                    <a:ln>
                      <a:noFill/>
                    </a:ln>
                  </pic:spPr>
                </pic:pic>
              </a:graphicData>
            </a:graphic>
          </wp:inline>
        </w:drawing>
      </w:r>
    </w:p>
    <w:p w14:paraId="308A5681" w14:textId="3A650B59" w:rsidR="0003217D" w:rsidRPr="003A6E5A" w:rsidRDefault="00FC275D" w:rsidP="00B9720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8"/>
          <w:szCs w:val="28"/>
          <w:lang w:val="kk-KZ"/>
        </w:rPr>
        <w:t xml:space="preserve">График </w:t>
      </w:r>
      <w:r w:rsidR="00B97206" w:rsidRPr="003A6E5A">
        <w:rPr>
          <w:rFonts w:ascii="Times New Roman" w:hAnsi="Times New Roman" w:cs="Times New Roman"/>
          <w:sz w:val="28"/>
          <w:szCs w:val="28"/>
        </w:rPr>
        <w:t>12</w:t>
      </w:r>
      <w:r w:rsidRPr="003A6E5A">
        <w:rPr>
          <w:rFonts w:ascii="Times New Roman" w:hAnsi="Times New Roman" w:cs="Times New Roman"/>
          <w:sz w:val="28"/>
          <w:szCs w:val="28"/>
          <w:lang w:val="kk-KZ"/>
        </w:rPr>
        <w:t>. Анализ пространственной взаимосвязи инвестиций в основной капитал с внутренними затр</w:t>
      </w:r>
      <w:r w:rsidR="003C5573" w:rsidRPr="003A6E5A">
        <w:rPr>
          <w:rFonts w:ascii="Times New Roman" w:hAnsi="Times New Roman" w:cs="Times New Roman"/>
          <w:sz w:val="28"/>
          <w:szCs w:val="28"/>
          <w:lang w:val="kk-KZ"/>
        </w:rPr>
        <w:t>ат</w:t>
      </w:r>
      <w:r w:rsidRPr="003A6E5A">
        <w:rPr>
          <w:rFonts w:ascii="Times New Roman" w:hAnsi="Times New Roman" w:cs="Times New Roman"/>
          <w:sz w:val="28"/>
          <w:szCs w:val="28"/>
          <w:lang w:val="kk-KZ"/>
        </w:rPr>
        <w:t>ами на НИОКР</w:t>
      </w:r>
    </w:p>
    <w:p w14:paraId="4625589F" w14:textId="424D4058" w:rsidR="0003217D" w:rsidRPr="003A6E5A" w:rsidRDefault="00FC275D" w:rsidP="00B97206">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00B97206" w:rsidRPr="003A6E5A">
        <w:rPr>
          <w:rFonts w:ascii="Times New Roman" w:hAnsi="Times New Roman" w:cs="Times New Roman"/>
          <w:sz w:val="20"/>
          <w:szCs w:val="20"/>
        </w:rPr>
        <w:t>переменная «</w:t>
      </w:r>
      <w:r w:rsidRPr="003A6E5A">
        <w:rPr>
          <w:rFonts w:ascii="Times New Roman" w:hAnsi="Times New Roman" w:cs="Times New Roman"/>
          <w:i/>
          <w:iCs/>
          <w:sz w:val="20"/>
          <w:szCs w:val="20"/>
          <w:lang w:val="en-US"/>
        </w:rPr>
        <w:t>IRDC</w:t>
      </w:r>
      <w:r w:rsidRPr="003A6E5A">
        <w:rPr>
          <w:rFonts w:ascii="Times New Roman" w:hAnsi="Times New Roman" w:cs="Times New Roman"/>
          <w:i/>
          <w:iCs/>
          <w:sz w:val="20"/>
          <w:szCs w:val="20"/>
        </w:rPr>
        <w:t>2024</w:t>
      </w:r>
      <w:r w:rsidR="00B97206" w:rsidRPr="003A6E5A">
        <w:rPr>
          <w:rFonts w:ascii="Times New Roman" w:hAnsi="Times New Roman" w:cs="Times New Roman"/>
          <w:sz w:val="20"/>
          <w:szCs w:val="20"/>
        </w:rPr>
        <w:t>»</w:t>
      </w:r>
      <w:r w:rsidRPr="003A6E5A">
        <w:rPr>
          <w:rFonts w:ascii="Times New Roman" w:hAnsi="Times New Roman" w:cs="Times New Roman"/>
          <w:sz w:val="20"/>
          <w:szCs w:val="20"/>
        </w:rPr>
        <w:t xml:space="preserve"> – </w:t>
      </w:r>
      <w:r w:rsidR="00B97206" w:rsidRPr="003A6E5A">
        <w:rPr>
          <w:rFonts w:ascii="Times New Roman" w:hAnsi="Times New Roman" w:cs="Times New Roman"/>
          <w:sz w:val="20"/>
          <w:szCs w:val="20"/>
        </w:rPr>
        <w:t xml:space="preserve">это </w:t>
      </w:r>
      <w:r w:rsidRPr="003A6E5A">
        <w:rPr>
          <w:rFonts w:ascii="Times New Roman" w:hAnsi="Times New Roman" w:cs="Times New Roman"/>
          <w:sz w:val="20"/>
          <w:szCs w:val="20"/>
          <w:lang w:val="kk-KZ"/>
        </w:rPr>
        <w:t>внутренние затраты на НИОКР</w:t>
      </w:r>
      <w:r w:rsidRPr="003A6E5A">
        <w:rPr>
          <w:rFonts w:ascii="Times New Roman" w:hAnsi="Times New Roman" w:cs="Times New Roman"/>
          <w:sz w:val="20"/>
          <w:szCs w:val="20"/>
        </w:rPr>
        <w:t xml:space="preserve"> </w:t>
      </w:r>
      <w:r w:rsidR="00B97206" w:rsidRPr="003A6E5A">
        <w:rPr>
          <w:rFonts w:ascii="Times New Roman" w:hAnsi="Times New Roman" w:cs="Times New Roman"/>
          <w:sz w:val="20"/>
          <w:szCs w:val="20"/>
        </w:rPr>
        <w:t>в</w:t>
      </w:r>
      <w:r w:rsidRPr="003A6E5A">
        <w:rPr>
          <w:rFonts w:ascii="Times New Roman" w:hAnsi="Times New Roman" w:cs="Times New Roman"/>
          <w:sz w:val="20"/>
          <w:szCs w:val="20"/>
        </w:rPr>
        <w:t xml:space="preserve"> региона</w:t>
      </w:r>
      <w:r w:rsidR="00B97206" w:rsidRPr="003A6E5A">
        <w:rPr>
          <w:rFonts w:ascii="Times New Roman" w:hAnsi="Times New Roman" w:cs="Times New Roman"/>
          <w:sz w:val="20"/>
          <w:szCs w:val="20"/>
        </w:rPr>
        <w:t>х</w:t>
      </w:r>
      <w:r w:rsidRPr="003A6E5A">
        <w:rPr>
          <w:rFonts w:ascii="Times New Roman" w:hAnsi="Times New Roman" w:cs="Times New Roman"/>
          <w:sz w:val="20"/>
          <w:szCs w:val="20"/>
        </w:rPr>
        <w:t xml:space="preserve"> Казахстана в 2024 году</w:t>
      </w:r>
    </w:p>
    <w:p w14:paraId="21C5A9B9" w14:textId="77A14BCB" w:rsidR="0003217D" w:rsidRPr="003A6E5A" w:rsidRDefault="004C4949" w:rsidP="00B97206">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Источник: расчеты автора исследования в программном обеспечении GeoDa</w:t>
      </w:r>
    </w:p>
    <w:p w14:paraId="370CEF81" w14:textId="77777777" w:rsidR="0003217D" w:rsidRPr="003A6E5A" w:rsidRDefault="0003217D" w:rsidP="001608EA">
      <w:pPr>
        <w:spacing w:after="0" w:line="240" w:lineRule="auto"/>
        <w:rPr>
          <w:rFonts w:ascii="Times New Roman" w:hAnsi="Times New Roman" w:cs="Times New Roman"/>
          <w:sz w:val="20"/>
          <w:szCs w:val="20"/>
        </w:rPr>
      </w:pPr>
    </w:p>
    <w:p w14:paraId="151FBCB9" w14:textId="1AFDF5AD" w:rsidR="0003217D" w:rsidRPr="003A6E5A" w:rsidRDefault="00FC275D" w:rsidP="0049208B">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Следовательно, иные детерминанты, такие как особенности экономической политики, уровень развития инфраструктуры и степень деловой активности, могут оказывать существенное влияние на вариации объёмов инвестиций. Значения коэффициента Морана, указывающие на слабую пространственную автокорреляцию, свидетельствуют о необходимости проведения дальнейших исследований с расширением набора объясняющих переменных (см. раздел 2.</w:t>
      </w:r>
      <w:r w:rsidR="0049208B" w:rsidRPr="003A6E5A">
        <w:rPr>
          <w:rFonts w:ascii="Times New Roman" w:hAnsi="Times New Roman" w:cs="Times New Roman"/>
          <w:sz w:val="28"/>
          <w:szCs w:val="28"/>
        </w:rPr>
        <w:t>3</w:t>
      </w:r>
      <w:r w:rsidRPr="003A6E5A">
        <w:rPr>
          <w:rFonts w:ascii="Times New Roman" w:hAnsi="Times New Roman" w:cs="Times New Roman"/>
          <w:sz w:val="28"/>
          <w:szCs w:val="28"/>
        </w:rPr>
        <w:t xml:space="preserve">). </w:t>
      </w:r>
      <w:r w:rsidR="0049208B" w:rsidRPr="003A6E5A">
        <w:rPr>
          <w:rFonts w:ascii="Times New Roman" w:hAnsi="Times New Roman" w:cs="Times New Roman"/>
          <w:sz w:val="28"/>
          <w:szCs w:val="28"/>
        </w:rPr>
        <w:t>Дополнительные факторы</w:t>
      </w:r>
      <w:r w:rsidRPr="003A6E5A">
        <w:rPr>
          <w:rFonts w:ascii="Times New Roman" w:hAnsi="Times New Roman" w:cs="Times New Roman"/>
          <w:sz w:val="28"/>
          <w:szCs w:val="28"/>
        </w:rPr>
        <w:t xml:space="preserve"> позвол</w:t>
      </w:r>
      <w:r w:rsidR="0049208B" w:rsidRPr="003A6E5A">
        <w:rPr>
          <w:rFonts w:ascii="Times New Roman" w:hAnsi="Times New Roman" w:cs="Times New Roman"/>
          <w:sz w:val="28"/>
          <w:szCs w:val="28"/>
        </w:rPr>
        <w:t>я</w:t>
      </w:r>
      <w:r w:rsidRPr="003A6E5A">
        <w:rPr>
          <w:rFonts w:ascii="Times New Roman" w:hAnsi="Times New Roman" w:cs="Times New Roman"/>
          <w:sz w:val="28"/>
          <w:szCs w:val="28"/>
        </w:rPr>
        <w:t xml:space="preserve">т разработать более обоснованные и адресные стратегии регионального развития </w:t>
      </w:r>
      <w:r w:rsidR="0049208B" w:rsidRPr="003A6E5A">
        <w:rPr>
          <w:rFonts w:ascii="Times New Roman" w:hAnsi="Times New Roman" w:cs="Times New Roman"/>
          <w:sz w:val="28"/>
          <w:szCs w:val="28"/>
        </w:rPr>
        <w:t xml:space="preserve">Республики </w:t>
      </w:r>
      <w:r w:rsidRPr="003A6E5A">
        <w:rPr>
          <w:rFonts w:ascii="Times New Roman" w:hAnsi="Times New Roman" w:cs="Times New Roman"/>
          <w:sz w:val="28"/>
          <w:szCs w:val="28"/>
        </w:rPr>
        <w:t xml:space="preserve">Казахстан, опираясь на показатели инвестиционной активности и уровня доходов населения в разрезе </w:t>
      </w:r>
      <w:r w:rsidR="0049208B" w:rsidRPr="003A6E5A">
        <w:rPr>
          <w:rFonts w:ascii="Times New Roman" w:hAnsi="Times New Roman" w:cs="Times New Roman"/>
          <w:sz w:val="28"/>
          <w:szCs w:val="28"/>
        </w:rPr>
        <w:t>областей</w:t>
      </w:r>
      <w:r w:rsidRPr="003A6E5A">
        <w:rPr>
          <w:rFonts w:ascii="Times New Roman" w:hAnsi="Times New Roman" w:cs="Times New Roman"/>
          <w:sz w:val="28"/>
          <w:szCs w:val="28"/>
        </w:rPr>
        <w:t>.</w:t>
      </w:r>
      <w:r w:rsidR="00566B59"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В представленной ниже таблице </w:t>
      </w:r>
      <w:r w:rsidR="00DA42F3" w:rsidRPr="003A6E5A">
        <w:rPr>
          <w:rFonts w:ascii="Times New Roman" w:hAnsi="Times New Roman" w:cs="Times New Roman"/>
          <w:sz w:val="28"/>
          <w:szCs w:val="28"/>
        </w:rPr>
        <w:t>8</w:t>
      </w:r>
      <w:r w:rsidRPr="003A6E5A">
        <w:rPr>
          <w:rFonts w:ascii="Times New Roman" w:hAnsi="Times New Roman" w:cs="Times New Roman"/>
          <w:sz w:val="28"/>
          <w:szCs w:val="28"/>
        </w:rPr>
        <w:t xml:space="preserve"> приведены результаты оценки зависимости объёмов инвестиций в основной капитал (</w:t>
      </w:r>
      <w:r w:rsidRPr="003A6E5A">
        <w:rPr>
          <w:rFonts w:ascii="Times New Roman" w:hAnsi="Times New Roman" w:cs="Times New Roman"/>
          <w:i/>
          <w:iCs/>
          <w:sz w:val="28"/>
          <w:szCs w:val="28"/>
        </w:rPr>
        <w:t>LnIFC</w:t>
      </w:r>
      <w:r w:rsidRPr="003A6E5A">
        <w:rPr>
          <w:rFonts w:ascii="Times New Roman" w:hAnsi="Times New Roman" w:cs="Times New Roman"/>
          <w:sz w:val="28"/>
          <w:szCs w:val="28"/>
        </w:rPr>
        <w:t>), выраженных в натуральном логарифме, от двух ключевых факторов: логарифма численности персонала, занятого в сфере научных исследований (</w:t>
      </w:r>
      <w:r w:rsidRPr="003A6E5A">
        <w:rPr>
          <w:rFonts w:ascii="Times New Roman" w:hAnsi="Times New Roman" w:cs="Times New Roman"/>
          <w:i/>
          <w:iCs/>
          <w:sz w:val="28"/>
          <w:szCs w:val="28"/>
        </w:rPr>
        <w:t>LnPERD</w:t>
      </w:r>
      <w:r w:rsidRPr="003A6E5A">
        <w:rPr>
          <w:rFonts w:ascii="Times New Roman" w:hAnsi="Times New Roman" w:cs="Times New Roman"/>
          <w:sz w:val="28"/>
          <w:szCs w:val="28"/>
        </w:rPr>
        <w:t>), и логарифма среднемесячной номинальной заработной платы (</w:t>
      </w:r>
      <w:r w:rsidRPr="003A6E5A">
        <w:rPr>
          <w:rFonts w:ascii="Times New Roman" w:hAnsi="Times New Roman" w:cs="Times New Roman"/>
          <w:i/>
          <w:iCs/>
          <w:sz w:val="28"/>
          <w:szCs w:val="28"/>
        </w:rPr>
        <w:t>LnAMNW</w:t>
      </w:r>
      <w:r w:rsidRPr="003A6E5A">
        <w:rPr>
          <w:rFonts w:ascii="Times New Roman" w:hAnsi="Times New Roman" w:cs="Times New Roman"/>
          <w:sz w:val="28"/>
          <w:szCs w:val="28"/>
        </w:rPr>
        <w:t xml:space="preserve">) по данным за 2024 год. </w:t>
      </w:r>
      <w:r w:rsidR="00390009" w:rsidRPr="003A6E5A">
        <w:rPr>
          <w:rFonts w:ascii="Times New Roman" w:hAnsi="Times New Roman" w:cs="Times New Roman"/>
          <w:sz w:val="28"/>
          <w:szCs w:val="28"/>
        </w:rPr>
        <w:t xml:space="preserve">Анализ основан на данных по 17 областям Республики Казахстан и 3 городам республиканского значения. Статистическая информация получена из </w:t>
      </w:r>
      <w:bookmarkStart w:id="31" w:name="_Hlk213311447"/>
      <w:r w:rsidR="00390009" w:rsidRPr="003A6E5A">
        <w:rPr>
          <w:rFonts w:ascii="Times New Roman" w:hAnsi="Times New Roman" w:cs="Times New Roman"/>
          <w:sz w:val="28"/>
          <w:szCs w:val="28"/>
        </w:rPr>
        <w:t>Бюро национальной статистики Агентства по стратегическому планированию и реформам Республики Казахстан</w:t>
      </w:r>
      <w:bookmarkEnd w:id="31"/>
      <w:r w:rsidR="00390009" w:rsidRPr="003A6E5A">
        <w:rPr>
          <w:rFonts w:ascii="Times New Roman" w:hAnsi="Times New Roman" w:cs="Times New Roman"/>
          <w:sz w:val="28"/>
          <w:szCs w:val="28"/>
        </w:rPr>
        <w:t>.</w:t>
      </w:r>
      <w:r w:rsidRPr="003A6E5A">
        <w:rPr>
          <w:rFonts w:ascii="Times New Roman" w:hAnsi="Times New Roman" w:cs="Times New Roman"/>
          <w:sz w:val="28"/>
          <w:szCs w:val="28"/>
        </w:rPr>
        <w:t xml:space="preserve"> В рамках исследования проведено сопоставление двух типов моделей: классической линейной регрессии, оценённой методом наименьших квадратов, и пространственной модели ошибок, рассчитанной методом максимального правдоподобия.</w:t>
      </w:r>
      <w:r w:rsidR="0049208B"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Рассмотрение первой модели в таблице </w:t>
      </w:r>
      <w:r w:rsidR="0049208B" w:rsidRPr="003A6E5A">
        <w:rPr>
          <w:rFonts w:ascii="Times New Roman" w:hAnsi="Times New Roman" w:cs="Times New Roman"/>
          <w:sz w:val="28"/>
          <w:szCs w:val="28"/>
        </w:rPr>
        <w:t>2</w:t>
      </w:r>
      <w:r w:rsidRPr="003A6E5A">
        <w:rPr>
          <w:rFonts w:ascii="Times New Roman" w:hAnsi="Times New Roman" w:cs="Times New Roman"/>
          <w:sz w:val="28"/>
          <w:szCs w:val="28"/>
        </w:rPr>
        <w:t xml:space="preserve">, основанной на методологии МНК, демонстрирует, что </w:t>
      </w:r>
      <w:r w:rsidR="008D0085" w:rsidRPr="003A6E5A">
        <w:rPr>
          <w:rFonts w:ascii="Times New Roman" w:hAnsi="Times New Roman" w:cs="Times New Roman"/>
          <w:sz w:val="28"/>
          <w:szCs w:val="28"/>
        </w:rPr>
        <w:t xml:space="preserve">скорректированный </w:t>
      </w:r>
      <w:r w:rsidRPr="003A6E5A">
        <w:rPr>
          <w:rFonts w:ascii="Times New Roman" w:hAnsi="Times New Roman" w:cs="Times New Roman"/>
          <w:sz w:val="28"/>
          <w:szCs w:val="28"/>
        </w:rPr>
        <w:t xml:space="preserve">коэффициент детерминации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Pr="003A6E5A">
        <w:rPr>
          <w:rFonts w:ascii="Times New Roman" w:hAnsi="Times New Roman" w:cs="Times New Roman"/>
          <w:sz w:val="28"/>
          <w:szCs w:val="28"/>
        </w:rPr>
        <w:t xml:space="preserve"> составляет 0,</w:t>
      </w:r>
      <w:r w:rsidR="008D0085" w:rsidRPr="003A6E5A">
        <w:rPr>
          <w:rFonts w:ascii="Times New Roman" w:hAnsi="Times New Roman" w:cs="Times New Roman"/>
          <w:sz w:val="28"/>
          <w:szCs w:val="28"/>
        </w:rPr>
        <w:t>535 и</w:t>
      </w:r>
      <w:r w:rsidRPr="003A6E5A">
        <w:rPr>
          <w:rFonts w:ascii="Times New Roman" w:hAnsi="Times New Roman" w:cs="Times New Roman"/>
          <w:sz w:val="28"/>
          <w:szCs w:val="28"/>
        </w:rPr>
        <w:t xml:space="preserve"> указывает на объяснение приблизительно 5</w:t>
      </w:r>
      <w:r w:rsidR="008D0085" w:rsidRPr="003A6E5A">
        <w:rPr>
          <w:rFonts w:ascii="Times New Roman" w:hAnsi="Times New Roman" w:cs="Times New Roman"/>
          <w:sz w:val="28"/>
          <w:szCs w:val="28"/>
        </w:rPr>
        <w:t>3</w:t>
      </w:r>
      <w:r w:rsidRPr="003A6E5A">
        <w:rPr>
          <w:rFonts w:ascii="Times New Roman" w:hAnsi="Times New Roman" w:cs="Times New Roman"/>
          <w:sz w:val="28"/>
          <w:szCs w:val="28"/>
        </w:rPr>
        <w:t>,</w:t>
      </w:r>
      <w:r w:rsidR="008D0085" w:rsidRPr="003A6E5A">
        <w:rPr>
          <w:rFonts w:ascii="Times New Roman" w:hAnsi="Times New Roman" w:cs="Times New Roman"/>
          <w:sz w:val="28"/>
          <w:szCs w:val="28"/>
        </w:rPr>
        <w:t>5</w:t>
      </w:r>
      <w:r w:rsidRPr="003A6E5A">
        <w:rPr>
          <w:rFonts w:ascii="Times New Roman" w:hAnsi="Times New Roman" w:cs="Times New Roman"/>
          <w:sz w:val="28"/>
          <w:szCs w:val="28"/>
        </w:rPr>
        <w:t xml:space="preserve">% вариации </w:t>
      </w:r>
      <w:r w:rsidR="008D0085" w:rsidRPr="003A6E5A">
        <w:rPr>
          <w:rFonts w:ascii="Times New Roman" w:hAnsi="Times New Roman" w:cs="Times New Roman"/>
          <w:sz w:val="28"/>
          <w:szCs w:val="28"/>
        </w:rPr>
        <w:t>зависимой переменной «</w:t>
      </w:r>
      <w:r w:rsidRPr="003A6E5A">
        <w:rPr>
          <w:rFonts w:ascii="Times New Roman" w:hAnsi="Times New Roman" w:cs="Times New Roman"/>
          <w:i/>
          <w:iCs/>
          <w:sz w:val="28"/>
          <w:szCs w:val="28"/>
          <w:lang w:val="en-US"/>
        </w:rPr>
        <w:t>LnIFC</w:t>
      </w:r>
      <w:r w:rsidR="008D0085" w:rsidRPr="003A6E5A">
        <w:rPr>
          <w:rFonts w:ascii="Times New Roman" w:hAnsi="Times New Roman" w:cs="Times New Roman"/>
          <w:sz w:val="28"/>
          <w:szCs w:val="28"/>
        </w:rPr>
        <w:t>»</w:t>
      </w:r>
      <w:r w:rsidRPr="003A6E5A">
        <w:rPr>
          <w:rFonts w:ascii="Times New Roman" w:hAnsi="Times New Roman" w:cs="Times New Roman"/>
          <w:sz w:val="28"/>
          <w:szCs w:val="28"/>
        </w:rPr>
        <w:t xml:space="preserve"> за счет </w:t>
      </w:r>
      <w:r w:rsidRPr="003A6E5A">
        <w:rPr>
          <w:rFonts w:ascii="Times New Roman" w:hAnsi="Times New Roman" w:cs="Times New Roman"/>
          <w:sz w:val="28"/>
          <w:szCs w:val="28"/>
        </w:rPr>
        <w:lastRenderedPageBreak/>
        <w:t xml:space="preserve">выбранных факторов. </w:t>
      </w:r>
      <m:oMath>
        <m:r>
          <w:rPr>
            <w:rFonts w:ascii="Cambria Math" w:hAnsi="Cambria Math" w:cs="Times New Roman"/>
            <w:sz w:val="28"/>
            <w:szCs w:val="28"/>
          </w:rPr>
          <m:t>F</m:t>
        </m:r>
        <m:r>
          <m:rPr>
            <m:sty m:val="p"/>
          </m:rPr>
          <w:rPr>
            <w:rFonts w:ascii="Cambria Math" w:hAnsi="Cambria Math" w:cs="Times New Roman"/>
            <w:sz w:val="28"/>
            <w:szCs w:val="28"/>
          </w:rPr>
          <m:t>-</m:t>
        </m:r>
      </m:oMath>
      <w:r w:rsidRPr="003A6E5A">
        <w:rPr>
          <w:rFonts w:ascii="Times New Roman" w:hAnsi="Times New Roman" w:cs="Times New Roman"/>
          <w:sz w:val="28"/>
          <w:szCs w:val="28"/>
        </w:rPr>
        <w:t xml:space="preserve">статистика, равная 11,93, сопровождается крайне низким уровнем значимости </w:t>
      </w:r>
      <m:oMath>
        <m:r>
          <w:rPr>
            <w:rFonts w:ascii="Cambria Math" w:hAnsi="Cambria Math" w:cs="Times New Roman"/>
            <w:sz w:val="28"/>
            <w:szCs w:val="28"/>
          </w:rPr>
          <m:t>p&lt;0,001</m:t>
        </m:r>
      </m:oMath>
      <w:r w:rsidR="008D0085" w:rsidRPr="003A6E5A">
        <w:rPr>
          <w:rFonts w:ascii="Times New Roman" w:hAnsi="Times New Roman" w:cs="Times New Roman"/>
          <w:sz w:val="28"/>
          <w:szCs w:val="28"/>
        </w:rPr>
        <w:t xml:space="preserve"> и, следовательно,</w:t>
      </w:r>
      <w:r w:rsidRPr="003A6E5A">
        <w:rPr>
          <w:rFonts w:ascii="Times New Roman" w:hAnsi="Times New Roman" w:cs="Times New Roman"/>
          <w:sz w:val="28"/>
          <w:szCs w:val="28"/>
        </w:rPr>
        <w:t xml:space="preserve"> </w:t>
      </w:r>
      <w:r w:rsidR="008D0085" w:rsidRPr="003A6E5A">
        <w:rPr>
          <w:rFonts w:ascii="Times New Roman" w:hAnsi="Times New Roman" w:cs="Times New Roman"/>
          <w:sz w:val="28"/>
          <w:szCs w:val="28"/>
        </w:rPr>
        <w:t xml:space="preserve">можно сделать вывод о </w:t>
      </w:r>
      <w:r w:rsidRPr="003A6E5A">
        <w:rPr>
          <w:rFonts w:ascii="Times New Roman" w:hAnsi="Times New Roman" w:cs="Times New Roman"/>
          <w:sz w:val="28"/>
          <w:szCs w:val="28"/>
        </w:rPr>
        <w:t xml:space="preserve">о статистической значимости всей модели в целом. </w:t>
      </w:r>
    </w:p>
    <w:p w14:paraId="7D97BC6D" w14:textId="77777777" w:rsidR="0003217D" w:rsidRPr="003A6E5A" w:rsidRDefault="0003217D" w:rsidP="001608EA">
      <w:pPr>
        <w:spacing w:after="0" w:line="240" w:lineRule="auto"/>
        <w:rPr>
          <w:rFonts w:ascii="Times New Roman" w:hAnsi="Times New Roman" w:cs="Times New Roman"/>
          <w:sz w:val="28"/>
          <w:szCs w:val="28"/>
        </w:rPr>
      </w:pPr>
    </w:p>
    <w:p w14:paraId="41249CC8" w14:textId="41095887" w:rsidR="0003217D" w:rsidRPr="003A6E5A" w:rsidRDefault="00FC275D" w:rsidP="001608EA">
      <w:pPr>
        <w:spacing w:after="0" w:line="240" w:lineRule="auto"/>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Таблица </w:t>
      </w:r>
      <w:r w:rsidR="007205A3" w:rsidRPr="003A6E5A">
        <w:rPr>
          <w:rFonts w:ascii="Times New Roman" w:hAnsi="Times New Roman" w:cs="Times New Roman"/>
          <w:sz w:val="28"/>
          <w:szCs w:val="28"/>
          <w:lang w:val="kk-KZ"/>
        </w:rPr>
        <w:t>8</w:t>
      </w:r>
      <w:r w:rsidRPr="003A6E5A">
        <w:rPr>
          <w:rFonts w:ascii="Times New Roman" w:hAnsi="Times New Roman" w:cs="Times New Roman"/>
          <w:sz w:val="28"/>
          <w:szCs w:val="28"/>
          <w:lang w:val="kk-KZ"/>
        </w:rPr>
        <w:t xml:space="preserve">. Оценка </w:t>
      </w:r>
      <w:r w:rsidR="005D43EE" w:rsidRPr="003A6E5A">
        <w:rPr>
          <w:rFonts w:ascii="Times New Roman" w:hAnsi="Times New Roman" w:cs="Times New Roman"/>
          <w:sz w:val="28"/>
          <w:szCs w:val="28"/>
          <w:lang w:val="kk-KZ"/>
        </w:rPr>
        <w:t>коэффициентов</w:t>
      </w:r>
      <w:r w:rsidRPr="003A6E5A">
        <w:rPr>
          <w:rFonts w:ascii="Times New Roman" w:hAnsi="Times New Roman" w:cs="Times New Roman"/>
          <w:sz w:val="28"/>
          <w:szCs w:val="28"/>
          <w:lang w:val="kk-KZ"/>
        </w:rPr>
        <w:t xml:space="preserve"> методом наименьших квадратов</w:t>
      </w:r>
      <w:r w:rsidR="005D43EE" w:rsidRPr="003A6E5A">
        <w:rPr>
          <w:rFonts w:ascii="Times New Roman" w:hAnsi="Times New Roman" w:cs="Times New Roman"/>
          <w:sz w:val="28"/>
          <w:szCs w:val="28"/>
          <w:lang w:val="kk-KZ"/>
        </w:rPr>
        <w:t xml:space="preserve"> </w:t>
      </w:r>
      <w:r w:rsidR="005D43EE" w:rsidRPr="003A6E5A">
        <w:rPr>
          <w:rFonts w:ascii="Times New Roman" w:eastAsiaTheme="minorEastAsia" w:hAnsi="Times New Roman" w:cs="Times New Roman"/>
          <w:sz w:val="28"/>
          <w:szCs w:val="28"/>
        </w:rPr>
        <w:t>(</w:t>
      </w:r>
      <m:oMath>
        <m:r>
          <w:rPr>
            <w:rFonts w:ascii="Cambria Math" w:hAnsi="Cambria Math" w:cs="Times New Roman"/>
            <w:sz w:val="28"/>
            <w:szCs w:val="28"/>
            <w:lang w:val="kk-KZ"/>
          </w:rPr>
          <m:t>n</m:t>
        </m:r>
        <m:r>
          <w:rPr>
            <w:rFonts w:ascii="Cambria Math" w:hAnsi="Cambria Math" w:cs="Times New Roman"/>
            <w:sz w:val="28"/>
            <w:szCs w:val="28"/>
          </w:rPr>
          <m:t>=20</m:t>
        </m:r>
      </m:oMath>
      <w:r w:rsidR="005D43EE" w:rsidRPr="003A6E5A">
        <w:rPr>
          <w:rFonts w:ascii="Times New Roman" w:eastAsiaTheme="minorEastAsia" w:hAnsi="Times New Roman" w:cs="Times New Roman"/>
          <w:sz w:val="28"/>
          <w:szCs w:val="28"/>
        </w:rPr>
        <w:t>)</w:t>
      </w:r>
    </w:p>
    <w:tbl>
      <w:tblPr>
        <w:tblStyle w:val="ac"/>
        <w:tblW w:w="9625" w:type="dxa"/>
        <w:jc w:val="center"/>
        <w:tblLayout w:type="fixed"/>
        <w:tblLook w:val="04A0" w:firstRow="1" w:lastRow="0" w:firstColumn="1" w:lastColumn="0" w:noHBand="0" w:noVBand="1"/>
      </w:tblPr>
      <w:tblGrid>
        <w:gridCol w:w="2425"/>
        <w:gridCol w:w="1672"/>
        <w:gridCol w:w="2743"/>
        <w:gridCol w:w="1281"/>
        <w:gridCol w:w="1504"/>
      </w:tblGrid>
      <w:tr w:rsidR="00B02CF8" w:rsidRPr="003A6E5A" w14:paraId="26AAC90F" w14:textId="77777777" w:rsidTr="004C1164">
        <w:trPr>
          <w:jc w:val="center"/>
        </w:trPr>
        <w:tc>
          <w:tcPr>
            <w:tcW w:w="2425" w:type="dxa"/>
            <w:vAlign w:val="center"/>
          </w:tcPr>
          <w:p w14:paraId="349F6FCF" w14:textId="622B158E" w:rsidR="0003217D" w:rsidRPr="003A6E5A" w:rsidRDefault="00FC275D" w:rsidP="0049208B">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Набор данных</w:t>
            </w:r>
          </w:p>
        </w:tc>
        <w:tc>
          <w:tcPr>
            <w:tcW w:w="1672" w:type="dxa"/>
            <w:vAlign w:val="center"/>
          </w:tcPr>
          <w:p w14:paraId="63913928" w14:textId="0460A3A3" w:rsidR="0003217D" w:rsidRPr="003A6E5A" w:rsidRDefault="00543B29" w:rsidP="0049208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kk-KZ"/>
              </w:rPr>
              <w:t>Оценка коэф</w:t>
            </w:r>
            <w:r w:rsidRPr="003A6E5A">
              <w:rPr>
                <w:rFonts w:ascii="Times New Roman" w:hAnsi="Times New Roman" w:cs="Times New Roman"/>
                <w:sz w:val="20"/>
                <w:szCs w:val="20"/>
              </w:rPr>
              <w:t>.</w:t>
            </w:r>
          </w:p>
        </w:tc>
        <w:tc>
          <w:tcPr>
            <w:tcW w:w="2743" w:type="dxa"/>
            <w:vAlign w:val="center"/>
          </w:tcPr>
          <w:p w14:paraId="554A8F05" w14:textId="148359C7" w:rsidR="0003217D" w:rsidRPr="003A6E5A" w:rsidRDefault="00FC275D" w:rsidP="004C1164">
            <w:pPr>
              <w:spacing w:after="0" w:line="240" w:lineRule="auto"/>
              <w:jc w:val="left"/>
              <w:rPr>
                <w:rFonts w:ascii="Times New Roman" w:hAnsi="Times New Roman" w:cs="Times New Roman"/>
                <w:sz w:val="20"/>
                <w:szCs w:val="20"/>
                <w:lang w:val="en-US"/>
              </w:rPr>
            </w:pPr>
            <w:r w:rsidRPr="003A6E5A">
              <w:rPr>
                <w:rFonts w:ascii="Times New Roman" w:hAnsi="Times New Roman" w:cs="Times New Roman"/>
                <w:sz w:val="20"/>
                <w:szCs w:val="20"/>
              </w:rPr>
              <w:t>Зависимая переменная</w:t>
            </w:r>
          </w:p>
        </w:tc>
        <w:tc>
          <w:tcPr>
            <w:tcW w:w="2785" w:type="dxa"/>
            <w:gridSpan w:val="2"/>
            <w:vAlign w:val="center"/>
          </w:tcPr>
          <w:p w14:paraId="285D8457"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LnIFC</w:t>
            </w:r>
          </w:p>
        </w:tc>
      </w:tr>
      <w:tr w:rsidR="00B02CF8" w:rsidRPr="003A6E5A" w14:paraId="57711E71" w14:textId="77777777" w:rsidTr="00466261">
        <w:trPr>
          <w:jc w:val="center"/>
        </w:trPr>
        <w:tc>
          <w:tcPr>
            <w:tcW w:w="2425" w:type="dxa"/>
            <w:vAlign w:val="center"/>
          </w:tcPr>
          <w:p w14:paraId="00F01AEC" w14:textId="0B5AAC7D" w:rsidR="0003217D" w:rsidRPr="003A6E5A" w:rsidRDefault="00FC275D" w:rsidP="00466261">
            <w:pPr>
              <w:spacing w:after="0" w:line="240" w:lineRule="auto"/>
              <w:jc w:val="left"/>
              <w:rPr>
                <w:rFonts w:ascii="Times New Roman" w:hAnsi="Times New Roman" w:cs="Times New Roman"/>
                <w:sz w:val="20"/>
                <w:szCs w:val="20"/>
                <w:lang w:val="en-US"/>
              </w:rPr>
            </w:pPr>
            <w:r w:rsidRPr="003A6E5A">
              <w:rPr>
                <w:rFonts w:ascii="Times New Roman" w:eastAsia="SimSun" w:hAnsi="Times New Roman" w:cs="Times New Roman"/>
                <w:sz w:val="20"/>
                <w:szCs w:val="20"/>
              </w:rPr>
              <w:t>Среднее значение зависимой переменной</w:t>
            </w:r>
          </w:p>
        </w:tc>
        <w:tc>
          <w:tcPr>
            <w:tcW w:w="1672" w:type="dxa"/>
            <w:vAlign w:val="center"/>
          </w:tcPr>
          <w:p w14:paraId="16457461"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5485</w:t>
            </w:r>
          </w:p>
        </w:tc>
        <w:tc>
          <w:tcPr>
            <w:tcW w:w="2743" w:type="dxa"/>
            <w:vAlign w:val="center"/>
          </w:tcPr>
          <w:p w14:paraId="4D1B956C" w14:textId="6B6617D7" w:rsidR="0003217D" w:rsidRPr="003A6E5A" w:rsidRDefault="00FC275D" w:rsidP="00B52569">
            <w:pPr>
              <w:spacing w:after="0" w:line="240" w:lineRule="auto"/>
              <w:jc w:val="left"/>
              <w:rPr>
                <w:rFonts w:ascii="Times New Roman" w:hAnsi="Times New Roman" w:cs="Times New Roman"/>
                <w:sz w:val="20"/>
                <w:szCs w:val="20"/>
                <w:lang w:val="kk-KZ"/>
              </w:rPr>
            </w:pPr>
            <w:r w:rsidRPr="003A6E5A">
              <w:rPr>
                <w:rStyle w:val="ab"/>
                <w:rFonts w:ascii="Times New Roman" w:eastAsia="Segoe UI" w:hAnsi="Times New Roman" w:cs="Times New Roman"/>
                <w:b w:val="0"/>
                <w:bCs w:val="0"/>
                <w:sz w:val="20"/>
                <w:szCs w:val="20"/>
                <w:shd w:val="clear" w:color="auto" w:fill="FFFFFF"/>
              </w:rPr>
              <w:t>Число переменных</w:t>
            </w:r>
          </w:p>
        </w:tc>
        <w:tc>
          <w:tcPr>
            <w:tcW w:w="2785" w:type="dxa"/>
            <w:gridSpan w:val="2"/>
            <w:vAlign w:val="center"/>
          </w:tcPr>
          <w:p w14:paraId="36402FA8"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3</w:t>
            </w:r>
          </w:p>
        </w:tc>
      </w:tr>
      <w:tr w:rsidR="00B02CF8" w:rsidRPr="003A6E5A" w14:paraId="55037DB1" w14:textId="77777777" w:rsidTr="00466261">
        <w:trPr>
          <w:jc w:val="center"/>
        </w:trPr>
        <w:tc>
          <w:tcPr>
            <w:tcW w:w="2425" w:type="dxa"/>
            <w:vAlign w:val="center"/>
          </w:tcPr>
          <w:p w14:paraId="29A9A9CC" w14:textId="7F23615A" w:rsidR="0003217D" w:rsidRPr="003A6E5A" w:rsidRDefault="00FC275D" w:rsidP="00466261">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Стандартное отклонение зависимой переменной</w:t>
            </w:r>
          </w:p>
        </w:tc>
        <w:tc>
          <w:tcPr>
            <w:tcW w:w="1672" w:type="dxa"/>
            <w:vAlign w:val="center"/>
          </w:tcPr>
          <w:p w14:paraId="6CE3BB4B"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540114</w:t>
            </w:r>
          </w:p>
        </w:tc>
        <w:tc>
          <w:tcPr>
            <w:tcW w:w="2743" w:type="dxa"/>
            <w:vAlign w:val="center"/>
          </w:tcPr>
          <w:p w14:paraId="77951152" w14:textId="46AD963B" w:rsidR="0003217D" w:rsidRPr="003A6E5A" w:rsidRDefault="00FC275D" w:rsidP="00B52569">
            <w:pPr>
              <w:spacing w:after="0" w:line="240" w:lineRule="auto"/>
              <w:jc w:val="left"/>
              <w:rPr>
                <w:rFonts w:ascii="Times New Roman" w:hAnsi="Times New Roman" w:cs="Times New Roman"/>
                <w:sz w:val="20"/>
                <w:szCs w:val="20"/>
                <w:lang w:val="kk-KZ"/>
              </w:rPr>
            </w:pPr>
            <w:r w:rsidRPr="003A6E5A">
              <w:rPr>
                <w:rFonts w:ascii="Times New Roman" w:eastAsia="SimSun" w:hAnsi="Times New Roman" w:cs="Times New Roman"/>
                <w:sz w:val="20"/>
                <w:szCs w:val="20"/>
              </w:rPr>
              <w:t>Степени свободы</w:t>
            </w:r>
          </w:p>
        </w:tc>
        <w:tc>
          <w:tcPr>
            <w:tcW w:w="2785" w:type="dxa"/>
            <w:gridSpan w:val="2"/>
            <w:vAlign w:val="center"/>
          </w:tcPr>
          <w:p w14:paraId="2CC67857"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17</w:t>
            </w:r>
          </w:p>
        </w:tc>
      </w:tr>
      <w:tr w:rsidR="00B02CF8" w:rsidRPr="003A6E5A" w14:paraId="79274508" w14:textId="77777777" w:rsidTr="00B52569">
        <w:trPr>
          <w:jc w:val="center"/>
        </w:trPr>
        <w:tc>
          <w:tcPr>
            <w:tcW w:w="2425" w:type="dxa"/>
            <w:vAlign w:val="center"/>
          </w:tcPr>
          <w:p w14:paraId="01F9D236" w14:textId="77777777" w:rsidR="0003217D" w:rsidRPr="003A6E5A" w:rsidRDefault="00FC275D" w:rsidP="008D0085">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lang w:val="kk-KZ"/>
              </w:rPr>
              <w:t>К</w:t>
            </w:r>
            <w:r w:rsidRPr="003A6E5A">
              <w:rPr>
                <w:rFonts w:ascii="Times New Roman" w:hAnsi="Times New Roman" w:cs="Times New Roman"/>
                <w:sz w:val="20"/>
                <w:szCs w:val="20"/>
              </w:rPr>
              <w:t>оэффициент детерминации (</w:t>
            </w:r>
            <m:oMath>
              <m:sSup>
                <m:sSupPr>
                  <m:ctrlPr>
                    <w:rPr>
                      <w:rFonts w:ascii="Cambria Math" w:hAnsi="Cambria Math" w:cs="Times New Roman"/>
                      <w:i/>
                      <w:sz w:val="20"/>
                      <w:szCs w:val="20"/>
                    </w:rPr>
                  </m:ctrlPr>
                </m:sSupPr>
                <m:e>
                  <m:r>
                    <w:rPr>
                      <w:rFonts w:ascii="Cambria Math" w:hAnsi="Cambria Math" w:cs="Times New Roman"/>
                      <w:sz w:val="20"/>
                      <w:szCs w:val="20"/>
                      <w:lang w:val="en-US"/>
                    </w:rPr>
                    <m:t>R</m:t>
                  </m:r>
                </m:e>
                <m:sup>
                  <m:r>
                    <w:rPr>
                      <w:rFonts w:ascii="Cambria Math" w:hAnsi="Cambria Math" w:cs="Times New Roman"/>
                      <w:sz w:val="20"/>
                      <w:szCs w:val="20"/>
                      <w:lang w:val="en-US"/>
                    </w:rPr>
                    <m:t>2</m:t>
                  </m:r>
                </m:sup>
              </m:sSup>
            </m:oMath>
            <w:r w:rsidRPr="003A6E5A">
              <w:rPr>
                <w:rFonts w:ascii="Times New Roman" w:hAnsi="Times New Roman" w:cs="Times New Roman"/>
                <w:sz w:val="20"/>
                <w:szCs w:val="20"/>
                <w:lang w:val="kk-KZ"/>
              </w:rPr>
              <w:t>)</w:t>
            </w:r>
          </w:p>
        </w:tc>
        <w:tc>
          <w:tcPr>
            <w:tcW w:w="1672" w:type="dxa"/>
            <w:vAlign w:val="center"/>
          </w:tcPr>
          <w:p w14:paraId="68020C19"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583945</w:t>
            </w:r>
          </w:p>
        </w:tc>
        <w:tc>
          <w:tcPr>
            <w:tcW w:w="2743" w:type="dxa"/>
            <w:vAlign w:val="center"/>
          </w:tcPr>
          <w:p w14:paraId="31971AEA" w14:textId="462B741C" w:rsidR="0003217D" w:rsidRPr="003A6E5A" w:rsidRDefault="0066428F" w:rsidP="00B52569">
            <w:pPr>
              <w:spacing w:after="0" w:line="240" w:lineRule="auto"/>
              <w:jc w:val="left"/>
              <w:rPr>
                <w:rFonts w:ascii="Times New Roman" w:hAnsi="Times New Roman" w:cs="Times New Roman"/>
                <w:sz w:val="20"/>
                <w:szCs w:val="20"/>
                <w:lang w:val="kk-KZ"/>
              </w:rPr>
            </w:pPr>
            <m:oMath>
              <m:r>
                <w:rPr>
                  <w:rFonts w:ascii="Cambria Math" w:eastAsia="SimSun" w:hAnsi="Cambria Math" w:cs="Times New Roman"/>
                  <w:sz w:val="20"/>
                  <w:szCs w:val="20"/>
                  <w:lang w:val="kk-KZ"/>
                </w:rPr>
                <m:t>F</m:t>
              </m:r>
              <m:r>
                <w:rPr>
                  <w:rFonts w:ascii="Cambria Math" w:eastAsia="SimSun" w:hAnsi="Cambria Math" w:cs="Times New Roman"/>
                  <w:sz w:val="20"/>
                  <w:szCs w:val="20"/>
                  <w:lang w:val="en-US"/>
                </w:rPr>
                <m:t>-</m:t>
              </m:r>
            </m:oMath>
            <w:r w:rsidRPr="003A6E5A">
              <w:rPr>
                <w:rFonts w:ascii="Times New Roman" w:eastAsia="SimSun" w:hAnsi="Times New Roman" w:cs="Times New Roman"/>
                <w:sz w:val="20"/>
                <w:szCs w:val="20"/>
                <w:lang w:val="kk-KZ"/>
              </w:rPr>
              <w:t>с</w:t>
            </w:r>
            <w:r w:rsidR="00FC275D" w:rsidRPr="003A6E5A">
              <w:rPr>
                <w:rFonts w:ascii="Times New Roman" w:eastAsia="SimSun" w:hAnsi="Times New Roman" w:cs="Times New Roman"/>
                <w:sz w:val="20"/>
                <w:szCs w:val="20"/>
              </w:rPr>
              <w:t>татистик</w:t>
            </w:r>
            <w:r w:rsidRPr="003A6E5A">
              <w:rPr>
                <w:rFonts w:ascii="Times New Roman" w:eastAsia="SimSun" w:hAnsi="Times New Roman" w:cs="Times New Roman"/>
                <w:sz w:val="20"/>
                <w:szCs w:val="20"/>
                <w:lang w:val="kk-KZ"/>
              </w:rPr>
              <w:t>а</w:t>
            </w:r>
          </w:p>
        </w:tc>
        <w:tc>
          <w:tcPr>
            <w:tcW w:w="2785" w:type="dxa"/>
            <w:gridSpan w:val="2"/>
            <w:vAlign w:val="center"/>
          </w:tcPr>
          <w:p w14:paraId="0CF048D8"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11,9302</w:t>
            </w:r>
          </w:p>
        </w:tc>
      </w:tr>
      <w:tr w:rsidR="00B02CF8" w:rsidRPr="003A6E5A" w14:paraId="79B40A7D" w14:textId="77777777" w:rsidTr="00B52569">
        <w:trPr>
          <w:jc w:val="center"/>
        </w:trPr>
        <w:tc>
          <w:tcPr>
            <w:tcW w:w="2425" w:type="dxa"/>
            <w:vAlign w:val="center"/>
          </w:tcPr>
          <w:p w14:paraId="72903771" w14:textId="77777777" w:rsidR="0003217D" w:rsidRPr="003A6E5A" w:rsidRDefault="00FC275D" w:rsidP="008D0085">
            <w:pPr>
              <w:spacing w:after="0" w:line="240" w:lineRule="auto"/>
              <w:jc w:val="left"/>
              <w:rPr>
                <w:rFonts w:ascii="Times New Roman" w:hAnsi="Times New Roman" w:cs="Times New Roman"/>
                <w:sz w:val="20"/>
                <w:szCs w:val="20"/>
              </w:rPr>
            </w:pPr>
            <w:r w:rsidRPr="003A6E5A">
              <w:rPr>
                <w:rStyle w:val="ab"/>
                <w:rFonts w:ascii="Times New Roman" w:eastAsia="SimSun" w:hAnsi="Times New Roman" w:cs="Times New Roman"/>
                <w:b w:val="0"/>
                <w:bCs w:val="0"/>
                <w:sz w:val="20"/>
                <w:szCs w:val="20"/>
              </w:rPr>
              <w:t xml:space="preserve">Скорректированный </w:t>
            </w:r>
            <m:oMath>
              <m:sSup>
                <m:sSupPr>
                  <m:ctrlPr>
                    <w:rPr>
                      <w:rFonts w:ascii="Cambria Math" w:hAnsi="Cambria Math" w:cs="Times New Roman"/>
                      <w:i/>
                      <w:sz w:val="20"/>
                      <w:szCs w:val="20"/>
                    </w:rPr>
                  </m:ctrlPr>
                </m:sSupPr>
                <m:e>
                  <m:r>
                    <w:rPr>
                      <w:rFonts w:ascii="Cambria Math" w:hAnsi="Cambria Math" w:cs="Times New Roman"/>
                      <w:sz w:val="20"/>
                      <w:szCs w:val="20"/>
                      <w:lang w:val="en-US"/>
                    </w:rPr>
                    <m:t>R</m:t>
                  </m:r>
                </m:e>
                <m:sup>
                  <m:r>
                    <w:rPr>
                      <w:rFonts w:ascii="Cambria Math" w:hAnsi="Cambria Math" w:cs="Times New Roman"/>
                      <w:sz w:val="20"/>
                      <w:szCs w:val="20"/>
                      <w:lang w:val="en-US"/>
                    </w:rPr>
                    <m:t>2</m:t>
                  </m:r>
                </m:sup>
              </m:sSup>
            </m:oMath>
          </w:p>
        </w:tc>
        <w:tc>
          <w:tcPr>
            <w:tcW w:w="1672" w:type="dxa"/>
            <w:vAlign w:val="center"/>
          </w:tcPr>
          <w:p w14:paraId="21ABEDDA"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535052</w:t>
            </w:r>
          </w:p>
        </w:tc>
        <w:tc>
          <w:tcPr>
            <w:tcW w:w="2743" w:type="dxa"/>
            <w:vAlign w:val="center"/>
          </w:tcPr>
          <w:p w14:paraId="5BD08B27" w14:textId="1584C41C" w:rsidR="0003217D" w:rsidRPr="003A6E5A" w:rsidRDefault="00FC275D" w:rsidP="00B52569">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 xml:space="preserve">Вероятность </w:t>
            </w:r>
            <m:oMath>
              <m:r>
                <w:rPr>
                  <w:rStyle w:val="ab"/>
                  <w:rFonts w:ascii="Cambria Math" w:eastAsia="SimSun" w:hAnsi="Cambria Math" w:cs="Times New Roman"/>
                  <w:sz w:val="20"/>
                  <w:szCs w:val="20"/>
                </w:rPr>
                <m:t>F</m:t>
              </m:r>
              <m:r>
                <w:rPr>
                  <w:rStyle w:val="ab"/>
                  <w:rFonts w:ascii="Cambria Math" w:eastAsia="SimSun" w:hAnsi="Cambria Math" w:cs="Times New Roman"/>
                  <w:sz w:val="20"/>
                  <w:szCs w:val="20"/>
                  <w:lang w:val="en-US"/>
                </w:rPr>
                <m:t>-</m:t>
              </m:r>
            </m:oMath>
            <w:r w:rsidRPr="003A6E5A">
              <w:rPr>
                <w:rStyle w:val="ab"/>
                <w:rFonts w:ascii="Times New Roman" w:eastAsia="SimSun" w:hAnsi="Times New Roman" w:cs="Times New Roman"/>
                <w:b w:val="0"/>
                <w:bCs w:val="0"/>
                <w:sz w:val="20"/>
                <w:szCs w:val="20"/>
              </w:rPr>
              <w:t>статистики</w:t>
            </w:r>
          </w:p>
        </w:tc>
        <w:tc>
          <w:tcPr>
            <w:tcW w:w="2785" w:type="dxa"/>
            <w:gridSpan w:val="2"/>
            <w:vAlign w:val="center"/>
          </w:tcPr>
          <w:p w14:paraId="6A773187"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000579093</w:t>
            </w:r>
          </w:p>
        </w:tc>
      </w:tr>
      <w:tr w:rsidR="00B02CF8" w:rsidRPr="003A6E5A" w14:paraId="54E3B286" w14:textId="77777777" w:rsidTr="00B52569">
        <w:trPr>
          <w:jc w:val="center"/>
        </w:trPr>
        <w:tc>
          <w:tcPr>
            <w:tcW w:w="2425" w:type="dxa"/>
            <w:vAlign w:val="center"/>
          </w:tcPr>
          <w:p w14:paraId="0B0366AF" w14:textId="1A4C8F0E" w:rsidR="0003217D" w:rsidRPr="003A6E5A" w:rsidRDefault="00FC275D" w:rsidP="008D0085">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Сумма квадратов остатков</w:t>
            </w:r>
          </w:p>
        </w:tc>
        <w:tc>
          <w:tcPr>
            <w:tcW w:w="1672" w:type="dxa"/>
            <w:vAlign w:val="center"/>
          </w:tcPr>
          <w:p w14:paraId="1C86F210"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42743</w:t>
            </w:r>
          </w:p>
        </w:tc>
        <w:tc>
          <w:tcPr>
            <w:tcW w:w="2743" w:type="dxa"/>
            <w:vAlign w:val="center"/>
          </w:tcPr>
          <w:p w14:paraId="000102EB" w14:textId="21642783" w:rsidR="0003217D" w:rsidRPr="003A6E5A" w:rsidRDefault="00FC275D" w:rsidP="00B52569">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Логарифм правдоподобия</w:t>
            </w:r>
          </w:p>
        </w:tc>
        <w:tc>
          <w:tcPr>
            <w:tcW w:w="2785" w:type="dxa"/>
            <w:gridSpan w:val="2"/>
            <w:vAlign w:val="center"/>
          </w:tcPr>
          <w:p w14:paraId="41D9A034"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-7</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28979</w:t>
            </w:r>
          </w:p>
        </w:tc>
      </w:tr>
      <w:tr w:rsidR="00B02CF8" w:rsidRPr="003A6E5A" w14:paraId="7BF68B1F" w14:textId="77777777" w:rsidTr="0066428F">
        <w:trPr>
          <w:jc w:val="center"/>
        </w:trPr>
        <w:tc>
          <w:tcPr>
            <w:tcW w:w="2425" w:type="dxa"/>
            <w:vAlign w:val="center"/>
          </w:tcPr>
          <w:p w14:paraId="3E4498E5" w14:textId="0618C3FC" w:rsidR="0003217D" w:rsidRPr="003A6E5A" w:rsidRDefault="00FC275D" w:rsidP="008D0085">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Дисперсия ошибок (Sigma-square)</w:t>
            </w:r>
          </w:p>
        </w:tc>
        <w:tc>
          <w:tcPr>
            <w:tcW w:w="1672" w:type="dxa"/>
            <w:vAlign w:val="center"/>
          </w:tcPr>
          <w:p w14:paraId="68AA5757"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0,14279</w:t>
            </w:r>
          </w:p>
        </w:tc>
        <w:tc>
          <w:tcPr>
            <w:tcW w:w="2743" w:type="dxa"/>
            <w:vAlign w:val="center"/>
          </w:tcPr>
          <w:p w14:paraId="69E58FC0" w14:textId="7834A0F3" w:rsidR="0003217D" w:rsidRPr="003A6E5A" w:rsidRDefault="0066428F" w:rsidP="0066428F">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lang w:val="kk-KZ"/>
              </w:rPr>
              <w:t>Критерий Акаике</w:t>
            </w:r>
          </w:p>
        </w:tc>
        <w:tc>
          <w:tcPr>
            <w:tcW w:w="2785" w:type="dxa"/>
            <w:gridSpan w:val="2"/>
            <w:vAlign w:val="center"/>
          </w:tcPr>
          <w:p w14:paraId="26C8AF37"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5796</w:t>
            </w:r>
          </w:p>
        </w:tc>
      </w:tr>
      <w:tr w:rsidR="00B02CF8" w:rsidRPr="003A6E5A" w14:paraId="153A1433" w14:textId="77777777" w:rsidTr="00B52569">
        <w:trPr>
          <w:jc w:val="center"/>
        </w:trPr>
        <w:tc>
          <w:tcPr>
            <w:tcW w:w="2425" w:type="dxa"/>
            <w:vAlign w:val="center"/>
          </w:tcPr>
          <w:p w14:paraId="3C4422AB" w14:textId="77777777" w:rsidR="0003217D" w:rsidRPr="003A6E5A" w:rsidRDefault="00FC275D" w:rsidP="008D0085">
            <w:pPr>
              <w:spacing w:after="0" w:line="240" w:lineRule="auto"/>
              <w:jc w:val="left"/>
              <w:rPr>
                <w:rFonts w:ascii="Times New Roman" w:hAnsi="Times New Roman" w:cs="Times New Roman"/>
                <w:sz w:val="20"/>
                <w:szCs w:val="20"/>
              </w:rPr>
            </w:pPr>
            <w:r w:rsidRPr="003A6E5A">
              <w:rPr>
                <w:rStyle w:val="ab"/>
                <w:rFonts w:ascii="Times New Roman" w:eastAsia="SimSun" w:hAnsi="Times New Roman" w:cs="Times New Roman"/>
                <w:b w:val="0"/>
                <w:bCs w:val="0"/>
                <w:sz w:val="20"/>
                <w:szCs w:val="20"/>
              </w:rPr>
              <w:t>Стандартная ошибка регрессии:</w:t>
            </w:r>
          </w:p>
        </w:tc>
        <w:tc>
          <w:tcPr>
            <w:tcW w:w="1672" w:type="dxa"/>
            <w:vAlign w:val="center"/>
          </w:tcPr>
          <w:p w14:paraId="1CF2BE15"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377876</w:t>
            </w:r>
          </w:p>
        </w:tc>
        <w:tc>
          <w:tcPr>
            <w:tcW w:w="2743" w:type="dxa"/>
            <w:vAlign w:val="center"/>
          </w:tcPr>
          <w:p w14:paraId="2772FBCE" w14:textId="160F7E1F" w:rsidR="0003217D" w:rsidRPr="003A6E5A" w:rsidRDefault="00FC275D" w:rsidP="00B52569">
            <w:pPr>
              <w:spacing w:after="0" w:line="240" w:lineRule="auto"/>
              <w:jc w:val="left"/>
              <w:rPr>
                <w:rFonts w:ascii="Times New Roman" w:hAnsi="Times New Roman" w:cs="Times New Roman"/>
                <w:sz w:val="20"/>
                <w:szCs w:val="20"/>
                <w:lang w:val="kk-KZ"/>
              </w:rPr>
            </w:pPr>
            <w:r w:rsidRPr="003A6E5A">
              <w:rPr>
                <w:rStyle w:val="ab"/>
                <w:rFonts w:ascii="Times New Roman" w:eastAsia="SimSun" w:hAnsi="Times New Roman" w:cs="Times New Roman"/>
                <w:b w:val="0"/>
                <w:bCs w:val="0"/>
                <w:sz w:val="20"/>
                <w:szCs w:val="20"/>
              </w:rPr>
              <w:t>Критерий Шварца (SC)</w:t>
            </w:r>
          </w:p>
        </w:tc>
        <w:tc>
          <w:tcPr>
            <w:tcW w:w="2785" w:type="dxa"/>
            <w:gridSpan w:val="2"/>
            <w:vAlign w:val="center"/>
          </w:tcPr>
          <w:p w14:paraId="0132CEF4"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23</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5668</w:t>
            </w:r>
          </w:p>
        </w:tc>
      </w:tr>
      <w:tr w:rsidR="00B02CF8" w:rsidRPr="003A6E5A" w14:paraId="2791B11D" w14:textId="77777777" w:rsidTr="008D0085">
        <w:trPr>
          <w:jc w:val="center"/>
        </w:trPr>
        <w:tc>
          <w:tcPr>
            <w:tcW w:w="2425" w:type="dxa"/>
            <w:vAlign w:val="center"/>
          </w:tcPr>
          <w:p w14:paraId="7025ACC9" w14:textId="3097F561" w:rsidR="0003217D" w:rsidRPr="003A6E5A" w:rsidRDefault="00FC275D" w:rsidP="008D0085">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Дисперсия по ML</w:t>
            </w:r>
          </w:p>
        </w:tc>
        <w:tc>
          <w:tcPr>
            <w:tcW w:w="1672" w:type="dxa"/>
            <w:vAlign w:val="center"/>
          </w:tcPr>
          <w:p w14:paraId="70629291"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121372</w:t>
            </w:r>
          </w:p>
        </w:tc>
        <w:tc>
          <w:tcPr>
            <w:tcW w:w="2743" w:type="dxa"/>
            <w:vAlign w:val="center"/>
          </w:tcPr>
          <w:p w14:paraId="109DAA5B" w14:textId="77777777" w:rsidR="0003217D" w:rsidRPr="003A6E5A" w:rsidRDefault="0003217D" w:rsidP="0049208B">
            <w:pPr>
              <w:spacing w:after="0" w:line="240" w:lineRule="auto"/>
              <w:jc w:val="center"/>
              <w:rPr>
                <w:rFonts w:ascii="Times New Roman" w:hAnsi="Times New Roman" w:cs="Times New Roman"/>
                <w:sz w:val="20"/>
                <w:szCs w:val="20"/>
              </w:rPr>
            </w:pPr>
          </w:p>
        </w:tc>
        <w:tc>
          <w:tcPr>
            <w:tcW w:w="2785" w:type="dxa"/>
            <w:gridSpan w:val="2"/>
            <w:vAlign w:val="center"/>
          </w:tcPr>
          <w:p w14:paraId="0B9D2B45" w14:textId="77777777" w:rsidR="0003217D" w:rsidRPr="003A6E5A" w:rsidRDefault="0003217D" w:rsidP="0049208B">
            <w:pPr>
              <w:spacing w:after="0" w:line="240" w:lineRule="auto"/>
              <w:jc w:val="center"/>
              <w:rPr>
                <w:rFonts w:ascii="Times New Roman" w:hAnsi="Times New Roman" w:cs="Times New Roman"/>
                <w:sz w:val="20"/>
                <w:szCs w:val="20"/>
              </w:rPr>
            </w:pPr>
          </w:p>
        </w:tc>
      </w:tr>
      <w:tr w:rsidR="00B02CF8" w:rsidRPr="003A6E5A" w14:paraId="0F8A643E" w14:textId="77777777" w:rsidTr="008D0085">
        <w:trPr>
          <w:jc w:val="center"/>
        </w:trPr>
        <w:tc>
          <w:tcPr>
            <w:tcW w:w="2425" w:type="dxa"/>
            <w:vAlign w:val="center"/>
          </w:tcPr>
          <w:p w14:paraId="1B445E1C" w14:textId="50AD4608" w:rsidR="0003217D" w:rsidRPr="003A6E5A" w:rsidRDefault="00FC275D" w:rsidP="008D0085">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S.E. по ML</w:t>
            </w:r>
          </w:p>
        </w:tc>
        <w:tc>
          <w:tcPr>
            <w:tcW w:w="1672" w:type="dxa"/>
            <w:vAlign w:val="center"/>
          </w:tcPr>
          <w:p w14:paraId="28DB10F8"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348384</w:t>
            </w:r>
          </w:p>
        </w:tc>
        <w:tc>
          <w:tcPr>
            <w:tcW w:w="2743" w:type="dxa"/>
            <w:vAlign w:val="center"/>
          </w:tcPr>
          <w:p w14:paraId="7726C7CB" w14:textId="77777777" w:rsidR="0003217D" w:rsidRPr="003A6E5A" w:rsidRDefault="0003217D" w:rsidP="0049208B">
            <w:pPr>
              <w:spacing w:after="0" w:line="240" w:lineRule="auto"/>
              <w:jc w:val="center"/>
              <w:rPr>
                <w:rFonts w:ascii="Times New Roman" w:hAnsi="Times New Roman" w:cs="Times New Roman"/>
                <w:sz w:val="20"/>
                <w:szCs w:val="20"/>
              </w:rPr>
            </w:pPr>
          </w:p>
        </w:tc>
        <w:tc>
          <w:tcPr>
            <w:tcW w:w="2785" w:type="dxa"/>
            <w:gridSpan w:val="2"/>
            <w:vAlign w:val="center"/>
          </w:tcPr>
          <w:p w14:paraId="25CB9E73" w14:textId="77777777" w:rsidR="0003217D" w:rsidRPr="003A6E5A" w:rsidRDefault="0003217D" w:rsidP="0049208B">
            <w:pPr>
              <w:spacing w:after="0" w:line="240" w:lineRule="auto"/>
              <w:jc w:val="center"/>
              <w:rPr>
                <w:rFonts w:ascii="Times New Roman" w:hAnsi="Times New Roman" w:cs="Times New Roman"/>
                <w:sz w:val="20"/>
                <w:szCs w:val="20"/>
              </w:rPr>
            </w:pPr>
          </w:p>
        </w:tc>
      </w:tr>
      <w:tr w:rsidR="00B02CF8" w:rsidRPr="003A6E5A" w14:paraId="31E4340B" w14:textId="77777777" w:rsidTr="0049208B">
        <w:trPr>
          <w:jc w:val="center"/>
        </w:trPr>
        <w:tc>
          <w:tcPr>
            <w:tcW w:w="9625" w:type="dxa"/>
            <w:gridSpan w:val="5"/>
            <w:vAlign w:val="center"/>
          </w:tcPr>
          <w:p w14:paraId="4B34566B"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Коэффициенты регрессии:</w:t>
            </w:r>
          </w:p>
        </w:tc>
      </w:tr>
      <w:tr w:rsidR="00B02CF8" w:rsidRPr="003A6E5A" w14:paraId="7E8B4C91" w14:textId="77777777" w:rsidTr="0049208B">
        <w:trPr>
          <w:jc w:val="center"/>
        </w:trPr>
        <w:tc>
          <w:tcPr>
            <w:tcW w:w="2425" w:type="dxa"/>
            <w:vAlign w:val="center"/>
          </w:tcPr>
          <w:p w14:paraId="1AAD566D" w14:textId="77777777" w:rsidR="0003217D" w:rsidRPr="003A6E5A" w:rsidRDefault="00FC275D" w:rsidP="0049208B">
            <w:pPr>
              <w:spacing w:after="0" w:line="240" w:lineRule="auto"/>
              <w:jc w:val="center"/>
              <w:rPr>
                <w:rStyle w:val="ab"/>
                <w:rFonts w:ascii="Times New Roman" w:eastAsia="SimSun" w:hAnsi="Times New Roman" w:cs="Times New Roman"/>
                <w:b w:val="0"/>
                <w:bCs w:val="0"/>
                <w:sz w:val="20"/>
                <w:szCs w:val="20"/>
              </w:rPr>
            </w:pPr>
            <w:r w:rsidRPr="003A6E5A">
              <w:rPr>
                <w:rStyle w:val="ab"/>
                <w:rFonts w:ascii="Times New Roman" w:eastAsia="SimSun" w:hAnsi="Times New Roman" w:cs="Times New Roman"/>
                <w:b w:val="0"/>
                <w:bCs w:val="0"/>
                <w:sz w:val="20"/>
                <w:szCs w:val="20"/>
              </w:rPr>
              <w:t>Переменная</w:t>
            </w:r>
          </w:p>
        </w:tc>
        <w:tc>
          <w:tcPr>
            <w:tcW w:w="1672" w:type="dxa"/>
            <w:vAlign w:val="center"/>
          </w:tcPr>
          <w:p w14:paraId="06D95191" w14:textId="77777777" w:rsidR="0003217D" w:rsidRPr="003A6E5A" w:rsidRDefault="00FC275D" w:rsidP="0049208B">
            <w:pPr>
              <w:spacing w:after="0" w:line="240" w:lineRule="auto"/>
              <w:jc w:val="center"/>
              <w:rPr>
                <w:rFonts w:ascii="Times New Roman" w:eastAsia="SimSun" w:hAnsi="Times New Roman" w:cs="Times New Roman"/>
                <w:sz w:val="20"/>
                <w:szCs w:val="20"/>
              </w:rPr>
            </w:pPr>
            <w:r w:rsidRPr="003A6E5A">
              <w:rPr>
                <w:rFonts w:ascii="Times New Roman" w:eastAsia="SimSun" w:hAnsi="Times New Roman" w:cs="Times New Roman"/>
                <w:sz w:val="20"/>
                <w:szCs w:val="20"/>
              </w:rPr>
              <w:t>Коэффициент</w:t>
            </w:r>
          </w:p>
        </w:tc>
        <w:tc>
          <w:tcPr>
            <w:tcW w:w="2743" w:type="dxa"/>
            <w:vAlign w:val="center"/>
          </w:tcPr>
          <w:p w14:paraId="5A1AE378"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Ст. ошибка</w:t>
            </w:r>
          </w:p>
        </w:tc>
        <w:tc>
          <w:tcPr>
            <w:tcW w:w="1281" w:type="dxa"/>
            <w:vAlign w:val="center"/>
          </w:tcPr>
          <w:p w14:paraId="54954A7C"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t-статистика</w:t>
            </w:r>
          </w:p>
        </w:tc>
        <w:tc>
          <w:tcPr>
            <w:tcW w:w="1504" w:type="dxa"/>
            <w:vAlign w:val="center"/>
          </w:tcPr>
          <w:p w14:paraId="7725C1DE" w14:textId="17E96F02" w:rsidR="0003217D" w:rsidRPr="003A6E5A" w:rsidRDefault="00EA1E6D" w:rsidP="0049208B">
            <w:pPr>
              <w:spacing w:after="0" w:line="240" w:lineRule="auto"/>
              <w:jc w:val="center"/>
              <w:rPr>
                <w:rFonts w:ascii="Times New Roman" w:hAnsi="Times New Roman" w:cs="Times New Roman"/>
                <w:sz w:val="20"/>
                <w:szCs w:val="20"/>
                <w:lang w:val="kk-KZ"/>
              </w:rPr>
            </w:pPr>
            <m:oMath>
              <m:r>
                <w:rPr>
                  <w:rFonts w:ascii="Cambria Math" w:hAnsi="Cambria Math" w:cs="Times New Roman"/>
                  <w:sz w:val="20"/>
                  <w:szCs w:val="20"/>
                  <w:lang w:val="kk-KZ"/>
                </w:rPr>
                <m:t>P</m:t>
              </m:r>
            </m:oMath>
            <w:r w:rsidR="00FC275D" w:rsidRPr="003A6E5A">
              <w:rPr>
                <w:rFonts w:ascii="Times New Roman" w:hAnsi="Times New Roman" w:cs="Times New Roman"/>
                <w:sz w:val="20"/>
                <w:szCs w:val="20"/>
                <w:lang w:val="kk-KZ"/>
              </w:rPr>
              <w:t>-значение</w:t>
            </w:r>
          </w:p>
        </w:tc>
      </w:tr>
      <w:tr w:rsidR="00B02CF8" w:rsidRPr="003A6E5A" w14:paraId="1934A4F2" w14:textId="77777777" w:rsidTr="008D0085">
        <w:trPr>
          <w:jc w:val="center"/>
        </w:trPr>
        <w:tc>
          <w:tcPr>
            <w:tcW w:w="2425" w:type="dxa"/>
            <w:vAlign w:val="center"/>
          </w:tcPr>
          <w:p w14:paraId="41055EAC" w14:textId="77777777" w:rsidR="0003217D" w:rsidRPr="003A6E5A" w:rsidRDefault="00FC275D" w:rsidP="008D0085">
            <w:pPr>
              <w:spacing w:after="0" w:line="240" w:lineRule="auto"/>
              <w:jc w:val="left"/>
              <w:rPr>
                <w:rStyle w:val="ab"/>
                <w:rFonts w:ascii="Times New Roman" w:eastAsia="SimSun" w:hAnsi="Times New Roman" w:cs="Times New Roman"/>
                <w:b w:val="0"/>
                <w:bCs w:val="0"/>
                <w:sz w:val="20"/>
                <w:szCs w:val="20"/>
              </w:rPr>
            </w:pPr>
            <w:r w:rsidRPr="003A6E5A">
              <w:rPr>
                <w:rStyle w:val="ab"/>
                <w:rFonts w:ascii="Times New Roman" w:eastAsia="SimSun" w:hAnsi="Times New Roman" w:cs="Times New Roman"/>
                <w:b w:val="0"/>
                <w:bCs w:val="0"/>
                <w:sz w:val="20"/>
                <w:szCs w:val="20"/>
              </w:rPr>
              <w:t>Константа</w:t>
            </w:r>
          </w:p>
        </w:tc>
        <w:tc>
          <w:tcPr>
            <w:tcW w:w="1672" w:type="dxa"/>
            <w:vAlign w:val="center"/>
          </w:tcPr>
          <w:p w14:paraId="060DBA0A" w14:textId="77777777" w:rsidR="0003217D" w:rsidRPr="003A6E5A" w:rsidRDefault="00FC275D" w:rsidP="0049208B">
            <w:pPr>
              <w:spacing w:after="0" w:line="240" w:lineRule="auto"/>
              <w:jc w:val="center"/>
              <w:rPr>
                <w:rFonts w:ascii="Times New Roman" w:eastAsia="SimSun" w:hAnsi="Times New Roman" w:cs="Times New Roman"/>
                <w:sz w:val="20"/>
                <w:szCs w:val="20"/>
              </w:rPr>
            </w:pPr>
            <w:r w:rsidRPr="003A6E5A">
              <w:rPr>
                <w:rFonts w:ascii="Times New Roman" w:eastAsia="SimSun" w:hAnsi="Times New Roman" w:cs="Times New Roman"/>
                <w:sz w:val="20"/>
                <w:szCs w:val="20"/>
              </w:rPr>
              <w:t>13</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5686</w:t>
            </w:r>
          </w:p>
        </w:tc>
        <w:tc>
          <w:tcPr>
            <w:tcW w:w="2743" w:type="dxa"/>
            <w:vAlign w:val="center"/>
          </w:tcPr>
          <w:p w14:paraId="57A6C508"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1684</w:t>
            </w:r>
          </w:p>
        </w:tc>
        <w:tc>
          <w:tcPr>
            <w:tcW w:w="1281" w:type="dxa"/>
            <w:vAlign w:val="center"/>
          </w:tcPr>
          <w:p w14:paraId="33E1B4F9"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6</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25743</w:t>
            </w:r>
          </w:p>
        </w:tc>
        <w:tc>
          <w:tcPr>
            <w:tcW w:w="1504" w:type="dxa"/>
            <w:vAlign w:val="center"/>
          </w:tcPr>
          <w:p w14:paraId="74E891F7"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00001</w:t>
            </w:r>
          </w:p>
        </w:tc>
      </w:tr>
      <w:tr w:rsidR="00B02CF8" w:rsidRPr="003A6E5A" w14:paraId="2D53A9C8" w14:textId="77777777" w:rsidTr="008D0085">
        <w:trPr>
          <w:jc w:val="center"/>
        </w:trPr>
        <w:tc>
          <w:tcPr>
            <w:tcW w:w="2425" w:type="dxa"/>
            <w:vAlign w:val="center"/>
          </w:tcPr>
          <w:p w14:paraId="13A8A744" w14:textId="77777777" w:rsidR="0003217D" w:rsidRPr="003A6E5A" w:rsidRDefault="00FC275D" w:rsidP="008D0085">
            <w:pPr>
              <w:spacing w:after="0" w:line="240" w:lineRule="auto"/>
              <w:jc w:val="left"/>
              <w:rPr>
                <w:rStyle w:val="ab"/>
                <w:rFonts w:ascii="Times New Roman" w:eastAsia="SimSun" w:hAnsi="Times New Roman" w:cs="Times New Roman"/>
                <w:b w:val="0"/>
                <w:bCs w:val="0"/>
                <w:sz w:val="20"/>
                <w:szCs w:val="20"/>
              </w:rPr>
            </w:pPr>
            <w:r w:rsidRPr="003A6E5A">
              <w:rPr>
                <w:rFonts w:ascii="Times New Roman" w:eastAsia="SimSun" w:hAnsi="Times New Roman" w:cs="Times New Roman"/>
                <w:sz w:val="20"/>
                <w:szCs w:val="20"/>
              </w:rPr>
              <w:t>LnPERD</w:t>
            </w:r>
          </w:p>
        </w:tc>
        <w:tc>
          <w:tcPr>
            <w:tcW w:w="1672" w:type="dxa"/>
            <w:vAlign w:val="center"/>
          </w:tcPr>
          <w:p w14:paraId="48259CE4" w14:textId="77777777" w:rsidR="0003217D" w:rsidRPr="003A6E5A" w:rsidRDefault="00FC275D" w:rsidP="0049208B">
            <w:pPr>
              <w:spacing w:after="0" w:line="240" w:lineRule="auto"/>
              <w:jc w:val="center"/>
              <w:rPr>
                <w:rFonts w:ascii="Times New Roman" w:eastAsia="SimSu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259889</w:t>
            </w:r>
          </w:p>
        </w:tc>
        <w:tc>
          <w:tcPr>
            <w:tcW w:w="2743" w:type="dxa"/>
            <w:vAlign w:val="center"/>
          </w:tcPr>
          <w:p w14:paraId="6600B1B7"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0627373</w:t>
            </w:r>
          </w:p>
        </w:tc>
        <w:tc>
          <w:tcPr>
            <w:tcW w:w="1281" w:type="dxa"/>
            <w:vAlign w:val="center"/>
          </w:tcPr>
          <w:p w14:paraId="43AE9FFC"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4</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1425</w:t>
            </w:r>
          </w:p>
        </w:tc>
        <w:tc>
          <w:tcPr>
            <w:tcW w:w="1504" w:type="dxa"/>
            <w:vAlign w:val="center"/>
          </w:tcPr>
          <w:p w14:paraId="1D3C4C9B"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00068</w:t>
            </w:r>
          </w:p>
        </w:tc>
      </w:tr>
      <w:tr w:rsidR="00B02CF8" w:rsidRPr="003A6E5A" w14:paraId="05FE0E93" w14:textId="77777777" w:rsidTr="008D0085">
        <w:trPr>
          <w:jc w:val="center"/>
        </w:trPr>
        <w:tc>
          <w:tcPr>
            <w:tcW w:w="2425" w:type="dxa"/>
            <w:vAlign w:val="center"/>
          </w:tcPr>
          <w:p w14:paraId="7DA51E77" w14:textId="77777777" w:rsidR="0003217D" w:rsidRPr="003A6E5A" w:rsidRDefault="00FC275D" w:rsidP="008D0085">
            <w:pPr>
              <w:spacing w:after="0" w:line="240" w:lineRule="auto"/>
              <w:jc w:val="left"/>
              <w:rPr>
                <w:rStyle w:val="ab"/>
                <w:rFonts w:ascii="Times New Roman" w:eastAsia="SimSun" w:hAnsi="Times New Roman" w:cs="Times New Roman"/>
                <w:b w:val="0"/>
                <w:bCs w:val="0"/>
                <w:sz w:val="20"/>
                <w:szCs w:val="20"/>
              </w:rPr>
            </w:pPr>
            <w:r w:rsidRPr="003A6E5A">
              <w:rPr>
                <w:rFonts w:ascii="Times New Roman" w:eastAsia="SimSun" w:hAnsi="Times New Roman" w:cs="Times New Roman"/>
                <w:sz w:val="20"/>
                <w:szCs w:val="20"/>
              </w:rPr>
              <w:t>LnAMNW</w:t>
            </w:r>
          </w:p>
        </w:tc>
        <w:tc>
          <w:tcPr>
            <w:tcW w:w="1672" w:type="dxa"/>
            <w:vAlign w:val="center"/>
          </w:tcPr>
          <w:p w14:paraId="428EC001" w14:textId="77777777" w:rsidR="0003217D" w:rsidRPr="003A6E5A" w:rsidRDefault="00FC275D" w:rsidP="0049208B">
            <w:pPr>
              <w:spacing w:after="0" w:line="240" w:lineRule="auto"/>
              <w:jc w:val="center"/>
              <w:rPr>
                <w:rFonts w:ascii="Times New Roman" w:eastAsia="SimSu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897916</w:t>
            </w:r>
          </w:p>
        </w:tc>
        <w:tc>
          <w:tcPr>
            <w:tcW w:w="2743" w:type="dxa"/>
            <w:vAlign w:val="center"/>
          </w:tcPr>
          <w:p w14:paraId="7968BB1B"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360512</w:t>
            </w:r>
          </w:p>
        </w:tc>
        <w:tc>
          <w:tcPr>
            <w:tcW w:w="1281" w:type="dxa"/>
            <w:vAlign w:val="center"/>
          </w:tcPr>
          <w:p w14:paraId="41DEE55B"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49067</w:t>
            </w:r>
          </w:p>
        </w:tc>
        <w:tc>
          <w:tcPr>
            <w:tcW w:w="1504" w:type="dxa"/>
            <w:vAlign w:val="center"/>
          </w:tcPr>
          <w:p w14:paraId="1F11B94A"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02339</w:t>
            </w:r>
          </w:p>
        </w:tc>
      </w:tr>
      <w:tr w:rsidR="00B02CF8" w:rsidRPr="003A6E5A" w14:paraId="5342EFE9" w14:textId="77777777" w:rsidTr="0049208B">
        <w:trPr>
          <w:jc w:val="center"/>
        </w:trPr>
        <w:tc>
          <w:tcPr>
            <w:tcW w:w="9625" w:type="dxa"/>
            <w:gridSpan w:val="5"/>
            <w:vAlign w:val="center"/>
          </w:tcPr>
          <w:p w14:paraId="7E81C3D6"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Диагностика регрессии:</w:t>
            </w:r>
          </w:p>
        </w:tc>
      </w:tr>
      <w:tr w:rsidR="00B02CF8" w:rsidRPr="003A6E5A" w14:paraId="317A94B7" w14:textId="77777777" w:rsidTr="0049208B">
        <w:trPr>
          <w:jc w:val="center"/>
        </w:trPr>
        <w:tc>
          <w:tcPr>
            <w:tcW w:w="9625" w:type="dxa"/>
            <w:gridSpan w:val="5"/>
            <w:vAlign w:val="center"/>
          </w:tcPr>
          <w:p w14:paraId="49FAB18F"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Style w:val="ab"/>
                <w:rFonts w:ascii="Times New Roman" w:eastAsia="SimSun" w:hAnsi="Times New Roman" w:cs="Times New Roman"/>
                <w:b w:val="0"/>
                <w:bCs w:val="0"/>
                <w:sz w:val="20"/>
                <w:szCs w:val="20"/>
              </w:rPr>
              <w:t>Число обусловленности (на мультиколлинеарность):</w:t>
            </w:r>
            <w:r w:rsidRPr="003A6E5A">
              <w:rPr>
                <w:rStyle w:val="ab"/>
                <w:rFonts w:ascii="Times New Roman" w:eastAsia="SimSun" w:hAnsi="Times New Roman" w:cs="Times New Roman"/>
                <w:b w:val="0"/>
                <w:bCs w:val="0"/>
                <w:sz w:val="20"/>
                <w:szCs w:val="20"/>
                <w:lang w:val="kk-KZ"/>
              </w:rPr>
              <w:t xml:space="preserve"> </w:t>
            </w:r>
            <w:r w:rsidRPr="003A6E5A">
              <w:rPr>
                <w:rFonts w:ascii="Times New Roman" w:eastAsia="SimSun" w:hAnsi="Times New Roman" w:cs="Times New Roman"/>
                <w:sz w:val="20"/>
                <w:szCs w:val="20"/>
              </w:rPr>
              <w:t>61</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875556</w:t>
            </w:r>
          </w:p>
        </w:tc>
      </w:tr>
      <w:tr w:rsidR="00B02CF8" w:rsidRPr="003A6E5A" w14:paraId="355C1796" w14:textId="77777777" w:rsidTr="0049208B">
        <w:trPr>
          <w:trHeight w:val="318"/>
          <w:jc w:val="center"/>
        </w:trPr>
        <w:tc>
          <w:tcPr>
            <w:tcW w:w="9625" w:type="dxa"/>
            <w:gridSpan w:val="5"/>
            <w:vAlign w:val="center"/>
          </w:tcPr>
          <w:p w14:paraId="46A7FB2F" w14:textId="61AE9CAB"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Тест на нормальность ошибок:</w:t>
            </w:r>
          </w:p>
        </w:tc>
      </w:tr>
      <w:tr w:rsidR="00B02CF8" w:rsidRPr="003A6E5A" w14:paraId="30D90B0E" w14:textId="77777777" w:rsidTr="0049208B">
        <w:trPr>
          <w:jc w:val="center"/>
        </w:trPr>
        <w:tc>
          <w:tcPr>
            <w:tcW w:w="2425" w:type="dxa"/>
            <w:vAlign w:val="center"/>
          </w:tcPr>
          <w:p w14:paraId="2901A358" w14:textId="77777777" w:rsidR="0003217D" w:rsidRPr="003A6E5A" w:rsidRDefault="00FC275D" w:rsidP="0049208B">
            <w:pPr>
              <w:spacing w:after="0" w:line="240" w:lineRule="auto"/>
              <w:jc w:val="center"/>
              <w:rPr>
                <w:rStyle w:val="ab"/>
                <w:rFonts w:ascii="Times New Roman" w:eastAsia="SimSun" w:hAnsi="Times New Roman" w:cs="Times New Roman"/>
                <w:b w:val="0"/>
                <w:bCs w:val="0"/>
                <w:sz w:val="20"/>
                <w:szCs w:val="20"/>
                <w:lang w:val="kk-KZ"/>
              </w:rPr>
            </w:pPr>
            <w:r w:rsidRPr="003A6E5A">
              <w:rPr>
                <w:rStyle w:val="ab"/>
                <w:rFonts w:ascii="Times New Roman" w:eastAsia="SimSun" w:hAnsi="Times New Roman" w:cs="Times New Roman"/>
                <w:b w:val="0"/>
                <w:bCs w:val="0"/>
                <w:sz w:val="20"/>
                <w:szCs w:val="20"/>
                <w:lang w:val="kk-KZ"/>
              </w:rPr>
              <w:t>Тест</w:t>
            </w:r>
          </w:p>
        </w:tc>
        <w:tc>
          <w:tcPr>
            <w:tcW w:w="1672" w:type="dxa"/>
            <w:vAlign w:val="center"/>
          </w:tcPr>
          <w:p w14:paraId="3EE4363E"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Степени свободы</w:t>
            </w:r>
          </w:p>
        </w:tc>
        <w:tc>
          <w:tcPr>
            <w:tcW w:w="2743" w:type="dxa"/>
            <w:vAlign w:val="center"/>
          </w:tcPr>
          <w:p w14:paraId="5401C91B"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Значение</w:t>
            </w:r>
          </w:p>
        </w:tc>
        <w:tc>
          <w:tcPr>
            <w:tcW w:w="2785" w:type="dxa"/>
            <w:gridSpan w:val="2"/>
            <w:vAlign w:val="center"/>
          </w:tcPr>
          <w:p w14:paraId="638CEFD1" w14:textId="704C4767" w:rsidR="0003217D" w:rsidRPr="003A6E5A" w:rsidRDefault="00EA1E6D" w:rsidP="0049208B">
            <w:pPr>
              <w:spacing w:after="0" w:line="240" w:lineRule="auto"/>
              <w:jc w:val="center"/>
              <w:rPr>
                <w:rFonts w:ascii="Times New Roman" w:hAnsi="Times New Roman" w:cs="Times New Roman"/>
                <w:sz w:val="20"/>
                <w:szCs w:val="20"/>
                <w:lang w:val="en-US"/>
              </w:rPr>
            </w:pPr>
            <m:oMath>
              <m:r>
                <w:rPr>
                  <w:rFonts w:ascii="Cambria Math" w:hAnsi="Cambria Math" w:cs="Times New Roman"/>
                  <w:sz w:val="20"/>
                  <w:szCs w:val="20"/>
                  <w:lang w:val="kk-KZ"/>
                </w:rPr>
                <m:t>P</m:t>
              </m:r>
            </m:oMath>
            <w:r w:rsidRPr="003A6E5A">
              <w:rPr>
                <w:rFonts w:ascii="Times New Roman" w:hAnsi="Times New Roman" w:cs="Times New Roman"/>
                <w:sz w:val="20"/>
                <w:szCs w:val="20"/>
                <w:lang w:val="kk-KZ"/>
              </w:rPr>
              <w:t>-значение</w:t>
            </w:r>
          </w:p>
        </w:tc>
      </w:tr>
      <w:tr w:rsidR="00B02CF8" w:rsidRPr="003A6E5A" w14:paraId="40129D1D" w14:textId="77777777" w:rsidTr="008D0085">
        <w:trPr>
          <w:trHeight w:val="90"/>
          <w:jc w:val="center"/>
        </w:trPr>
        <w:tc>
          <w:tcPr>
            <w:tcW w:w="2425" w:type="dxa"/>
            <w:vAlign w:val="center"/>
          </w:tcPr>
          <w:p w14:paraId="1189E1AB" w14:textId="77777777" w:rsidR="0003217D" w:rsidRPr="003A6E5A" w:rsidRDefault="00FC275D" w:rsidP="008D0085">
            <w:pPr>
              <w:spacing w:after="0" w:line="240" w:lineRule="auto"/>
              <w:jc w:val="left"/>
              <w:rPr>
                <w:rStyle w:val="ab"/>
                <w:rFonts w:ascii="Times New Roman" w:eastAsia="SimSun" w:hAnsi="Times New Roman" w:cs="Times New Roman"/>
                <w:b w:val="0"/>
                <w:bCs w:val="0"/>
                <w:sz w:val="20"/>
                <w:szCs w:val="20"/>
              </w:rPr>
            </w:pPr>
            <w:r w:rsidRPr="003A6E5A">
              <w:rPr>
                <w:rStyle w:val="ab"/>
                <w:rFonts w:ascii="Times New Roman" w:eastAsia="SimSun" w:hAnsi="Times New Roman" w:cs="Times New Roman"/>
                <w:b w:val="0"/>
                <w:bCs w:val="0"/>
                <w:sz w:val="20"/>
                <w:szCs w:val="20"/>
              </w:rPr>
              <w:t>Джарка-Берра</w:t>
            </w:r>
          </w:p>
        </w:tc>
        <w:tc>
          <w:tcPr>
            <w:tcW w:w="1672" w:type="dxa"/>
            <w:vAlign w:val="center"/>
          </w:tcPr>
          <w:p w14:paraId="71A31ED5"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2</w:t>
            </w:r>
          </w:p>
        </w:tc>
        <w:tc>
          <w:tcPr>
            <w:tcW w:w="2743" w:type="dxa"/>
            <w:vAlign w:val="center"/>
          </w:tcPr>
          <w:p w14:paraId="19E2B6AF"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1,3684</w:t>
            </w:r>
          </w:p>
        </w:tc>
        <w:tc>
          <w:tcPr>
            <w:tcW w:w="2785" w:type="dxa"/>
            <w:gridSpan w:val="2"/>
            <w:vAlign w:val="center"/>
          </w:tcPr>
          <w:p w14:paraId="2987213B" w14:textId="77777777" w:rsidR="0003217D" w:rsidRPr="003A6E5A" w:rsidRDefault="00FC275D" w:rsidP="0049208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kk-KZ"/>
              </w:rPr>
              <w:t>0,50448</w:t>
            </w:r>
          </w:p>
        </w:tc>
      </w:tr>
      <w:tr w:rsidR="00B02CF8" w:rsidRPr="003A6E5A" w14:paraId="2E6656E0" w14:textId="77777777" w:rsidTr="0049208B">
        <w:trPr>
          <w:jc w:val="center"/>
        </w:trPr>
        <w:tc>
          <w:tcPr>
            <w:tcW w:w="9625" w:type="dxa"/>
            <w:gridSpan w:val="5"/>
            <w:vAlign w:val="center"/>
          </w:tcPr>
          <w:p w14:paraId="252242B8"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Диагностика на гетероскедастичность:</w:t>
            </w:r>
          </w:p>
        </w:tc>
      </w:tr>
      <w:tr w:rsidR="00B02CF8" w:rsidRPr="003A6E5A" w14:paraId="0192185A" w14:textId="77777777" w:rsidTr="0049208B">
        <w:trPr>
          <w:jc w:val="center"/>
        </w:trPr>
        <w:tc>
          <w:tcPr>
            <w:tcW w:w="9625" w:type="dxa"/>
            <w:gridSpan w:val="5"/>
            <w:vAlign w:val="center"/>
          </w:tcPr>
          <w:p w14:paraId="271F9489"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Случайные коэффициенты:</w:t>
            </w:r>
          </w:p>
        </w:tc>
      </w:tr>
      <w:tr w:rsidR="00B02CF8" w:rsidRPr="003A6E5A" w14:paraId="2AB05D42" w14:textId="77777777" w:rsidTr="0049208B">
        <w:trPr>
          <w:jc w:val="center"/>
        </w:trPr>
        <w:tc>
          <w:tcPr>
            <w:tcW w:w="2425" w:type="dxa"/>
            <w:vAlign w:val="center"/>
          </w:tcPr>
          <w:p w14:paraId="5CBCDA3C"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Style w:val="ab"/>
                <w:rFonts w:ascii="Times New Roman" w:eastAsia="SimSun" w:hAnsi="Times New Roman" w:cs="Times New Roman"/>
                <w:b w:val="0"/>
                <w:bCs w:val="0"/>
                <w:sz w:val="20"/>
                <w:szCs w:val="20"/>
                <w:lang w:val="kk-KZ"/>
              </w:rPr>
              <w:t>Тест</w:t>
            </w:r>
          </w:p>
        </w:tc>
        <w:tc>
          <w:tcPr>
            <w:tcW w:w="1672" w:type="dxa"/>
            <w:vAlign w:val="center"/>
          </w:tcPr>
          <w:p w14:paraId="540D09B6"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Степени свободы</w:t>
            </w:r>
          </w:p>
        </w:tc>
        <w:tc>
          <w:tcPr>
            <w:tcW w:w="2743" w:type="dxa"/>
            <w:vAlign w:val="center"/>
          </w:tcPr>
          <w:p w14:paraId="133A6F39"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Значение</w:t>
            </w:r>
          </w:p>
        </w:tc>
        <w:tc>
          <w:tcPr>
            <w:tcW w:w="2785" w:type="dxa"/>
            <w:gridSpan w:val="2"/>
            <w:vAlign w:val="center"/>
          </w:tcPr>
          <w:p w14:paraId="43C9AAF5" w14:textId="08F7A417" w:rsidR="0003217D" w:rsidRPr="003A6E5A" w:rsidRDefault="00EA1E6D" w:rsidP="0049208B">
            <w:pPr>
              <w:spacing w:after="0" w:line="240" w:lineRule="auto"/>
              <w:jc w:val="center"/>
              <w:rPr>
                <w:rFonts w:ascii="Times New Roman" w:hAnsi="Times New Roman" w:cs="Times New Roman"/>
                <w:sz w:val="20"/>
                <w:szCs w:val="20"/>
                <w:lang w:val="en-US"/>
              </w:rPr>
            </w:pPr>
            <m:oMath>
              <m:r>
                <w:rPr>
                  <w:rFonts w:ascii="Cambria Math" w:hAnsi="Cambria Math" w:cs="Times New Roman"/>
                  <w:sz w:val="20"/>
                  <w:szCs w:val="20"/>
                  <w:lang w:val="kk-KZ"/>
                </w:rPr>
                <m:t>P</m:t>
              </m:r>
            </m:oMath>
            <w:r w:rsidRPr="003A6E5A">
              <w:rPr>
                <w:rFonts w:ascii="Times New Roman" w:hAnsi="Times New Roman" w:cs="Times New Roman"/>
                <w:sz w:val="20"/>
                <w:szCs w:val="20"/>
                <w:lang w:val="kk-KZ"/>
              </w:rPr>
              <w:t>-значение</w:t>
            </w:r>
          </w:p>
        </w:tc>
      </w:tr>
      <w:tr w:rsidR="00B02CF8" w:rsidRPr="003A6E5A" w14:paraId="55C87AD7" w14:textId="77777777" w:rsidTr="008D0085">
        <w:trPr>
          <w:jc w:val="center"/>
        </w:trPr>
        <w:tc>
          <w:tcPr>
            <w:tcW w:w="2425" w:type="dxa"/>
            <w:vAlign w:val="center"/>
          </w:tcPr>
          <w:p w14:paraId="4AF6882A" w14:textId="77777777" w:rsidR="0003217D" w:rsidRPr="003A6E5A" w:rsidRDefault="00FC275D" w:rsidP="008D0085">
            <w:pPr>
              <w:spacing w:after="0" w:line="240" w:lineRule="auto"/>
              <w:jc w:val="left"/>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Т</w:t>
            </w:r>
            <w:r w:rsidRPr="003A6E5A">
              <w:rPr>
                <w:rFonts w:ascii="Times New Roman" w:eastAsia="SimSun" w:hAnsi="Times New Roman" w:cs="Times New Roman"/>
                <w:sz w:val="20"/>
                <w:szCs w:val="20"/>
              </w:rPr>
              <w:t>ест</w:t>
            </w:r>
            <w:r w:rsidRPr="003A6E5A">
              <w:rPr>
                <w:rFonts w:ascii="Times New Roman" w:eastAsia="SimSun" w:hAnsi="Times New Roman" w:cs="Times New Roman"/>
                <w:sz w:val="20"/>
                <w:szCs w:val="20"/>
                <w:lang w:val="kk-KZ"/>
              </w:rPr>
              <w:t xml:space="preserve"> Бреуша-Пагана</w:t>
            </w:r>
          </w:p>
        </w:tc>
        <w:tc>
          <w:tcPr>
            <w:tcW w:w="1672" w:type="dxa"/>
            <w:vAlign w:val="center"/>
          </w:tcPr>
          <w:p w14:paraId="6ED28F44"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2</w:t>
            </w:r>
          </w:p>
        </w:tc>
        <w:tc>
          <w:tcPr>
            <w:tcW w:w="2743" w:type="dxa"/>
            <w:vAlign w:val="center"/>
          </w:tcPr>
          <w:p w14:paraId="1ECF2601"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5</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6877</w:t>
            </w:r>
          </w:p>
        </w:tc>
        <w:tc>
          <w:tcPr>
            <w:tcW w:w="2785" w:type="dxa"/>
            <w:gridSpan w:val="2"/>
            <w:vAlign w:val="center"/>
          </w:tcPr>
          <w:p w14:paraId="0BF1C969"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05820</w:t>
            </w:r>
          </w:p>
        </w:tc>
      </w:tr>
      <w:tr w:rsidR="00B02CF8" w:rsidRPr="003A6E5A" w14:paraId="19CE6171" w14:textId="77777777" w:rsidTr="008D0085">
        <w:trPr>
          <w:jc w:val="center"/>
        </w:trPr>
        <w:tc>
          <w:tcPr>
            <w:tcW w:w="2425" w:type="dxa"/>
            <w:vAlign w:val="center"/>
          </w:tcPr>
          <w:p w14:paraId="071D5EB4" w14:textId="77777777" w:rsidR="0003217D" w:rsidRPr="003A6E5A" w:rsidRDefault="00FC275D" w:rsidP="008D0085">
            <w:pPr>
              <w:spacing w:after="0" w:line="240" w:lineRule="auto"/>
              <w:jc w:val="left"/>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Т</w:t>
            </w:r>
            <w:r w:rsidRPr="003A6E5A">
              <w:rPr>
                <w:rFonts w:ascii="Times New Roman" w:eastAsia="SimSun" w:hAnsi="Times New Roman" w:cs="Times New Roman"/>
                <w:sz w:val="20"/>
                <w:szCs w:val="20"/>
              </w:rPr>
              <w:t>ест</w:t>
            </w:r>
            <w:r w:rsidRPr="003A6E5A">
              <w:rPr>
                <w:rFonts w:ascii="Times New Roman" w:eastAsia="SimSun" w:hAnsi="Times New Roman" w:cs="Times New Roman"/>
                <w:sz w:val="20"/>
                <w:szCs w:val="20"/>
                <w:lang w:val="kk-KZ"/>
              </w:rPr>
              <w:t xml:space="preserve"> Койенкера-Бассетта</w:t>
            </w:r>
          </w:p>
        </w:tc>
        <w:tc>
          <w:tcPr>
            <w:tcW w:w="1672" w:type="dxa"/>
            <w:vAlign w:val="center"/>
          </w:tcPr>
          <w:p w14:paraId="0CC6D5A4"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2</w:t>
            </w:r>
          </w:p>
        </w:tc>
        <w:tc>
          <w:tcPr>
            <w:tcW w:w="2743" w:type="dxa"/>
            <w:vAlign w:val="center"/>
          </w:tcPr>
          <w:p w14:paraId="42FEBB89"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5</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1630</w:t>
            </w:r>
          </w:p>
        </w:tc>
        <w:tc>
          <w:tcPr>
            <w:tcW w:w="2785" w:type="dxa"/>
            <w:gridSpan w:val="2"/>
            <w:vAlign w:val="center"/>
          </w:tcPr>
          <w:p w14:paraId="416D5122"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07566</w:t>
            </w:r>
          </w:p>
        </w:tc>
      </w:tr>
      <w:tr w:rsidR="00B02CF8" w:rsidRPr="003A6E5A" w14:paraId="5BF3E011" w14:textId="77777777" w:rsidTr="0049208B">
        <w:trPr>
          <w:jc w:val="center"/>
        </w:trPr>
        <w:tc>
          <w:tcPr>
            <w:tcW w:w="9625" w:type="dxa"/>
            <w:gridSpan w:val="5"/>
            <w:vAlign w:val="center"/>
          </w:tcPr>
          <w:p w14:paraId="1D7CE898"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Тест на устойчивость спецификации (</w:t>
            </w:r>
            <w:r w:rsidRPr="003A6E5A">
              <w:rPr>
                <w:rFonts w:ascii="Times New Roman" w:eastAsia="SimSun" w:hAnsi="Times New Roman" w:cs="Times New Roman"/>
                <w:sz w:val="20"/>
                <w:szCs w:val="20"/>
                <w:lang w:val="kk-KZ"/>
              </w:rPr>
              <w:t>тест Уайта</w:t>
            </w:r>
            <w:r w:rsidRPr="003A6E5A">
              <w:rPr>
                <w:rFonts w:ascii="Times New Roman" w:eastAsia="SimSun" w:hAnsi="Times New Roman" w:cs="Times New Roman"/>
                <w:sz w:val="20"/>
                <w:szCs w:val="20"/>
              </w:rPr>
              <w:t>):</w:t>
            </w:r>
          </w:p>
        </w:tc>
      </w:tr>
      <w:tr w:rsidR="00B02CF8" w:rsidRPr="003A6E5A" w14:paraId="64945F31" w14:textId="77777777" w:rsidTr="0049208B">
        <w:trPr>
          <w:jc w:val="center"/>
        </w:trPr>
        <w:tc>
          <w:tcPr>
            <w:tcW w:w="2425" w:type="dxa"/>
            <w:vAlign w:val="center"/>
          </w:tcPr>
          <w:p w14:paraId="35E7C5A4"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Style w:val="ab"/>
                <w:rFonts w:ascii="Times New Roman" w:eastAsia="SimSun" w:hAnsi="Times New Roman" w:cs="Times New Roman"/>
                <w:b w:val="0"/>
                <w:bCs w:val="0"/>
                <w:sz w:val="20"/>
                <w:szCs w:val="20"/>
                <w:lang w:val="kk-KZ"/>
              </w:rPr>
              <w:t>Тест</w:t>
            </w:r>
          </w:p>
        </w:tc>
        <w:tc>
          <w:tcPr>
            <w:tcW w:w="1672" w:type="dxa"/>
            <w:vAlign w:val="center"/>
          </w:tcPr>
          <w:p w14:paraId="1795F9C6"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Степени свободы</w:t>
            </w:r>
          </w:p>
        </w:tc>
        <w:tc>
          <w:tcPr>
            <w:tcW w:w="2743" w:type="dxa"/>
            <w:vAlign w:val="center"/>
          </w:tcPr>
          <w:p w14:paraId="6F9BE88F"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Значение</w:t>
            </w:r>
          </w:p>
        </w:tc>
        <w:tc>
          <w:tcPr>
            <w:tcW w:w="2785" w:type="dxa"/>
            <w:gridSpan w:val="2"/>
            <w:vAlign w:val="center"/>
          </w:tcPr>
          <w:p w14:paraId="4B35A8AA" w14:textId="0671A266" w:rsidR="0003217D" w:rsidRPr="003A6E5A" w:rsidRDefault="00EA1E6D" w:rsidP="0049208B">
            <w:pPr>
              <w:spacing w:after="0" w:line="240" w:lineRule="auto"/>
              <w:jc w:val="center"/>
              <w:rPr>
                <w:rFonts w:ascii="Times New Roman" w:hAnsi="Times New Roman" w:cs="Times New Roman"/>
                <w:sz w:val="20"/>
                <w:szCs w:val="20"/>
                <w:lang w:val="en-US"/>
              </w:rPr>
            </w:pPr>
            <m:oMath>
              <m:r>
                <w:rPr>
                  <w:rFonts w:ascii="Cambria Math" w:hAnsi="Cambria Math" w:cs="Times New Roman"/>
                  <w:sz w:val="20"/>
                  <w:szCs w:val="20"/>
                  <w:lang w:val="kk-KZ"/>
                </w:rPr>
                <m:t>P</m:t>
              </m:r>
            </m:oMath>
            <w:r w:rsidRPr="003A6E5A">
              <w:rPr>
                <w:rFonts w:ascii="Times New Roman" w:hAnsi="Times New Roman" w:cs="Times New Roman"/>
                <w:sz w:val="20"/>
                <w:szCs w:val="20"/>
                <w:lang w:val="kk-KZ"/>
              </w:rPr>
              <w:t>-значение</w:t>
            </w:r>
          </w:p>
        </w:tc>
      </w:tr>
      <w:tr w:rsidR="00B02CF8" w:rsidRPr="003A6E5A" w14:paraId="1C23A93C" w14:textId="77777777" w:rsidTr="0049208B">
        <w:trPr>
          <w:jc w:val="center"/>
        </w:trPr>
        <w:tc>
          <w:tcPr>
            <w:tcW w:w="2425" w:type="dxa"/>
            <w:vAlign w:val="center"/>
          </w:tcPr>
          <w:p w14:paraId="2B14C80C"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Уайта</w:t>
            </w:r>
          </w:p>
        </w:tc>
        <w:tc>
          <w:tcPr>
            <w:tcW w:w="1672" w:type="dxa"/>
            <w:vAlign w:val="center"/>
          </w:tcPr>
          <w:p w14:paraId="574B47C1"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5</w:t>
            </w:r>
          </w:p>
        </w:tc>
        <w:tc>
          <w:tcPr>
            <w:tcW w:w="2743" w:type="dxa"/>
            <w:vAlign w:val="center"/>
          </w:tcPr>
          <w:p w14:paraId="7E0C9751"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11</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0179</w:t>
            </w:r>
          </w:p>
        </w:tc>
        <w:tc>
          <w:tcPr>
            <w:tcW w:w="2785" w:type="dxa"/>
            <w:gridSpan w:val="2"/>
            <w:vAlign w:val="center"/>
          </w:tcPr>
          <w:p w14:paraId="44160752"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05103</w:t>
            </w:r>
          </w:p>
        </w:tc>
      </w:tr>
      <w:tr w:rsidR="00B02CF8" w:rsidRPr="003A6E5A" w14:paraId="5089DE25" w14:textId="77777777" w:rsidTr="0049208B">
        <w:trPr>
          <w:jc w:val="center"/>
        </w:trPr>
        <w:tc>
          <w:tcPr>
            <w:tcW w:w="9625" w:type="dxa"/>
            <w:gridSpan w:val="5"/>
            <w:vAlign w:val="center"/>
          </w:tcPr>
          <w:p w14:paraId="3116BE28" w14:textId="01266DA4" w:rsidR="0003217D" w:rsidRPr="003A6E5A" w:rsidRDefault="00FC275D" w:rsidP="00F069AE">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Диагностика пространственной зависимости</w:t>
            </w:r>
          </w:p>
        </w:tc>
      </w:tr>
      <w:tr w:rsidR="00B02CF8" w:rsidRPr="003A6E5A" w14:paraId="16ABCE3D" w14:textId="77777777" w:rsidTr="0049208B">
        <w:trPr>
          <w:jc w:val="center"/>
        </w:trPr>
        <w:tc>
          <w:tcPr>
            <w:tcW w:w="2425" w:type="dxa"/>
            <w:vAlign w:val="center"/>
          </w:tcPr>
          <w:p w14:paraId="541C1492"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Style w:val="ab"/>
                <w:rFonts w:ascii="Times New Roman" w:eastAsia="SimSun" w:hAnsi="Times New Roman" w:cs="Times New Roman"/>
                <w:b w:val="0"/>
                <w:bCs w:val="0"/>
                <w:sz w:val="20"/>
                <w:szCs w:val="20"/>
                <w:lang w:val="kk-KZ"/>
              </w:rPr>
              <w:t>Тест</w:t>
            </w:r>
          </w:p>
        </w:tc>
        <w:tc>
          <w:tcPr>
            <w:tcW w:w="1672" w:type="dxa"/>
            <w:vAlign w:val="center"/>
          </w:tcPr>
          <w:p w14:paraId="544E0ACA"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MI/Степени свободы</w:t>
            </w:r>
          </w:p>
        </w:tc>
        <w:tc>
          <w:tcPr>
            <w:tcW w:w="2743" w:type="dxa"/>
            <w:vAlign w:val="center"/>
          </w:tcPr>
          <w:p w14:paraId="5100DAD9"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Значение</w:t>
            </w:r>
          </w:p>
        </w:tc>
        <w:tc>
          <w:tcPr>
            <w:tcW w:w="2785" w:type="dxa"/>
            <w:gridSpan w:val="2"/>
            <w:vAlign w:val="center"/>
          </w:tcPr>
          <w:p w14:paraId="28D88D27" w14:textId="0A095155" w:rsidR="0003217D" w:rsidRPr="003A6E5A" w:rsidRDefault="00EA1E6D" w:rsidP="0049208B">
            <w:pPr>
              <w:spacing w:after="0" w:line="240" w:lineRule="auto"/>
              <w:jc w:val="center"/>
              <w:rPr>
                <w:rFonts w:ascii="Times New Roman" w:hAnsi="Times New Roman" w:cs="Times New Roman"/>
                <w:sz w:val="20"/>
                <w:szCs w:val="20"/>
                <w:lang w:val="en-US"/>
              </w:rPr>
            </w:pPr>
            <m:oMath>
              <m:r>
                <w:rPr>
                  <w:rFonts w:ascii="Cambria Math" w:hAnsi="Cambria Math" w:cs="Times New Roman"/>
                  <w:sz w:val="20"/>
                  <w:szCs w:val="20"/>
                  <w:lang w:val="kk-KZ"/>
                </w:rPr>
                <m:t>P</m:t>
              </m:r>
            </m:oMath>
            <w:r w:rsidRPr="003A6E5A">
              <w:rPr>
                <w:rFonts w:ascii="Times New Roman" w:hAnsi="Times New Roman" w:cs="Times New Roman"/>
                <w:sz w:val="20"/>
                <w:szCs w:val="20"/>
                <w:lang w:val="kk-KZ"/>
              </w:rPr>
              <w:t>-значение</w:t>
            </w:r>
          </w:p>
        </w:tc>
      </w:tr>
      <w:tr w:rsidR="00B02CF8" w:rsidRPr="003A6E5A" w14:paraId="3F11A1DC" w14:textId="77777777" w:rsidTr="008D0085">
        <w:trPr>
          <w:jc w:val="center"/>
        </w:trPr>
        <w:tc>
          <w:tcPr>
            <w:tcW w:w="2425" w:type="dxa"/>
            <w:vAlign w:val="center"/>
          </w:tcPr>
          <w:p w14:paraId="5813AF0F" w14:textId="77777777" w:rsidR="0003217D" w:rsidRPr="003A6E5A" w:rsidRDefault="00FC275D" w:rsidP="008D0085">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lang w:val="kk-KZ"/>
              </w:rPr>
              <w:t>Морана</w:t>
            </w:r>
            <w:r w:rsidRPr="003A6E5A">
              <w:rPr>
                <w:rFonts w:ascii="Times New Roman" w:eastAsia="SimSun" w:hAnsi="Times New Roman" w:cs="Times New Roman"/>
                <w:sz w:val="20"/>
                <w:szCs w:val="20"/>
              </w:rPr>
              <w:t xml:space="preserve"> (ошибки)</w:t>
            </w:r>
          </w:p>
        </w:tc>
        <w:tc>
          <w:tcPr>
            <w:tcW w:w="1672" w:type="dxa"/>
            <w:vAlign w:val="center"/>
          </w:tcPr>
          <w:p w14:paraId="062FB56F"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3386</w:t>
            </w:r>
          </w:p>
        </w:tc>
        <w:tc>
          <w:tcPr>
            <w:tcW w:w="2743" w:type="dxa"/>
            <w:vAlign w:val="center"/>
          </w:tcPr>
          <w:p w14:paraId="6F5014C6"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-1</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6052</w:t>
            </w:r>
          </w:p>
        </w:tc>
        <w:tc>
          <w:tcPr>
            <w:tcW w:w="2785" w:type="dxa"/>
            <w:gridSpan w:val="2"/>
            <w:vAlign w:val="center"/>
          </w:tcPr>
          <w:p w14:paraId="6E39EBA2"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10845</w:t>
            </w:r>
          </w:p>
        </w:tc>
      </w:tr>
      <w:tr w:rsidR="00B02CF8" w:rsidRPr="003A6E5A" w14:paraId="526E0C72" w14:textId="77777777" w:rsidTr="008D0085">
        <w:trPr>
          <w:jc w:val="center"/>
        </w:trPr>
        <w:tc>
          <w:tcPr>
            <w:tcW w:w="2425" w:type="dxa"/>
            <w:vAlign w:val="center"/>
          </w:tcPr>
          <w:p w14:paraId="227B4014" w14:textId="77777777" w:rsidR="0003217D" w:rsidRPr="003A6E5A" w:rsidRDefault="00FC275D" w:rsidP="008D0085">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Лагранжев множитель (лаг)</w:t>
            </w:r>
          </w:p>
        </w:tc>
        <w:tc>
          <w:tcPr>
            <w:tcW w:w="1672" w:type="dxa"/>
            <w:vAlign w:val="center"/>
          </w:tcPr>
          <w:p w14:paraId="6D55F9DB"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1</w:t>
            </w:r>
          </w:p>
        </w:tc>
        <w:tc>
          <w:tcPr>
            <w:tcW w:w="2743" w:type="dxa"/>
            <w:vAlign w:val="center"/>
          </w:tcPr>
          <w:p w14:paraId="165F486A"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2</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2429</w:t>
            </w:r>
          </w:p>
        </w:tc>
        <w:tc>
          <w:tcPr>
            <w:tcW w:w="2785" w:type="dxa"/>
            <w:gridSpan w:val="2"/>
            <w:vAlign w:val="center"/>
          </w:tcPr>
          <w:p w14:paraId="6069B5BD"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13423</w:t>
            </w:r>
          </w:p>
        </w:tc>
      </w:tr>
      <w:tr w:rsidR="00B02CF8" w:rsidRPr="003A6E5A" w14:paraId="2184C4DE" w14:textId="77777777" w:rsidTr="008D0085">
        <w:trPr>
          <w:jc w:val="center"/>
        </w:trPr>
        <w:tc>
          <w:tcPr>
            <w:tcW w:w="2425" w:type="dxa"/>
            <w:vAlign w:val="center"/>
          </w:tcPr>
          <w:p w14:paraId="62E043C2" w14:textId="77777777" w:rsidR="0003217D" w:rsidRPr="003A6E5A" w:rsidRDefault="00FC275D" w:rsidP="008D0085">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Робастный LM (лаг)</w:t>
            </w:r>
          </w:p>
        </w:tc>
        <w:tc>
          <w:tcPr>
            <w:tcW w:w="1672" w:type="dxa"/>
            <w:vAlign w:val="center"/>
          </w:tcPr>
          <w:p w14:paraId="50945B38"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1</w:t>
            </w:r>
          </w:p>
        </w:tc>
        <w:tc>
          <w:tcPr>
            <w:tcW w:w="2743" w:type="dxa"/>
            <w:vAlign w:val="center"/>
          </w:tcPr>
          <w:p w14:paraId="667C42D7"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0697</w:t>
            </w:r>
          </w:p>
        </w:tc>
        <w:tc>
          <w:tcPr>
            <w:tcW w:w="2785" w:type="dxa"/>
            <w:gridSpan w:val="2"/>
            <w:vAlign w:val="center"/>
          </w:tcPr>
          <w:p w14:paraId="481D2798"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79171</w:t>
            </w:r>
          </w:p>
        </w:tc>
      </w:tr>
      <w:tr w:rsidR="00B02CF8" w:rsidRPr="003A6E5A" w14:paraId="344735C4" w14:textId="77777777" w:rsidTr="008D0085">
        <w:trPr>
          <w:jc w:val="center"/>
        </w:trPr>
        <w:tc>
          <w:tcPr>
            <w:tcW w:w="2425" w:type="dxa"/>
            <w:vAlign w:val="center"/>
          </w:tcPr>
          <w:p w14:paraId="7D813988" w14:textId="77777777" w:rsidR="0003217D" w:rsidRPr="003A6E5A" w:rsidRDefault="00FC275D" w:rsidP="008D0085">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Лагранжев множитель (ошибки)</w:t>
            </w:r>
          </w:p>
        </w:tc>
        <w:tc>
          <w:tcPr>
            <w:tcW w:w="1672" w:type="dxa"/>
            <w:vAlign w:val="center"/>
          </w:tcPr>
          <w:p w14:paraId="61892225"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1</w:t>
            </w:r>
          </w:p>
        </w:tc>
        <w:tc>
          <w:tcPr>
            <w:tcW w:w="2743" w:type="dxa"/>
            <w:vAlign w:val="center"/>
          </w:tcPr>
          <w:p w14:paraId="64EFDC80"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3</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2770</w:t>
            </w:r>
          </w:p>
        </w:tc>
        <w:tc>
          <w:tcPr>
            <w:tcW w:w="2785" w:type="dxa"/>
            <w:gridSpan w:val="2"/>
            <w:vAlign w:val="center"/>
          </w:tcPr>
          <w:p w14:paraId="60EB0C64"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07026</w:t>
            </w:r>
          </w:p>
        </w:tc>
      </w:tr>
      <w:tr w:rsidR="00B02CF8" w:rsidRPr="003A6E5A" w14:paraId="23838666" w14:textId="77777777" w:rsidTr="008D0085">
        <w:trPr>
          <w:jc w:val="center"/>
        </w:trPr>
        <w:tc>
          <w:tcPr>
            <w:tcW w:w="2425" w:type="dxa"/>
            <w:vAlign w:val="center"/>
          </w:tcPr>
          <w:p w14:paraId="2AE66716" w14:textId="77777777" w:rsidR="0003217D" w:rsidRPr="003A6E5A" w:rsidRDefault="00FC275D" w:rsidP="008D0085">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Робастный LM (ошибки)</w:t>
            </w:r>
          </w:p>
        </w:tc>
        <w:tc>
          <w:tcPr>
            <w:tcW w:w="1672" w:type="dxa"/>
            <w:vAlign w:val="center"/>
          </w:tcPr>
          <w:p w14:paraId="640D8A63"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1</w:t>
            </w:r>
          </w:p>
        </w:tc>
        <w:tc>
          <w:tcPr>
            <w:tcW w:w="2743" w:type="dxa"/>
            <w:vAlign w:val="center"/>
          </w:tcPr>
          <w:p w14:paraId="7682D82B"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1</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1039</w:t>
            </w:r>
          </w:p>
        </w:tc>
        <w:tc>
          <w:tcPr>
            <w:tcW w:w="2785" w:type="dxa"/>
            <w:gridSpan w:val="2"/>
            <w:vAlign w:val="center"/>
          </w:tcPr>
          <w:p w14:paraId="14ABF285"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29342</w:t>
            </w:r>
          </w:p>
        </w:tc>
      </w:tr>
      <w:tr w:rsidR="00B02CF8" w:rsidRPr="003A6E5A" w14:paraId="0B04A2AE" w14:textId="77777777" w:rsidTr="008D0085">
        <w:trPr>
          <w:jc w:val="center"/>
        </w:trPr>
        <w:tc>
          <w:tcPr>
            <w:tcW w:w="2425" w:type="dxa"/>
            <w:vAlign w:val="center"/>
          </w:tcPr>
          <w:p w14:paraId="07C7C5BC" w14:textId="77777777" w:rsidR="0003217D" w:rsidRPr="003A6E5A" w:rsidRDefault="00FC275D" w:rsidP="008D0085">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Лагранжев множитель (SARMA)</w:t>
            </w:r>
          </w:p>
        </w:tc>
        <w:tc>
          <w:tcPr>
            <w:tcW w:w="1672" w:type="dxa"/>
            <w:vAlign w:val="center"/>
          </w:tcPr>
          <w:p w14:paraId="15F96623" w14:textId="77777777" w:rsidR="0003217D" w:rsidRPr="003A6E5A" w:rsidRDefault="00FC275D" w:rsidP="0049208B">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2</w:t>
            </w:r>
          </w:p>
        </w:tc>
        <w:tc>
          <w:tcPr>
            <w:tcW w:w="2743" w:type="dxa"/>
            <w:vAlign w:val="center"/>
          </w:tcPr>
          <w:p w14:paraId="1BCFFFF8"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3</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3468</w:t>
            </w:r>
          </w:p>
        </w:tc>
        <w:tc>
          <w:tcPr>
            <w:tcW w:w="2785" w:type="dxa"/>
            <w:gridSpan w:val="2"/>
            <w:vAlign w:val="center"/>
          </w:tcPr>
          <w:p w14:paraId="159B89DD" w14:textId="77777777" w:rsidR="0003217D" w:rsidRPr="003A6E5A" w:rsidRDefault="00FC275D" w:rsidP="0049208B">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18761</w:t>
            </w:r>
          </w:p>
        </w:tc>
      </w:tr>
    </w:tbl>
    <w:p w14:paraId="6BE390E3" w14:textId="0B3DD2D7" w:rsidR="00480632" w:rsidRPr="003A6E5A" w:rsidRDefault="00480632" w:rsidP="00480632">
      <w:pPr>
        <w:spacing w:after="0" w:line="240" w:lineRule="auto"/>
        <w:jc w:val="both"/>
        <w:rPr>
          <w:rFonts w:ascii="Times New Roman" w:hAnsi="Times New Roman" w:cs="Times New Roman"/>
          <w:sz w:val="24"/>
          <w:szCs w:val="24"/>
        </w:rPr>
      </w:pPr>
      <w:r w:rsidRPr="003A6E5A">
        <w:rPr>
          <w:rFonts w:ascii="Times New Roman" w:hAnsi="Times New Roman" w:cs="Times New Roman"/>
          <w:sz w:val="24"/>
          <w:szCs w:val="24"/>
        </w:rPr>
        <w:t xml:space="preserve">Примечание: переменная «LnPERD» – логарифма численности персонала, занятого в сфере </w:t>
      </w:r>
      <w:r w:rsidRPr="003A6E5A">
        <w:rPr>
          <w:rFonts w:ascii="Times New Roman" w:hAnsi="Times New Roman" w:cs="Times New Roman"/>
          <w:sz w:val="24"/>
          <w:szCs w:val="24"/>
          <w:lang w:val="kk-KZ"/>
        </w:rPr>
        <w:t>НИОКР</w:t>
      </w:r>
      <w:r w:rsidRPr="003A6E5A">
        <w:rPr>
          <w:rFonts w:ascii="Times New Roman" w:hAnsi="Times New Roman" w:cs="Times New Roman"/>
          <w:sz w:val="24"/>
          <w:szCs w:val="24"/>
        </w:rPr>
        <w:t>, переменная «LnAMNW» – логарифма среднемесячной номинальной заработной платы.</w:t>
      </w:r>
    </w:p>
    <w:p w14:paraId="4BE193F3" w14:textId="611E71FE" w:rsidR="0003217D" w:rsidRPr="003A6E5A" w:rsidRDefault="004C4949"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в программном обеспечении </w:t>
      </w:r>
      <w:bookmarkStart w:id="32" w:name="_Hlk213311520"/>
      <w:r w:rsidRPr="003A6E5A">
        <w:rPr>
          <w:rFonts w:ascii="Times New Roman" w:hAnsi="Times New Roman" w:cs="Times New Roman"/>
          <w:sz w:val="20"/>
          <w:szCs w:val="20"/>
        </w:rPr>
        <w:t>GeoDa</w:t>
      </w:r>
      <w:bookmarkEnd w:id="32"/>
    </w:p>
    <w:p w14:paraId="6337D50C" w14:textId="77777777" w:rsidR="00566B59" w:rsidRPr="003A6E5A" w:rsidRDefault="00566B59" w:rsidP="00566B59">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lastRenderedPageBreak/>
        <w:t>Полученные коэффициенты при объясняющих переменных «</w:t>
      </w:r>
      <w:r w:rsidRPr="003A6E5A">
        <w:rPr>
          <w:rFonts w:ascii="Times New Roman" w:hAnsi="Times New Roman" w:cs="Times New Roman"/>
          <w:i/>
          <w:iCs/>
          <w:sz w:val="28"/>
          <w:szCs w:val="28"/>
          <w:lang w:val="en-US"/>
        </w:rPr>
        <w:t>LnPERD</w:t>
      </w:r>
      <w:r w:rsidRPr="003A6E5A">
        <w:rPr>
          <w:rFonts w:ascii="Times New Roman" w:hAnsi="Times New Roman" w:cs="Times New Roman"/>
          <w:sz w:val="28"/>
          <w:szCs w:val="28"/>
        </w:rPr>
        <w:t>» и «</w:t>
      </w:r>
      <w:r w:rsidRPr="003A6E5A">
        <w:rPr>
          <w:rFonts w:ascii="Times New Roman" w:hAnsi="Times New Roman" w:cs="Times New Roman"/>
          <w:i/>
          <w:iCs/>
          <w:sz w:val="28"/>
          <w:szCs w:val="28"/>
          <w:lang w:val="en-US"/>
        </w:rPr>
        <w:t>LnAMNW</w:t>
      </w:r>
      <w:r w:rsidRPr="003A6E5A">
        <w:rPr>
          <w:rFonts w:ascii="Times New Roman" w:hAnsi="Times New Roman" w:cs="Times New Roman"/>
          <w:sz w:val="28"/>
          <w:szCs w:val="28"/>
        </w:rPr>
        <w:t>» равны соответственно 0,259 и 0,897.</w:t>
      </w:r>
    </w:p>
    <w:p w14:paraId="2FF7A288" w14:textId="3E81F783" w:rsidR="00D057B9" w:rsidRPr="003A6E5A" w:rsidRDefault="00466261" w:rsidP="00D057B9">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Оценённая МНК модель в таблице </w:t>
      </w:r>
      <w:r w:rsidR="00DF46D3" w:rsidRPr="003A6E5A">
        <w:rPr>
          <w:rFonts w:ascii="Times New Roman" w:hAnsi="Times New Roman" w:cs="Times New Roman"/>
          <w:sz w:val="28"/>
          <w:szCs w:val="28"/>
        </w:rPr>
        <w:t>8</w:t>
      </w:r>
      <w:r w:rsidRPr="003A6E5A">
        <w:rPr>
          <w:rFonts w:ascii="Times New Roman" w:hAnsi="Times New Roman" w:cs="Times New Roman"/>
          <w:sz w:val="28"/>
          <w:szCs w:val="28"/>
        </w:rPr>
        <w:t xml:space="preserve"> демонстрирует приемлемое качество: значение скорректированного коэффициента детерминации около 0,54 указывает на объяснение более половины вариации зависимой переменной включёнными факторами. Значимость </w:t>
      </w:r>
      <m:oMath>
        <m:r>
          <w:rPr>
            <w:rFonts w:ascii="Cambria Math" w:hAnsi="Cambria Math" w:cs="Times New Roman"/>
            <w:sz w:val="28"/>
            <w:szCs w:val="28"/>
          </w:rPr>
          <m:t>F-</m:t>
        </m:r>
      </m:oMath>
      <w:r w:rsidRPr="003A6E5A">
        <w:rPr>
          <w:rFonts w:ascii="Times New Roman" w:hAnsi="Times New Roman" w:cs="Times New Roman"/>
          <w:sz w:val="28"/>
          <w:szCs w:val="28"/>
        </w:rPr>
        <w:t>статистики подтверждает общую адекватность выбранной спецификации модели. При этом коэффициенты при ключевых переменных оказались статистически значимыми, тем самым подтверждая наличие их влияния на зависимую переменную.</w:t>
      </w:r>
      <w:r w:rsidR="00F931F2"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В то же время результаты диагностики выявили отдельные ограничения. Проверка на мультиколлинеарность показала </w:t>
      </w:r>
      <w:r w:rsidR="00F931F2" w:rsidRPr="003A6E5A">
        <w:rPr>
          <w:rFonts w:ascii="Times New Roman" w:hAnsi="Times New Roman" w:cs="Times New Roman"/>
          <w:sz w:val="28"/>
          <w:szCs w:val="28"/>
          <w:lang w:val="kk-KZ"/>
        </w:rPr>
        <w:t>значение</w:t>
      </w:r>
      <w:r w:rsidRPr="003A6E5A">
        <w:rPr>
          <w:rFonts w:ascii="Times New Roman" w:hAnsi="Times New Roman" w:cs="Times New Roman"/>
          <w:sz w:val="28"/>
          <w:szCs w:val="28"/>
        </w:rPr>
        <w:t xml:space="preserve"> 61,9, свидетельствующее о наличии умеренной, но не критической взаимосвязи между объясняющими переменными. Тест Джарка–Бера </w:t>
      </w:r>
      <w:r w:rsidR="00F931F2" w:rsidRPr="003A6E5A">
        <w:rPr>
          <w:rFonts w:ascii="Times New Roman" w:hAnsi="Times New Roman" w:cs="Times New Roman"/>
          <w:sz w:val="28"/>
          <w:szCs w:val="28"/>
          <w:lang w:val="kk-KZ"/>
        </w:rPr>
        <w:t xml:space="preserve">также </w:t>
      </w:r>
      <w:r w:rsidRPr="003A6E5A">
        <w:rPr>
          <w:rFonts w:ascii="Times New Roman" w:hAnsi="Times New Roman" w:cs="Times New Roman"/>
          <w:sz w:val="28"/>
          <w:szCs w:val="28"/>
        </w:rPr>
        <w:t xml:space="preserve">подтвердил нормальность распределения ошибок, позволяя применять стандартные выводы классической регрессии. Однако тесты на гетероскедастичность (Бройша–Пагана, Куонкера–Бассетта и Уайта) дали </w:t>
      </w:r>
      <m:oMath>
        <m:r>
          <w:rPr>
            <w:rFonts w:ascii="Cambria Math" w:hAnsi="Cambria Math" w:cs="Times New Roman"/>
            <w:sz w:val="28"/>
            <w:szCs w:val="28"/>
          </w:rPr>
          <m:t>p-</m:t>
        </m:r>
      </m:oMath>
      <w:r w:rsidR="00F931F2" w:rsidRPr="003A6E5A">
        <w:rPr>
          <w:rFonts w:ascii="Times New Roman" w:eastAsiaTheme="minorEastAsia" w:hAnsi="Times New Roman" w:cs="Times New Roman"/>
          <w:sz w:val="28"/>
          <w:szCs w:val="28"/>
          <w:lang w:val="kk-KZ"/>
        </w:rPr>
        <w:t>значения</w:t>
      </w:r>
      <w:r w:rsidRPr="003A6E5A">
        <w:rPr>
          <w:rFonts w:ascii="Times New Roman" w:hAnsi="Times New Roman" w:cs="Times New Roman"/>
          <w:sz w:val="28"/>
          <w:szCs w:val="28"/>
        </w:rPr>
        <w:t>, близк</w:t>
      </w:r>
      <w:r w:rsidR="00F931F2" w:rsidRPr="003A6E5A">
        <w:rPr>
          <w:rFonts w:ascii="Times New Roman" w:hAnsi="Times New Roman" w:cs="Times New Roman"/>
          <w:sz w:val="28"/>
          <w:szCs w:val="28"/>
          <w:lang w:val="kk-KZ"/>
        </w:rPr>
        <w:t>и</w:t>
      </w:r>
      <w:r w:rsidRPr="003A6E5A">
        <w:rPr>
          <w:rFonts w:ascii="Times New Roman" w:hAnsi="Times New Roman" w:cs="Times New Roman"/>
          <w:sz w:val="28"/>
          <w:szCs w:val="28"/>
        </w:rPr>
        <w:t>е к 0,0</w:t>
      </w:r>
      <w:r w:rsidR="00F931F2" w:rsidRPr="003A6E5A">
        <w:rPr>
          <w:rFonts w:ascii="Times New Roman" w:hAnsi="Times New Roman" w:cs="Times New Roman"/>
          <w:sz w:val="28"/>
          <w:szCs w:val="28"/>
          <w:lang w:val="kk-KZ"/>
        </w:rPr>
        <w:t>6–0,07</w:t>
      </w:r>
      <w:r w:rsidRPr="003A6E5A">
        <w:rPr>
          <w:rFonts w:ascii="Times New Roman" w:hAnsi="Times New Roman" w:cs="Times New Roman"/>
          <w:sz w:val="28"/>
          <w:szCs w:val="28"/>
        </w:rPr>
        <w:t>, указывая на слабые признаки неоднородности дисперсии ошибок.</w:t>
      </w:r>
      <w:r w:rsidR="00F931F2" w:rsidRPr="003A6E5A">
        <w:rPr>
          <w:rFonts w:ascii="Times New Roman" w:hAnsi="Times New Roman" w:cs="Times New Roman"/>
          <w:sz w:val="28"/>
          <w:szCs w:val="28"/>
          <w:lang w:val="kk-KZ"/>
        </w:rPr>
        <w:t xml:space="preserve"> </w:t>
      </w:r>
      <w:r w:rsidR="00117126" w:rsidRPr="003A6E5A">
        <w:rPr>
          <w:rFonts w:ascii="Times New Roman" w:hAnsi="Times New Roman" w:cs="Times New Roman"/>
          <w:sz w:val="28"/>
          <w:szCs w:val="28"/>
        </w:rPr>
        <w:t xml:space="preserve">Таким образом, результаты оценки модели показывают положительное и статистически значимое влияние численности персонала, занятого в НИОКР, и уровня среднемесячной заработной платы на инвестиции в основной капитал в регионах Казахстана. Эластичность инвестиций по численности исследователей составляет 0,26, отражая умеренное воздействие инновационной активности на инвестиционные процессы, тогда как эластичность по заработной плате равна 0,90, демонстрируя почти пропорциональную зависимость инвестиций от уровня доходов населения и общего экономического развития. Вследствие этого рост занятости в сфере НИОКР и повышение уровня оплаты труда создают важные предпосылки для стимулирования инвестиционной активности в регионах страны. </w:t>
      </w:r>
      <w:r w:rsidRPr="003A6E5A">
        <w:rPr>
          <w:rFonts w:ascii="Times New Roman" w:hAnsi="Times New Roman" w:cs="Times New Roman"/>
          <w:sz w:val="28"/>
          <w:szCs w:val="28"/>
        </w:rPr>
        <w:t>Дополнительно была проведена диагностика пространственной зависимости. Индекс Морана и тесты LM не выявили необходимости включения пространственного лага или SARMA-спецификации. Вместе с тем тест LM для ошибок показал слабую значимость на 10%-ном уровне, однако его робастные версии не подтвердили данный результат.</w:t>
      </w:r>
      <w:r w:rsidR="00F931F2"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В совокупности проведённый анализ позволяет заключить: модель в целом специфицирована корректно, но для повышения надежности оценок следует использовать робастные стандартные ошибки.</w:t>
      </w:r>
    </w:p>
    <w:p w14:paraId="626049A7" w14:textId="4C05F7D3" w:rsidR="0003217D" w:rsidRPr="003A6E5A" w:rsidRDefault="00FC275D" w:rsidP="00D057B9">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Во второй модели таблицы </w:t>
      </w:r>
      <w:r w:rsidR="00DA42F3" w:rsidRPr="003A6E5A">
        <w:rPr>
          <w:rFonts w:ascii="Times New Roman" w:hAnsi="Times New Roman" w:cs="Times New Roman"/>
          <w:sz w:val="28"/>
          <w:szCs w:val="28"/>
        </w:rPr>
        <w:t>9</w:t>
      </w:r>
      <w:r w:rsidRPr="003A6E5A">
        <w:rPr>
          <w:rFonts w:ascii="Times New Roman" w:hAnsi="Times New Roman" w:cs="Times New Roman"/>
          <w:sz w:val="28"/>
          <w:szCs w:val="28"/>
        </w:rPr>
        <w:t xml:space="preserve"> представлены результаты пространственной модели ошибок, оцененный методом максимального правдоподобия, показатели которого существенно отличаются. Коэффициент детерминации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oMath>
      <w:r w:rsidRPr="003A6E5A">
        <w:rPr>
          <w:rFonts w:ascii="Times New Roman" w:hAnsi="Times New Roman" w:cs="Times New Roman"/>
          <w:sz w:val="28"/>
          <w:szCs w:val="28"/>
        </w:rPr>
        <w:t xml:space="preserve"> возр</w:t>
      </w:r>
      <w:r w:rsidR="00D057B9" w:rsidRPr="003A6E5A">
        <w:rPr>
          <w:rFonts w:ascii="Times New Roman" w:hAnsi="Times New Roman" w:cs="Times New Roman"/>
          <w:sz w:val="28"/>
          <w:szCs w:val="28"/>
        </w:rPr>
        <w:t>ос</w:t>
      </w:r>
      <w:r w:rsidRPr="003A6E5A">
        <w:rPr>
          <w:rFonts w:ascii="Times New Roman" w:hAnsi="Times New Roman" w:cs="Times New Roman"/>
          <w:sz w:val="28"/>
          <w:szCs w:val="28"/>
        </w:rPr>
        <w:t xml:space="preserve"> до 0,65, улучшая качество подгонки относительно МНК</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модели. Коэффициенты при </w:t>
      </w:r>
      <w:r w:rsidRPr="003A6E5A">
        <w:rPr>
          <w:rFonts w:ascii="Times New Roman" w:hAnsi="Times New Roman" w:cs="Times New Roman"/>
          <w:i/>
          <w:iCs/>
          <w:sz w:val="28"/>
          <w:szCs w:val="28"/>
          <w:lang w:val="en-US"/>
        </w:rPr>
        <w:t>LnPERD</w:t>
      </w:r>
      <w:r w:rsidRPr="003A6E5A">
        <w:rPr>
          <w:rFonts w:ascii="Times New Roman" w:hAnsi="Times New Roman" w:cs="Times New Roman"/>
          <w:sz w:val="28"/>
          <w:szCs w:val="28"/>
        </w:rPr>
        <w:t xml:space="preserve"> и </w:t>
      </w:r>
      <w:r w:rsidRPr="003A6E5A">
        <w:rPr>
          <w:rFonts w:ascii="Times New Roman" w:hAnsi="Times New Roman" w:cs="Times New Roman"/>
          <w:i/>
          <w:iCs/>
          <w:sz w:val="28"/>
          <w:szCs w:val="28"/>
          <w:lang w:val="en-US"/>
        </w:rPr>
        <w:t>LnAMNW</w:t>
      </w:r>
      <w:r w:rsidRPr="003A6E5A">
        <w:rPr>
          <w:rFonts w:ascii="Times New Roman" w:hAnsi="Times New Roman" w:cs="Times New Roman"/>
          <w:sz w:val="28"/>
          <w:szCs w:val="28"/>
        </w:rPr>
        <w:t xml:space="preserve"> соответственно составляют 0,26 и 0,95, что несколько выше, чем в МНК, а их значение </w:t>
      </w:r>
      <m:oMath>
        <m:r>
          <w:rPr>
            <w:rFonts w:ascii="Cambria Math" w:hAnsi="Cambria Math" w:cs="Times New Roman"/>
            <w:sz w:val="28"/>
            <w:szCs w:val="28"/>
            <w:lang w:val="en-US"/>
          </w:rPr>
          <m:t>z</m:t>
        </m:r>
        <m:r>
          <m:rPr>
            <m:sty m:val="p"/>
          </m:rPr>
          <w:rPr>
            <w:rFonts w:ascii="Cambria Math" w:hAnsi="Cambria Math" w:cs="Times New Roman"/>
            <w:sz w:val="28"/>
            <w:szCs w:val="28"/>
          </w:rPr>
          <m:t>-</m:t>
        </m:r>
      </m:oMath>
      <w:r w:rsidRPr="003A6E5A">
        <w:rPr>
          <w:rFonts w:ascii="Times New Roman" w:hAnsi="Times New Roman" w:cs="Times New Roman"/>
          <w:sz w:val="28"/>
          <w:szCs w:val="28"/>
        </w:rPr>
        <w:t>статистик равны 5,06 (</w:t>
      </w:r>
      <m:oMath>
        <m:r>
          <m:rPr>
            <m:sty m:val="p"/>
          </m:rPr>
          <w:rPr>
            <w:rFonts w:ascii="Cambria Math" w:hAnsi="Cambria Math" w:cs="Times New Roman"/>
            <w:sz w:val="28"/>
            <w:szCs w:val="28"/>
            <w:lang w:val="en-US"/>
          </w:rPr>
          <m:t>p</m:t>
        </m:r>
        <m:r>
          <m:rPr>
            <m:sty m:val="p"/>
          </m:rPr>
          <w:rPr>
            <w:rFonts w:ascii="Cambria Math" w:hAnsi="Cambria Math" w:cs="Times New Roman"/>
            <w:sz w:val="28"/>
            <w:szCs w:val="28"/>
          </w:rPr>
          <m:t>&lt;0,001</m:t>
        </m:r>
      </m:oMath>
      <w:r w:rsidRPr="003A6E5A">
        <w:rPr>
          <w:rFonts w:ascii="Times New Roman" w:hAnsi="Times New Roman" w:cs="Times New Roman"/>
          <w:sz w:val="28"/>
          <w:szCs w:val="28"/>
        </w:rPr>
        <w:t>) и 3,40 (</w:t>
      </w:r>
      <m:oMath>
        <m:r>
          <m:rPr>
            <m:sty m:val="p"/>
          </m:rPr>
          <w:rPr>
            <w:rFonts w:ascii="Cambria Math" w:hAnsi="Cambria Math" w:cs="Times New Roman"/>
            <w:sz w:val="28"/>
            <w:szCs w:val="28"/>
            <w:lang w:val="en-US"/>
          </w:rPr>
          <m:t>p</m:t>
        </m:r>
        <m:r>
          <m:rPr>
            <m:sty m:val="p"/>
          </m:rPr>
          <w:rPr>
            <w:rFonts w:ascii="Cambria Math" w:hAnsi="Cambria Math" w:cs="Times New Roman"/>
            <w:sz w:val="28"/>
            <w:szCs w:val="28"/>
          </w:rPr>
          <m:t>&lt;0,001</m:t>
        </m:r>
      </m:oMath>
      <w:r w:rsidRPr="003A6E5A">
        <w:rPr>
          <w:rFonts w:ascii="Times New Roman" w:hAnsi="Times New Roman" w:cs="Times New Roman"/>
          <w:sz w:val="28"/>
          <w:szCs w:val="28"/>
        </w:rPr>
        <w:t>), свидетельству</w:t>
      </w:r>
      <w:r w:rsidR="004A711A" w:rsidRPr="003A6E5A">
        <w:rPr>
          <w:rFonts w:ascii="Times New Roman" w:hAnsi="Times New Roman" w:cs="Times New Roman"/>
          <w:sz w:val="28"/>
          <w:szCs w:val="28"/>
        </w:rPr>
        <w:t>ющие</w:t>
      </w:r>
      <w:r w:rsidRPr="003A6E5A">
        <w:rPr>
          <w:rFonts w:ascii="Times New Roman" w:hAnsi="Times New Roman" w:cs="Times New Roman"/>
          <w:sz w:val="28"/>
          <w:szCs w:val="28"/>
        </w:rPr>
        <w:t xml:space="preserve"> о высокой статистической значимости. Следует отметить появление дополнительного параметра</w:t>
      </w:r>
      <w:r w:rsidR="004A711A" w:rsidRPr="003A6E5A">
        <w:rPr>
          <w:rFonts w:ascii="Times New Roman" w:hAnsi="Times New Roman" w:cs="Times New Roman"/>
          <w:sz w:val="28"/>
          <w:szCs w:val="28"/>
        </w:rPr>
        <w:t xml:space="preserve">: </w:t>
      </w:r>
      <w:r w:rsidRPr="003A6E5A">
        <w:rPr>
          <w:rFonts w:ascii="Times New Roman" w:hAnsi="Times New Roman" w:cs="Times New Roman"/>
          <w:sz w:val="28"/>
          <w:szCs w:val="28"/>
        </w:rPr>
        <w:t>коэффициент пространственной автокорреляции ошибок (</w:t>
      </w:r>
      <m:oMath>
        <m:r>
          <w:rPr>
            <w:rFonts w:ascii="Cambria Math" w:hAnsi="Cambria Math" w:cs="Times New Roman"/>
            <w:sz w:val="28"/>
            <w:szCs w:val="28"/>
          </w:rPr>
          <m:t>λ</m:t>
        </m:r>
      </m:oMath>
      <w:r w:rsidRPr="003A6E5A">
        <w:rPr>
          <w:rFonts w:ascii="Times New Roman" w:hAnsi="Times New Roman" w:cs="Times New Roman"/>
          <w:sz w:val="28"/>
          <w:szCs w:val="28"/>
        </w:rPr>
        <w:t>)</w:t>
      </w:r>
      <w:r w:rsidR="004A711A" w:rsidRPr="003A6E5A">
        <w:rPr>
          <w:rFonts w:ascii="Times New Roman" w:hAnsi="Times New Roman" w:cs="Times New Roman"/>
          <w:sz w:val="28"/>
          <w:szCs w:val="28"/>
        </w:rPr>
        <w:t xml:space="preserve"> равный</w:t>
      </w:r>
      <w:r w:rsidRPr="003A6E5A">
        <w:rPr>
          <w:rFonts w:ascii="Times New Roman" w:hAnsi="Times New Roman" w:cs="Times New Roman"/>
          <w:sz w:val="28"/>
          <w:szCs w:val="28"/>
        </w:rPr>
        <w:t xml:space="preserve"> </w:t>
      </w:r>
      <w:r w:rsidR="00F742B0" w:rsidRPr="003A6E5A">
        <w:rPr>
          <w:rFonts w:ascii="Times New Roman" w:hAnsi="Times New Roman" w:cs="Times New Roman"/>
          <w:sz w:val="28"/>
          <w:szCs w:val="28"/>
        </w:rPr>
        <w:t>–</w:t>
      </w:r>
      <w:r w:rsidRPr="003A6E5A">
        <w:rPr>
          <w:rFonts w:ascii="Times New Roman" w:hAnsi="Times New Roman" w:cs="Times New Roman"/>
          <w:sz w:val="28"/>
          <w:szCs w:val="28"/>
        </w:rPr>
        <w:t xml:space="preserve">0,38. Данный </w:t>
      </w:r>
      <w:r w:rsidR="00650154" w:rsidRPr="003A6E5A">
        <w:rPr>
          <w:rFonts w:ascii="Times New Roman" w:hAnsi="Times New Roman" w:cs="Times New Roman"/>
          <w:sz w:val="28"/>
          <w:szCs w:val="28"/>
        </w:rPr>
        <w:lastRenderedPageBreak/>
        <w:t>коэффицент, к сожалению,</w:t>
      </w:r>
      <w:r w:rsidR="00650154"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не достиг стандартных уровней статистически значимости (</w:t>
      </w:r>
      <m:oMath>
        <m:r>
          <w:rPr>
            <w:rFonts w:ascii="Cambria Math" w:hAnsi="Cambria Math" w:cs="Times New Roman"/>
            <w:sz w:val="28"/>
            <w:szCs w:val="28"/>
          </w:rPr>
          <m:t>p&gt;0,1</m:t>
        </m:r>
      </m:oMath>
      <w:r w:rsidR="00F742B0" w:rsidRPr="003A6E5A">
        <w:rPr>
          <w:rFonts w:ascii="Times New Roman" w:hAnsi="Times New Roman" w:cs="Times New Roman"/>
          <w:sz w:val="28"/>
          <w:szCs w:val="28"/>
        </w:rPr>
        <w:t>)</w:t>
      </w:r>
      <w:r w:rsidRPr="003A6E5A">
        <w:rPr>
          <w:rFonts w:ascii="Times New Roman" w:hAnsi="Times New Roman" w:cs="Times New Roman"/>
          <w:sz w:val="28"/>
          <w:szCs w:val="28"/>
        </w:rPr>
        <w:t xml:space="preserve">. </w:t>
      </w:r>
    </w:p>
    <w:p w14:paraId="64D74682" w14:textId="77777777" w:rsidR="00117126" w:rsidRPr="003A6E5A" w:rsidRDefault="00117126" w:rsidP="001608EA">
      <w:pPr>
        <w:spacing w:after="0" w:line="240" w:lineRule="auto"/>
        <w:rPr>
          <w:rFonts w:ascii="Times New Roman" w:hAnsi="Times New Roman" w:cs="Times New Roman"/>
          <w:sz w:val="28"/>
          <w:szCs w:val="28"/>
        </w:rPr>
      </w:pPr>
    </w:p>
    <w:p w14:paraId="67131F2C" w14:textId="2FCB6BF2" w:rsidR="0003217D" w:rsidRPr="003A6E5A" w:rsidRDefault="00FC275D" w:rsidP="00117126">
      <w:pPr>
        <w:spacing w:after="0" w:line="240" w:lineRule="auto"/>
        <w:jc w:val="both"/>
        <w:rPr>
          <w:rFonts w:ascii="Times New Roman" w:hAnsi="Times New Roman" w:cs="Times New Roman"/>
          <w:i/>
          <w:sz w:val="28"/>
          <w:szCs w:val="28"/>
        </w:rPr>
      </w:pPr>
      <w:r w:rsidRPr="003A6E5A">
        <w:rPr>
          <w:rFonts w:ascii="Times New Roman" w:hAnsi="Times New Roman" w:cs="Times New Roman"/>
          <w:sz w:val="28"/>
          <w:szCs w:val="28"/>
        </w:rPr>
        <w:t xml:space="preserve">Таблица </w:t>
      </w:r>
      <w:r w:rsidR="00DA42F3" w:rsidRPr="003A6E5A">
        <w:rPr>
          <w:rFonts w:ascii="Times New Roman" w:hAnsi="Times New Roman" w:cs="Times New Roman"/>
          <w:sz w:val="28"/>
          <w:szCs w:val="28"/>
        </w:rPr>
        <w:t>9</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Оценк</w:t>
      </w:r>
      <w:r w:rsidR="005D43EE" w:rsidRPr="003A6E5A">
        <w:rPr>
          <w:rFonts w:ascii="Times New Roman" w:hAnsi="Times New Roman" w:cs="Times New Roman"/>
          <w:sz w:val="28"/>
          <w:szCs w:val="28"/>
          <w:lang w:val="kk-KZ"/>
        </w:rPr>
        <w:t>и коэффициентов по</w:t>
      </w:r>
      <w:r w:rsidRPr="003A6E5A">
        <w:rPr>
          <w:rFonts w:ascii="Times New Roman" w:hAnsi="Times New Roman" w:cs="Times New Roman"/>
          <w:sz w:val="28"/>
          <w:szCs w:val="28"/>
          <w:lang w:val="kk-KZ"/>
        </w:rPr>
        <w:t xml:space="preserve"> модели пространственной ошибки </w:t>
      </w:r>
      <w:r w:rsidR="005D43EE" w:rsidRPr="003A6E5A">
        <w:rPr>
          <w:rFonts w:ascii="Times New Roman" w:eastAsiaTheme="minorEastAsia" w:hAnsi="Times New Roman" w:cs="Times New Roman"/>
          <w:sz w:val="28"/>
          <w:szCs w:val="28"/>
        </w:rPr>
        <w:t>(</w:t>
      </w:r>
      <m:oMath>
        <m:r>
          <w:rPr>
            <w:rFonts w:ascii="Cambria Math" w:hAnsi="Cambria Math" w:cs="Times New Roman"/>
            <w:sz w:val="28"/>
            <w:szCs w:val="28"/>
            <w:lang w:val="kk-KZ"/>
          </w:rPr>
          <m:t>n</m:t>
        </m:r>
        <m:r>
          <w:rPr>
            <w:rFonts w:ascii="Cambria Math" w:hAnsi="Cambria Math" w:cs="Times New Roman"/>
            <w:sz w:val="28"/>
            <w:szCs w:val="28"/>
          </w:rPr>
          <m:t>=20</m:t>
        </m:r>
      </m:oMath>
      <w:r w:rsidR="005D43EE" w:rsidRPr="003A6E5A">
        <w:rPr>
          <w:rFonts w:ascii="Times New Roman" w:eastAsiaTheme="minorEastAsia" w:hAnsi="Times New Roman" w:cs="Times New Roman"/>
          <w:sz w:val="28"/>
          <w:szCs w:val="28"/>
        </w:rPr>
        <w:t>)</w:t>
      </w:r>
    </w:p>
    <w:tbl>
      <w:tblPr>
        <w:tblStyle w:val="ac"/>
        <w:tblW w:w="9625" w:type="dxa"/>
        <w:tblLayout w:type="fixed"/>
        <w:tblLook w:val="04A0" w:firstRow="1" w:lastRow="0" w:firstColumn="1" w:lastColumn="0" w:noHBand="0" w:noVBand="1"/>
      </w:tblPr>
      <w:tblGrid>
        <w:gridCol w:w="2652"/>
        <w:gridCol w:w="1445"/>
        <w:gridCol w:w="2743"/>
        <w:gridCol w:w="1281"/>
        <w:gridCol w:w="1504"/>
      </w:tblGrid>
      <w:tr w:rsidR="00B02CF8" w:rsidRPr="003A6E5A" w14:paraId="4B369CED" w14:textId="77777777" w:rsidTr="00117126">
        <w:tc>
          <w:tcPr>
            <w:tcW w:w="2652" w:type="dxa"/>
            <w:vAlign w:val="center"/>
          </w:tcPr>
          <w:p w14:paraId="639FD6EA" w14:textId="4545C5BB"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Набор данных</w:t>
            </w:r>
          </w:p>
        </w:tc>
        <w:tc>
          <w:tcPr>
            <w:tcW w:w="1445" w:type="dxa"/>
            <w:vAlign w:val="center"/>
          </w:tcPr>
          <w:p w14:paraId="0604B97C" w14:textId="5A7DB371" w:rsidR="0003217D" w:rsidRPr="003A6E5A" w:rsidRDefault="005D43EE"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Оценки коэф.</w:t>
            </w:r>
          </w:p>
        </w:tc>
        <w:tc>
          <w:tcPr>
            <w:tcW w:w="2743" w:type="dxa"/>
            <w:vAlign w:val="center"/>
          </w:tcPr>
          <w:p w14:paraId="7E4C81CA" w14:textId="20BF8382" w:rsidR="0003217D" w:rsidRPr="003A6E5A" w:rsidRDefault="00FC275D" w:rsidP="004C1164">
            <w:pPr>
              <w:spacing w:after="0" w:line="240" w:lineRule="auto"/>
              <w:jc w:val="left"/>
              <w:rPr>
                <w:rFonts w:ascii="Times New Roman" w:hAnsi="Times New Roman" w:cs="Times New Roman"/>
                <w:sz w:val="20"/>
                <w:szCs w:val="20"/>
                <w:lang w:val="en-US"/>
              </w:rPr>
            </w:pPr>
            <w:r w:rsidRPr="003A6E5A">
              <w:rPr>
                <w:rFonts w:ascii="Times New Roman" w:hAnsi="Times New Roman" w:cs="Times New Roman"/>
                <w:sz w:val="20"/>
                <w:szCs w:val="20"/>
              </w:rPr>
              <w:t>Зависимая переменная</w:t>
            </w:r>
          </w:p>
        </w:tc>
        <w:tc>
          <w:tcPr>
            <w:tcW w:w="2785" w:type="dxa"/>
            <w:gridSpan w:val="2"/>
            <w:vAlign w:val="center"/>
          </w:tcPr>
          <w:p w14:paraId="581C27FB"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LnIFC</w:t>
            </w:r>
          </w:p>
        </w:tc>
      </w:tr>
      <w:tr w:rsidR="00B02CF8" w:rsidRPr="003A6E5A" w14:paraId="2B6B9033" w14:textId="77777777" w:rsidTr="005D43EE">
        <w:tc>
          <w:tcPr>
            <w:tcW w:w="2652" w:type="dxa"/>
            <w:vAlign w:val="center"/>
          </w:tcPr>
          <w:p w14:paraId="092F1AA6" w14:textId="0C62E973" w:rsidR="0003217D" w:rsidRPr="003A6E5A" w:rsidRDefault="00FC275D" w:rsidP="00117126">
            <w:pPr>
              <w:spacing w:after="0" w:line="240" w:lineRule="auto"/>
              <w:jc w:val="left"/>
              <w:rPr>
                <w:rFonts w:ascii="Times New Roman" w:hAnsi="Times New Roman" w:cs="Times New Roman"/>
                <w:sz w:val="20"/>
                <w:szCs w:val="20"/>
                <w:lang w:val="en-US"/>
              </w:rPr>
            </w:pPr>
            <w:r w:rsidRPr="003A6E5A">
              <w:rPr>
                <w:rFonts w:ascii="Times New Roman" w:eastAsia="SimSun" w:hAnsi="Times New Roman" w:cs="Times New Roman"/>
                <w:sz w:val="20"/>
                <w:szCs w:val="20"/>
              </w:rPr>
              <w:t>Среднее значение зависимой переменной</w:t>
            </w:r>
          </w:p>
        </w:tc>
        <w:tc>
          <w:tcPr>
            <w:tcW w:w="1445" w:type="dxa"/>
            <w:vAlign w:val="center"/>
          </w:tcPr>
          <w:p w14:paraId="6F1E1104"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20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5485</w:t>
            </w:r>
          </w:p>
        </w:tc>
        <w:tc>
          <w:tcPr>
            <w:tcW w:w="2743" w:type="dxa"/>
            <w:vAlign w:val="center"/>
          </w:tcPr>
          <w:p w14:paraId="1425CA82" w14:textId="3E9D2A03" w:rsidR="0003217D" w:rsidRPr="003A6E5A" w:rsidRDefault="00FC275D" w:rsidP="005D43EE">
            <w:pPr>
              <w:spacing w:after="0" w:line="240" w:lineRule="auto"/>
              <w:jc w:val="left"/>
              <w:rPr>
                <w:rFonts w:ascii="Times New Roman" w:hAnsi="Times New Roman" w:cs="Times New Roman"/>
                <w:sz w:val="20"/>
                <w:szCs w:val="20"/>
              </w:rPr>
            </w:pPr>
            <w:r w:rsidRPr="003A6E5A">
              <w:rPr>
                <w:rStyle w:val="ab"/>
                <w:rFonts w:ascii="Times New Roman" w:eastAsia="Segoe UI" w:hAnsi="Times New Roman" w:cs="Times New Roman"/>
                <w:b w:val="0"/>
                <w:bCs w:val="0"/>
                <w:sz w:val="20"/>
                <w:szCs w:val="20"/>
                <w:shd w:val="clear" w:color="auto" w:fill="FFFFFF"/>
              </w:rPr>
              <w:t>Число переменных</w:t>
            </w:r>
          </w:p>
        </w:tc>
        <w:tc>
          <w:tcPr>
            <w:tcW w:w="2785" w:type="dxa"/>
            <w:gridSpan w:val="2"/>
            <w:vAlign w:val="center"/>
          </w:tcPr>
          <w:p w14:paraId="08D69700"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3</w:t>
            </w:r>
          </w:p>
        </w:tc>
      </w:tr>
      <w:tr w:rsidR="00B02CF8" w:rsidRPr="003A6E5A" w14:paraId="5EAF56AB" w14:textId="77777777" w:rsidTr="005D43EE">
        <w:tc>
          <w:tcPr>
            <w:tcW w:w="2652" w:type="dxa"/>
            <w:vAlign w:val="center"/>
          </w:tcPr>
          <w:p w14:paraId="5887CD04" w14:textId="7361DCDC" w:rsidR="0003217D" w:rsidRPr="003A6E5A" w:rsidRDefault="00FC275D" w:rsidP="00117126">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Стандартное отклонение зависимой переменной</w:t>
            </w:r>
          </w:p>
        </w:tc>
        <w:tc>
          <w:tcPr>
            <w:tcW w:w="1445" w:type="dxa"/>
            <w:vAlign w:val="center"/>
          </w:tcPr>
          <w:p w14:paraId="6CD10025"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540114</w:t>
            </w:r>
          </w:p>
        </w:tc>
        <w:tc>
          <w:tcPr>
            <w:tcW w:w="2743" w:type="dxa"/>
            <w:vAlign w:val="center"/>
          </w:tcPr>
          <w:p w14:paraId="28FF88A6" w14:textId="2E618185" w:rsidR="0003217D" w:rsidRPr="003A6E5A" w:rsidRDefault="00FC275D" w:rsidP="005D43EE">
            <w:pPr>
              <w:spacing w:after="0" w:line="240" w:lineRule="auto"/>
              <w:jc w:val="left"/>
              <w:rPr>
                <w:rFonts w:ascii="Times New Roman" w:hAnsi="Times New Roman" w:cs="Times New Roman"/>
                <w:sz w:val="20"/>
                <w:szCs w:val="20"/>
              </w:rPr>
            </w:pPr>
            <w:r w:rsidRPr="003A6E5A">
              <w:rPr>
                <w:rFonts w:ascii="Times New Roman" w:eastAsia="SimSun" w:hAnsi="Times New Roman" w:cs="Times New Roman"/>
                <w:sz w:val="20"/>
                <w:szCs w:val="20"/>
              </w:rPr>
              <w:t>Степени свободы</w:t>
            </w:r>
          </w:p>
        </w:tc>
        <w:tc>
          <w:tcPr>
            <w:tcW w:w="2785" w:type="dxa"/>
            <w:gridSpan w:val="2"/>
            <w:vAlign w:val="center"/>
          </w:tcPr>
          <w:p w14:paraId="6E2A0FDC"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17</w:t>
            </w:r>
          </w:p>
        </w:tc>
      </w:tr>
      <w:tr w:rsidR="00B02CF8" w:rsidRPr="003A6E5A" w14:paraId="2061F6E9" w14:textId="77777777" w:rsidTr="005D43EE">
        <w:tc>
          <w:tcPr>
            <w:tcW w:w="2652" w:type="dxa"/>
            <w:vAlign w:val="center"/>
          </w:tcPr>
          <w:p w14:paraId="079CBFC2" w14:textId="2FEBAAEB" w:rsidR="0003217D" w:rsidRPr="003A6E5A" w:rsidRDefault="00FC275D" w:rsidP="00117126">
            <w:pPr>
              <w:spacing w:after="0" w:line="240" w:lineRule="auto"/>
              <w:jc w:val="left"/>
              <w:rPr>
                <w:rStyle w:val="ab"/>
                <w:rFonts w:ascii="Times New Roman" w:eastAsia="SimSun" w:hAnsi="Times New Roman" w:cs="Times New Roman"/>
                <w:b w:val="0"/>
                <w:bCs w:val="0"/>
                <w:sz w:val="20"/>
                <w:szCs w:val="20"/>
              </w:rPr>
            </w:pPr>
            <w:r w:rsidRPr="003A6E5A">
              <w:rPr>
                <w:rStyle w:val="ab"/>
                <w:rFonts w:ascii="Times New Roman" w:eastAsia="SimSun" w:hAnsi="Times New Roman" w:cs="Times New Roman"/>
                <w:b w:val="0"/>
                <w:bCs w:val="0"/>
                <w:sz w:val="20"/>
                <w:szCs w:val="20"/>
              </w:rPr>
              <w:t xml:space="preserve">Коэффициент </w:t>
            </w:r>
            <w:r w:rsidR="00F742B0" w:rsidRPr="003A6E5A">
              <w:rPr>
                <w:rStyle w:val="ab"/>
                <w:rFonts w:ascii="Times New Roman" w:eastAsia="SimSun" w:hAnsi="Times New Roman" w:cs="Times New Roman"/>
                <w:b w:val="0"/>
                <w:bCs w:val="0"/>
                <w:sz w:val="20"/>
                <w:szCs w:val="20"/>
              </w:rPr>
              <w:t>пространственной автокорреляции ошибок</w:t>
            </w:r>
          </w:p>
        </w:tc>
        <w:tc>
          <w:tcPr>
            <w:tcW w:w="1445" w:type="dxa"/>
            <w:vAlign w:val="center"/>
          </w:tcPr>
          <w:p w14:paraId="23751C97" w14:textId="5785B8E5" w:rsidR="0003217D" w:rsidRPr="003A6E5A" w:rsidRDefault="00FC275D" w:rsidP="00117126">
            <w:pPr>
              <w:spacing w:after="0" w:line="240" w:lineRule="auto"/>
              <w:jc w:val="center"/>
              <w:rPr>
                <w:rFonts w:ascii="Times New Roman" w:eastAsia="SimSu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en-US"/>
              </w:rPr>
              <w:t>,</w:t>
            </w:r>
            <w:r w:rsidRPr="003A6E5A">
              <w:rPr>
                <w:rFonts w:ascii="Times New Roman" w:eastAsia="SimSun" w:hAnsi="Times New Roman" w:cs="Times New Roman"/>
                <w:sz w:val="20"/>
                <w:szCs w:val="20"/>
              </w:rPr>
              <w:t>384874</w:t>
            </w:r>
          </w:p>
        </w:tc>
        <w:tc>
          <w:tcPr>
            <w:tcW w:w="2743" w:type="dxa"/>
            <w:vAlign w:val="center"/>
          </w:tcPr>
          <w:p w14:paraId="5ED69FA6" w14:textId="77777777" w:rsidR="0003217D" w:rsidRPr="003A6E5A" w:rsidRDefault="0003217D" w:rsidP="005D43EE">
            <w:pPr>
              <w:spacing w:after="0" w:line="240" w:lineRule="auto"/>
              <w:jc w:val="left"/>
              <w:rPr>
                <w:rFonts w:ascii="Times New Roman" w:eastAsia="SimSun" w:hAnsi="Times New Roman" w:cs="Times New Roman"/>
                <w:sz w:val="20"/>
                <w:szCs w:val="20"/>
              </w:rPr>
            </w:pPr>
          </w:p>
        </w:tc>
        <w:tc>
          <w:tcPr>
            <w:tcW w:w="2785" w:type="dxa"/>
            <w:gridSpan w:val="2"/>
            <w:vAlign w:val="center"/>
          </w:tcPr>
          <w:p w14:paraId="6AB7987E" w14:textId="77777777" w:rsidR="0003217D" w:rsidRPr="003A6E5A" w:rsidRDefault="0003217D" w:rsidP="00117126">
            <w:pPr>
              <w:spacing w:after="0" w:line="240" w:lineRule="auto"/>
              <w:jc w:val="center"/>
              <w:rPr>
                <w:rFonts w:ascii="Times New Roman" w:hAnsi="Times New Roman" w:cs="Times New Roman"/>
                <w:sz w:val="20"/>
                <w:szCs w:val="20"/>
                <w:lang w:val="kk-KZ"/>
              </w:rPr>
            </w:pPr>
          </w:p>
        </w:tc>
      </w:tr>
      <w:tr w:rsidR="00B02CF8" w:rsidRPr="003A6E5A" w14:paraId="2A3B493D" w14:textId="77777777" w:rsidTr="005D43EE">
        <w:tc>
          <w:tcPr>
            <w:tcW w:w="2652" w:type="dxa"/>
            <w:vAlign w:val="center"/>
          </w:tcPr>
          <w:p w14:paraId="694A1A04" w14:textId="77777777" w:rsidR="0003217D" w:rsidRPr="003A6E5A" w:rsidRDefault="00FC275D" w:rsidP="00117126">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rPr>
              <w:t>Коэффициент детерминации (</w:t>
            </w:r>
            <m:oMath>
              <m:sSup>
                <m:sSupPr>
                  <m:ctrlPr>
                    <w:rPr>
                      <w:rFonts w:ascii="Cambria Math" w:hAnsi="Cambria Math" w:cs="Times New Roman"/>
                      <w:i/>
                      <w:sz w:val="20"/>
                      <w:szCs w:val="20"/>
                    </w:rPr>
                  </m:ctrlPr>
                </m:sSupPr>
                <m:e>
                  <m:r>
                    <w:rPr>
                      <w:rFonts w:ascii="Cambria Math" w:hAnsi="Cambria Math" w:cs="Times New Roman"/>
                      <w:sz w:val="20"/>
                      <w:szCs w:val="20"/>
                      <w:lang w:val="en-US"/>
                    </w:rPr>
                    <m:t>R</m:t>
                  </m:r>
                </m:e>
                <m:sup>
                  <m:r>
                    <w:rPr>
                      <w:rFonts w:ascii="Cambria Math" w:hAnsi="Cambria Math" w:cs="Times New Roman"/>
                      <w:sz w:val="20"/>
                      <w:szCs w:val="20"/>
                      <w:lang w:val="en-US"/>
                    </w:rPr>
                    <m:t>2</m:t>
                  </m:r>
                </m:sup>
              </m:sSup>
            </m:oMath>
            <w:r w:rsidRPr="003A6E5A">
              <w:rPr>
                <w:rFonts w:ascii="Times New Roman" w:hAnsi="Times New Roman" w:cs="Times New Roman"/>
                <w:sz w:val="20"/>
                <w:szCs w:val="20"/>
                <w:lang w:val="kk-KZ"/>
              </w:rPr>
              <w:t>)</w:t>
            </w:r>
          </w:p>
        </w:tc>
        <w:tc>
          <w:tcPr>
            <w:tcW w:w="1445" w:type="dxa"/>
            <w:vAlign w:val="center"/>
          </w:tcPr>
          <w:p w14:paraId="5AD4EF55"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652424</w:t>
            </w:r>
          </w:p>
        </w:tc>
        <w:tc>
          <w:tcPr>
            <w:tcW w:w="2743" w:type="dxa"/>
            <w:vAlign w:val="center"/>
          </w:tcPr>
          <w:p w14:paraId="35EE6E97" w14:textId="77777777" w:rsidR="0003217D" w:rsidRPr="003A6E5A" w:rsidRDefault="00FC275D" w:rsidP="005D43EE">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Коэффициент детерминации (</w:t>
            </w:r>
            <m:oMath>
              <m:sSup>
                <m:sSupPr>
                  <m:ctrlPr>
                    <w:rPr>
                      <w:rFonts w:ascii="Cambria Math" w:hAnsi="Cambria Math" w:cs="Times New Roman"/>
                      <w:i/>
                      <w:sz w:val="20"/>
                      <w:szCs w:val="20"/>
                    </w:rPr>
                  </m:ctrlPr>
                </m:sSupPr>
                <m:e>
                  <m:r>
                    <w:rPr>
                      <w:rFonts w:ascii="Cambria Math" w:hAnsi="Cambria Math" w:cs="Times New Roman"/>
                      <w:sz w:val="20"/>
                      <w:szCs w:val="20"/>
                      <w:lang w:val="en-US"/>
                    </w:rPr>
                    <m:t>R</m:t>
                  </m:r>
                </m:e>
                <m:sup>
                  <m:r>
                    <w:rPr>
                      <w:rFonts w:ascii="Cambria Math" w:hAnsi="Cambria Math" w:cs="Times New Roman"/>
                      <w:sz w:val="20"/>
                      <w:szCs w:val="20"/>
                      <w:lang w:val="en-US"/>
                    </w:rPr>
                    <m:t>2</m:t>
                  </m:r>
                </m:sup>
              </m:sSup>
            </m:oMath>
            <w:r w:rsidRPr="003A6E5A">
              <w:rPr>
                <w:rFonts w:ascii="Times New Roman" w:hAnsi="Times New Roman" w:cs="Times New Roman"/>
                <w:sz w:val="20"/>
                <w:szCs w:val="20"/>
                <w:lang w:val="kk-KZ"/>
              </w:rPr>
              <w:t>)</w:t>
            </w:r>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Buse</w:t>
            </w:r>
            <w:r w:rsidRPr="003A6E5A">
              <w:rPr>
                <w:rFonts w:ascii="Times New Roman" w:hAnsi="Times New Roman" w:cs="Times New Roman"/>
                <w:sz w:val="20"/>
                <w:szCs w:val="20"/>
              </w:rPr>
              <w:t>)</w:t>
            </w:r>
          </w:p>
        </w:tc>
        <w:tc>
          <w:tcPr>
            <w:tcW w:w="2785" w:type="dxa"/>
            <w:gridSpan w:val="2"/>
            <w:vAlign w:val="center"/>
          </w:tcPr>
          <w:p w14:paraId="1715611D" w14:textId="1F89E189" w:rsidR="0003217D" w:rsidRPr="003A6E5A" w:rsidRDefault="00480632"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p>
        </w:tc>
      </w:tr>
      <w:tr w:rsidR="00B02CF8" w:rsidRPr="003A6E5A" w14:paraId="3C198980" w14:textId="77777777" w:rsidTr="005D43EE">
        <w:tc>
          <w:tcPr>
            <w:tcW w:w="2652" w:type="dxa"/>
            <w:vAlign w:val="center"/>
          </w:tcPr>
          <w:p w14:paraId="3F756960" w14:textId="77777777" w:rsidR="0003217D" w:rsidRPr="003A6E5A" w:rsidRDefault="00FC275D" w:rsidP="00117126">
            <w:pPr>
              <w:spacing w:after="0" w:line="240" w:lineRule="auto"/>
              <w:jc w:val="left"/>
              <w:rPr>
                <w:rFonts w:ascii="Times New Roman" w:hAnsi="Times New Roman" w:cs="Times New Roman"/>
                <w:sz w:val="20"/>
                <w:szCs w:val="20"/>
              </w:rPr>
            </w:pPr>
            <w:r w:rsidRPr="003A6E5A">
              <w:rPr>
                <w:rStyle w:val="ab"/>
                <w:rFonts w:ascii="Times New Roman" w:eastAsia="SimSun" w:hAnsi="Times New Roman" w:cs="Times New Roman"/>
                <w:b w:val="0"/>
                <w:bCs w:val="0"/>
                <w:sz w:val="20"/>
                <w:szCs w:val="20"/>
              </w:rPr>
              <w:t xml:space="preserve">Скорректированный </w:t>
            </w:r>
            <m:oMath>
              <m:sSup>
                <m:sSupPr>
                  <m:ctrlPr>
                    <w:rPr>
                      <w:rFonts w:ascii="Cambria Math" w:hAnsi="Cambria Math" w:cs="Times New Roman"/>
                      <w:i/>
                      <w:sz w:val="20"/>
                      <w:szCs w:val="20"/>
                    </w:rPr>
                  </m:ctrlPr>
                </m:sSupPr>
                <m:e>
                  <m:r>
                    <w:rPr>
                      <w:rFonts w:ascii="Cambria Math" w:hAnsi="Cambria Math" w:cs="Times New Roman"/>
                      <w:sz w:val="20"/>
                      <w:szCs w:val="20"/>
                      <w:lang w:val="en-US"/>
                    </w:rPr>
                    <m:t>R</m:t>
                  </m:r>
                </m:e>
                <m:sup>
                  <m:r>
                    <w:rPr>
                      <w:rFonts w:ascii="Cambria Math" w:hAnsi="Cambria Math" w:cs="Times New Roman"/>
                      <w:sz w:val="20"/>
                      <w:szCs w:val="20"/>
                      <w:lang w:val="en-US"/>
                    </w:rPr>
                    <m:t>2</m:t>
                  </m:r>
                </m:sup>
              </m:sSup>
            </m:oMath>
          </w:p>
        </w:tc>
        <w:tc>
          <w:tcPr>
            <w:tcW w:w="1445" w:type="dxa"/>
            <w:vAlign w:val="center"/>
          </w:tcPr>
          <w:p w14:paraId="165854E7" w14:textId="0492FD76" w:rsidR="0003217D" w:rsidRPr="003A6E5A" w:rsidRDefault="00480632"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p>
        </w:tc>
        <w:tc>
          <w:tcPr>
            <w:tcW w:w="2743" w:type="dxa"/>
            <w:vAlign w:val="center"/>
          </w:tcPr>
          <w:p w14:paraId="55BDF144" w14:textId="77777777" w:rsidR="0003217D" w:rsidRPr="003A6E5A" w:rsidRDefault="00FC275D" w:rsidP="005D43EE">
            <w:pPr>
              <w:spacing w:after="0" w:line="240" w:lineRule="auto"/>
              <w:jc w:val="left"/>
              <w:rPr>
                <w:rFonts w:ascii="Times New Roman" w:hAnsi="Times New Roman" w:cs="Times New Roman"/>
                <w:sz w:val="20"/>
                <w:szCs w:val="20"/>
              </w:rPr>
            </w:pPr>
            <w:r w:rsidRPr="003A6E5A">
              <w:rPr>
                <w:rStyle w:val="ab"/>
                <w:rFonts w:ascii="Times New Roman" w:eastAsia="SimSun" w:hAnsi="Times New Roman" w:cs="Times New Roman"/>
                <w:b w:val="0"/>
                <w:bCs w:val="0"/>
                <w:sz w:val="20"/>
                <w:szCs w:val="20"/>
              </w:rPr>
              <w:t>Логарифм правдоподобия:</w:t>
            </w:r>
          </w:p>
        </w:tc>
        <w:tc>
          <w:tcPr>
            <w:tcW w:w="2785" w:type="dxa"/>
            <w:gridSpan w:val="2"/>
            <w:vAlign w:val="center"/>
          </w:tcPr>
          <w:p w14:paraId="72DDA540"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eastAsia="SimSun" w:hAnsi="Times New Roman" w:cs="Times New Roman"/>
                <w:sz w:val="20"/>
                <w:szCs w:val="20"/>
              </w:rPr>
              <w:t>-</w:t>
            </w:r>
            <w:r w:rsidRPr="003A6E5A">
              <w:rPr>
                <w:rFonts w:ascii="Times New Roman" w:eastAsia="SimSun" w:hAnsi="Times New Roman" w:cs="Times New Roman"/>
                <w:sz w:val="20"/>
                <w:szCs w:val="20"/>
                <w:lang w:val="en-US"/>
              </w:rPr>
              <w:t>5</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lang w:val="en-US"/>
              </w:rPr>
              <w:t>897172</w:t>
            </w:r>
          </w:p>
        </w:tc>
      </w:tr>
      <w:tr w:rsidR="00B02CF8" w:rsidRPr="003A6E5A" w14:paraId="7047D866" w14:textId="77777777" w:rsidTr="005D43EE">
        <w:tc>
          <w:tcPr>
            <w:tcW w:w="2652" w:type="dxa"/>
            <w:vAlign w:val="center"/>
          </w:tcPr>
          <w:p w14:paraId="3ABCDA14" w14:textId="101CECF7" w:rsidR="0003217D" w:rsidRPr="003A6E5A" w:rsidRDefault="00FC275D" w:rsidP="00117126">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Дисперсия ошибок</w:t>
            </w:r>
          </w:p>
        </w:tc>
        <w:tc>
          <w:tcPr>
            <w:tcW w:w="1445" w:type="dxa"/>
            <w:vAlign w:val="center"/>
          </w:tcPr>
          <w:p w14:paraId="7A06FE4A"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w:t>
            </w:r>
            <w:r w:rsidRPr="003A6E5A">
              <w:rPr>
                <w:rFonts w:ascii="Times New Roman" w:hAnsi="Times New Roman" w:cs="Times New Roman"/>
                <w:sz w:val="20"/>
                <w:szCs w:val="20"/>
                <w:lang w:val="en-US"/>
              </w:rPr>
              <w:t>,</w:t>
            </w:r>
            <w:r w:rsidRPr="003A6E5A">
              <w:rPr>
                <w:rFonts w:ascii="Times New Roman" w:hAnsi="Times New Roman" w:cs="Times New Roman"/>
                <w:sz w:val="20"/>
                <w:szCs w:val="20"/>
              </w:rPr>
              <w:t>101396</w:t>
            </w:r>
          </w:p>
        </w:tc>
        <w:tc>
          <w:tcPr>
            <w:tcW w:w="2743" w:type="dxa"/>
            <w:vAlign w:val="center"/>
          </w:tcPr>
          <w:p w14:paraId="79565298" w14:textId="2AEA9642" w:rsidR="0003217D" w:rsidRPr="003A6E5A" w:rsidRDefault="00FC275D" w:rsidP="005D43EE">
            <w:pPr>
              <w:spacing w:after="0" w:line="240" w:lineRule="auto"/>
              <w:jc w:val="left"/>
              <w:rPr>
                <w:rFonts w:ascii="Times New Roman" w:hAnsi="Times New Roman" w:cs="Times New Roman"/>
                <w:sz w:val="20"/>
                <w:szCs w:val="20"/>
                <w:lang w:val="en-US"/>
              </w:rPr>
            </w:pPr>
            <w:r w:rsidRPr="003A6E5A">
              <w:rPr>
                <w:rFonts w:ascii="Times New Roman" w:hAnsi="Times New Roman" w:cs="Times New Roman"/>
                <w:sz w:val="20"/>
                <w:szCs w:val="20"/>
              </w:rPr>
              <w:t>Критерий Акаике (AIC)</w:t>
            </w:r>
          </w:p>
        </w:tc>
        <w:tc>
          <w:tcPr>
            <w:tcW w:w="2785" w:type="dxa"/>
            <w:gridSpan w:val="2"/>
            <w:vAlign w:val="center"/>
          </w:tcPr>
          <w:p w14:paraId="7FAB78D7"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17</w:t>
            </w:r>
            <w:r w:rsidRPr="003A6E5A">
              <w:rPr>
                <w:rFonts w:ascii="Times New Roman" w:hAnsi="Times New Roman" w:cs="Times New Roman"/>
                <w:sz w:val="20"/>
                <w:szCs w:val="20"/>
                <w:lang w:val="en-US"/>
              </w:rPr>
              <w:t>,</w:t>
            </w:r>
            <w:r w:rsidRPr="003A6E5A">
              <w:rPr>
                <w:rFonts w:ascii="Times New Roman" w:hAnsi="Times New Roman" w:cs="Times New Roman"/>
                <w:sz w:val="20"/>
                <w:szCs w:val="20"/>
              </w:rPr>
              <w:t>7943</w:t>
            </w:r>
          </w:p>
        </w:tc>
      </w:tr>
      <w:tr w:rsidR="00B02CF8" w:rsidRPr="003A6E5A" w14:paraId="469AF35A" w14:textId="77777777" w:rsidTr="005D43EE">
        <w:tc>
          <w:tcPr>
            <w:tcW w:w="2652" w:type="dxa"/>
            <w:vAlign w:val="center"/>
          </w:tcPr>
          <w:p w14:paraId="0F45AA7B" w14:textId="1C8AB3B5" w:rsidR="0003217D" w:rsidRPr="003A6E5A" w:rsidRDefault="00FC275D" w:rsidP="00117126">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Стандартная ошибка регрессии</w:t>
            </w:r>
          </w:p>
        </w:tc>
        <w:tc>
          <w:tcPr>
            <w:tcW w:w="1445" w:type="dxa"/>
            <w:vAlign w:val="center"/>
          </w:tcPr>
          <w:p w14:paraId="7EA9FA09"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w:t>
            </w:r>
            <w:r w:rsidRPr="003A6E5A">
              <w:rPr>
                <w:rFonts w:ascii="Times New Roman" w:hAnsi="Times New Roman" w:cs="Times New Roman"/>
                <w:sz w:val="20"/>
                <w:szCs w:val="20"/>
                <w:lang w:val="en-US"/>
              </w:rPr>
              <w:t>,</w:t>
            </w:r>
            <w:r w:rsidRPr="003A6E5A">
              <w:rPr>
                <w:rFonts w:ascii="Times New Roman" w:hAnsi="Times New Roman" w:cs="Times New Roman"/>
                <w:sz w:val="20"/>
                <w:szCs w:val="20"/>
              </w:rPr>
              <w:t>318427</w:t>
            </w:r>
          </w:p>
        </w:tc>
        <w:tc>
          <w:tcPr>
            <w:tcW w:w="2743" w:type="dxa"/>
            <w:vAlign w:val="center"/>
          </w:tcPr>
          <w:p w14:paraId="59EA24CD" w14:textId="049328A3" w:rsidR="0003217D" w:rsidRPr="003A6E5A" w:rsidRDefault="00FC275D" w:rsidP="005D43EE">
            <w:pPr>
              <w:spacing w:after="0" w:line="240" w:lineRule="auto"/>
              <w:jc w:val="left"/>
              <w:rPr>
                <w:rFonts w:ascii="Times New Roman" w:hAnsi="Times New Roman" w:cs="Times New Roman"/>
                <w:sz w:val="20"/>
                <w:szCs w:val="20"/>
                <w:lang w:val="en-US"/>
              </w:rPr>
            </w:pPr>
            <w:r w:rsidRPr="003A6E5A">
              <w:rPr>
                <w:rStyle w:val="ab"/>
                <w:rFonts w:ascii="Times New Roman" w:eastAsia="SimSun" w:hAnsi="Times New Roman" w:cs="Times New Roman"/>
                <w:b w:val="0"/>
                <w:bCs w:val="0"/>
                <w:sz w:val="20"/>
                <w:szCs w:val="20"/>
              </w:rPr>
              <w:t>Критерий Шварца (SC)</w:t>
            </w:r>
          </w:p>
        </w:tc>
        <w:tc>
          <w:tcPr>
            <w:tcW w:w="2785" w:type="dxa"/>
            <w:gridSpan w:val="2"/>
            <w:vAlign w:val="center"/>
          </w:tcPr>
          <w:p w14:paraId="0692BE4B"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20</w:t>
            </w:r>
            <w:r w:rsidRPr="003A6E5A">
              <w:rPr>
                <w:rFonts w:ascii="Times New Roman" w:hAnsi="Times New Roman" w:cs="Times New Roman"/>
                <w:sz w:val="20"/>
                <w:szCs w:val="20"/>
                <w:lang w:val="en-US"/>
              </w:rPr>
              <w:t>,</w:t>
            </w:r>
            <w:r w:rsidRPr="003A6E5A">
              <w:rPr>
                <w:rFonts w:ascii="Times New Roman" w:hAnsi="Times New Roman" w:cs="Times New Roman"/>
                <w:sz w:val="20"/>
                <w:szCs w:val="20"/>
              </w:rPr>
              <w:t>7815</w:t>
            </w:r>
          </w:p>
        </w:tc>
      </w:tr>
      <w:tr w:rsidR="00B02CF8" w:rsidRPr="003A6E5A" w14:paraId="7C4D3C0B" w14:textId="77777777" w:rsidTr="00117126">
        <w:tc>
          <w:tcPr>
            <w:tcW w:w="9625" w:type="dxa"/>
            <w:gridSpan w:val="5"/>
            <w:vAlign w:val="center"/>
          </w:tcPr>
          <w:p w14:paraId="41768EB3"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Оценки коэффициентов модели:</w:t>
            </w:r>
          </w:p>
        </w:tc>
      </w:tr>
      <w:tr w:rsidR="00B02CF8" w:rsidRPr="003A6E5A" w14:paraId="6F9C00D0" w14:textId="77777777" w:rsidTr="00117126">
        <w:tc>
          <w:tcPr>
            <w:tcW w:w="2652" w:type="dxa"/>
            <w:vAlign w:val="center"/>
          </w:tcPr>
          <w:p w14:paraId="3A057C17" w14:textId="77777777" w:rsidR="0003217D" w:rsidRPr="003A6E5A" w:rsidRDefault="00FC275D" w:rsidP="00117126">
            <w:pPr>
              <w:spacing w:after="0" w:line="240" w:lineRule="auto"/>
              <w:jc w:val="center"/>
              <w:rPr>
                <w:rStyle w:val="ab"/>
                <w:rFonts w:ascii="Times New Roman" w:eastAsia="SimSun" w:hAnsi="Times New Roman" w:cs="Times New Roman"/>
                <w:b w:val="0"/>
                <w:bCs w:val="0"/>
                <w:sz w:val="20"/>
                <w:szCs w:val="20"/>
              </w:rPr>
            </w:pPr>
            <w:r w:rsidRPr="003A6E5A">
              <w:rPr>
                <w:rStyle w:val="ab"/>
                <w:rFonts w:ascii="Times New Roman" w:eastAsia="SimSun" w:hAnsi="Times New Roman" w:cs="Times New Roman"/>
                <w:b w:val="0"/>
                <w:bCs w:val="0"/>
                <w:sz w:val="20"/>
                <w:szCs w:val="20"/>
              </w:rPr>
              <w:t>Переменная</w:t>
            </w:r>
          </w:p>
        </w:tc>
        <w:tc>
          <w:tcPr>
            <w:tcW w:w="1445" w:type="dxa"/>
            <w:vAlign w:val="center"/>
          </w:tcPr>
          <w:p w14:paraId="7F764F33" w14:textId="77777777" w:rsidR="0003217D" w:rsidRPr="003A6E5A" w:rsidRDefault="00FC275D" w:rsidP="00117126">
            <w:pPr>
              <w:spacing w:after="0" w:line="240" w:lineRule="auto"/>
              <w:jc w:val="center"/>
              <w:rPr>
                <w:rFonts w:ascii="Times New Roman" w:eastAsia="SimSun" w:hAnsi="Times New Roman" w:cs="Times New Roman"/>
                <w:sz w:val="20"/>
                <w:szCs w:val="20"/>
              </w:rPr>
            </w:pPr>
            <w:r w:rsidRPr="003A6E5A">
              <w:rPr>
                <w:rFonts w:ascii="Times New Roman" w:eastAsia="SimSun" w:hAnsi="Times New Roman" w:cs="Times New Roman"/>
                <w:sz w:val="20"/>
                <w:szCs w:val="20"/>
              </w:rPr>
              <w:t>Коэффициент</w:t>
            </w:r>
          </w:p>
        </w:tc>
        <w:tc>
          <w:tcPr>
            <w:tcW w:w="2743" w:type="dxa"/>
            <w:vAlign w:val="center"/>
          </w:tcPr>
          <w:p w14:paraId="78C9575A" w14:textId="77777777" w:rsidR="0003217D" w:rsidRPr="003A6E5A" w:rsidRDefault="00FC275D" w:rsidP="00117126">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Ст. ошибка</w:t>
            </w:r>
          </w:p>
        </w:tc>
        <w:tc>
          <w:tcPr>
            <w:tcW w:w="1281" w:type="dxa"/>
            <w:vAlign w:val="center"/>
          </w:tcPr>
          <w:p w14:paraId="5F291366"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en-US"/>
              </w:rPr>
              <w:t>z</w:t>
            </w:r>
            <w:r w:rsidRPr="003A6E5A">
              <w:rPr>
                <w:rFonts w:ascii="Times New Roman" w:hAnsi="Times New Roman" w:cs="Times New Roman"/>
                <w:sz w:val="20"/>
                <w:szCs w:val="20"/>
                <w:lang w:val="kk-KZ"/>
              </w:rPr>
              <w:t>-значение</w:t>
            </w:r>
          </w:p>
        </w:tc>
        <w:tc>
          <w:tcPr>
            <w:tcW w:w="1504" w:type="dxa"/>
            <w:vAlign w:val="center"/>
          </w:tcPr>
          <w:p w14:paraId="5DD92CE4" w14:textId="510A559D" w:rsidR="0003217D" w:rsidRPr="003A6E5A" w:rsidRDefault="004C1164" w:rsidP="004C1164">
            <w:pPr>
              <w:spacing w:after="0" w:line="240" w:lineRule="auto"/>
              <w:jc w:val="center"/>
              <w:rPr>
                <w:rFonts w:ascii="Times New Roman" w:hAnsi="Times New Roman" w:cs="Times New Roman"/>
                <w:sz w:val="20"/>
                <w:szCs w:val="20"/>
                <w:lang w:val="en-US"/>
              </w:rPr>
            </w:pPr>
            <m:oMath>
              <m:r>
                <w:rPr>
                  <w:rFonts w:ascii="Cambria Math" w:hAnsi="Cambria Math" w:cs="Times New Roman"/>
                  <w:sz w:val="20"/>
                  <w:szCs w:val="20"/>
                  <w:lang w:val="kk-KZ"/>
                </w:rPr>
                <m:t>P</m:t>
              </m:r>
            </m:oMath>
            <w:r w:rsidRPr="003A6E5A">
              <w:rPr>
                <w:rFonts w:ascii="Times New Roman" w:hAnsi="Times New Roman" w:cs="Times New Roman"/>
                <w:sz w:val="20"/>
                <w:szCs w:val="20"/>
                <w:lang w:val="kk-KZ"/>
              </w:rPr>
              <w:t>-значение</w:t>
            </w:r>
          </w:p>
        </w:tc>
      </w:tr>
      <w:tr w:rsidR="00B02CF8" w:rsidRPr="003A6E5A" w14:paraId="659D6920" w14:textId="77777777" w:rsidTr="00D057B9">
        <w:tc>
          <w:tcPr>
            <w:tcW w:w="2652" w:type="dxa"/>
            <w:vAlign w:val="center"/>
          </w:tcPr>
          <w:p w14:paraId="4ED83189" w14:textId="77777777" w:rsidR="0003217D" w:rsidRPr="003A6E5A" w:rsidRDefault="00FC275D" w:rsidP="00D057B9">
            <w:pPr>
              <w:spacing w:after="0" w:line="240" w:lineRule="auto"/>
              <w:jc w:val="left"/>
              <w:rPr>
                <w:rStyle w:val="ab"/>
                <w:rFonts w:ascii="Times New Roman" w:eastAsia="SimSun" w:hAnsi="Times New Roman" w:cs="Times New Roman"/>
                <w:b w:val="0"/>
                <w:bCs w:val="0"/>
                <w:sz w:val="20"/>
                <w:szCs w:val="20"/>
              </w:rPr>
            </w:pPr>
            <w:r w:rsidRPr="003A6E5A">
              <w:rPr>
                <w:rStyle w:val="ab"/>
                <w:rFonts w:ascii="Times New Roman" w:eastAsia="SimSun" w:hAnsi="Times New Roman" w:cs="Times New Roman"/>
                <w:b w:val="0"/>
                <w:bCs w:val="0"/>
                <w:sz w:val="20"/>
                <w:szCs w:val="20"/>
              </w:rPr>
              <w:t>Константа</w:t>
            </w:r>
          </w:p>
        </w:tc>
        <w:tc>
          <w:tcPr>
            <w:tcW w:w="1445" w:type="dxa"/>
            <w:vAlign w:val="center"/>
          </w:tcPr>
          <w:p w14:paraId="56F125EA" w14:textId="77777777" w:rsidR="0003217D" w:rsidRPr="003A6E5A" w:rsidRDefault="00FC275D" w:rsidP="00117126">
            <w:pPr>
              <w:spacing w:after="0" w:line="240" w:lineRule="auto"/>
              <w:jc w:val="center"/>
              <w:rPr>
                <w:rFonts w:ascii="Times New Roman" w:eastAsia="SimSun" w:hAnsi="Times New Roman" w:cs="Times New Roman"/>
                <w:sz w:val="20"/>
                <w:szCs w:val="20"/>
                <w:lang w:val="en-US"/>
              </w:rPr>
            </w:pPr>
            <w:r w:rsidRPr="003A6E5A">
              <w:rPr>
                <w:rFonts w:ascii="Times New Roman" w:eastAsia="SimSun" w:hAnsi="Times New Roman" w:cs="Times New Roman"/>
                <w:sz w:val="20"/>
                <w:szCs w:val="20"/>
                <w:lang w:val="en-US"/>
              </w:rPr>
              <w:t>13,2352</w:t>
            </w:r>
          </w:p>
        </w:tc>
        <w:tc>
          <w:tcPr>
            <w:tcW w:w="2743" w:type="dxa"/>
            <w:vAlign w:val="center"/>
          </w:tcPr>
          <w:p w14:paraId="7C487758"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1,69516</w:t>
            </w:r>
          </w:p>
        </w:tc>
        <w:tc>
          <w:tcPr>
            <w:tcW w:w="1281" w:type="dxa"/>
            <w:vAlign w:val="center"/>
          </w:tcPr>
          <w:p w14:paraId="0317560C"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7,80763</w:t>
            </w:r>
          </w:p>
        </w:tc>
        <w:tc>
          <w:tcPr>
            <w:tcW w:w="1504" w:type="dxa"/>
            <w:vAlign w:val="center"/>
          </w:tcPr>
          <w:p w14:paraId="314CAD34"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0000</w:t>
            </w:r>
            <w:r w:rsidRPr="003A6E5A">
              <w:rPr>
                <w:rFonts w:ascii="Times New Roman" w:eastAsia="SimSun" w:hAnsi="Times New Roman" w:cs="Times New Roman"/>
                <w:sz w:val="20"/>
                <w:szCs w:val="20"/>
                <w:lang w:val="en-US"/>
              </w:rPr>
              <w:t>0</w:t>
            </w:r>
          </w:p>
        </w:tc>
      </w:tr>
      <w:tr w:rsidR="00B02CF8" w:rsidRPr="003A6E5A" w14:paraId="7FDDF12D" w14:textId="77777777" w:rsidTr="00D057B9">
        <w:tc>
          <w:tcPr>
            <w:tcW w:w="2652" w:type="dxa"/>
            <w:vAlign w:val="center"/>
          </w:tcPr>
          <w:p w14:paraId="62D6DB2C" w14:textId="77777777" w:rsidR="0003217D" w:rsidRPr="003A6E5A" w:rsidRDefault="00FC275D" w:rsidP="00D057B9">
            <w:pPr>
              <w:spacing w:after="0" w:line="240" w:lineRule="auto"/>
              <w:jc w:val="left"/>
              <w:rPr>
                <w:rStyle w:val="ab"/>
                <w:rFonts w:ascii="Times New Roman" w:eastAsia="SimSun" w:hAnsi="Times New Roman" w:cs="Times New Roman"/>
                <w:b w:val="0"/>
                <w:bCs w:val="0"/>
                <w:sz w:val="20"/>
                <w:szCs w:val="20"/>
              </w:rPr>
            </w:pPr>
            <w:r w:rsidRPr="003A6E5A">
              <w:rPr>
                <w:rFonts w:ascii="Times New Roman" w:eastAsia="SimSun" w:hAnsi="Times New Roman" w:cs="Times New Roman"/>
                <w:sz w:val="20"/>
                <w:szCs w:val="20"/>
              </w:rPr>
              <w:t>LnPERD</w:t>
            </w:r>
          </w:p>
        </w:tc>
        <w:tc>
          <w:tcPr>
            <w:tcW w:w="1445" w:type="dxa"/>
            <w:vAlign w:val="center"/>
          </w:tcPr>
          <w:p w14:paraId="67A30C0F" w14:textId="77777777" w:rsidR="0003217D" w:rsidRPr="003A6E5A" w:rsidRDefault="00FC275D" w:rsidP="00117126">
            <w:pPr>
              <w:spacing w:after="0" w:line="240" w:lineRule="auto"/>
              <w:jc w:val="center"/>
              <w:rPr>
                <w:rFonts w:ascii="Times New Roman" w:eastAsia="SimSun" w:hAnsi="Times New Roman" w:cs="Times New Roman"/>
                <w:sz w:val="20"/>
                <w:szCs w:val="20"/>
                <w:lang w:val="en-US"/>
              </w:rPr>
            </w:pPr>
            <w:r w:rsidRPr="003A6E5A">
              <w:rPr>
                <w:rFonts w:ascii="Times New Roman" w:eastAsia="SimSun" w:hAnsi="Times New Roman" w:cs="Times New Roman"/>
                <w:sz w:val="20"/>
                <w:szCs w:val="20"/>
                <w:lang w:val="en-US"/>
              </w:rPr>
              <w:t>0,264.26</w:t>
            </w:r>
          </w:p>
        </w:tc>
        <w:tc>
          <w:tcPr>
            <w:tcW w:w="2743" w:type="dxa"/>
            <w:vAlign w:val="center"/>
          </w:tcPr>
          <w:p w14:paraId="75129CEC"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0,0521591</w:t>
            </w:r>
          </w:p>
        </w:tc>
        <w:tc>
          <w:tcPr>
            <w:tcW w:w="1281" w:type="dxa"/>
            <w:vAlign w:val="center"/>
          </w:tcPr>
          <w:p w14:paraId="661B0524"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5,06193</w:t>
            </w:r>
          </w:p>
        </w:tc>
        <w:tc>
          <w:tcPr>
            <w:tcW w:w="1504" w:type="dxa"/>
            <w:vAlign w:val="center"/>
          </w:tcPr>
          <w:p w14:paraId="35A11636"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000</w:t>
            </w:r>
            <w:r w:rsidRPr="003A6E5A">
              <w:rPr>
                <w:rFonts w:ascii="Times New Roman" w:eastAsia="SimSun" w:hAnsi="Times New Roman" w:cs="Times New Roman"/>
                <w:sz w:val="20"/>
                <w:szCs w:val="20"/>
                <w:lang w:val="en-US"/>
              </w:rPr>
              <w:t>00</w:t>
            </w:r>
          </w:p>
        </w:tc>
      </w:tr>
      <w:tr w:rsidR="00B02CF8" w:rsidRPr="003A6E5A" w14:paraId="0AB148C2" w14:textId="77777777" w:rsidTr="00D057B9">
        <w:tc>
          <w:tcPr>
            <w:tcW w:w="2652" w:type="dxa"/>
            <w:vAlign w:val="center"/>
          </w:tcPr>
          <w:p w14:paraId="007A4A35" w14:textId="77777777" w:rsidR="0003217D" w:rsidRPr="003A6E5A" w:rsidRDefault="00FC275D" w:rsidP="00D057B9">
            <w:pPr>
              <w:spacing w:after="0" w:line="240" w:lineRule="auto"/>
              <w:jc w:val="left"/>
              <w:rPr>
                <w:rStyle w:val="ab"/>
                <w:rFonts w:ascii="Times New Roman" w:eastAsia="SimSun" w:hAnsi="Times New Roman" w:cs="Times New Roman"/>
                <w:b w:val="0"/>
                <w:bCs w:val="0"/>
                <w:sz w:val="20"/>
                <w:szCs w:val="20"/>
              </w:rPr>
            </w:pPr>
            <w:r w:rsidRPr="003A6E5A">
              <w:rPr>
                <w:rFonts w:ascii="Times New Roman" w:eastAsia="SimSun" w:hAnsi="Times New Roman" w:cs="Times New Roman"/>
                <w:sz w:val="20"/>
                <w:szCs w:val="20"/>
              </w:rPr>
              <w:t>LnAMNW</w:t>
            </w:r>
          </w:p>
        </w:tc>
        <w:tc>
          <w:tcPr>
            <w:tcW w:w="1445" w:type="dxa"/>
            <w:vAlign w:val="center"/>
          </w:tcPr>
          <w:p w14:paraId="6E7D744B" w14:textId="77777777" w:rsidR="0003217D" w:rsidRPr="003A6E5A" w:rsidRDefault="00FC275D" w:rsidP="00117126">
            <w:pPr>
              <w:spacing w:after="0" w:line="240" w:lineRule="auto"/>
              <w:jc w:val="center"/>
              <w:rPr>
                <w:rFonts w:ascii="Times New Roman" w:eastAsia="SimSun" w:hAnsi="Times New Roman" w:cs="Times New Roman"/>
                <w:sz w:val="20"/>
                <w:szCs w:val="20"/>
                <w:lang w:val="en-US"/>
              </w:rPr>
            </w:pPr>
            <w:r w:rsidRPr="003A6E5A">
              <w:rPr>
                <w:rFonts w:ascii="Times New Roman" w:eastAsia="SimSun" w:hAnsi="Times New Roman" w:cs="Times New Roman"/>
                <w:sz w:val="20"/>
                <w:szCs w:val="20"/>
                <w:lang w:val="en-US"/>
              </w:rPr>
              <w:t>0,951837</w:t>
            </w:r>
          </w:p>
        </w:tc>
        <w:tc>
          <w:tcPr>
            <w:tcW w:w="2743" w:type="dxa"/>
            <w:vAlign w:val="center"/>
          </w:tcPr>
          <w:p w14:paraId="5DE3656B"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0,280196</w:t>
            </w:r>
          </w:p>
        </w:tc>
        <w:tc>
          <w:tcPr>
            <w:tcW w:w="1281" w:type="dxa"/>
            <w:vAlign w:val="center"/>
          </w:tcPr>
          <w:p w14:paraId="77B6AF21"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3,39704</w:t>
            </w:r>
          </w:p>
        </w:tc>
        <w:tc>
          <w:tcPr>
            <w:tcW w:w="1504" w:type="dxa"/>
            <w:vAlign w:val="center"/>
          </w:tcPr>
          <w:p w14:paraId="36698F75" w14:textId="77777777" w:rsidR="0003217D" w:rsidRPr="003A6E5A" w:rsidRDefault="00FC275D" w:rsidP="00117126">
            <w:pPr>
              <w:spacing w:after="0" w:line="240" w:lineRule="auto"/>
              <w:jc w:val="center"/>
              <w:rPr>
                <w:rFonts w:ascii="Times New Roman" w:hAnsi="Times New Roman" w:cs="Times New Roman"/>
                <w:sz w:val="20"/>
                <w:szCs w:val="20"/>
                <w:lang w:val="en-US"/>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en-US"/>
              </w:rPr>
              <w:t>0068</w:t>
            </w:r>
          </w:p>
        </w:tc>
      </w:tr>
      <w:tr w:rsidR="00B02CF8" w:rsidRPr="003A6E5A" w14:paraId="7D95C409" w14:textId="77777777" w:rsidTr="00D057B9">
        <w:tc>
          <w:tcPr>
            <w:tcW w:w="2652" w:type="dxa"/>
            <w:vAlign w:val="center"/>
          </w:tcPr>
          <w:p w14:paraId="4E40F85E" w14:textId="77777777" w:rsidR="0003217D" w:rsidRPr="003A6E5A" w:rsidRDefault="00FC275D" w:rsidP="00D057B9">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LAMBDA</w:t>
            </w:r>
          </w:p>
        </w:tc>
        <w:tc>
          <w:tcPr>
            <w:tcW w:w="1445" w:type="dxa"/>
            <w:vAlign w:val="center"/>
          </w:tcPr>
          <w:p w14:paraId="2D850956" w14:textId="77777777" w:rsidR="0003217D" w:rsidRPr="003A6E5A" w:rsidRDefault="00FC275D" w:rsidP="00117126">
            <w:pPr>
              <w:spacing w:after="0" w:line="240" w:lineRule="auto"/>
              <w:jc w:val="center"/>
              <w:rPr>
                <w:rFonts w:ascii="Times New Roman" w:eastAsia="SimSun" w:hAnsi="Times New Roman" w:cs="Times New Roman"/>
                <w:sz w:val="20"/>
                <w:szCs w:val="20"/>
                <w:lang w:val="en-US"/>
              </w:rPr>
            </w:pPr>
            <w:r w:rsidRPr="003A6E5A">
              <w:rPr>
                <w:rFonts w:ascii="Times New Roman" w:eastAsia="SimSun" w:hAnsi="Times New Roman" w:cs="Times New Roman"/>
                <w:sz w:val="20"/>
                <w:szCs w:val="20"/>
                <w:lang w:val="en-US"/>
              </w:rPr>
              <w:t>-0,384874</w:t>
            </w:r>
          </w:p>
        </w:tc>
        <w:tc>
          <w:tcPr>
            <w:tcW w:w="2743" w:type="dxa"/>
            <w:vAlign w:val="center"/>
          </w:tcPr>
          <w:p w14:paraId="63C40441" w14:textId="77777777" w:rsidR="0003217D" w:rsidRPr="003A6E5A" w:rsidRDefault="00FC275D" w:rsidP="00117126">
            <w:pPr>
              <w:spacing w:after="0" w:line="240" w:lineRule="auto"/>
              <w:jc w:val="center"/>
              <w:rPr>
                <w:rFonts w:ascii="Times New Roman" w:eastAsia="SimSun" w:hAnsi="Times New Roman" w:cs="Times New Roman"/>
                <w:sz w:val="20"/>
                <w:szCs w:val="20"/>
                <w:lang w:val="en-US"/>
              </w:rPr>
            </w:pPr>
            <w:r w:rsidRPr="003A6E5A">
              <w:rPr>
                <w:rFonts w:ascii="Times New Roman" w:eastAsia="SimSun" w:hAnsi="Times New Roman" w:cs="Times New Roman"/>
                <w:sz w:val="20"/>
                <w:szCs w:val="20"/>
                <w:lang w:val="en-US"/>
              </w:rPr>
              <w:t>0,261801</w:t>
            </w:r>
          </w:p>
        </w:tc>
        <w:tc>
          <w:tcPr>
            <w:tcW w:w="1281" w:type="dxa"/>
            <w:vAlign w:val="center"/>
          </w:tcPr>
          <w:p w14:paraId="71E40D8C"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-1,471</w:t>
            </w:r>
          </w:p>
        </w:tc>
        <w:tc>
          <w:tcPr>
            <w:tcW w:w="1504" w:type="dxa"/>
            <w:vAlign w:val="center"/>
          </w:tcPr>
          <w:p w14:paraId="54E8AF31" w14:textId="77777777" w:rsidR="0003217D" w:rsidRPr="003A6E5A" w:rsidRDefault="00FC275D" w:rsidP="00117126">
            <w:pPr>
              <w:spacing w:after="0" w:line="240" w:lineRule="auto"/>
              <w:jc w:val="center"/>
              <w:rPr>
                <w:rFonts w:ascii="Times New Roman" w:eastAsia="SimSun" w:hAnsi="Times New Roman" w:cs="Times New Roman"/>
                <w:sz w:val="20"/>
                <w:szCs w:val="20"/>
                <w:lang w:val="en-US"/>
              </w:rPr>
            </w:pPr>
            <w:r w:rsidRPr="003A6E5A">
              <w:rPr>
                <w:rFonts w:ascii="Times New Roman" w:eastAsia="SimSun" w:hAnsi="Times New Roman" w:cs="Times New Roman"/>
                <w:sz w:val="20"/>
                <w:szCs w:val="20"/>
                <w:lang w:val="en-US"/>
              </w:rPr>
              <w:t>0,14153</w:t>
            </w:r>
          </w:p>
        </w:tc>
      </w:tr>
      <w:tr w:rsidR="00B02CF8" w:rsidRPr="003A6E5A" w14:paraId="7AC1B6A9" w14:textId="77777777" w:rsidTr="00117126">
        <w:tc>
          <w:tcPr>
            <w:tcW w:w="9625" w:type="dxa"/>
            <w:gridSpan w:val="5"/>
            <w:vAlign w:val="center"/>
          </w:tcPr>
          <w:p w14:paraId="758E9A48"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Диагностика на гетероскедастичность:</w:t>
            </w:r>
          </w:p>
        </w:tc>
      </w:tr>
      <w:tr w:rsidR="00B02CF8" w:rsidRPr="003A6E5A" w14:paraId="05BF8BF9" w14:textId="77777777" w:rsidTr="00117126">
        <w:tc>
          <w:tcPr>
            <w:tcW w:w="2652" w:type="dxa"/>
            <w:vAlign w:val="center"/>
          </w:tcPr>
          <w:p w14:paraId="748970FF"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Style w:val="ab"/>
                <w:rFonts w:ascii="Times New Roman" w:eastAsia="SimSun" w:hAnsi="Times New Roman" w:cs="Times New Roman"/>
                <w:b w:val="0"/>
                <w:bCs w:val="0"/>
                <w:sz w:val="20"/>
                <w:szCs w:val="20"/>
                <w:lang w:val="kk-KZ"/>
              </w:rPr>
              <w:t>Тест</w:t>
            </w:r>
          </w:p>
        </w:tc>
        <w:tc>
          <w:tcPr>
            <w:tcW w:w="1445" w:type="dxa"/>
            <w:vAlign w:val="center"/>
          </w:tcPr>
          <w:p w14:paraId="57C0CD5D"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Степени свободы</w:t>
            </w:r>
          </w:p>
        </w:tc>
        <w:tc>
          <w:tcPr>
            <w:tcW w:w="2743" w:type="dxa"/>
            <w:vAlign w:val="center"/>
          </w:tcPr>
          <w:p w14:paraId="1A9343D3"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Значение</w:t>
            </w:r>
          </w:p>
        </w:tc>
        <w:tc>
          <w:tcPr>
            <w:tcW w:w="2785" w:type="dxa"/>
            <w:gridSpan w:val="2"/>
            <w:vAlign w:val="center"/>
          </w:tcPr>
          <w:p w14:paraId="256A9AC0" w14:textId="3FEA31BF" w:rsidR="0003217D" w:rsidRPr="003A6E5A" w:rsidRDefault="004C1164" w:rsidP="00117126">
            <w:pPr>
              <w:spacing w:after="0" w:line="240" w:lineRule="auto"/>
              <w:jc w:val="center"/>
              <w:rPr>
                <w:rFonts w:ascii="Times New Roman" w:hAnsi="Times New Roman" w:cs="Times New Roman"/>
                <w:sz w:val="20"/>
                <w:szCs w:val="20"/>
                <w:lang w:val="kk-KZ"/>
              </w:rPr>
            </w:pPr>
            <m:oMath>
              <m:r>
                <w:rPr>
                  <w:rFonts w:ascii="Cambria Math" w:hAnsi="Cambria Math" w:cs="Times New Roman"/>
                  <w:sz w:val="20"/>
                  <w:szCs w:val="20"/>
                  <w:lang w:val="kk-KZ"/>
                </w:rPr>
                <m:t>P</m:t>
              </m:r>
            </m:oMath>
            <w:r w:rsidR="00FC275D" w:rsidRPr="003A6E5A">
              <w:rPr>
                <w:rFonts w:ascii="Times New Roman" w:hAnsi="Times New Roman" w:cs="Times New Roman"/>
                <w:sz w:val="20"/>
                <w:szCs w:val="20"/>
                <w:lang w:val="kk-KZ"/>
              </w:rPr>
              <w:t>-значение</w:t>
            </w:r>
          </w:p>
        </w:tc>
      </w:tr>
      <w:tr w:rsidR="00B02CF8" w:rsidRPr="003A6E5A" w14:paraId="744D07D0" w14:textId="77777777" w:rsidTr="00D057B9">
        <w:tc>
          <w:tcPr>
            <w:tcW w:w="2652" w:type="dxa"/>
            <w:vAlign w:val="center"/>
          </w:tcPr>
          <w:p w14:paraId="2069893B" w14:textId="77777777" w:rsidR="0003217D" w:rsidRPr="003A6E5A" w:rsidRDefault="00FC275D" w:rsidP="00D057B9">
            <w:pPr>
              <w:spacing w:after="0" w:line="240" w:lineRule="auto"/>
              <w:jc w:val="left"/>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Т</w:t>
            </w:r>
            <w:r w:rsidRPr="003A6E5A">
              <w:rPr>
                <w:rFonts w:ascii="Times New Roman" w:eastAsia="SimSun" w:hAnsi="Times New Roman" w:cs="Times New Roman"/>
                <w:sz w:val="20"/>
                <w:szCs w:val="20"/>
              </w:rPr>
              <w:t>ест</w:t>
            </w:r>
            <w:r w:rsidRPr="003A6E5A">
              <w:rPr>
                <w:rFonts w:ascii="Times New Roman" w:eastAsia="SimSun" w:hAnsi="Times New Roman" w:cs="Times New Roman"/>
                <w:sz w:val="20"/>
                <w:szCs w:val="20"/>
                <w:lang w:val="kk-KZ"/>
              </w:rPr>
              <w:t xml:space="preserve"> Бреуша-Пагана</w:t>
            </w:r>
          </w:p>
        </w:tc>
        <w:tc>
          <w:tcPr>
            <w:tcW w:w="1445" w:type="dxa"/>
            <w:vAlign w:val="center"/>
          </w:tcPr>
          <w:p w14:paraId="0BC251A3"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2</w:t>
            </w:r>
          </w:p>
        </w:tc>
        <w:tc>
          <w:tcPr>
            <w:tcW w:w="2743" w:type="dxa"/>
            <w:vAlign w:val="center"/>
          </w:tcPr>
          <w:p w14:paraId="38C28C58"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5</w:t>
            </w:r>
            <w:r w:rsidRPr="003A6E5A">
              <w:rPr>
                <w:rFonts w:ascii="Times New Roman" w:eastAsia="SimSun" w:hAnsi="Times New Roman" w:cs="Times New Roman"/>
                <w:sz w:val="20"/>
                <w:szCs w:val="20"/>
                <w:lang w:val="kk-KZ"/>
              </w:rPr>
              <w:t>,5001</w:t>
            </w:r>
          </w:p>
        </w:tc>
        <w:tc>
          <w:tcPr>
            <w:tcW w:w="2785" w:type="dxa"/>
            <w:gridSpan w:val="2"/>
            <w:vAlign w:val="center"/>
          </w:tcPr>
          <w:p w14:paraId="1A8ED34E"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w:t>
            </w: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6392</w:t>
            </w:r>
          </w:p>
        </w:tc>
      </w:tr>
      <w:tr w:rsidR="00B02CF8" w:rsidRPr="003A6E5A" w14:paraId="6D7D0EB5" w14:textId="77777777" w:rsidTr="00117126">
        <w:tc>
          <w:tcPr>
            <w:tcW w:w="9625" w:type="dxa"/>
            <w:gridSpan w:val="5"/>
            <w:vAlign w:val="center"/>
          </w:tcPr>
          <w:p w14:paraId="4A31A468"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Диагностика пространственной зависимости (по матрице весов):</w:t>
            </w:r>
          </w:p>
        </w:tc>
      </w:tr>
      <w:tr w:rsidR="00B02CF8" w:rsidRPr="003A6E5A" w14:paraId="2DD0CBCE" w14:textId="77777777" w:rsidTr="00117126">
        <w:tc>
          <w:tcPr>
            <w:tcW w:w="2652" w:type="dxa"/>
            <w:vAlign w:val="center"/>
          </w:tcPr>
          <w:p w14:paraId="71AA294A"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Style w:val="ab"/>
                <w:rFonts w:ascii="Times New Roman" w:eastAsia="SimSun" w:hAnsi="Times New Roman" w:cs="Times New Roman"/>
                <w:b w:val="0"/>
                <w:bCs w:val="0"/>
                <w:sz w:val="20"/>
                <w:szCs w:val="20"/>
                <w:lang w:val="kk-KZ"/>
              </w:rPr>
              <w:t>Тест</w:t>
            </w:r>
          </w:p>
        </w:tc>
        <w:tc>
          <w:tcPr>
            <w:tcW w:w="1445" w:type="dxa"/>
            <w:vAlign w:val="center"/>
          </w:tcPr>
          <w:p w14:paraId="27FEFFAF"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MI/Степени свободы</w:t>
            </w:r>
          </w:p>
        </w:tc>
        <w:tc>
          <w:tcPr>
            <w:tcW w:w="2743" w:type="dxa"/>
            <w:vAlign w:val="center"/>
          </w:tcPr>
          <w:p w14:paraId="7CA3A387"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Значение</w:t>
            </w:r>
          </w:p>
        </w:tc>
        <w:tc>
          <w:tcPr>
            <w:tcW w:w="2785" w:type="dxa"/>
            <w:gridSpan w:val="2"/>
            <w:vAlign w:val="center"/>
          </w:tcPr>
          <w:p w14:paraId="2CC572C5" w14:textId="427847C8" w:rsidR="0003217D" w:rsidRPr="003A6E5A" w:rsidRDefault="004C1164" w:rsidP="00117126">
            <w:pPr>
              <w:spacing w:after="0" w:line="240" w:lineRule="auto"/>
              <w:jc w:val="center"/>
              <w:rPr>
                <w:rFonts w:ascii="Times New Roman" w:hAnsi="Times New Roman" w:cs="Times New Roman"/>
                <w:sz w:val="20"/>
                <w:szCs w:val="20"/>
                <w:lang w:val="en-US"/>
              </w:rPr>
            </w:pPr>
            <m:oMath>
              <m:r>
                <w:rPr>
                  <w:rFonts w:ascii="Cambria Math" w:hAnsi="Cambria Math" w:cs="Times New Roman"/>
                  <w:sz w:val="20"/>
                  <w:szCs w:val="20"/>
                  <w:lang w:val="kk-KZ"/>
                </w:rPr>
                <m:t>P</m:t>
              </m:r>
            </m:oMath>
            <w:r w:rsidRPr="003A6E5A">
              <w:rPr>
                <w:rFonts w:ascii="Times New Roman" w:hAnsi="Times New Roman" w:cs="Times New Roman"/>
                <w:sz w:val="20"/>
                <w:szCs w:val="20"/>
                <w:lang w:val="kk-KZ"/>
              </w:rPr>
              <w:t>-значение</w:t>
            </w:r>
          </w:p>
        </w:tc>
      </w:tr>
      <w:tr w:rsidR="00B02CF8" w:rsidRPr="003A6E5A" w14:paraId="7507274A" w14:textId="77777777" w:rsidTr="00D057B9">
        <w:tc>
          <w:tcPr>
            <w:tcW w:w="2652" w:type="dxa"/>
            <w:vAlign w:val="center"/>
          </w:tcPr>
          <w:p w14:paraId="3E276851" w14:textId="77777777" w:rsidR="0003217D" w:rsidRPr="003A6E5A" w:rsidRDefault="00FC275D" w:rsidP="00D057B9">
            <w:pPr>
              <w:spacing w:after="0" w:line="240" w:lineRule="auto"/>
              <w:jc w:val="left"/>
              <w:rPr>
                <w:rFonts w:ascii="Times New Roman" w:eastAsia="SimSun" w:hAnsi="Times New Roman" w:cs="Times New Roman"/>
                <w:sz w:val="20"/>
                <w:szCs w:val="20"/>
              </w:rPr>
            </w:pPr>
            <w:r w:rsidRPr="003A6E5A">
              <w:rPr>
                <w:rFonts w:ascii="Times New Roman" w:eastAsia="SimSun" w:hAnsi="Times New Roman" w:cs="Times New Roman"/>
                <w:sz w:val="20"/>
                <w:szCs w:val="20"/>
              </w:rPr>
              <w:t>Логарифмический тест отношения правдоподобия (LR)</w:t>
            </w:r>
          </w:p>
        </w:tc>
        <w:tc>
          <w:tcPr>
            <w:tcW w:w="1445" w:type="dxa"/>
            <w:vAlign w:val="center"/>
          </w:tcPr>
          <w:p w14:paraId="08D9B409" w14:textId="77777777" w:rsidR="0003217D" w:rsidRPr="003A6E5A" w:rsidRDefault="00FC275D" w:rsidP="00117126">
            <w:pPr>
              <w:spacing w:after="0" w:line="240" w:lineRule="auto"/>
              <w:jc w:val="center"/>
              <w:rPr>
                <w:rFonts w:ascii="Times New Roman" w:eastAsia="SimSun" w:hAnsi="Times New Roman" w:cs="Times New Roman"/>
                <w:sz w:val="20"/>
                <w:szCs w:val="20"/>
                <w:lang w:val="kk-KZ"/>
              </w:rPr>
            </w:pPr>
            <w:r w:rsidRPr="003A6E5A">
              <w:rPr>
                <w:rFonts w:ascii="Times New Roman" w:eastAsia="SimSun" w:hAnsi="Times New Roman" w:cs="Times New Roman"/>
                <w:sz w:val="20"/>
                <w:szCs w:val="20"/>
                <w:lang w:val="kk-KZ"/>
              </w:rPr>
              <w:t>1</w:t>
            </w:r>
          </w:p>
        </w:tc>
        <w:tc>
          <w:tcPr>
            <w:tcW w:w="2743" w:type="dxa"/>
            <w:vAlign w:val="center"/>
          </w:tcPr>
          <w:p w14:paraId="22DC711F"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lang w:val="kk-KZ"/>
              </w:rPr>
              <w:t>2,7</w:t>
            </w:r>
            <w:r w:rsidRPr="003A6E5A">
              <w:rPr>
                <w:rFonts w:ascii="Times New Roman" w:eastAsia="SimSun" w:hAnsi="Times New Roman" w:cs="Times New Roman"/>
                <w:sz w:val="20"/>
                <w:szCs w:val="20"/>
              </w:rPr>
              <w:t>8</w:t>
            </w:r>
            <w:r w:rsidRPr="003A6E5A">
              <w:rPr>
                <w:rFonts w:ascii="Times New Roman" w:eastAsia="SimSun" w:hAnsi="Times New Roman" w:cs="Times New Roman"/>
                <w:sz w:val="20"/>
                <w:szCs w:val="20"/>
                <w:lang w:val="kk-KZ"/>
              </w:rPr>
              <w:t>52</w:t>
            </w:r>
          </w:p>
        </w:tc>
        <w:tc>
          <w:tcPr>
            <w:tcW w:w="2785" w:type="dxa"/>
            <w:gridSpan w:val="2"/>
            <w:vAlign w:val="center"/>
          </w:tcPr>
          <w:p w14:paraId="7DEC8069" w14:textId="77777777" w:rsidR="0003217D" w:rsidRPr="003A6E5A" w:rsidRDefault="00FC275D" w:rsidP="00117126">
            <w:pPr>
              <w:spacing w:after="0" w:line="240" w:lineRule="auto"/>
              <w:jc w:val="center"/>
              <w:rPr>
                <w:rFonts w:ascii="Times New Roman" w:hAnsi="Times New Roman" w:cs="Times New Roman"/>
                <w:sz w:val="20"/>
                <w:szCs w:val="20"/>
                <w:lang w:val="kk-KZ"/>
              </w:rPr>
            </w:pPr>
            <w:r w:rsidRPr="003A6E5A">
              <w:rPr>
                <w:rFonts w:ascii="Times New Roman" w:eastAsia="SimSun" w:hAnsi="Times New Roman" w:cs="Times New Roman"/>
                <w:sz w:val="20"/>
                <w:szCs w:val="20"/>
              </w:rPr>
              <w:t>0</w:t>
            </w:r>
            <w:r w:rsidRPr="003A6E5A">
              <w:rPr>
                <w:rFonts w:ascii="Times New Roman" w:eastAsia="SimSun" w:hAnsi="Times New Roman" w:cs="Times New Roman"/>
                <w:sz w:val="20"/>
                <w:szCs w:val="20"/>
                <w:lang w:val="kk-KZ"/>
              </w:rPr>
              <w:t>,09514</w:t>
            </w:r>
          </w:p>
        </w:tc>
      </w:tr>
    </w:tbl>
    <w:p w14:paraId="5712D078" w14:textId="77777777" w:rsidR="00EB7BE5" w:rsidRPr="003A6E5A" w:rsidRDefault="00EB7BE5" w:rsidP="00EB7BE5">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переменная «LnPERD» – логарифма численности персонала, занятого в сфере </w:t>
      </w:r>
      <w:r w:rsidRPr="003A6E5A">
        <w:rPr>
          <w:rFonts w:ascii="Times New Roman" w:hAnsi="Times New Roman" w:cs="Times New Roman"/>
          <w:sz w:val="20"/>
          <w:szCs w:val="20"/>
          <w:lang w:val="kk-KZ"/>
        </w:rPr>
        <w:t>НИОКР</w:t>
      </w:r>
      <w:r w:rsidRPr="003A6E5A">
        <w:rPr>
          <w:rFonts w:ascii="Times New Roman" w:hAnsi="Times New Roman" w:cs="Times New Roman"/>
          <w:sz w:val="20"/>
          <w:szCs w:val="20"/>
        </w:rPr>
        <w:t>, переменная «LnAMNW» – логарифма среднемесячной номинальной заработной платы.</w:t>
      </w:r>
    </w:p>
    <w:p w14:paraId="07D468CF" w14:textId="466CC38A" w:rsidR="00EB7BE5" w:rsidRPr="003A6E5A" w:rsidRDefault="004C4949" w:rsidP="00EB7BE5">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Источник: расчеты автора исследования в программном обеспечении GeoDa</w:t>
      </w:r>
    </w:p>
    <w:p w14:paraId="4833284B" w14:textId="3559F4D8" w:rsidR="0003217D" w:rsidRPr="003A6E5A" w:rsidRDefault="0003217D" w:rsidP="001608EA">
      <w:pPr>
        <w:spacing w:after="0" w:line="240" w:lineRule="auto"/>
        <w:rPr>
          <w:rFonts w:ascii="Times New Roman" w:hAnsi="Times New Roman" w:cs="Times New Roman"/>
          <w:sz w:val="20"/>
          <w:szCs w:val="20"/>
        </w:rPr>
      </w:pPr>
    </w:p>
    <w:p w14:paraId="6548F56B" w14:textId="3E1953ED" w:rsidR="0003217D" w:rsidRPr="003A6E5A" w:rsidRDefault="00FC275D" w:rsidP="00EB7BE5">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Диагност</w:t>
      </w:r>
      <w:r w:rsidRPr="003A6E5A">
        <w:rPr>
          <w:rFonts w:ascii="Times New Roman" w:hAnsi="Times New Roman" w:cs="Times New Roman"/>
          <w:sz w:val="28"/>
          <w:szCs w:val="28"/>
          <w:lang w:val="kk-KZ"/>
        </w:rPr>
        <w:t>ика</w:t>
      </w:r>
      <w:r w:rsidRPr="003A6E5A">
        <w:rPr>
          <w:rFonts w:ascii="Times New Roman" w:hAnsi="Times New Roman" w:cs="Times New Roman"/>
          <w:sz w:val="28"/>
          <w:szCs w:val="28"/>
        </w:rPr>
        <w:t xml:space="preserve"> гетероскедасточности в пространственной модели на основе теста Бреуша-Пагана </w:t>
      </w:r>
      <w:r w:rsidR="000D3C2E" w:rsidRPr="003A6E5A">
        <w:rPr>
          <w:rFonts w:ascii="Times New Roman" w:hAnsi="Times New Roman" w:cs="Times New Roman"/>
          <w:sz w:val="28"/>
          <w:szCs w:val="28"/>
        </w:rPr>
        <w:t>про</w:t>
      </w:r>
      <w:r w:rsidRPr="003A6E5A">
        <w:rPr>
          <w:rFonts w:ascii="Times New Roman" w:hAnsi="Times New Roman" w:cs="Times New Roman"/>
          <w:sz w:val="28"/>
          <w:szCs w:val="28"/>
        </w:rPr>
        <w:t>демонстрир</w:t>
      </w:r>
      <w:r w:rsidR="000D3C2E" w:rsidRPr="003A6E5A">
        <w:rPr>
          <w:rFonts w:ascii="Times New Roman" w:hAnsi="Times New Roman" w:cs="Times New Roman"/>
          <w:sz w:val="28"/>
          <w:szCs w:val="28"/>
        </w:rPr>
        <w:t>овала</w:t>
      </w:r>
      <w:r w:rsidRPr="003A6E5A">
        <w:rPr>
          <w:rFonts w:ascii="Times New Roman" w:hAnsi="Times New Roman" w:cs="Times New Roman"/>
          <w:sz w:val="28"/>
          <w:szCs w:val="28"/>
        </w:rPr>
        <w:t xml:space="preserve"> статистику 5,5 </w:t>
      </w:r>
      <w:r w:rsidR="000D3C2E" w:rsidRPr="003A6E5A">
        <w:rPr>
          <w:rFonts w:ascii="Times New Roman" w:hAnsi="Times New Roman" w:cs="Times New Roman"/>
          <w:sz w:val="28"/>
          <w:szCs w:val="28"/>
        </w:rPr>
        <w:t>(</w:t>
      </w:r>
      <m:oMath>
        <m:r>
          <w:rPr>
            <w:rFonts w:ascii="Cambria Math" w:hAnsi="Cambria Math" w:cs="Times New Roman"/>
            <w:sz w:val="28"/>
            <w:szCs w:val="28"/>
          </w:rPr>
          <m:t>p&lt;0,1</m:t>
        </m:r>
      </m:oMath>
      <w:r w:rsidR="000D3C2E" w:rsidRPr="003A6E5A">
        <w:rPr>
          <w:rFonts w:ascii="Times New Roman" w:hAnsi="Times New Roman" w:cs="Times New Roman"/>
          <w:sz w:val="28"/>
          <w:szCs w:val="28"/>
        </w:rPr>
        <w:t>)</w:t>
      </w:r>
      <w:r w:rsidRPr="003A6E5A">
        <w:rPr>
          <w:rFonts w:ascii="Times New Roman" w:hAnsi="Times New Roman" w:cs="Times New Roman"/>
          <w:sz w:val="28"/>
          <w:szCs w:val="28"/>
        </w:rPr>
        <w:t>, что аналогично МНК</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модели указывает на умеренные признаки неравенства дисперсий. Для проверки пространственной зависимости в программе </w:t>
      </w:r>
      <w:r w:rsidRPr="003A6E5A">
        <w:rPr>
          <w:rFonts w:ascii="Times New Roman" w:hAnsi="Times New Roman" w:cs="Times New Roman"/>
          <w:sz w:val="28"/>
          <w:szCs w:val="28"/>
          <w:lang w:val="en-US"/>
        </w:rPr>
        <w:t>GeoDa</w:t>
      </w:r>
      <w:r w:rsidRPr="003A6E5A">
        <w:rPr>
          <w:rFonts w:ascii="Times New Roman" w:hAnsi="Times New Roman" w:cs="Times New Roman"/>
          <w:sz w:val="28"/>
          <w:szCs w:val="28"/>
        </w:rPr>
        <w:t xml:space="preserve"> был использован </w:t>
      </w:r>
      <w:r w:rsidR="00323C69" w:rsidRPr="003A6E5A">
        <w:rPr>
          <w:rFonts w:ascii="Times New Roman" w:hAnsi="Times New Roman" w:cs="Times New Roman"/>
          <w:sz w:val="28"/>
          <w:szCs w:val="28"/>
        </w:rPr>
        <w:t>тест отношения правдоподобия</w:t>
      </w:r>
      <w:r w:rsidR="00731962" w:rsidRPr="003A6E5A">
        <w:rPr>
          <w:rFonts w:ascii="Times New Roman" w:hAnsi="Times New Roman" w:cs="Times New Roman"/>
          <w:sz w:val="28"/>
          <w:szCs w:val="28"/>
        </w:rPr>
        <w:t xml:space="preserve"> равный</w:t>
      </w:r>
      <w:r w:rsidRPr="003A6E5A">
        <w:rPr>
          <w:rFonts w:ascii="Times New Roman" w:hAnsi="Times New Roman" w:cs="Times New Roman"/>
          <w:sz w:val="28"/>
          <w:szCs w:val="28"/>
        </w:rPr>
        <w:t xml:space="preserve"> 2,78 </w:t>
      </w:r>
      <w:r w:rsidR="00323C69" w:rsidRPr="003A6E5A">
        <w:rPr>
          <w:rFonts w:ascii="Times New Roman" w:hAnsi="Times New Roman" w:cs="Times New Roman"/>
          <w:sz w:val="28"/>
          <w:szCs w:val="28"/>
        </w:rPr>
        <w:t>(</w:t>
      </w:r>
      <m:oMath>
        <m:r>
          <w:rPr>
            <w:rFonts w:ascii="Cambria Math" w:hAnsi="Cambria Math" w:cs="Times New Roman"/>
            <w:sz w:val="28"/>
            <w:szCs w:val="28"/>
          </w:rPr>
          <m:t>p&lt;0,1</m:t>
        </m:r>
      </m:oMath>
      <w:r w:rsidRPr="003A6E5A">
        <w:rPr>
          <w:rFonts w:ascii="Times New Roman" w:hAnsi="Times New Roman" w:cs="Times New Roman"/>
          <w:sz w:val="28"/>
          <w:szCs w:val="28"/>
        </w:rPr>
        <w:t>), подтвержда</w:t>
      </w:r>
      <w:r w:rsidR="00731962" w:rsidRPr="003A6E5A">
        <w:rPr>
          <w:rFonts w:ascii="Times New Roman" w:hAnsi="Times New Roman" w:cs="Times New Roman"/>
          <w:sz w:val="28"/>
          <w:szCs w:val="28"/>
        </w:rPr>
        <w:t>ющий теорию</w:t>
      </w:r>
      <w:r w:rsidRPr="003A6E5A">
        <w:rPr>
          <w:rFonts w:ascii="Times New Roman" w:hAnsi="Times New Roman" w:cs="Times New Roman"/>
          <w:sz w:val="28"/>
          <w:szCs w:val="28"/>
        </w:rPr>
        <w:t>, что добавление пространственной структуры ошибок повышает обоснованность модели.</w:t>
      </w:r>
      <w:r w:rsidR="00731962" w:rsidRPr="003A6E5A">
        <w:rPr>
          <w:rFonts w:ascii="Times New Roman" w:hAnsi="Times New Roman" w:cs="Times New Roman"/>
          <w:sz w:val="28"/>
          <w:szCs w:val="28"/>
        </w:rPr>
        <w:t xml:space="preserve"> Как известно, п</w:t>
      </w:r>
      <w:r w:rsidRPr="003A6E5A">
        <w:rPr>
          <w:rFonts w:ascii="Times New Roman" w:hAnsi="Times New Roman" w:cs="Times New Roman"/>
          <w:sz w:val="28"/>
          <w:szCs w:val="28"/>
        </w:rPr>
        <w:t>ространственная модель ошибок, в отличие от стандартной МНК, учитывает возможное распространение шоков и неу</w:t>
      </w:r>
      <w:r w:rsidRPr="003A6E5A">
        <w:rPr>
          <w:rFonts w:ascii="Times New Roman" w:hAnsi="Times New Roman" w:cs="Times New Roman"/>
          <w:sz w:val="28"/>
          <w:szCs w:val="28"/>
          <w:lang w:val="kk-KZ"/>
        </w:rPr>
        <w:t>т</w:t>
      </w:r>
      <w:r w:rsidRPr="003A6E5A">
        <w:rPr>
          <w:rFonts w:ascii="Times New Roman" w:hAnsi="Times New Roman" w:cs="Times New Roman"/>
          <w:sz w:val="28"/>
          <w:szCs w:val="28"/>
        </w:rPr>
        <w:t>ч</w:t>
      </w:r>
      <w:r w:rsidRPr="003A6E5A">
        <w:rPr>
          <w:rFonts w:ascii="Times New Roman" w:hAnsi="Times New Roman" w:cs="Times New Roman"/>
          <w:sz w:val="28"/>
          <w:szCs w:val="28"/>
          <w:lang w:val="kk-KZ"/>
        </w:rPr>
        <w:t>ен</w:t>
      </w:r>
      <w:r w:rsidRPr="003A6E5A">
        <w:rPr>
          <w:rFonts w:ascii="Times New Roman" w:hAnsi="Times New Roman" w:cs="Times New Roman"/>
          <w:sz w:val="28"/>
          <w:szCs w:val="28"/>
        </w:rPr>
        <w:t xml:space="preserve">ных факторов через пространственные связи, что особенно важно для анализа региональных данных, где соседние </w:t>
      </w:r>
      <w:r w:rsidR="00EB7BE5" w:rsidRPr="003A6E5A">
        <w:rPr>
          <w:rFonts w:ascii="Times New Roman" w:hAnsi="Times New Roman" w:cs="Times New Roman"/>
          <w:sz w:val="28"/>
          <w:szCs w:val="28"/>
        </w:rPr>
        <w:t>области Республики Казахстан</w:t>
      </w:r>
      <w:r w:rsidRPr="003A6E5A">
        <w:rPr>
          <w:rFonts w:ascii="Times New Roman" w:hAnsi="Times New Roman" w:cs="Times New Roman"/>
          <w:sz w:val="28"/>
          <w:szCs w:val="28"/>
        </w:rPr>
        <w:t xml:space="preserve"> могут оказывать взаимное влияние.</w:t>
      </w:r>
      <w:r w:rsidR="00EB7BE5" w:rsidRPr="003A6E5A">
        <w:rPr>
          <w:rFonts w:ascii="Times New Roman" w:hAnsi="Times New Roman" w:cs="Times New Roman"/>
          <w:sz w:val="28"/>
          <w:szCs w:val="28"/>
        </w:rPr>
        <w:t xml:space="preserve"> </w:t>
      </w:r>
      <w:r w:rsidRPr="003A6E5A">
        <w:rPr>
          <w:rFonts w:ascii="Times New Roman" w:hAnsi="Times New Roman" w:cs="Times New Roman"/>
          <w:sz w:val="28"/>
          <w:szCs w:val="28"/>
        </w:rPr>
        <w:t>Сравнивая две модели, можно заключить, что пространственная модель ошибок обладает более высокой объясняющей способностью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r>
          <w:rPr>
            <w:rFonts w:ascii="Cambria Math" w:hAnsi="Cambria Math" w:cs="Times New Roman"/>
            <w:sz w:val="28"/>
            <w:szCs w:val="28"/>
          </w:rPr>
          <m:t>=0,65</m:t>
        </m:r>
      </m:oMath>
      <w:r w:rsidRPr="003A6E5A">
        <w:rPr>
          <w:rFonts w:ascii="Times New Roman" w:hAnsi="Times New Roman" w:cs="Times New Roman"/>
          <w:sz w:val="28"/>
          <w:szCs w:val="28"/>
        </w:rPr>
        <w:t xml:space="preserve"> против </w:t>
      </w:r>
      <m:oMath>
        <m:sSup>
          <m:sSupPr>
            <m:ctrlPr>
              <w:rPr>
                <w:rFonts w:ascii="Cambria Math" w:hAnsi="Cambria Math" w:cs="Times New Roman"/>
                <w:i/>
                <w:sz w:val="28"/>
                <w:szCs w:val="28"/>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r>
          <w:rPr>
            <w:rFonts w:ascii="Cambria Math" w:hAnsi="Cambria Math" w:cs="Times New Roman"/>
            <w:sz w:val="28"/>
            <w:szCs w:val="28"/>
          </w:rPr>
          <m:t>=0,58</m:t>
        </m:r>
      </m:oMath>
      <w:r w:rsidRPr="003A6E5A">
        <w:rPr>
          <w:rFonts w:ascii="Times New Roman" w:hAnsi="Times New Roman" w:cs="Times New Roman"/>
          <w:sz w:val="28"/>
          <w:szCs w:val="28"/>
        </w:rPr>
        <w:t xml:space="preserve"> в МНК), меньшей остаточной дисперсие</w:t>
      </w:r>
      <w:r w:rsidR="00EB7BE5" w:rsidRPr="003A6E5A">
        <w:rPr>
          <w:rFonts w:ascii="Times New Roman" w:hAnsi="Times New Roman" w:cs="Times New Roman"/>
          <w:sz w:val="28"/>
          <w:szCs w:val="28"/>
        </w:rPr>
        <w:t>й</w:t>
      </w:r>
      <w:r w:rsidRPr="003A6E5A">
        <w:rPr>
          <w:rFonts w:ascii="Times New Roman" w:hAnsi="Times New Roman" w:cs="Times New Roman"/>
          <w:sz w:val="28"/>
          <w:szCs w:val="28"/>
        </w:rPr>
        <w:t xml:space="preserve">, а также несколько лучшими информационными </w:t>
      </w:r>
      <w:r w:rsidRPr="003A6E5A">
        <w:rPr>
          <w:rFonts w:ascii="Times New Roman" w:hAnsi="Times New Roman" w:cs="Times New Roman"/>
          <w:sz w:val="28"/>
          <w:szCs w:val="28"/>
        </w:rPr>
        <w:lastRenderedPageBreak/>
        <w:t xml:space="preserve">критериями Акаике и Шварца, что свидетельствует о предпочтительности данной спецификации для интерпретации взаимосвязи в выборке регионов Казахстана. При этом учет пространственной зависимости позволяет более адекватно моделировать ситуацию, когда инвестиционные процессы в одном регионе могут оказываться связанными с экономической активностью в соседних </w:t>
      </w:r>
      <w:r w:rsidR="00EB7BE5" w:rsidRPr="003A6E5A">
        <w:rPr>
          <w:rFonts w:ascii="Times New Roman" w:hAnsi="Times New Roman" w:cs="Times New Roman"/>
          <w:sz w:val="28"/>
          <w:szCs w:val="28"/>
        </w:rPr>
        <w:t>областях</w:t>
      </w:r>
      <w:r w:rsidRPr="003A6E5A">
        <w:rPr>
          <w:rFonts w:ascii="Times New Roman" w:hAnsi="Times New Roman" w:cs="Times New Roman"/>
          <w:sz w:val="28"/>
          <w:szCs w:val="28"/>
        </w:rPr>
        <w:t>.</w:t>
      </w:r>
      <w:r w:rsidR="00EB7BE5" w:rsidRPr="003A6E5A">
        <w:rPr>
          <w:rFonts w:ascii="Times New Roman" w:hAnsi="Times New Roman" w:cs="Times New Roman"/>
          <w:sz w:val="28"/>
          <w:szCs w:val="28"/>
        </w:rPr>
        <w:t xml:space="preserve"> </w:t>
      </w:r>
      <w:r w:rsidRPr="003A6E5A">
        <w:rPr>
          <w:rFonts w:ascii="Times New Roman" w:hAnsi="Times New Roman" w:cs="Times New Roman"/>
          <w:sz w:val="28"/>
          <w:szCs w:val="28"/>
        </w:rPr>
        <w:t>Следовательно, проведенное исследование в разделе 2.</w:t>
      </w:r>
      <w:r w:rsidR="00884F50" w:rsidRPr="003A6E5A">
        <w:rPr>
          <w:rFonts w:ascii="Times New Roman" w:hAnsi="Times New Roman" w:cs="Times New Roman"/>
          <w:sz w:val="28"/>
          <w:szCs w:val="28"/>
        </w:rPr>
        <w:t>2</w:t>
      </w:r>
      <w:r w:rsidRPr="003A6E5A">
        <w:rPr>
          <w:rFonts w:ascii="Times New Roman" w:hAnsi="Times New Roman" w:cs="Times New Roman"/>
          <w:sz w:val="28"/>
          <w:szCs w:val="28"/>
        </w:rPr>
        <w:t xml:space="preserve"> подтверждает значимость численности персонала, занятого в НИОКР, и уровня среднемесячной заработной платы для объяснения вариаций инвестиций в основной капитал в </w:t>
      </w:r>
      <w:r w:rsidR="00884F50" w:rsidRPr="003A6E5A">
        <w:rPr>
          <w:rFonts w:ascii="Times New Roman" w:hAnsi="Times New Roman" w:cs="Times New Roman"/>
          <w:sz w:val="28"/>
          <w:szCs w:val="28"/>
        </w:rPr>
        <w:t>областях</w:t>
      </w:r>
      <w:r w:rsidRPr="003A6E5A">
        <w:rPr>
          <w:rFonts w:ascii="Times New Roman" w:hAnsi="Times New Roman" w:cs="Times New Roman"/>
          <w:sz w:val="28"/>
          <w:szCs w:val="28"/>
        </w:rPr>
        <w:t xml:space="preserve"> </w:t>
      </w:r>
      <w:r w:rsidR="00884F50" w:rsidRPr="003A6E5A">
        <w:rPr>
          <w:rFonts w:ascii="Times New Roman" w:hAnsi="Times New Roman" w:cs="Times New Roman"/>
          <w:sz w:val="28"/>
          <w:szCs w:val="28"/>
        </w:rPr>
        <w:t xml:space="preserve">Республики </w:t>
      </w:r>
      <w:r w:rsidRPr="003A6E5A">
        <w:rPr>
          <w:rFonts w:ascii="Times New Roman" w:hAnsi="Times New Roman" w:cs="Times New Roman"/>
          <w:sz w:val="28"/>
          <w:szCs w:val="28"/>
        </w:rPr>
        <w:t xml:space="preserve">Казахстана. Более того, пространственный анализ выявил наличие пространственного эффекта в ошибках модели, что обосновывает необходимость использования пространственной регрессионной техники. </w:t>
      </w:r>
      <w:r w:rsidR="00884F50" w:rsidRPr="003A6E5A">
        <w:rPr>
          <w:rFonts w:ascii="Times New Roman" w:hAnsi="Times New Roman" w:cs="Times New Roman"/>
          <w:sz w:val="28"/>
          <w:szCs w:val="28"/>
        </w:rPr>
        <w:t>П</w:t>
      </w:r>
      <w:r w:rsidRPr="003A6E5A">
        <w:rPr>
          <w:rFonts w:ascii="Times New Roman" w:hAnsi="Times New Roman" w:cs="Times New Roman"/>
          <w:sz w:val="28"/>
          <w:szCs w:val="28"/>
        </w:rPr>
        <w:t xml:space="preserve">рименение </w:t>
      </w:r>
      <w:r w:rsidR="00884F50" w:rsidRPr="003A6E5A">
        <w:rPr>
          <w:rFonts w:ascii="Times New Roman" w:hAnsi="Times New Roman" w:cs="Times New Roman"/>
          <w:sz w:val="28"/>
          <w:szCs w:val="28"/>
        </w:rPr>
        <w:t xml:space="preserve">данной техники </w:t>
      </w:r>
      <w:r w:rsidRPr="003A6E5A">
        <w:rPr>
          <w:rFonts w:ascii="Times New Roman" w:hAnsi="Times New Roman" w:cs="Times New Roman"/>
          <w:sz w:val="28"/>
          <w:szCs w:val="28"/>
        </w:rPr>
        <w:t>обеспечило более надежные и реалистичные оценки, учитывающие региональную взаимосвязанность, что особенно актуальна для выработки региональной инвестиционной и инновационной политики. Таким образом, результаты исследования подчеркивают важность пространственных подходов в моделировании региональных экономических процессов и предоставляют более глубокое понимание факторов, влияющих на инвестиционную активность в экономике Казахстана.</w:t>
      </w:r>
    </w:p>
    <w:p w14:paraId="53FB77ED" w14:textId="522C698B" w:rsidR="0085672B" w:rsidRPr="003A6E5A" w:rsidRDefault="0085672B" w:rsidP="001608EA">
      <w:pPr>
        <w:spacing w:after="0" w:line="240" w:lineRule="auto"/>
        <w:jc w:val="both"/>
        <w:rPr>
          <w:rFonts w:ascii="Times New Roman" w:hAnsi="Times New Roman" w:cs="Times New Roman"/>
          <w:sz w:val="28"/>
          <w:szCs w:val="28"/>
        </w:rPr>
      </w:pPr>
    </w:p>
    <w:p w14:paraId="0CD9DF07" w14:textId="77777777" w:rsidR="004C4949" w:rsidRPr="003A6E5A" w:rsidRDefault="004C4949" w:rsidP="001608EA">
      <w:pPr>
        <w:spacing w:after="0" w:line="240" w:lineRule="auto"/>
        <w:jc w:val="both"/>
        <w:rPr>
          <w:rFonts w:ascii="Times New Roman" w:hAnsi="Times New Roman" w:cs="Times New Roman"/>
          <w:sz w:val="28"/>
          <w:szCs w:val="28"/>
        </w:rPr>
      </w:pPr>
    </w:p>
    <w:p w14:paraId="6CC2F704" w14:textId="25DC3C19" w:rsidR="0003217D" w:rsidRPr="003A6E5A" w:rsidRDefault="00FC275D" w:rsidP="00975DB7">
      <w:pPr>
        <w:spacing w:after="0" w:line="240" w:lineRule="auto"/>
        <w:ind w:firstLine="708"/>
        <w:jc w:val="both"/>
        <w:outlineLvl w:val="1"/>
        <w:rPr>
          <w:rFonts w:ascii="Times New Roman" w:hAnsi="Times New Roman" w:cs="Times New Roman"/>
          <w:b/>
          <w:sz w:val="28"/>
          <w:szCs w:val="28"/>
        </w:rPr>
      </w:pPr>
      <w:bookmarkStart w:id="33" w:name="_Toc209538982"/>
      <w:r w:rsidRPr="003A6E5A">
        <w:rPr>
          <w:rFonts w:ascii="Times New Roman" w:hAnsi="Times New Roman" w:cs="Times New Roman"/>
          <w:b/>
          <w:sz w:val="28"/>
          <w:szCs w:val="28"/>
          <w:lang w:val="kk-KZ"/>
        </w:rPr>
        <w:t>2</w:t>
      </w:r>
      <w:r w:rsidRPr="003A6E5A">
        <w:rPr>
          <w:rFonts w:ascii="Times New Roman" w:hAnsi="Times New Roman" w:cs="Times New Roman"/>
          <w:b/>
          <w:sz w:val="28"/>
          <w:szCs w:val="28"/>
        </w:rPr>
        <w:t>.</w:t>
      </w:r>
      <w:r w:rsidRPr="003A6E5A">
        <w:rPr>
          <w:rFonts w:ascii="Times New Roman" w:hAnsi="Times New Roman" w:cs="Times New Roman"/>
          <w:b/>
          <w:sz w:val="28"/>
          <w:szCs w:val="28"/>
          <w:lang w:val="kk-KZ"/>
        </w:rPr>
        <w:t>3</w:t>
      </w:r>
      <w:r w:rsidRPr="003A6E5A">
        <w:rPr>
          <w:rFonts w:ascii="Times New Roman" w:hAnsi="Times New Roman" w:cs="Times New Roman"/>
          <w:b/>
          <w:sz w:val="28"/>
          <w:szCs w:val="28"/>
        </w:rPr>
        <w:t xml:space="preserve"> Оценка пространственных авторегрессионных моделей на основе региональных данных Республики Казахстан</w:t>
      </w:r>
      <w:bookmarkEnd w:id="33"/>
    </w:p>
    <w:p w14:paraId="0E8B4B84" w14:textId="77777777" w:rsidR="0003217D" w:rsidRPr="003A6E5A" w:rsidRDefault="0003217D" w:rsidP="001608EA">
      <w:pPr>
        <w:spacing w:after="0" w:line="240" w:lineRule="auto"/>
        <w:jc w:val="both"/>
        <w:rPr>
          <w:rFonts w:ascii="Times New Roman" w:hAnsi="Times New Roman" w:cs="Times New Roman"/>
          <w:sz w:val="28"/>
          <w:szCs w:val="28"/>
        </w:rPr>
      </w:pPr>
    </w:p>
    <w:p w14:paraId="028675FE" w14:textId="76746B2F" w:rsidR="0003217D" w:rsidRPr="003A6E5A" w:rsidRDefault="002C2347" w:rsidP="002C234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А</w:t>
      </w:r>
      <w:r w:rsidR="00FC275D" w:rsidRPr="003A6E5A">
        <w:rPr>
          <w:rFonts w:ascii="Times New Roman" w:hAnsi="Times New Roman" w:cs="Times New Roman"/>
          <w:sz w:val="28"/>
          <w:szCs w:val="28"/>
        </w:rPr>
        <w:t xml:space="preserve">нализ данных, представленных в таблице </w:t>
      </w:r>
      <w:r w:rsidR="00DF46D3" w:rsidRPr="003A6E5A">
        <w:rPr>
          <w:rFonts w:ascii="Times New Roman" w:hAnsi="Times New Roman" w:cs="Times New Roman"/>
          <w:sz w:val="28"/>
          <w:szCs w:val="28"/>
        </w:rPr>
        <w:t>1</w:t>
      </w:r>
      <w:r w:rsidR="00DA42F3" w:rsidRPr="003A6E5A">
        <w:rPr>
          <w:rFonts w:ascii="Times New Roman" w:hAnsi="Times New Roman" w:cs="Times New Roman"/>
          <w:sz w:val="28"/>
          <w:szCs w:val="28"/>
        </w:rPr>
        <w:t>0</w:t>
      </w:r>
      <w:r w:rsidR="00FC275D" w:rsidRPr="003A6E5A">
        <w:rPr>
          <w:rFonts w:ascii="Times New Roman" w:hAnsi="Times New Roman" w:cs="Times New Roman"/>
          <w:sz w:val="28"/>
          <w:szCs w:val="28"/>
        </w:rPr>
        <w:t>, свидетельствует о наличии наиболее выраженных корреляционных связей между показателями «численность персонала, занятого в НИОКР», и «валовый региональный продукт», а также между «внутренними затратами на НИОКР» и «численностью персонала, занятого в НИОКР». Такие высокие значения коэффициентов корреляции указывают на потенциальную проблему мультиколлинеарности, способную исказить результаты регрессионного анализа. В то же время переменная «объем инновационной продукции» демонстрирует статистически незначимую корреляцию с другими переменными, что может свидетельствовать либо о е</w:t>
      </w:r>
      <w:r w:rsidR="00FC275D" w:rsidRPr="003A6E5A">
        <w:rPr>
          <w:rFonts w:ascii="Times New Roman" w:hAnsi="Times New Roman" w:cs="Times New Roman"/>
          <w:sz w:val="28"/>
          <w:szCs w:val="28"/>
          <w:lang w:val="kk-KZ"/>
        </w:rPr>
        <w:t>е</w:t>
      </w:r>
      <w:r w:rsidR="00FC275D" w:rsidRPr="003A6E5A">
        <w:rPr>
          <w:rFonts w:ascii="Times New Roman" w:hAnsi="Times New Roman" w:cs="Times New Roman"/>
          <w:sz w:val="28"/>
          <w:szCs w:val="28"/>
        </w:rPr>
        <w:t xml:space="preserve"> ограниченной объяснительной способности, либо о наличии скрытых факторов, влияющих на ее динамику.</w:t>
      </w:r>
      <w:r w:rsidRPr="003A6E5A">
        <w:rPr>
          <w:rFonts w:ascii="Times New Roman" w:hAnsi="Times New Roman" w:cs="Times New Roman"/>
          <w:sz w:val="28"/>
          <w:szCs w:val="28"/>
        </w:rPr>
        <w:t xml:space="preserve"> </w:t>
      </w:r>
      <w:r w:rsidR="00FC275D" w:rsidRPr="003A6E5A">
        <w:rPr>
          <w:rFonts w:ascii="Times New Roman" w:hAnsi="Times New Roman" w:cs="Times New Roman"/>
          <w:sz w:val="28"/>
          <w:szCs w:val="28"/>
        </w:rPr>
        <w:t xml:space="preserve">В целом, большинство факторов в таблице </w:t>
      </w:r>
      <w:r w:rsidR="003D43A8" w:rsidRPr="003A6E5A">
        <w:rPr>
          <w:rFonts w:ascii="Times New Roman" w:hAnsi="Times New Roman" w:cs="Times New Roman"/>
          <w:sz w:val="28"/>
          <w:szCs w:val="28"/>
        </w:rPr>
        <w:t>9</w:t>
      </w:r>
      <w:r w:rsidR="00FC275D" w:rsidRPr="003A6E5A">
        <w:rPr>
          <w:rFonts w:ascii="Times New Roman" w:hAnsi="Times New Roman" w:cs="Times New Roman"/>
          <w:sz w:val="28"/>
          <w:szCs w:val="28"/>
        </w:rPr>
        <w:t xml:space="preserve"> демонстрируют умеренную степень взаимосвязи, что позволяет предположить наличие общей тенденции положительного влияния на ключевую зависимую переменную. В связи с выявленной мультиколлинеарностью, в расширенную спецификацию модели были включены дополнительные переменные: «количество предприятий, осуществлявших НИОКР», «уровень инновационной активности предприятий» и «численность студентов», что позволило повысить объяснительную способность модели и снизить искажения, вызванные высокой корреляцией исходных регрессоров.</w:t>
      </w:r>
    </w:p>
    <w:p w14:paraId="7B695408" w14:textId="77777777" w:rsidR="0003217D" w:rsidRPr="003A6E5A" w:rsidRDefault="0003217D" w:rsidP="0002360C">
      <w:pPr>
        <w:spacing w:after="0" w:line="240" w:lineRule="auto"/>
        <w:rPr>
          <w:rFonts w:ascii="Times New Roman" w:hAnsi="Times New Roman" w:cs="Times New Roman"/>
          <w:sz w:val="28"/>
          <w:szCs w:val="28"/>
        </w:rPr>
      </w:pPr>
    </w:p>
    <w:p w14:paraId="12C9B10B" w14:textId="3074A510"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rPr>
        <w:lastRenderedPageBreak/>
        <w:t xml:space="preserve">Таблица </w:t>
      </w:r>
      <w:r w:rsidR="00DF46D3" w:rsidRPr="003A6E5A">
        <w:rPr>
          <w:rFonts w:ascii="Times New Roman" w:hAnsi="Times New Roman" w:cs="Times New Roman"/>
          <w:sz w:val="28"/>
          <w:szCs w:val="28"/>
          <w:lang w:val="kk-KZ"/>
        </w:rPr>
        <w:t>1</w:t>
      </w:r>
      <w:r w:rsidR="00DA42F3" w:rsidRPr="003A6E5A">
        <w:rPr>
          <w:rFonts w:ascii="Times New Roman" w:hAnsi="Times New Roman" w:cs="Times New Roman"/>
          <w:sz w:val="28"/>
          <w:szCs w:val="28"/>
          <w:lang w:val="kk-KZ"/>
        </w:rPr>
        <w:t>0</w:t>
      </w:r>
      <w:r w:rsidRPr="003A6E5A">
        <w:rPr>
          <w:rFonts w:ascii="Times New Roman" w:hAnsi="Times New Roman" w:cs="Times New Roman"/>
          <w:sz w:val="28"/>
          <w:szCs w:val="28"/>
        </w:rPr>
        <w:t>.</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Корреляционная матрица</w:t>
      </w:r>
      <w:r w:rsidR="00DB7CA9" w:rsidRPr="003A6E5A">
        <w:rPr>
          <w:rFonts w:ascii="Times New Roman" w:hAnsi="Times New Roman" w:cs="Times New Roman"/>
          <w:sz w:val="28"/>
          <w:szCs w:val="28"/>
        </w:rPr>
        <w:t xml:space="preserve"> </w:t>
      </w:r>
      <w:r w:rsidR="008B1642" w:rsidRPr="003A6E5A">
        <w:rPr>
          <w:rFonts w:ascii="Times New Roman" w:hAnsi="Times New Roman" w:cs="Times New Roman"/>
          <w:sz w:val="28"/>
          <w:szCs w:val="28"/>
        </w:rPr>
        <w:t>(2014-2023 гг.)</w:t>
      </w:r>
    </w:p>
    <w:tbl>
      <w:tblPr>
        <w:tblStyle w:val="ac"/>
        <w:tblW w:w="0" w:type="auto"/>
        <w:tblLook w:val="04A0" w:firstRow="1" w:lastRow="0" w:firstColumn="1" w:lastColumn="0" w:noHBand="0" w:noVBand="1"/>
      </w:tblPr>
      <w:tblGrid>
        <w:gridCol w:w="1547"/>
        <w:gridCol w:w="1201"/>
        <w:gridCol w:w="1366"/>
        <w:gridCol w:w="1255"/>
        <w:gridCol w:w="1486"/>
        <w:gridCol w:w="1189"/>
        <w:gridCol w:w="1548"/>
      </w:tblGrid>
      <w:tr w:rsidR="00B02CF8" w:rsidRPr="003A6E5A" w14:paraId="1799E3BB" w14:textId="77777777" w:rsidTr="00FF6F94">
        <w:tc>
          <w:tcPr>
            <w:tcW w:w="1367" w:type="dxa"/>
            <w:vAlign w:val="center"/>
          </w:tcPr>
          <w:p w14:paraId="5E99C065"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7" w:type="dxa"/>
          </w:tcPr>
          <w:p w14:paraId="4B76D4E2" w14:textId="4BEC41D7" w:rsidR="0003217D" w:rsidRPr="003A6E5A" w:rsidRDefault="00FC275D" w:rsidP="00FF6F94">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Инвестиции в</w:t>
            </w:r>
            <w:r w:rsidR="00F15665" w:rsidRPr="003A6E5A">
              <w:rPr>
                <w:rFonts w:ascii="Times New Roman" w:hAnsi="Times New Roman" w:cs="Times New Roman"/>
                <w:sz w:val="20"/>
                <w:szCs w:val="20"/>
                <w:lang w:val="kk-KZ"/>
              </w:rPr>
              <w:t xml:space="preserve"> </w:t>
            </w:r>
            <w:r w:rsidRPr="003A6E5A">
              <w:rPr>
                <w:rFonts w:ascii="Times New Roman" w:hAnsi="Times New Roman" w:cs="Times New Roman"/>
                <w:sz w:val="20"/>
                <w:szCs w:val="20"/>
              </w:rPr>
              <w:t>основной капитал</w:t>
            </w:r>
          </w:p>
        </w:tc>
        <w:tc>
          <w:tcPr>
            <w:tcW w:w="1367" w:type="dxa"/>
          </w:tcPr>
          <w:p w14:paraId="28D1B50D" w14:textId="77777777" w:rsidR="0003217D" w:rsidRPr="003A6E5A" w:rsidRDefault="00FC275D" w:rsidP="00FF6F94">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Валовый региональный продукт</w:t>
            </w:r>
          </w:p>
        </w:tc>
        <w:tc>
          <w:tcPr>
            <w:tcW w:w="1367" w:type="dxa"/>
          </w:tcPr>
          <w:p w14:paraId="101B6A20" w14:textId="77777777" w:rsidR="0003217D" w:rsidRPr="003A6E5A" w:rsidRDefault="00FC275D" w:rsidP="00FF6F94">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Численность персонала занятого НИОКР</w:t>
            </w:r>
          </w:p>
        </w:tc>
        <w:tc>
          <w:tcPr>
            <w:tcW w:w="1367" w:type="dxa"/>
          </w:tcPr>
          <w:p w14:paraId="06C2FC29" w14:textId="77777777" w:rsidR="0003217D" w:rsidRPr="003A6E5A" w:rsidRDefault="00FC275D" w:rsidP="00FF6F94">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Объем инновационной продукции</w:t>
            </w:r>
          </w:p>
        </w:tc>
        <w:tc>
          <w:tcPr>
            <w:tcW w:w="1368" w:type="dxa"/>
          </w:tcPr>
          <w:p w14:paraId="01505CA8" w14:textId="77777777" w:rsidR="0003217D" w:rsidRPr="003A6E5A" w:rsidRDefault="00FC275D" w:rsidP="00FF6F94">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368" w:type="dxa"/>
          </w:tcPr>
          <w:p w14:paraId="02FF4F82" w14:textId="77777777" w:rsidR="0003217D" w:rsidRPr="003A6E5A" w:rsidRDefault="00FC275D" w:rsidP="00FF6F94">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Среднемесячная заработная плата</w:t>
            </w:r>
          </w:p>
        </w:tc>
      </w:tr>
      <w:tr w:rsidR="00B02CF8" w:rsidRPr="003A6E5A" w14:paraId="7B9A621F" w14:textId="77777777" w:rsidTr="00FF6F94">
        <w:tc>
          <w:tcPr>
            <w:tcW w:w="1367" w:type="dxa"/>
            <w:vAlign w:val="center"/>
          </w:tcPr>
          <w:p w14:paraId="05C23013" w14:textId="0A67D8C1" w:rsidR="0003217D" w:rsidRPr="003A6E5A" w:rsidRDefault="00FC275D" w:rsidP="00FF6F94">
            <w:pPr>
              <w:widowControl/>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Инвестиции в</w:t>
            </w:r>
            <w:r w:rsidR="00F15665" w:rsidRPr="003A6E5A">
              <w:rPr>
                <w:rFonts w:ascii="Times New Roman" w:hAnsi="Times New Roman" w:cs="Times New Roman"/>
                <w:sz w:val="20"/>
                <w:szCs w:val="20"/>
                <w:lang w:val="kk-KZ"/>
              </w:rPr>
              <w:t xml:space="preserve"> </w:t>
            </w:r>
            <w:r w:rsidRPr="003A6E5A">
              <w:rPr>
                <w:rFonts w:ascii="Times New Roman" w:hAnsi="Times New Roman" w:cs="Times New Roman"/>
                <w:sz w:val="20"/>
                <w:szCs w:val="20"/>
              </w:rPr>
              <w:t>основной капитал</w:t>
            </w:r>
          </w:p>
        </w:tc>
        <w:tc>
          <w:tcPr>
            <w:tcW w:w="1367" w:type="dxa"/>
            <w:vAlign w:val="center"/>
          </w:tcPr>
          <w:p w14:paraId="70B1BF82" w14:textId="2C964C04" w:rsidR="0003217D" w:rsidRPr="003A6E5A" w:rsidRDefault="00FC275D" w:rsidP="00FF6F94">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w:t>
            </w:r>
          </w:p>
        </w:tc>
        <w:tc>
          <w:tcPr>
            <w:tcW w:w="1367" w:type="dxa"/>
            <w:vAlign w:val="center"/>
          </w:tcPr>
          <w:p w14:paraId="6E0CD04D"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7" w:type="dxa"/>
            <w:vAlign w:val="center"/>
          </w:tcPr>
          <w:p w14:paraId="7CA01C1F"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7" w:type="dxa"/>
            <w:vAlign w:val="center"/>
          </w:tcPr>
          <w:p w14:paraId="2563BEBC"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7E98F44E"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4CE15583"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r>
      <w:tr w:rsidR="00B02CF8" w:rsidRPr="003A6E5A" w14:paraId="2F107464" w14:textId="77777777" w:rsidTr="00FF6F94">
        <w:tc>
          <w:tcPr>
            <w:tcW w:w="1367" w:type="dxa"/>
            <w:vAlign w:val="center"/>
          </w:tcPr>
          <w:p w14:paraId="6CB32FCD" w14:textId="77777777" w:rsidR="0003217D" w:rsidRPr="003A6E5A" w:rsidRDefault="00FC275D" w:rsidP="00FF6F94">
            <w:pPr>
              <w:widowControl/>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Валовый региональный продукт</w:t>
            </w:r>
          </w:p>
        </w:tc>
        <w:tc>
          <w:tcPr>
            <w:tcW w:w="1367" w:type="dxa"/>
            <w:vAlign w:val="center"/>
          </w:tcPr>
          <w:p w14:paraId="29BE88FA" w14:textId="7E1FFF69" w:rsidR="0003217D" w:rsidRPr="003A6E5A" w:rsidRDefault="00FC275D" w:rsidP="00FF6F94">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0,7632</w:t>
            </w:r>
            <w:r w:rsidRPr="003A6E5A">
              <w:rPr>
                <w:rFonts w:ascii="Times New Roman" w:hAnsi="Times New Roman" w:cs="Times New Roman"/>
                <w:i/>
                <w:iCs/>
                <w:sz w:val="24"/>
                <w:szCs w:val="24"/>
                <w:vertAlign w:val="superscript"/>
                <w:lang w:val="en-US"/>
              </w:rPr>
              <w:t>***</w:t>
            </w:r>
          </w:p>
        </w:tc>
        <w:tc>
          <w:tcPr>
            <w:tcW w:w="1367" w:type="dxa"/>
            <w:vAlign w:val="center"/>
          </w:tcPr>
          <w:p w14:paraId="0D99AA34"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w:t>
            </w:r>
          </w:p>
        </w:tc>
        <w:tc>
          <w:tcPr>
            <w:tcW w:w="1367" w:type="dxa"/>
            <w:vAlign w:val="center"/>
          </w:tcPr>
          <w:p w14:paraId="5B233606"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7" w:type="dxa"/>
            <w:vAlign w:val="center"/>
          </w:tcPr>
          <w:p w14:paraId="70DC79AA"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553467C4"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567DB187"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r>
      <w:tr w:rsidR="00B02CF8" w:rsidRPr="003A6E5A" w14:paraId="7F93B80D" w14:textId="77777777" w:rsidTr="00FF6F94">
        <w:tc>
          <w:tcPr>
            <w:tcW w:w="1367" w:type="dxa"/>
            <w:vAlign w:val="center"/>
          </w:tcPr>
          <w:p w14:paraId="254DECD5" w14:textId="77777777" w:rsidR="0003217D" w:rsidRPr="003A6E5A" w:rsidRDefault="00FC275D" w:rsidP="00FF6F94">
            <w:pPr>
              <w:widowControl/>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Численность персонала занятого НИОКР</w:t>
            </w:r>
          </w:p>
        </w:tc>
        <w:tc>
          <w:tcPr>
            <w:tcW w:w="1367" w:type="dxa"/>
            <w:vAlign w:val="center"/>
          </w:tcPr>
          <w:p w14:paraId="39836C50"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0,3917</w:t>
            </w:r>
            <w:r w:rsidRPr="003A6E5A">
              <w:rPr>
                <w:rFonts w:ascii="Times New Roman" w:hAnsi="Times New Roman" w:cs="Times New Roman"/>
                <w:i/>
                <w:iCs/>
                <w:sz w:val="24"/>
                <w:szCs w:val="24"/>
                <w:vertAlign w:val="superscript"/>
                <w:lang w:val="en-US"/>
              </w:rPr>
              <w:t>***</w:t>
            </w:r>
          </w:p>
        </w:tc>
        <w:tc>
          <w:tcPr>
            <w:tcW w:w="1367" w:type="dxa"/>
            <w:vAlign w:val="center"/>
          </w:tcPr>
          <w:p w14:paraId="01DF171A"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7304</w:t>
            </w:r>
            <w:r w:rsidRPr="003A6E5A">
              <w:rPr>
                <w:rFonts w:ascii="Times New Roman" w:hAnsi="Times New Roman" w:cs="Times New Roman"/>
                <w:i/>
                <w:iCs/>
                <w:sz w:val="24"/>
                <w:szCs w:val="24"/>
                <w:vertAlign w:val="superscript"/>
                <w:lang w:val="en-US"/>
              </w:rPr>
              <w:t>***</w:t>
            </w:r>
          </w:p>
        </w:tc>
        <w:tc>
          <w:tcPr>
            <w:tcW w:w="1367" w:type="dxa"/>
            <w:vAlign w:val="center"/>
          </w:tcPr>
          <w:p w14:paraId="6685F258"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w:t>
            </w:r>
          </w:p>
        </w:tc>
        <w:tc>
          <w:tcPr>
            <w:tcW w:w="1367" w:type="dxa"/>
            <w:vAlign w:val="center"/>
          </w:tcPr>
          <w:p w14:paraId="3BAF1920"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4763B478"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570F433F"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r>
      <w:tr w:rsidR="00B02CF8" w:rsidRPr="003A6E5A" w14:paraId="5625EA27" w14:textId="77777777" w:rsidTr="00FF6F94">
        <w:tc>
          <w:tcPr>
            <w:tcW w:w="1367" w:type="dxa"/>
            <w:vAlign w:val="center"/>
          </w:tcPr>
          <w:p w14:paraId="6108C7B4" w14:textId="77777777" w:rsidR="0003217D" w:rsidRPr="003A6E5A" w:rsidRDefault="00FC275D" w:rsidP="00FF6F94">
            <w:pPr>
              <w:widowControl/>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Объем инновационной продукции</w:t>
            </w:r>
          </w:p>
        </w:tc>
        <w:tc>
          <w:tcPr>
            <w:tcW w:w="1367" w:type="dxa"/>
            <w:vAlign w:val="center"/>
          </w:tcPr>
          <w:p w14:paraId="28E21D55"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-0,0005</w:t>
            </w:r>
            <w:r w:rsidRPr="003A6E5A">
              <w:rPr>
                <w:rFonts w:ascii="Times New Roman" w:hAnsi="Times New Roman" w:cs="Times New Roman"/>
                <w:i/>
                <w:iCs/>
                <w:sz w:val="24"/>
                <w:szCs w:val="24"/>
                <w:vertAlign w:val="superscript"/>
                <w:lang w:val="en-US"/>
              </w:rPr>
              <w:t>*</w:t>
            </w:r>
          </w:p>
        </w:tc>
        <w:tc>
          <w:tcPr>
            <w:tcW w:w="1367" w:type="dxa"/>
            <w:vAlign w:val="center"/>
          </w:tcPr>
          <w:p w14:paraId="058C10A9"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0,2031</w:t>
            </w:r>
            <w:r w:rsidRPr="003A6E5A">
              <w:rPr>
                <w:rFonts w:ascii="Times New Roman" w:hAnsi="Times New Roman" w:cs="Times New Roman"/>
                <w:i/>
                <w:iCs/>
                <w:sz w:val="24"/>
                <w:szCs w:val="24"/>
                <w:vertAlign w:val="superscript"/>
                <w:lang w:val="en-US"/>
              </w:rPr>
              <w:t>***</w:t>
            </w:r>
          </w:p>
        </w:tc>
        <w:tc>
          <w:tcPr>
            <w:tcW w:w="1367" w:type="dxa"/>
            <w:vAlign w:val="center"/>
          </w:tcPr>
          <w:p w14:paraId="6967E182"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0,2636</w:t>
            </w:r>
            <w:r w:rsidRPr="003A6E5A">
              <w:rPr>
                <w:rFonts w:ascii="Times New Roman" w:hAnsi="Times New Roman" w:cs="Times New Roman"/>
                <w:i/>
                <w:iCs/>
                <w:sz w:val="24"/>
                <w:szCs w:val="24"/>
                <w:vertAlign w:val="superscript"/>
                <w:lang w:val="en-US"/>
              </w:rPr>
              <w:t>***</w:t>
            </w:r>
          </w:p>
        </w:tc>
        <w:tc>
          <w:tcPr>
            <w:tcW w:w="1367" w:type="dxa"/>
            <w:vAlign w:val="center"/>
          </w:tcPr>
          <w:p w14:paraId="51432852"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w:t>
            </w:r>
          </w:p>
        </w:tc>
        <w:tc>
          <w:tcPr>
            <w:tcW w:w="1368" w:type="dxa"/>
            <w:vAlign w:val="center"/>
          </w:tcPr>
          <w:p w14:paraId="186EA171"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c>
          <w:tcPr>
            <w:tcW w:w="1368" w:type="dxa"/>
            <w:vAlign w:val="center"/>
          </w:tcPr>
          <w:p w14:paraId="673422BF"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r>
      <w:tr w:rsidR="00B02CF8" w:rsidRPr="003A6E5A" w14:paraId="2783E8C7" w14:textId="77777777" w:rsidTr="00FF6F94">
        <w:tc>
          <w:tcPr>
            <w:tcW w:w="1367" w:type="dxa"/>
            <w:vAlign w:val="center"/>
          </w:tcPr>
          <w:p w14:paraId="0794C22C" w14:textId="77777777" w:rsidR="0003217D" w:rsidRPr="003A6E5A" w:rsidRDefault="00FC275D" w:rsidP="00FF6F94">
            <w:pPr>
              <w:widowControl/>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367" w:type="dxa"/>
            <w:vAlign w:val="center"/>
          </w:tcPr>
          <w:p w14:paraId="70E9C9F4"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0,5047</w:t>
            </w:r>
            <w:r w:rsidRPr="003A6E5A">
              <w:rPr>
                <w:rFonts w:ascii="Times New Roman" w:hAnsi="Times New Roman" w:cs="Times New Roman"/>
                <w:i/>
                <w:iCs/>
                <w:sz w:val="24"/>
                <w:szCs w:val="24"/>
                <w:vertAlign w:val="superscript"/>
                <w:lang w:val="en-US"/>
              </w:rPr>
              <w:t>***</w:t>
            </w:r>
          </w:p>
        </w:tc>
        <w:tc>
          <w:tcPr>
            <w:tcW w:w="1367" w:type="dxa"/>
            <w:vAlign w:val="center"/>
          </w:tcPr>
          <w:p w14:paraId="53F589C7"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0,7254</w:t>
            </w:r>
            <w:r w:rsidRPr="003A6E5A">
              <w:rPr>
                <w:rFonts w:ascii="Times New Roman" w:hAnsi="Times New Roman" w:cs="Times New Roman"/>
                <w:i/>
                <w:iCs/>
                <w:sz w:val="24"/>
                <w:szCs w:val="24"/>
                <w:vertAlign w:val="superscript"/>
                <w:lang w:val="en-US"/>
              </w:rPr>
              <w:t>***</w:t>
            </w:r>
          </w:p>
        </w:tc>
        <w:tc>
          <w:tcPr>
            <w:tcW w:w="1367" w:type="dxa"/>
            <w:vAlign w:val="center"/>
          </w:tcPr>
          <w:p w14:paraId="0DB3861E"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0,8280</w:t>
            </w:r>
            <w:r w:rsidRPr="003A6E5A">
              <w:rPr>
                <w:rFonts w:ascii="Times New Roman" w:hAnsi="Times New Roman" w:cs="Times New Roman"/>
                <w:i/>
                <w:iCs/>
                <w:sz w:val="24"/>
                <w:szCs w:val="24"/>
                <w:vertAlign w:val="superscript"/>
                <w:lang w:val="en-US"/>
              </w:rPr>
              <w:t>***</w:t>
            </w:r>
          </w:p>
        </w:tc>
        <w:tc>
          <w:tcPr>
            <w:tcW w:w="1367" w:type="dxa"/>
            <w:vAlign w:val="center"/>
          </w:tcPr>
          <w:p w14:paraId="3B2CD2D0"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0,0254</w:t>
            </w:r>
            <w:r w:rsidRPr="003A6E5A">
              <w:rPr>
                <w:rFonts w:ascii="Times New Roman" w:hAnsi="Times New Roman" w:cs="Times New Roman"/>
                <w:i/>
                <w:iCs/>
                <w:sz w:val="24"/>
                <w:szCs w:val="24"/>
                <w:vertAlign w:val="superscript"/>
                <w:lang w:val="en-US"/>
              </w:rPr>
              <w:t>***</w:t>
            </w:r>
          </w:p>
        </w:tc>
        <w:tc>
          <w:tcPr>
            <w:tcW w:w="1368" w:type="dxa"/>
            <w:vAlign w:val="center"/>
          </w:tcPr>
          <w:p w14:paraId="41A04BF4"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w:t>
            </w:r>
          </w:p>
        </w:tc>
        <w:tc>
          <w:tcPr>
            <w:tcW w:w="1368" w:type="dxa"/>
            <w:vAlign w:val="center"/>
          </w:tcPr>
          <w:p w14:paraId="3D8EBA0A" w14:textId="77777777" w:rsidR="0003217D" w:rsidRPr="003A6E5A" w:rsidRDefault="0003217D" w:rsidP="000F2E25">
            <w:pPr>
              <w:widowControl/>
              <w:spacing w:after="0" w:line="240" w:lineRule="auto"/>
              <w:jc w:val="center"/>
              <w:rPr>
                <w:rFonts w:ascii="Times New Roman" w:hAnsi="Times New Roman" w:cs="Times New Roman"/>
                <w:sz w:val="20"/>
                <w:szCs w:val="20"/>
              </w:rPr>
            </w:pPr>
          </w:p>
        </w:tc>
      </w:tr>
      <w:tr w:rsidR="00B02CF8" w:rsidRPr="003A6E5A" w14:paraId="30FCF301" w14:textId="77777777" w:rsidTr="00FF6F94">
        <w:tc>
          <w:tcPr>
            <w:tcW w:w="1367" w:type="dxa"/>
            <w:vAlign w:val="center"/>
          </w:tcPr>
          <w:p w14:paraId="0A85D74A" w14:textId="77777777" w:rsidR="0003217D" w:rsidRPr="003A6E5A" w:rsidRDefault="00FC275D" w:rsidP="00FF6F94">
            <w:pPr>
              <w:widowControl/>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Среднемесячная заработная плата</w:t>
            </w:r>
          </w:p>
        </w:tc>
        <w:tc>
          <w:tcPr>
            <w:tcW w:w="1367" w:type="dxa"/>
            <w:vAlign w:val="center"/>
          </w:tcPr>
          <w:p w14:paraId="4BA0DFD0"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0,6449</w:t>
            </w:r>
            <w:r w:rsidRPr="003A6E5A">
              <w:rPr>
                <w:rFonts w:ascii="Times New Roman" w:hAnsi="Times New Roman" w:cs="Times New Roman"/>
                <w:i/>
                <w:iCs/>
                <w:sz w:val="24"/>
                <w:szCs w:val="24"/>
                <w:vertAlign w:val="superscript"/>
                <w:lang w:val="en-US"/>
              </w:rPr>
              <w:t>***</w:t>
            </w:r>
          </w:p>
        </w:tc>
        <w:tc>
          <w:tcPr>
            <w:tcW w:w="1367" w:type="dxa"/>
            <w:vAlign w:val="center"/>
          </w:tcPr>
          <w:p w14:paraId="75B715A9"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0,6111</w:t>
            </w:r>
            <w:r w:rsidRPr="003A6E5A">
              <w:rPr>
                <w:rFonts w:ascii="Times New Roman" w:hAnsi="Times New Roman" w:cs="Times New Roman"/>
                <w:i/>
                <w:iCs/>
                <w:sz w:val="24"/>
                <w:szCs w:val="24"/>
                <w:vertAlign w:val="superscript"/>
                <w:lang w:val="en-US"/>
              </w:rPr>
              <w:t>***</w:t>
            </w:r>
          </w:p>
        </w:tc>
        <w:tc>
          <w:tcPr>
            <w:tcW w:w="1367" w:type="dxa"/>
            <w:vAlign w:val="center"/>
          </w:tcPr>
          <w:p w14:paraId="0BC6F234"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0,2488</w:t>
            </w:r>
            <w:r w:rsidRPr="003A6E5A">
              <w:rPr>
                <w:rFonts w:ascii="Times New Roman" w:hAnsi="Times New Roman" w:cs="Times New Roman"/>
                <w:i/>
                <w:iCs/>
                <w:sz w:val="24"/>
                <w:szCs w:val="24"/>
                <w:vertAlign w:val="superscript"/>
                <w:lang w:val="en-US"/>
              </w:rPr>
              <w:t>***</w:t>
            </w:r>
          </w:p>
        </w:tc>
        <w:tc>
          <w:tcPr>
            <w:tcW w:w="1367" w:type="dxa"/>
            <w:vAlign w:val="center"/>
          </w:tcPr>
          <w:p w14:paraId="6A466777"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-0,1584</w:t>
            </w:r>
            <w:r w:rsidRPr="003A6E5A">
              <w:rPr>
                <w:rFonts w:ascii="Times New Roman" w:hAnsi="Times New Roman" w:cs="Times New Roman"/>
                <w:i/>
                <w:iCs/>
                <w:sz w:val="24"/>
                <w:szCs w:val="24"/>
                <w:vertAlign w:val="superscript"/>
                <w:lang w:val="en-US"/>
              </w:rPr>
              <w:t>**</w:t>
            </w:r>
          </w:p>
        </w:tc>
        <w:tc>
          <w:tcPr>
            <w:tcW w:w="1368" w:type="dxa"/>
            <w:vAlign w:val="center"/>
          </w:tcPr>
          <w:p w14:paraId="29FC3160" w14:textId="77777777" w:rsidR="0003217D" w:rsidRPr="003A6E5A" w:rsidRDefault="00FC275D" w:rsidP="000F2E25">
            <w:pPr>
              <w:widowControl/>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0,5534</w:t>
            </w:r>
            <w:r w:rsidRPr="003A6E5A">
              <w:rPr>
                <w:rFonts w:ascii="Times New Roman" w:hAnsi="Times New Roman" w:cs="Times New Roman"/>
                <w:i/>
                <w:iCs/>
                <w:sz w:val="24"/>
                <w:szCs w:val="24"/>
                <w:vertAlign w:val="superscript"/>
                <w:lang w:val="en-US"/>
              </w:rPr>
              <w:t>***</w:t>
            </w:r>
          </w:p>
        </w:tc>
        <w:tc>
          <w:tcPr>
            <w:tcW w:w="1368" w:type="dxa"/>
            <w:vAlign w:val="center"/>
          </w:tcPr>
          <w:p w14:paraId="4AFEEDFD" w14:textId="77777777" w:rsidR="0003217D" w:rsidRPr="003A6E5A" w:rsidRDefault="00FC275D" w:rsidP="000F2E25">
            <w:pPr>
              <w:widowControl/>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w:t>
            </w:r>
          </w:p>
        </w:tc>
      </w:tr>
    </w:tbl>
    <w:p w14:paraId="73033D02" w14:textId="57844F14"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5E487926" w14:textId="52FC891A" w:rsidR="0003217D" w:rsidRPr="003A6E5A" w:rsidRDefault="004C4949"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000F2E25" w:rsidRPr="003A6E5A">
        <w:rPr>
          <w:rFonts w:ascii="Times New Roman" w:hAnsi="Times New Roman" w:cs="Times New Roman"/>
          <w:sz w:val="20"/>
          <w:szCs w:val="20"/>
          <w:lang w:val="kk-KZ"/>
        </w:rPr>
        <w:t>в</w:t>
      </w:r>
      <w:r w:rsidR="00FC275D" w:rsidRPr="003A6E5A">
        <w:rPr>
          <w:rFonts w:ascii="Times New Roman" w:hAnsi="Times New Roman" w:cs="Times New Roman"/>
          <w:sz w:val="20"/>
          <w:szCs w:val="20"/>
        </w:rPr>
        <w:t xml:space="preserve"> программе </w:t>
      </w:r>
      <w:r w:rsidR="00FC275D" w:rsidRPr="003A6E5A">
        <w:rPr>
          <w:rFonts w:ascii="Times New Roman" w:hAnsi="Times New Roman" w:cs="Times New Roman"/>
          <w:sz w:val="20"/>
          <w:szCs w:val="20"/>
          <w:lang w:val="en-US"/>
        </w:rPr>
        <w:t>STATA</w:t>
      </w:r>
    </w:p>
    <w:p w14:paraId="1D5C97B9" w14:textId="77777777" w:rsidR="0003217D" w:rsidRPr="003A6E5A" w:rsidRDefault="0003217D" w:rsidP="00F15665">
      <w:pPr>
        <w:spacing w:after="0" w:line="240" w:lineRule="auto"/>
        <w:jc w:val="both"/>
        <w:rPr>
          <w:rFonts w:ascii="Times New Roman" w:hAnsi="Times New Roman" w:cs="Times New Roman"/>
          <w:sz w:val="28"/>
          <w:szCs w:val="28"/>
          <w:lang w:val="kk-KZ"/>
        </w:rPr>
      </w:pPr>
    </w:p>
    <w:p w14:paraId="62BE8DBA" w14:textId="77777777" w:rsidR="002C7759" w:rsidRPr="003A6E5A" w:rsidRDefault="00FC275D" w:rsidP="002C7759">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rPr>
        <w:t>Целью первого этапа эмпирического анализа являлось определение ключевых факторов, оказывающих влияние на динамику реальных инвестиций в основной капитал. В рамках моделей множественной регрессии, оцененных методом наименьших квадратов, в качестве основного детерминанта была выявлена переменная «валовый региональный продукт», демонстрирующая устойчивое положительное влияние на уровень капитальных вложений.</w:t>
      </w:r>
      <w:r w:rsidR="00F15665"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Как показал предварительный корреляционный анализ (см. таблицу </w:t>
      </w:r>
      <w:r w:rsidR="00F15665" w:rsidRPr="003A6E5A">
        <w:rPr>
          <w:rFonts w:ascii="Times New Roman" w:hAnsi="Times New Roman" w:cs="Times New Roman"/>
          <w:sz w:val="28"/>
          <w:szCs w:val="28"/>
          <w:lang w:val="kk-KZ"/>
        </w:rPr>
        <w:t>4</w:t>
      </w:r>
      <w:r w:rsidRPr="003A6E5A">
        <w:rPr>
          <w:rFonts w:ascii="Times New Roman" w:hAnsi="Times New Roman" w:cs="Times New Roman"/>
          <w:sz w:val="28"/>
          <w:szCs w:val="28"/>
        </w:rPr>
        <w:t>), переменная «численность персонала, занятого в НИОКР», характеризуется высокой степенью сопряженности с рядом других регрессоров. Во избежание искажений, обусловленных мультиколлинеарностью, данная переменная была заменена альтернативными индикаторами научно-инновационного потенциала: «количеством предприятий, осуществляющих НИОКР», «уровнем инновационной активности предприятий» и «численностью студентов», отражающ</w:t>
      </w:r>
      <w:r w:rsidR="00F15665" w:rsidRPr="003A6E5A">
        <w:rPr>
          <w:rFonts w:ascii="Times New Roman" w:hAnsi="Times New Roman" w:cs="Times New Roman"/>
          <w:sz w:val="28"/>
          <w:szCs w:val="28"/>
          <w:lang w:val="kk-KZ"/>
        </w:rPr>
        <w:t>ие</w:t>
      </w:r>
      <w:r w:rsidRPr="003A6E5A">
        <w:rPr>
          <w:rFonts w:ascii="Times New Roman" w:hAnsi="Times New Roman" w:cs="Times New Roman"/>
          <w:sz w:val="28"/>
          <w:szCs w:val="28"/>
        </w:rPr>
        <w:t xml:space="preserve"> образовательный ресурс </w:t>
      </w:r>
      <w:r w:rsidR="00F15665" w:rsidRPr="003A6E5A">
        <w:rPr>
          <w:rFonts w:ascii="Times New Roman" w:hAnsi="Times New Roman" w:cs="Times New Roman"/>
          <w:sz w:val="28"/>
          <w:szCs w:val="28"/>
          <w:lang w:val="kk-KZ"/>
        </w:rPr>
        <w:t>областей Казахстана</w:t>
      </w:r>
      <w:r w:rsidRPr="003A6E5A">
        <w:rPr>
          <w:rFonts w:ascii="Times New Roman" w:hAnsi="Times New Roman" w:cs="Times New Roman"/>
          <w:sz w:val="28"/>
          <w:szCs w:val="28"/>
        </w:rPr>
        <w:t>.</w:t>
      </w:r>
    </w:p>
    <w:p w14:paraId="1911D7EF" w14:textId="3896F212" w:rsidR="0003217D" w:rsidRPr="003A6E5A" w:rsidRDefault="00FC275D" w:rsidP="00B3177B">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Согласно результатам таблицы </w:t>
      </w:r>
      <w:r w:rsidR="003D43A8" w:rsidRPr="003A6E5A">
        <w:rPr>
          <w:rFonts w:ascii="Times New Roman" w:hAnsi="Times New Roman" w:cs="Times New Roman"/>
          <w:sz w:val="28"/>
          <w:szCs w:val="28"/>
          <w:lang w:val="kk-KZ"/>
        </w:rPr>
        <w:t>1</w:t>
      </w:r>
      <w:r w:rsidR="00DA42F3" w:rsidRPr="003A6E5A">
        <w:rPr>
          <w:rFonts w:ascii="Times New Roman" w:hAnsi="Times New Roman" w:cs="Times New Roman"/>
          <w:sz w:val="28"/>
          <w:szCs w:val="28"/>
          <w:lang w:val="kk-KZ"/>
        </w:rPr>
        <w:t>1</w:t>
      </w:r>
      <w:r w:rsidRPr="003A6E5A">
        <w:rPr>
          <w:rFonts w:ascii="Times New Roman" w:hAnsi="Times New Roman" w:cs="Times New Roman"/>
          <w:sz w:val="28"/>
          <w:szCs w:val="28"/>
        </w:rPr>
        <w:t>, переменная «внутренние затраты на НИОКР» подтверждает статус одного из ведущих факторов, определяющих объем инвестиций в основной капитал</w:t>
      </w:r>
      <w:r w:rsidR="002C7759" w:rsidRPr="003A6E5A">
        <w:rPr>
          <w:rFonts w:ascii="Times New Roman" w:hAnsi="Times New Roman" w:cs="Times New Roman"/>
          <w:sz w:val="28"/>
          <w:szCs w:val="28"/>
          <w:lang w:val="kk-KZ"/>
        </w:rPr>
        <w:t xml:space="preserve"> </w:t>
      </w:r>
      <w:r w:rsidR="002C7759" w:rsidRPr="003A6E5A">
        <w:rPr>
          <w:rFonts w:ascii="Times New Roman" w:hAnsi="Times New Roman" w:cs="Times New Roman"/>
          <w:sz w:val="28"/>
          <w:szCs w:val="28"/>
        </w:rPr>
        <w:t xml:space="preserve">(см. модели 3-4 в таблице </w:t>
      </w:r>
      <w:r w:rsidR="003D43A8" w:rsidRPr="003A6E5A">
        <w:rPr>
          <w:rFonts w:ascii="Times New Roman" w:hAnsi="Times New Roman" w:cs="Times New Roman"/>
          <w:sz w:val="28"/>
          <w:szCs w:val="28"/>
        </w:rPr>
        <w:t>1</w:t>
      </w:r>
      <w:r w:rsidR="00235238" w:rsidRPr="003A6E5A">
        <w:rPr>
          <w:rFonts w:ascii="Times New Roman" w:hAnsi="Times New Roman" w:cs="Times New Roman"/>
          <w:sz w:val="28"/>
          <w:szCs w:val="28"/>
        </w:rPr>
        <w:t>1</w:t>
      </w:r>
      <w:r w:rsidR="002C7759" w:rsidRPr="003A6E5A">
        <w:rPr>
          <w:rFonts w:ascii="Times New Roman" w:hAnsi="Times New Roman" w:cs="Times New Roman"/>
          <w:sz w:val="28"/>
          <w:szCs w:val="28"/>
        </w:rPr>
        <w:t>)</w:t>
      </w:r>
      <w:r w:rsidRPr="003A6E5A">
        <w:rPr>
          <w:rFonts w:ascii="Times New Roman" w:hAnsi="Times New Roman" w:cs="Times New Roman"/>
          <w:sz w:val="28"/>
          <w:szCs w:val="28"/>
        </w:rPr>
        <w:t>. Так, интерпретация коэффициента в модели с фиксированными эффектами показывает, что прирост внутреннего финансирования НИОКР оказывает статистически значимое и устойчивое влияние на инвестиционную активность.</w:t>
      </w:r>
      <w:r w:rsidR="00B3177B"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Напротив, в модели 4 коэффициент при переменной «среднемесячная заработная плата» оказался статистически незначим, в связи с чем данный фактор был исключен из дальнейшего анализа. </w:t>
      </w:r>
      <w:r w:rsidR="00B3177B" w:rsidRPr="003A6E5A">
        <w:rPr>
          <w:rFonts w:ascii="Times New Roman" w:hAnsi="Times New Roman" w:cs="Times New Roman"/>
          <w:sz w:val="28"/>
          <w:szCs w:val="28"/>
        </w:rPr>
        <w:t>Данный результат</w:t>
      </w:r>
      <w:r w:rsidRPr="003A6E5A">
        <w:rPr>
          <w:rFonts w:ascii="Times New Roman" w:hAnsi="Times New Roman" w:cs="Times New Roman"/>
          <w:sz w:val="28"/>
          <w:szCs w:val="28"/>
        </w:rPr>
        <w:t xml:space="preserve"> подтверждает </w:t>
      </w:r>
      <w:r w:rsidRPr="003A6E5A">
        <w:rPr>
          <w:rFonts w:ascii="Times New Roman" w:hAnsi="Times New Roman" w:cs="Times New Roman"/>
          <w:sz w:val="28"/>
          <w:szCs w:val="28"/>
        </w:rPr>
        <w:lastRenderedPageBreak/>
        <w:t xml:space="preserve">гипотезу о более высокой значимости затрат на научные исследования по сравнению с уровнем оплаты труда как драйвера инвестиционного роста. </w:t>
      </w:r>
    </w:p>
    <w:p w14:paraId="5C95B241" w14:textId="77777777" w:rsidR="0003217D" w:rsidRPr="003A6E5A" w:rsidRDefault="0003217D" w:rsidP="003E757D">
      <w:pPr>
        <w:spacing w:after="0" w:line="240" w:lineRule="auto"/>
        <w:rPr>
          <w:rFonts w:ascii="Times New Roman" w:hAnsi="Times New Roman" w:cs="Times New Roman"/>
          <w:sz w:val="28"/>
          <w:szCs w:val="28"/>
        </w:rPr>
      </w:pPr>
    </w:p>
    <w:p w14:paraId="75E45DEC" w14:textId="15142551"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Таблица </w:t>
      </w:r>
      <w:r w:rsidR="003D43A8" w:rsidRPr="003A6E5A">
        <w:rPr>
          <w:rFonts w:ascii="Times New Roman" w:hAnsi="Times New Roman" w:cs="Times New Roman"/>
          <w:sz w:val="28"/>
          <w:szCs w:val="28"/>
          <w:lang w:val="kk-KZ"/>
        </w:rPr>
        <w:t>1</w:t>
      </w:r>
      <w:r w:rsidR="00DA42F3" w:rsidRPr="003A6E5A">
        <w:rPr>
          <w:rFonts w:ascii="Times New Roman" w:hAnsi="Times New Roman" w:cs="Times New Roman"/>
          <w:sz w:val="28"/>
          <w:szCs w:val="28"/>
          <w:lang w:val="kk-KZ"/>
        </w:rPr>
        <w:t>1</w:t>
      </w:r>
      <w:r w:rsidRPr="003A6E5A">
        <w:rPr>
          <w:rFonts w:ascii="Times New Roman" w:hAnsi="Times New Roman" w:cs="Times New Roman"/>
          <w:sz w:val="28"/>
          <w:szCs w:val="28"/>
        </w:rPr>
        <w:t xml:space="preserve">. </w:t>
      </w:r>
      <w:r w:rsidR="00B3177B" w:rsidRPr="003A6E5A">
        <w:rPr>
          <w:rFonts w:ascii="Times New Roman" w:hAnsi="Times New Roman" w:cs="Times New Roman"/>
          <w:sz w:val="28"/>
          <w:szCs w:val="28"/>
        </w:rPr>
        <w:t>Оценки коэффициентов</w:t>
      </w:r>
      <w:r w:rsidRPr="003A6E5A">
        <w:rPr>
          <w:rFonts w:ascii="Times New Roman" w:hAnsi="Times New Roman" w:cs="Times New Roman"/>
          <w:sz w:val="28"/>
          <w:szCs w:val="28"/>
        </w:rPr>
        <w:t xml:space="preserve"> </w:t>
      </w:r>
      <w:r w:rsidR="005044AF" w:rsidRPr="003A6E5A">
        <w:rPr>
          <w:rFonts w:ascii="Times New Roman" w:hAnsi="Times New Roman" w:cs="Times New Roman"/>
          <w:sz w:val="28"/>
          <w:szCs w:val="28"/>
        </w:rPr>
        <w:t xml:space="preserve">в </w:t>
      </w:r>
      <w:r w:rsidRPr="003A6E5A">
        <w:rPr>
          <w:rFonts w:ascii="Times New Roman" w:hAnsi="Times New Roman" w:cs="Times New Roman"/>
          <w:sz w:val="28"/>
          <w:szCs w:val="28"/>
        </w:rPr>
        <w:t>модел</w:t>
      </w:r>
      <w:r w:rsidR="005044AF" w:rsidRPr="003A6E5A">
        <w:rPr>
          <w:rFonts w:ascii="Times New Roman" w:hAnsi="Times New Roman" w:cs="Times New Roman"/>
          <w:sz w:val="28"/>
          <w:szCs w:val="28"/>
        </w:rPr>
        <w:t>ях</w:t>
      </w:r>
      <w:r w:rsidRPr="003A6E5A">
        <w:rPr>
          <w:rFonts w:ascii="Times New Roman" w:hAnsi="Times New Roman" w:cs="Times New Roman"/>
          <w:sz w:val="28"/>
          <w:szCs w:val="28"/>
        </w:rPr>
        <w:t xml:space="preserve"> множественной регрессии и панельных данных с учетом фиксированных эффектов</w:t>
      </w:r>
      <w:r w:rsidR="008B1642"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n=160</m:t>
        </m:r>
      </m:oMath>
      <w:r w:rsidR="008B1642" w:rsidRPr="003A6E5A">
        <w:rPr>
          <w:rFonts w:ascii="Times New Roman" w:hAnsi="Times New Roman" w:cs="Times New Roman"/>
          <w:sz w:val="28"/>
          <w:szCs w:val="28"/>
        </w:rPr>
        <w:t xml:space="preserve">) </w:t>
      </w:r>
    </w:p>
    <w:tbl>
      <w:tblPr>
        <w:tblStyle w:val="ac"/>
        <w:tblW w:w="0" w:type="auto"/>
        <w:tblLook w:val="04A0" w:firstRow="1" w:lastRow="0" w:firstColumn="1" w:lastColumn="0" w:noHBand="0" w:noVBand="1"/>
      </w:tblPr>
      <w:tblGrid>
        <w:gridCol w:w="1914"/>
        <w:gridCol w:w="1914"/>
        <w:gridCol w:w="1914"/>
        <w:gridCol w:w="1914"/>
        <w:gridCol w:w="1915"/>
      </w:tblGrid>
      <w:tr w:rsidR="00B02CF8" w:rsidRPr="003A6E5A" w14:paraId="50CE08D1" w14:textId="77777777" w:rsidTr="008C1E7B">
        <w:tc>
          <w:tcPr>
            <w:tcW w:w="1914" w:type="dxa"/>
            <w:vMerge w:val="restart"/>
          </w:tcPr>
          <w:p w14:paraId="54F41FAB" w14:textId="77777777"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Регрессор</w:t>
            </w:r>
          </w:p>
          <w:p w14:paraId="3EADEFA9" w14:textId="5720CFF1" w:rsidR="0003217D" w:rsidRPr="003A6E5A" w:rsidRDefault="00FC275D" w:rsidP="008C1E7B">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(логарифмы)</w:t>
            </w:r>
          </w:p>
        </w:tc>
        <w:tc>
          <w:tcPr>
            <w:tcW w:w="1914" w:type="dxa"/>
          </w:tcPr>
          <w:p w14:paraId="31CFEE67" w14:textId="178C89B5"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Модель множественной регрессии</w:t>
            </w:r>
          </w:p>
        </w:tc>
        <w:tc>
          <w:tcPr>
            <w:tcW w:w="1914" w:type="dxa"/>
          </w:tcPr>
          <w:p w14:paraId="10F9AE40" w14:textId="59AA651B"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Модель множественной регрессии</w:t>
            </w:r>
            <w:r w:rsidRPr="003A6E5A">
              <w:rPr>
                <w:rFonts w:ascii="Times New Roman" w:hAnsi="Times New Roman" w:cs="Times New Roman"/>
                <w:sz w:val="20"/>
                <w:szCs w:val="20"/>
                <w:vertAlign w:val="superscript"/>
              </w:rPr>
              <w:t>*</w:t>
            </w:r>
          </w:p>
        </w:tc>
        <w:tc>
          <w:tcPr>
            <w:tcW w:w="1914" w:type="dxa"/>
          </w:tcPr>
          <w:p w14:paraId="3FED8C84" w14:textId="1F024278" w:rsidR="0003217D" w:rsidRPr="003A6E5A" w:rsidRDefault="00FC275D" w:rsidP="008B1642">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Модель панельных данных с учетом фиксированных эффектов</w:t>
            </w:r>
          </w:p>
        </w:tc>
        <w:tc>
          <w:tcPr>
            <w:tcW w:w="1915" w:type="dxa"/>
          </w:tcPr>
          <w:p w14:paraId="173469DD" w14:textId="0E81E376" w:rsidR="0003217D" w:rsidRPr="003A6E5A" w:rsidRDefault="00FC275D" w:rsidP="008C1E7B">
            <w:pPr>
              <w:spacing w:after="0" w:line="240" w:lineRule="auto"/>
              <w:jc w:val="center"/>
              <w:rPr>
                <w:rFonts w:ascii="Times New Roman" w:hAnsi="Times New Roman" w:cs="Times New Roman"/>
                <w:b/>
                <w:bCs/>
                <w:sz w:val="20"/>
                <w:szCs w:val="20"/>
              </w:rPr>
            </w:pPr>
            <w:r w:rsidRPr="003A6E5A">
              <w:rPr>
                <w:rFonts w:ascii="Times New Roman" w:hAnsi="Times New Roman" w:cs="Times New Roman"/>
                <w:sz w:val="20"/>
                <w:szCs w:val="20"/>
              </w:rPr>
              <w:t xml:space="preserve">Модель панельных данных с учетом </w:t>
            </w:r>
            <w:r w:rsidRPr="003A6E5A">
              <w:rPr>
                <w:rFonts w:ascii="Times New Roman" w:hAnsi="Times New Roman" w:cs="Times New Roman"/>
                <w:sz w:val="20"/>
                <w:szCs w:val="20"/>
                <w:lang w:val="kk-KZ"/>
              </w:rPr>
              <w:t>случайных</w:t>
            </w:r>
            <w:r w:rsidRPr="003A6E5A">
              <w:rPr>
                <w:rFonts w:ascii="Times New Roman" w:hAnsi="Times New Roman" w:cs="Times New Roman"/>
                <w:sz w:val="20"/>
                <w:szCs w:val="20"/>
              </w:rPr>
              <w:t xml:space="preserve"> эффектов</w:t>
            </w:r>
            <w:r w:rsidRPr="003A6E5A">
              <w:rPr>
                <w:rFonts w:ascii="Times New Roman" w:hAnsi="Times New Roman" w:cs="Times New Roman"/>
                <w:sz w:val="20"/>
                <w:szCs w:val="20"/>
                <w:vertAlign w:val="superscript"/>
              </w:rPr>
              <w:t>*</w:t>
            </w:r>
            <w:r w:rsidRPr="003A6E5A">
              <w:rPr>
                <w:rFonts w:ascii="Times New Roman" w:hAnsi="Times New Roman" w:cs="Times New Roman"/>
                <w:sz w:val="20"/>
                <w:szCs w:val="20"/>
              </w:rPr>
              <w:t xml:space="preserve"> </w:t>
            </w:r>
          </w:p>
        </w:tc>
      </w:tr>
      <w:tr w:rsidR="00B02CF8" w:rsidRPr="003A6E5A" w14:paraId="5E467683" w14:textId="77777777" w:rsidTr="008C1E7B">
        <w:tc>
          <w:tcPr>
            <w:tcW w:w="1914" w:type="dxa"/>
            <w:vMerge/>
          </w:tcPr>
          <w:p w14:paraId="0B352959" w14:textId="77777777" w:rsidR="0003217D" w:rsidRPr="003A6E5A" w:rsidRDefault="0003217D" w:rsidP="001608EA">
            <w:pPr>
              <w:spacing w:after="0" w:line="240" w:lineRule="auto"/>
              <w:rPr>
                <w:rFonts w:ascii="Times New Roman" w:hAnsi="Times New Roman" w:cs="Times New Roman"/>
                <w:sz w:val="20"/>
                <w:szCs w:val="20"/>
              </w:rPr>
            </w:pPr>
          </w:p>
        </w:tc>
        <w:tc>
          <w:tcPr>
            <w:tcW w:w="1914" w:type="dxa"/>
            <w:vAlign w:val="center"/>
          </w:tcPr>
          <w:p w14:paraId="117FF2A2" w14:textId="77777777"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w:t>
            </w:r>
          </w:p>
        </w:tc>
        <w:tc>
          <w:tcPr>
            <w:tcW w:w="1914" w:type="dxa"/>
            <w:vAlign w:val="center"/>
          </w:tcPr>
          <w:p w14:paraId="748BE646" w14:textId="77777777"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w:t>
            </w:r>
          </w:p>
        </w:tc>
        <w:tc>
          <w:tcPr>
            <w:tcW w:w="1914" w:type="dxa"/>
            <w:vAlign w:val="center"/>
          </w:tcPr>
          <w:p w14:paraId="360DF8D3" w14:textId="77777777"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(3)</w:t>
            </w:r>
          </w:p>
        </w:tc>
        <w:tc>
          <w:tcPr>
            <w:tcW w:w="1915" w:type="dxa"/>
            <w:vAlign w:val="center"/>
          </w:tcPr>
          <w:p w14:paraId="510F97FC" w14:textId="77777777" w:rsidR="0003217D" w:rsidRPr="003A6E5A" w:rsidRDefault="00FC275D" w:rsidP="008C1E7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(4)</w:t>
            </w:r>
          </w:p>
        </w:tc>
      </w:tr>
      <w:tr w:rsidR="00B02CF8" w:rsidRPr="003A6E5A" w14:paraId="5E06D256" w14:textId="77777777" w:rsidTr="002007A0">
        <w:tc>
          <w:tcPr>
            <w:tcW w:w="9571" w:type="dxa"/>
            <w:gridSpan w:val="5"/>
            <w:vAlign w:val="center"/>
          </w:tcPr>
          <w:p w14:paraId="503D62DF"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Зависимые переменные: инвестиции в основной капитал (логарифм)</w:t>
            </w:r>
          </w:p>
        </w:tc>
      </w:tr>
      <w:tr w:rsidR="00B02CF8" w:rsidRPr="003A6E5A" w14:paraId="5794F34A" w14:textId="77777777" w:rsidTr="002007A0">
        <w:tc>
          <w:tcPr>
            <w:tcW w:w="1914" w:type="dxa"/>
            <w:vAlign w:val="center"/>
          </w:tcPr>
          <w:p w14:paraId="46C01877"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Валовый региональный продукт</w:t>
            </w:r>
          </w:p>
        </w:tc>
        <w:tc>
          <w:tcPr>
            <w:tcW w:w="1914" w:type="dxa"/>
            <w:vAlign w:val="center"/>
          </w:tcPr>
          <w:p w14:paraId="5277644C"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0,8179663</w:t>
            </w:r>
            <w:r w:rsidRPr="003A6E5A">
              <w:rPr>
                <w:rFonts w:ascii="Times New Roman" w:hAnsi="Times New Roman" w:cs="Times New Roman"/>
                <w:sz w:val="20"/>
                <w:szCs w:val="20"/>
                <w:vertAlign w:val="superscript"/>
              </w:rPr>
              <w:t>***</w:t>
            </w:r>
          </w:p>
          <w:p w14:paraId="494F93FF"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(0,8717715)</w:t>
            </w:r>
          </w:p>
        </w:tc>
        <w:tc>
          <w:tcPr>
            <w:tcW w:w="1914" w:type="dxa"/>
            <w:vAlign w:val="center"/>
          </w:tcPr>
          <w:p w14:paraId="0CED760E"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1,060966</w:t>
            </w:r>
            <w:r w:rsidRPr="003A6E5A">
              <w:rPr>
                <w:rFonts w:ascii="Times New Roman" w:hAnsi="Times New Roman" w:cs="Times New Roman"/>
                <w:sz w:val="20"/>
                <w:szCs w:val="20"/>
                <w:vertAlign w:val="superscript"/>
              </w:rPr>
              <w:t>***</w:t>
            </w:r>
          </w:p>
          <w:p w14:paraId="0CD6B774"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(0,935604)</w:t>
            </w:r>
          </w:p>
        </w:tc>
        <w:tc>
          <w:tcPr>
            <w:tcW w:w="1914" w:type="dxa"/>
            <w:vAlign w:val="center"/>
          </w:tcPr>
          <w:p w14:paraId="244891BE"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5" w:type="dxa"/>
            <w:vAlign w:val="center"/>
          </w:tcPr>
          <w:p w14:paraId="0F0BED22" w14:textId="77777777" w:rsidR="0003217D" w:rsidRPr="003A6E5A" w:rsidRDefault="0003217D" w:rsidP="002007A0">
            <w:pPr>
              <w:spacing w:after="0" w:line="240" w:lineRule="auto"/>
              <w:jc w:val="center"/>
              <w:rPr>
                <w:rFonts w:ascii="Times New Roman" w:hAnsi="Times New Roman" w:cs="Times New Roman"/>
                <w:sz w:val="20"/>
                <w:szCs w:val="20"/>
              </w:rPr>
            </w:pPr>
          </w:p>
        </w:tc>
      </w:tr>
      <w:tr w:rsidR="00B02CF8" w:rsidRPr="003A6E5A" w14:paraId="70989CD3" w14:textId="77777777" w:rsidTr="002007A0">
        <w:tc>
          <w:tcPr>
            <w:tcW w:w="1914" w:type="dxa"/>
            <w:vAlign w:val="center"/>
          </w:tcPr>
          <w:p w14:paraId="084631BB"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Численность персонала занятого НИОКР</w:t>
            </w:r>
          </w:p>
        </w:tc>
        <w:tc>
          <w:tcPr>
            <w:tcW w:w="1914" w:type="dxa"/>
            <w:vAlign w:val="center"/>
          </w:tcPr>
          <w:p w14:paraId="07EE903B"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-0,1547987</w:t>
            </w:r>
            <w:r w:rsidRPr="003A6E5A">
              <w:rPr>
                <w:rFonts w:ascii="Times New Roman" w:hAnsi="Times New Roman" w:cs="Times New Roman"/>
                <w:sz w:val="20"/>
                <w:szCs w:val="20"/>
                <w:vertAlign w:val="superscript"/>
              </w:rPr>
              <w:t>*</w:t>
            </w:r>
          </w:p>
          <w:p w14:paraId="661FCADF"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(0,417606)</w:t>
            </w:r>
          </w:p>
        </w:tc>
        <w:tc>
          <w:tcPr>
            <w:tcW w:w="1914" w:type="dxa"/>
            <w:vAlign w:val="center"/>
          </w:tcPr>
          <w:p w14:paraId="6CB6C9FD"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3B6FEE37"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5" w:type="dxa"/>
            <w:vAlign w:val="center"/>
          </w:tcPr>
          <w:p w14:paraId="50127ED5" w14:textId="77777777" w:rsidR="0003217D" w:rsidRPr="003A6E5A" w:rsidRDefault="0003217D" w:rsidP="002007A0">
            <w:pPr>
              <w:spacing w:after="0" w:line="240" w:lineRule="auto"/>
              <w:jc w:val="center"/>
              <w:rPr>
                <w:rFonts w:ascii="Times New Roman" w:hAnsi="Times New Roman" w:cs="Times New Roman"/>
                <w:sz w:val="20"/>
                <w:szCs w:val="20"/>
              </w:rPr>
            </w:pPr>
          </w:p>
        </w:tc>
      </w:tr>
      <w:tr w:rsidR="00B02CF8" w:rsidRPr="003A6E5A" w14:paraId="6D33E0E8" w14:textId="77777777" w:rsidTr="002007A0">
        <w:tc>
          <w:tcPr>
            <w:tcW w:w="1914" w:type="dxa"/>
            <w:vAlign w:val="center"/>
          </w:tcPr>
          <w:p w14:paraId="29C536A0"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Среднемесячная заработная плата</w:t>
            </w:r>
          </w:p>
        </w:tc>
        <w:tc>
          <w:tcPr>
            <w:tcW w:w="1914" w:type="dxa"/>
            <w:vAlign w:val="center"/>
          </w:tcPr>
          <w:p w14:paraId="0DCD683A"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0,3905361</w:t>
            </w:r>
            <w:r w:rsidRPr="003A6E5A">
              <w:rPr>
                <w:rFonts w:ascii="Times New Roman" w:hAnsi="Times New Roman" w:cs="Times New Roman"/>
                <w:sz w:val="20"/>
                <w:szCs w:val="20"/>
                <w:vertAlign w:val="superscript"/>
              </w:rPr>
              <w:t>***</w:t>
            </w:r>
          </w:p>
          <w:p w14:paraId="1C243338"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(0,1235428)</w:t>
            </w:r>
          </w:p>
        </w:tc>
        <w:tc>
          <w:tcPr>
            <w:tcW w:w="1914" w:type="dxa"/>
            <w:vAlign w:val="center"/>
          </w:tcPr>
          <w:p w14:paraId="33CD9D06"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720DB310"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5" w:type="dxa"/>
            <w:vAlign w:val="center"/>
          </w:tcPr>
          <w:p w14:paraId="129B5C62" w14:textId="77777777" w:rsidR="0003217D" w:rsidRPr="003A6E5A" w:rsidRDefault="0003217D" w:rsidP="002007A0">
            <w:pPr>
              <w:spacing w:after="0" w:line="240" w:lineRule="auto"/>
              <w:jc w:val="center"/>
              <w:rPr>
                <w:rFonts w:ascii="Times New Roman" w:hAnsi="Times New Roman" w:cs="Times New Roman"/>
                <w:sz w:val="20"/>
                <w:szCs w:val="20"/>
              </w:rPr>
            </w:pPr>
          </w:p>
        </w:tc>
      </w:tr>
      <w:tr w:rsidR="00B02CF8" w:rsidRPr="003A6E5A" w14:paraId="2B10C6CB" w14:textId="77777777" w:rsidTr="002007A0">
        <w:tc>
          <w:tcPr>
            <w:tcW w:w="1914" w:type="dxa"/>
            <w:vAlign w:val="center"/>
          </w:tcPr>
          <w:p w14:paraId="7A482528"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914" w:type="dxa"/>
            <w:vAlign w:val="center"/>
          </w:tcPr>
          <w:p w14:paraId="3CC6598E"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20667754"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15FC83B8"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w:t>
            </w:r>
            <w:r w:rsidRPr="003A6E5A">
              <w:rPr>
                <w:rFonts w:ascii="Times New Roman" w:hAnsi="Times New Roman" w:cs="Times New Roman"/>
                <w:sz w:val="20"/>
                <w:szCs w:val="20"/>
                <w:lang w:val="kk-KZ"/>
              </w:rPr>
              <w:t>34242</w:t>
            </w:r>
            <w:r w:rsidRPr="003A6E5A">
              <w:rPr>
                <w:rFonts w:ascii="Times New Roman" w:hAnsi="Times New Roman" w:cs="Times New Roman"/>
                <w:i/>
                <w:iCs/>
                <w:sz w:val="20"/>
                <w:szCs w:val="20"/>
                <w:vertAlign w:val="superscript"/>
                <w:lang w:val="en-US"/>
              </w:rPr>
              <w:t>***</w:t>
            </w:r>
          </w:p>
          <w:p w14:paraId="1355F826"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(0,04</w:t>
            </w:r>
            <w:r w:rsidRPr="003A6E5A">
              <w:rPr>
                <w:rFonts w:ascii="Times New Roman" w:hAnsi="Times New Roman" w:cs="Times New Roman"/>
                <w:sz w:val="20"/>
                <w:szCs w:val="20"/>
                <w:lang w:val="kk-KZ"/>
              </w:rPr>
              <w:t>02285</w:t>
            </w:r>
            <w:r w:rsidRPr="003A6E5A">
              <w:rPr>
                <w:rFonts w:ascii="Times New Roman" w:hAnsi="Times New Roman" w:cs="Times New Roman"/>
                <w:sz w:val="20"/>
                <w:szCs w:val="20"/>
              </w:rPr>
              <w:t>)</w:t>
            </w:r>
          </w:p>
        </w:tc>
        <w:tc>
          <w:tcPr>
            <w:tcW w:w="1915" w:type="dxa"/>
            <w:vAlign w:val="center"/>
          </w:tcPr>
          <w:p w14:paraId="641D7629"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0,1313544</w:t>
            </w:r>
            <w:r w:rsidRPr="003A6E5A">
              <w:rPr>
                <w:rFonts w:ascii="Times New Roman" w:hAnsi="Times New Roman" w:cs="Times New Roman"/>
                <w:i/>
                <w:iCs/>
                <w:sz w:val="20"/>
                <w:szCs w:val="20"/>
                <w:vertAlign w:val="superscript"/>
                <w:lang w:val="en-US"/>
              </w:rPr>
              <w:t>***</w:t>
            </w:r>
          </w:p>
          <w:p w14:paraId="594AF11D"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(0,038197)</w:t>
            </w:r>
          </w:p>
        </w:tc>
      </w:tr>
      <w:tr w:rsidR="00B02CF8" w:rsidRPr="003A6E5A" w14:paraId="246E5FAC" w14:textId="77777777" w:rsidTr="002007A0">
        <w:tc>
          <w:tcPr>
            <w:tcW w:w="1914" w:type="dxa"/>
            <w:vAlign w:val="center"/>
          </w:tcPr>
          <w:p w14:paraId="3DA72ABE"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lang w:val="kk-KZ"/>
              </w:rPr>
              <w:t>К</w:t>
            </w:r>
            <w:r w:rsidRPr="003A6E5A">
              <w:rPr>
                <w:rFonts w:ascii="Times New Roman" w:hAnsi="Times New Roman" w:cs="Times New Roman"/>
                <w:sz w:val="20"/>
                <w:szCs w:val="20"/>
              </w:rPr>
              <w:t>оличество предприятий, осуществлявших НИОКР</w:t>
            </w:r>
          </w:p>
        </w:tc>
        <w:tc>
          <w:tcPr>
            <w:tcW w:w="1914" w:type="dxa"/>
            <w:vAlign w:val="center"/>
          </w:tcPr>
          <w:p w14:paraId="511FA26C"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45A6FC8D"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-0,1787491</w:t>
            </w:r>
            <w:r w:rsidRPr="003A6E5A">
              <w:rPr>
                <w:rFonts w:ascii="Times New Roman" w:hAnsi="Times New Roman" w:cs="Times New Roman"/>
                <w:sz w:val="20"/>
                <w:szCs w:val="20"/>
                <w:vertAlign w:val="superscript"/>
              </w:rPr>
              <w:t>**</w:t>
            </w:r>
          </w:p>
          <w:p w14:paraId="3233759B"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(0,0711976)</w:t>
            </w:r>
          </w:p>
        </w:tc>
        <w:tc>
          <w:tcPr>
            <w:tcW w:w="1914" w:type="dxa"/>
            <w:vAlign w:val="center"/>
          </w:tcPr>
          <w:p w14:paraId="7B33809D"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5" w:type="dxa"/>
            <w:vAlign w:val="center"/>
          </w:tcPr>
          <w:p w14:paraId="01DA07EA" w14:textId="77777777" w:rsidR="0003217D" w:rsidRPr="003A6E5A" w:rsidRDefault="0003217D" w:rsidP="002007A0">
            <w:pPr>
              <w:spacing w:after="0" w:line="240" w:lineRule="auto"/>
              <w:jc w:val="center"/>
              <w:rPr>
                <w:rFonts w:ascii="Times New Roman" w:hAnsi="Times New Roman" w:cs="Times New Roman"/>
                <w:sz w:val="20"/>
                <w:szCs w:val="20"/>
              </w:rPr>
            </w:pPr>
          </w:p>
        </w:tc>
      </w:tr>
      <w:tr w:rsidR="00B02CF8" w:rsidRPr="003A6E5A" w14:paraId="5FC1AA4D" w14:textId="77777777" w:rsidTr="002007A0">
        <w:tc>
          <w:tcPr>
            <w:tcW w:w="1914" w:type="dxa"/>
            <w:vAlign w:val="center"/>
          </w:tcPr>
          <w:p w14:paraId="3958FDCA" w14:textId="77777777" w:rsidR="0003217D" w:rsidRPr="003A6E5A" w:rsidRDefault="00FC275D" w:rsidP="002007A0">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lang w:val="kk-KZ"/>
              </w:rPr>
              <w:t>Численность студентов</w:t>
            </w:r>
          </w:p>
        </w:tc>
        <w:tc>
          <w:tcPr>
            <w:tcW w:w="1914" w:type="dxa"/>
            <w:vAlign w:val="center"/>
          </w:tcPr>
          <w:p w14:paraId="260CF09F"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5977CD1E"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-0,1332487</w:t>
            </w:r>
            <w:r w:rsidRPr="003A6E5A">
              <w:rPr>
                <w:rFonts w:ascii="Times New Roman" w:hAnsi="Times New Roman" w:cs="Times New Roman"/>
                <w:sz w:val="20"/>
                <w:szCs w:val="20"/>
                <w:vertAlign w:val="superscript"/>
              </w:rPr>
              <w:t>**</w:t>
            </w:r>
          </w:p>
          <w:p w14:paraId="6404CB11"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(0,066791)</w:t>
            </w:r>
          </w:p>
        </w:tc>
        <w:tc>
          <w:tcPr>
            <w:tcW w:w="1914" w:type="dxa"/>
            <w:vAlign w:val="center"/>
          </w:tcPr>
          <w:p w14:paraId="26EF3CD8"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0,3091396</w:t>
            </w:r>
            <w:r w:rsidRPr="003A6E5A">
              <w:rPr>
                <w:rFonts w:ascii="Times New Roman" w:hAnsi="Times New Roman" w:cs="Times New Roman"/>
                <w:sz w:val="20"/>
                <w:szCs w:val="20"/>
                <w:vertAlign w:val="superscript"/>
              </w:rPr>
              <w:t>**</w:t>
            </w:r>
          </w:p>
          <w:p w14:paraId="42FDF300"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(0,1351447)</w:t>
            </w:r>
          </w:p>
        </w:tc>
        <w:tc>
          <w:tcPr>
            <w:tcW w:w="1915" w:type="dxa"/>
            <w:vAlign w:val="center"/>
          </w:tcPr>
          <w:p w14:paraId="23601A3F"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0,2146826</w:t>
            </w:r>
            <w:r w:rsidRPr="003A6E5A">
              <w:rPr>
                <w:rFonts w:ascii="Times New Roman" w:hAnsi="Times New Roman" w:cs="Times New Roman"/>
                <w:sz w:val="20"/>
                <w:szCs w:val="20"/>
                <w:vertAlign w:val="superscript"/>
              </w:rPr>
              <w:t>**</w:t>
            </w:r>
          </w:p>
          <w:p w14:paraId="38DBB529"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(0,1019317)</w:t>
            </w:r>
          </w:p>
        </w:tc>
      </w:tr>
      <w:tr w:rsidR="00B02CF8" w:rsidRPr="003A6E5A" w14:paraId="3E5C8D65" w14:textId="77777777" w:rsidTr="002007A0">
        <w:tc>
          <w:tcPr>
            <w:tcW w:w="1914" w:type="dxa"/>
            <w:vAlign w:val="center"/>
          </w:tcPr>
          <w:p w14:paraId="23AF45F5" w14:textId="77777777" w:rsidR="0003217D" w:rsidRPr="003A6E5A" w:rsidRDefault="00FC275D" w:rsidP="002007A0">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Константа</w:t>
            </w:r>
          </w:p>
        </w:tc>
        <w:tc>
          <w:tcPr>
            <w:tcW w:w="1914" w:type="dxa"/>
            <w:vAlign w:val="center"/>
          </w:tcPr>
          <w:p w14:paraId="161B96C2"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-0,048575</w:t>
            </w:r>
            <w:r w:rsidRPr="003A6E5A">
              <w:rPr>
                <w:rFonts w:ascii="Times New Roman" w:hAnsi="Times New Roman" w:cs="Times New Roman"/>
                <w:i/>
                <w:iCs/>
                <w:sz w:val="20"/>
                <w:szCs w:val="20"/>
                <w:vertAlign w:val="superscript"/>
                <w:lang w:val="en-US"/>
              </w:rPr>
              <w:t>*</w:t>
            </w:r>
          </w:p>
          <w:p w14:paraId="3B734048"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(0,8112397)</w:t>
            </w:r>
          </w:p>
        </w:tc>
        <w:tc>
          <w:tcPr>
            <w:tcW w:w="1914" w:type="dxa"/>
            <w:vAlign w:val="center"/>
          </w:tcPr>
          <w:p w14:paraId="4F75DFA6" w14:textId="77777777" w:rsidR="0003217D" w:rsidRPr="003A6E5A" w:rsidRDefault="0003217D" w:rsidP="002007A0">
            <w:pPr>
              <w:spacing w:after="0" w:line="240" w:lineRule="auto"/>
              <w:jc w:val="center"/>
              <w:rPr>
                <w:rFonts w:ascii="Times New Roman" w:hAnsi="Times New Roman" w:cs="Times New Roman"/>
                <w:sz w:val="20"/>
                <w:szCs w:val="20"/>
              </w:rPr>
            </w:pPr>
          </w:p>
        </w:tc>
        <w:tc>
          <w:tcPr>
            <w:tcW w:w="1914" w:type="dxa"/>
            <w:vAlign w:val="center"/>
          </w:tcPr>
          <w:p w14:paraId="7811C6CE"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8</w:t>
            </w:r>
            <w:r w:rsidRPr="003A6E5A">
              <w:rPr>
                <w:rFonts w:ascii="Times New Roman" w:hAnsi="Times New Roman" w:cs="Times New Roman"/>
                <w:sz w:val="20"/>
                <w:szCs w:val="20"/>
              </w:rPr>
              <w:t>,</w:t>
            </w:r>
            <w:r w:rsidRPr="003A6E5A">
              <w:rPr>
                <w:rFonts w:ascii="Times New Roman" w:hAnsi="Times New Roman" w:cs="Times New Roman"/>
                <w:sz w:val="20"/>
                <w:szCs w:val="20"/>
                <w:lang w:val="kk-KZ"/>
              </w:rPr>
              <w:t>7</w:t>
            </w:r>
            <w:r w:rsidRPr="003A6E5A">
              <w:rPr>
                <w:rFonts w:ascii="Times New Roman" w:hAnsi="Times New Roman" w:cs="Times New Roman"/>
                <w:sz w:val="20"/>
                <w:szCs w:val="20"/>
              </w:rPr>
              <w:t>2</w:t>
            </w:r>
            <w:r w:rsidRPr="003A6E5A">
              <w:rPr>
                <w:rFonts w:ascii="Times New Roman" w:hAnsi="Times New Roman" w:cs="Times New Roman"/>
                <w:sz w:val="20"/>
                <w:szCs w:val="20"/>
                <w:lang w:val="kk-KZ"/>
              </w:rPr>
              <w:t>7547</w:t>
            </w:r>
            <w:r w:rsidRPr="003A6E5A">
              <w:rPr>
                <w:rFonts w:ascii="Times New Roman" w:hAnsi="Times New Roman" w:cs="Times New Roman"/>
                <w:i/>
                <w:iCs/>
                <w:sz w:val="20"/>
                <w:szCs w:val="20"/>
                <w:vertAlign w:val="superscript"/>
                <w:lang w:val="en-US"/>
              </w:rPr>
              <w:t>***</w:t>
            </w:r>
          </w:p>
          <w:p w14:paraId="5D04D56E"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r w:rsidRPr="003A6E5A">
              <w:rPr>
                <w:rFonts w:ascii="Times New Roman" w:hAnsi="Times New Roman" w:cs="Times New Roman"/>
                <w:sz w:val="20"/>
                <w:szCs w:val="20"/>
                <w:lang w:val="kk-KZ"/>
              </w:rPr>
              <w:t>1,332373</w:t>
            </w:r>
            <w:r w:rsidRPr="003A6E5A">
              <w:rPr>
                <w:rFonts w:ascii="Times New Roman" w:hAnsi="Times New Roman" w:cs="Times New Roman"/>
                <w:sz w:val="20"/>
                <w:szCs w:val="20"/>
              </w:rPr>
              <w:t>)</w:t>
            </w:r>
          </w:p>
        </w:tc>
        <w:tc>
          <w:tcPr>
            <w:tcW w:w="1915" w:type="dxa"/>
            <w:vAlign w:val="center"/>
          </w:tcPr>
          <w:p w14:paraId="1D7CBBE6"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9,613203</w:t>
            </w:r>
            <w:r w:rsidRPr="003A6E5A">
              <w:rPr>
                <w:rFonts w:ascii="Times New Roman" w:hAnsi="Times New Roman" w:cs="Times New Roman"/>
                <w:i/>
                <w:iCs/>
                <w:sz w:val="20"/>
                <w:szCs w:val="20"/>
                <w:vertAlign w:val="superscript"/>
                <w:lang w:val="en-US"/>
              </w:rPr>
              <w:t>***</w:t>
            </w:r>
          </w:p>
          <w:p w14:paraId="55411F59"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(0,9944013)</w:t>
            </w:r>
          </w:p>
        </w:tc>
      </w:tr>
      <w:tr w:rsidR="00B02CF8" w:rsidRPr="003A6E5A" w14:paraId="0FF50DCF" w14:textId="77777777" w:rsidTr="002007A0">
        <w:tc>
          <w:tcPr>
            <w:tcW w:w="1914" w:type="dxa"/>
            <w:vAlign w:val="center"/>
          </w:tcPr>
          <w:p w14:paraId="7FA94363" w14:textId="77777777" w:rsidR="0003217D" w:rsidRPr="003A6E5A" w:rsidRDefault="00790CB1" w:rsidP="002007A0">
            <w:pPr>
              <w:spacing w:after="0" w:line="240" w:lineRule="auto"/>
              <w:jc w:val="center"/>
              <w:rPr>
                <w:rFonts w:ascii="Times New Roman" w:hAnsi="Times New Roman" w:cs="Times New Roman"/>
                <w:sz w:val="20"/>
                <w:szCs w:val="20"/>
              </w:rPr>
            </w:pPr>
            <m:oMathPara>
              <m:oMath>
                <m:sSup>
                  <m:sSupPr>
                    <m:ctrlPr>
                      <w:rPr>
                        <w:rFonts w:ascii="Cambria Math" w:hAnsi="Cambria Math" w:cs="Times New Roman"/>
                        <w:bCs/>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1914" w:type="dxa"/>
            <w:vAlign w:val="center"/>
          </w:tcPr>
          <w:p w14:paraId="1B8B3C28"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0,6566</w:t>
            </w:r>
          </w:p>
        </w:tc>
        <w:tc>
          <w:tcPr>
            <w:tcW w:w="1914" w:type="dxa"/>
            <w:vAlign w:val="center"/>
          </w:tcPr>
          <w:p w14:paraId="478F8281"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0,6708</w:t>
            </w:r>
          </w:p>
        </w:tc>
        <w:tc>
          <w:tcPr>
            <w:tcW w:w="1914" w:type="dxa"/>
            <w:vAlign w:val="center"/>
          </w:tcPr>
          <w:p w14:paraId="678E5CA3"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0,3642</w:t>
            </w:r>
            <w:r w:rsidRPr="003A6E5A">
              <w:rPr>
                <w:rFonts w:ascii="Times New Roman" w:hAnsi="Times New Roman" w:cs="Times New Roman"/>
                <w:i/>
                <w:iCs/>
                <w:sz w:val="20"/>
                <w:szCs w:val="20"/>
                <w:vertAlign w:val="superscript"/>
                <w:lang w:val="en-US"/>
              </w:rPr>
              <w:t>**</w:t>
            </w:r>
          </w:p>
        </w:tc>
        <w:tc>
          <w:tcPr>
            <w:tcW w:w="1915" w:type="dxa"/>
            <w:vAlign w:val="center"/>
          </w:tcPr>
          <w:p w14:paraId="5B84C7E2"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0,2</w:t>
            </w:r>
            <w:r w:rsidRPr="003A6E5A">
              <w:rPr>
                <w:rFonts w:ascii="Times New Roman" w:hAnsi="Times New Roman" w:cs="Times New Roman"/>
                <w:sz w:val="20"/>
                <w:szCs w:val="20"/>
                <w:lang w:val="kk-KZ"/>
              </w:rPr>
              <w:t>160</w:t>
            </w:r>
          </w:p>
        </w:tc>
      </w:tr>
      <w:tr w:rsidR="00B02CF8" w:rsidRPr="003A6E5A" w14:paraId="1719F841" w14:textId="77777777" w:rsidTr="002007A0">
        <w:trPr>
          <w:trHeight w:val="90"/>
        </w:trPr>
        <w:tc>
          <w:tcPr>
            <w:tcW w:w="1914" w:type="dxa"/>
            <w:vAlign w:val="center"/>
          </w:tcPr>
          <w:p w14:paraId="471F7678" w14:textId="77777777" w:rsidR="0003217D" w:rsidRPr="003A6E5A" w:rsidRDefault="00FC275D" w:rsidP="002007A0">
            <w:pPr>
              <w:spacing w:after="0" w:line="240" w:lineRule="auto"/>
              <w:jc w:val="center"/>
              <w:rPr>
                <w:rFonts w:ascii="Cambria Math" w:hAnsi="Cambria Math" w:cs="Times New Roman"/>
                <w:sz w:val="20"/>
                <w:szCs w:val="20"/>
                <w:oMath/>
              </w:rPr>
            </w:pPr>
            <w:r w:rsidRPr="003A6E5A">
              <w:rPr>
                <w:rFonts w:ascii="Times New Roman" w:hAnsi="Times New Roman" w:cs="Times New Roman"/>
                <w:bCs/>
                <w:i/>
                <w:sz w:val="20"/>
                <w:szCs w:val="20"/>
              </w:rPr>
              <w:t>AIC</w:t>
            </w:r>
          </w:p>
        </w:tc>
        <w:tc>
          <w:tcPr>
            <w:tcW w:w="1914" w:type="dxa"/>
            <w:vAlign w:val="center"/>
          </w:tcPr>
          <w:p w14:paraId="1D10C33F" w14:textId="2DD4F244" w:rsidR="0003217D" w:rsidRPr="003A6E5A" w:rsidRDefault="002007A0"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en-US"/>
              </w:rPr>
              <w:t>–</w:t>
            </w:r>
          </w:p>
        </w:tc>
        <w:tc>
          <w:tcPr>
            <w:tcW w:w="1914" w:type="dxa"/>
            <w:vAlign w:val="center"/>
          </w:tcPr>
          <w:p w14:paraId="271EFFB6"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122,0995</w:t>
            </w:r>
          </w:p>
        </w:tc>
        <w:tc>
          <w:tcPr>
            <w:tcW w:w="1914" w:type="dxa"/>
            <w:vAlign w:val="center"/>
          </w:tcPr>
          <w:p w14:paraId="6B44A8F4"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-35,62008</w:t>
            </w:r>
          </w:p>
        </w:tc>
        <w:tc>
          <w:tcPr>
            <w:tcW w:w="1915" w:type="dxa"/>
            <w:vAlign w:val="center"/>
          </w:tcPr>
          <w:p w14:paraId="44128F8D" w14:textId="707175B9" w:rsidR="0003217D" w:rsidRPr="003A6E5A" w:rsidRDefault="002007A0" w:rsidP="002007A0">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w:t>
            </w:r>
          </w:p>
        </w:tc>
      </w:tr>
      <w:tr w:rsidR="00B02CF8" w:rsidRPr="003A6E5A" w14:paraId="501E5CD0" w14:textId="77777777" w:rsidTr="002007A0">
        <w:tc>
          <w:tcPr>
            <w:tcW w:w="1914" w:type="dxa"/>
            <w:vAlign w:val="center"/>
          </w:tcPr>
          <w:p w14:paraId="5A559BE5" w14:textId="77777777" w:rsidR="0003217D" w:rsidRPr="003A6E5A" w:rsidRDefault="00FC275D" w:rsidP="002007A0">
            <w:pPr>
              <w:spacing w:after="0" w:line="240" w:lineRule="auto"/>
              <w:jc w:val="center"/>
              <w:rPr>
                <w:rFonts w:ascii="Cambria Math" w:hAnsi="Cambria Math" w:cs="Times New Roman"/>
                <w:sz w:val="20"/>
                <w:szCs w:val="20"/>
                <w:lang w:val="en-US"/>
                <w:oMath/>
              </w:rPr>
            </w:pPr>
            <w:r w:rsidRPr="003A6E5A">
              <w:rPr>
                <w:rFonts w:ascii="Times New Roman" w:hAnsi="Times New Roman" w:cs="Times New Roman"/>
                <w:bCs/>
                <w:i/>
                <w:sz w:val="20"/>
                <w:szCs w:val="20"/>
                <w:lang w:val="en-US"/>
              </w:rPr>
              <w:t>BIC</w:t>
            </w:r>
          </w:p>
        </w:tc>
        <w:tc>
          <w:tcPr>
            <w:tcW w:w="1914" w:type="dxa"/>
            <w:vAlign w:val="center"/>
          </w:tcPr>
          <w:p w14:paraId="214A8892" w14:textId="5D5EED0C" w:rsidR="0003217D" w:rsidRPr="003A6E5A" w:rsidRDefault="002007A0"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en-US"/>
              </w:rPr>
              <w:t>–</w:t>
            </w:r>
          </w:p>
        </w:tc>
        <w:tc>
          <w:tcPr>
            <w:tcW w:w="1914" w:type="dxa"/>
            <w:vAlign w:val="center"/>
          </w:tcPr>
          <w:p w14:paraId="4365FD7D" w14:textId="77777777" w:rsidR="0003217D" w:rsidRPr="003A6E5A" w:rsidRDefault="00FC275D"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134,400</w:t>
            </w:r>
          </w:p>
        </w:tc>
        <w:tc>
          <w:tcPr>
            <w:tcW w:w="1914" w:type="dxa"/>
            <w:vAlign w:val="center"/>
          </w:tcPr>
          <w:p w14:paraId="3ABA83F2" w14:textId="77777777" w:rsidR="0003217D" w:rsidRPr="003A6E5A" w:rsidRDefault="00FC275D" w:rsidP="002007A0">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-26,39456</w:t>
            </w:r>
          </w:p>
        </w:tc>
        <w:tc>
          <w:tcPr>
            <w:tcW w:w="1915" w:type="dxa"/>
            <w:vAlign w:val="center"/>
          </w:tcPr>
          <w:p w14:paraId="2064A518" w14:textId="1DB8D71A" w:rsidR="0003217D" w:rsidRPr="003A6E5A" w:rsidRDefault="002007A0" w:rsidP="002007A0">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en-US"/>
              </w:rPr>
              <w:t>–</w:t>
            </w:r>
          </w:p>
        </w:tc>
      </w:tr>
    </w:tbl>
    <w:p w14:paraId="3805EA6A" w14:textId="77777777" w:rsidR="000B4A00" w:rsidRPr="003A6E5A" w:rsidRDefault="000B4A00" w:rsidP="000B4A00">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55FEB5CE" w14:textId="14605B3C" w:rsidR="000B4A00" w:rsidRPr="003A6E5A" w:rsidRDefault="004C4949" w:rsidP="000B4A00">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p w14:paraId="3E95B325" w14:textId="77777777" w:rsidR="0003217D" w:rsidRPr="003A6E5A" w:rsidRDefault="0003217D" w:rsidP="000B4A00">
      <w:pPr>
        <w:spacing w:after="0" w:line="240" w:lineRule="auto"/>
        <w:rPr>
          <w:rFonts w:ascii="Times New Roman" w:hAnsi="Times New Roman" w:cs="Times New Roman"/>
          <w:sz w:val="28"/>
          <w:szCs w:val="28"/>
        </w:rPr>
      </w:pPr>
    </w:p>
    <w:p w14:paraId="10066863" w14:textId="2D42F640"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kk-KZ"/>
        </w:rPr>
        <w:t xml:space="preserve">Таблица </w:t>
      </w:r>
      <w:r w:rsidR="003D43A8" w:rsidRPr="003A6E5A">
        <w:rPr>
          <w:rFonts w:ascii="Times New Roman" w:hAnsi="Times New Roman" w:cs="Times New Roman"/>
          <w:sz w:val="28"/>
          <w:szCs w:val="28"/>
          <w:lang w:val="kk-KZ"/>
        </w:rPr>
        <w:t>1</w:t>
      </w:r>
      <w:r w:rsidR="00DA42F3" w:rsidRPr="003A6E5A">
        <w:rPr>
          <w:rFonts w:ascii="Times New Roman" w:hAnsi="Times New Roman" w:cs="Times New Roman"/>
          <w:sz w:val="28"/>
          <w:szCs w:val="28"/>
          <w:lang w:val="kk-KZ"/>
        </w:rPr>
        <w:t>2</w:t>
      </w:r>
      <w:r w:rsidRPr="003A6E5A">
        <w:rPr>
          <w:rFonts w:ascii="Times New Roman" w:hAnsi="Times New Roman" w:cs="Times New Roman"/>
          <w:sz w:val="28"/>
          <w:szCs w:val="28"/>
          <w:lang w:val="kk-KZ"/>
        </w:rPr>
        <w:t>. Р</w:t>
      </w:r>
      <w:r w:rsidRPr="003A6E5A">
        <w:rPr>
          <w:rFonts w:ascii="Times New Roman" w:hAnsi="Times New Roman" w:cs="Times New Roman"/>
          <w:sz w:val="28"/>
          <w:szCs w:val="28"/>
        </w:rPr>
        <w:t>асчеты статистики Хаусмана</w:t>
      </w:r>
    </w:p>
    <w:tbl>
      <w:tblPr>
        <w:tblStyle w:val="ac"/>
        <w:tblW w:w="0" w:type="auto"/>
        <w:tblLook w:val="04A0" w:firstRow="1" w:lastRow="0" w:firstColumn="1" w:lastColumn="0" w:noHBand="0" w:noVBand="1"/>
      </w:tblPr>
      <w:tblGrid>
        <w:gridCol w:w="1914"/>
        <w:gridCol w:w="1914"/>
        <w:gridCol w:w="1914"/>
        <w:gridCol w:w="1914"/>
        <w:gridCol w:w="1915"/>
      </w:tblGrid>
      <w:tr w:rsidR="00B02CF8" w:rsidRPr="003A6E5A" w14:paraId="6DFE6B1C" w14:textId="77777777" w:rsidTr="0001340E">
        <w:tc>
          <w:tcPr>
            <w:tcW w:w="1914" w:type="dxa"/>
            <w:vAlign w:val="center"/>
          </w:tcPr>
          <w:p w14:paraId="60DF5E8D" w14:textId="77777777" w:rsidR="0003217D" w:rsidRPr="003A6E5A" w:rsidRDefault="0003217D" w:rsidP="00620A1B">
            <w:pPr>
              <w:spacing w:after="0" w:line="240" w:lineRule="auto"/>
              <w:jc w:val="center"/>
              <w:rPr>
                <w:rFonts w:ascii="Times New Roman" w:hAnsi="Times New Roman" w:cs="Times New Roman"/>
                <w:sz w:val="20"/>
                <w:szCs w:val="20"/>
                <w:lang w:val="kk-KZ"/>
              </w:rPr>
            </w:pPr>
          </w:p>
        </w:tc>
        <w:tc>
          <w:tcPr>
            <w:tcW w:w="1914" w:type="dxa"/>
          </w:tcPr>
          <w:p w14:paraId="743B3716" w14:textId="77777777" w:rsidR="0003217D" w:rsidRPr="003A6E5A" w:rsidRDefault="00FC275D" w:rsidP="0001340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Коэффицент модели с фиксированными эффектами</w:t>
            </w:r>
          </w:p>
          <w:p w14:paraId="1EBD4E77" w14:textId="77777777" w:rsidR="0003217D" w:rsidRPr="003A6E5A" w:rsidRDefault="00FC275D" w:rsidP="0001340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r w:rsidRPr="003A6E5A">
              <w:rPr>
                <w:rFonts w:ascii="Times New Roman" w:hAnsi="Times New Roman" w:cs="Times New Roman"/>
                <w:sz w:val="20"/>
                <w:szCs w:val="20"/>
                <w:lang w:val="en-US"/>
              </w:rPr>
              <w:t>b</w:t>
            </w:r>
            <w:r w:rsidRPr="003A6E5A">
              <w:rPr>
                <w:rFonts w:ascii="Times New Roman" w:hAnsi="Times New Roman" w:cs="Times New Roman"/>
                <w:sz w:val="20"/>
                <w:szCs w:val="20"/>
              </w:rPr>
              <w:t>)</w:t>
            </w:r>
          </w:p>
        </w:tc>
        <w:tc>
          <w:tcPr>
            <w:tcW w:w="1914" w:type="dxa"/>
          </w:tcPr>
          <w:p w14:paraId="5F77EE4A" w14:textId="77777777" w:rsidR="0003217D" w:rsidRPr="003A6E5A" w:rsidRDefault="00FC275D" w:rsidP="0001340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Коэффицент модели со случайными эффектами</w:t>
            </w:r>
          </w:p>
          <w:p w14:paraId="16FD7C87" w14:textId="77777777" w:rsidR="0003217D" w:rsidRPr="003A6E5A" w:rsidRDefault="00FC275D" w:rsidP="0001340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r w:rsidRPr="003A6E5A">
              <w:rPr>
                <w:rFonts w:ascii="Times New Roman" w:hAnsi="Times New Roman" w:cs="Times New Roman"/>
                <w:sz w:val="20"/>
                <w:szCs w:val="20"/>
                <w:lang w:val="en-US"/>
              </w:rPr>
              <w:t>B</w:t>
            </w:r>
            <w:r w:rsidRPr="003A6E5A">
              <w:rPr>
                <w:rFonts w:ascii="Times New Roman" w:hAnsi="Times New Roman" w:cs="Times New Roman"/>
                <w:sz w:val="20"/>
                <w:szCs w:val="20"/>
              </w:rPr>
              <w:t>)</w:t>
            </w:r>
          </w:p>
        </w:tc>
        <w:tc>
          <w:tcPr>
            <w:tcW w:w="1914" w:type="dxa"/>
          </w:tcPr>
          <w:p w14:paraId="159F133F" w14:textId="77777777" w:rsidR="0003217D" w:rsidRPr="003A6E5A" w:rsidRDefault="00FC275D" w:rsidP="0001340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Разность</w:t>
            </w:r>
          </w:p>
          <w:p w14:paraId="12B22750" w14:textId="77777777" w:rsidR="0003217D" w:rsidRPr="003A6E5A" w:rsidRDefault="00FC275D" w:rsidP="0001340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r w:rsidRPr="003A6E5A">
              <w:rPr>
                <w:rFonts w:ascii="Times New Roman" w:hAnsi="Times New Roman" w:cs="Times New Roman"/>
                <w:sz w:val="20"/>
                <w:szCs w:val="20"/>
                <w:lang w:val="en-US"/>
              </w:rPr>
              <w:t>b-B</w:t>
            </w:r>
            <w:r w:rsidRPr="003A6E5A">
              <w:rPr>
                <w:rFonts w:ascii="Times New Roman" w:hAnsi="Times New Roman" w:cs="Times New Roman"/>
                <w:sz w:val="20"/>
                <w:szCs w:val="20"/>
              </w:rPr>
              <w:t>)</w:t>
            </w:r>
          </w:p>
        </w:tc>
        <w:tc>
          <w:tcPr>
            <w:tcW w:w="1915" w:type="dxa"/>
          </w:tcPr>
          <w:p w14:paraId="579AF038" w14:textId="5E7400D1" w:rsidR="0003217D" w:rsidRPr="003A6E5A" w:rsidRDefault="00FC275D" w:rsidP="0001340E">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Кватратный корень</w:t>
            </w:r>
          </w:p>
        </w:tc>
      </w:tr>
      <w:tr w:rsidR="00B02CF8" w:rsidRPr="003A6E5A" w14:paraId="27A2D829" w14:textId="77777777" w:rsidTr="0001340E">
        <w:tc>
          <w:tcPr>
            <w:tcW w:w="1914" w:type="dxa"/>
            <w:vAlign w:val="center"/>
          </w:tcPr>
          <w:p w14:paraId="545FF80C" w14:textId="77777777" w:rsidR="0003217D" w:rsidRPr="003A6E5A" w:rsidRDefault="00FC275D" w:rsidP="0001340E">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rPr>
              <w:t>Внутренние затраты на НИОКР</w:t>
            </w:r>
          </w:p>
        </w:tc>
        <w:tc>
          <w:tcPr>
            <w:tcW w:w="1914" w:type="dxa"/>
            <w:vAlign w:val="center"/>
          </w:tcPr>
          <w:p w14:paraId="00BBCD57" w14:textId="77777777" w:rsidR="0003217D" w:rsidRPr="003A6E5A" w:rsidRDefault="00FC275D" w:rsidP="00620A1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0,1234242</w:t>
            </w:r>
          </w:p>
        </w:tc>
        <w:tc>
          <w:tcPr>
            <w:tcW w:w="1914" w:type="dxa"/>
            <w:vAlign w:val="center"/>
          </w:tcPr>
          <w:p w14:paraId="3FC12213"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0,1313544</w:t>
            </w:r>
          </w:p>
        </w:tc>
        <w:tc>
          <w:tcPr>
            <w:tcW w:w="1914" w:type="dxa"/>
            <w:vAlign w:val="center"/>
          </w:tcPr>
          <w:p w14:paraId="6F4517D4"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-0,0079301</w:t>
            </w:r>
          </w:p>
        </w:tc>
        <w:tc>
          <w:tcPr>
            <w:tcW w:w="1915" w:type="dxa"/>
            <w:vAlign w:val="center"/>
          </w:tcPr>
          <w:p w14:paraId="48B01F05"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0,0124752</w:t>
            </w:r>
          </w:p>
        </w:tc>
      </w:tr>
      <w:tr w:rsidR="00B02CF8" w:rsidRPr="003A6E5A" w14:paraId="086E0B63" w14:textId="77777777" w:rsidTr="0001340E">
        <w:tc>
          <w:tcPr>
            <w:tcW w:w="1914" w:type="dxa"/>
            <w:vAlign w:val="center"/>
          </w:tcPr>
          <w:p w14:paraId="2D4B7277" w14:textId="77777777" w:rsidR="0003217D" w:rsidRPr="003A6E5A" w:rsidRDefault="00FC275D" w:rsidP="0001340E">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lang w:val="kk-KZ"/>
              </w:rPr>
              <w:t>Чис</w:t>
            </w:r>
            <w:r w:rsidRPr="003A6E5A">
              <w:rPr>
                <w:rFonts w:ascii="Times New Roman" w:hAnsi="Times New Roman" w:cs="Times New Roman"/>
                <w:sz w:val="20"/>
                <w:szCs w:val="20"/>
              </w:rPr>
              <w:t>ленность</w:t>
            </w:r>
            <w:r w:rsidRPr="003A6E5A">
              <w:rPr>
                <w:rFonts w:ascii="Times New Roman" w:hAnsi="Times New Roman" w:cs="Times New Roman"/>
                <w:sz w:val="20"/>
                <w:szCs w:val="20"/>
                <w:lang w:val="kk-KZ"/>
              </w:rPr>
              <w:t xml:space="preserve"> студентов</w:t>
            </w:r>
          </w:p>
        </w:tc>
        <w:tc>
          <w:tcPr>
            <w:tcW w:w="1914" w:type="dxa"/>
            <w:vAlign w:val="center"/>
          </w:tcPr>
          <w:p w14:paraId="42730357"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0,3091396</w:t>
            </w:r>
          </w:p>
        </w:tc>
        <w:tc>
          <w:tcPr>
            <w:tcW w:w="1914" w:type="dxa"/>
            <w:vAlign w:val="center"/>
          </w:tcPr>
          <w:p w14:paraId="5153FEB7"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0,2146826</w:t>
            </w:r>
          </w:p>
        </w:tc>
        <w:tc>
          <w:tcPr>
            <w:tcW w:w="1914" w:type="dxa"/>
            <w:vAlign w:val="center"/>
          </w:tcPr>
          <w:p w14:paraId="1E5F91B7"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0,094457</w:t>
            </w:r>
          </w:p>
        </w:tc>
        <w:tc>
          <w:tcPr>
            <w:tcW w:w="1915" w:type="dxa"/>
            <w:vAlign w:val="center"/>
          </w:tcPr>
          <w:p w14:paraId="5365EE26" w14:textId="77777777" w:rsidR="0003217D" w:rsidRPr="003A6E5A" w:rsidRDefault="00FC275D" w:rsidP="00620A1B">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0,0885006</w:t>
            </w:r>
          </w:p>
        </w:tc>
      </w:tr>
      <w:tr w:rsidR="00B02CF8" w:rsidRPr="003A6E5A" w14:paraId="729949FC" w14:textId="77777777" w:rsidTr="00620A1B">
        <w:tc>
          <w:tcPr>
            <w:tcW w:w="9571" w:type="dxa"/>
            <w:gridSpan w:val="5"/>
            <w:vAlign w:val="center"/>
          </w:tcPr>
          <w:p w14:paraId="00B797CE" w14:textId="1ABAA13D" w:rsidR="0003217D" w:rsidRPr="003A6E5A" w:rsidRDefault="00FC275D" w:rsidP="00620A1B">
            <w:pPr>
              <w:pStyle w:val="aa"/>
              <w:spacing w:beforeAutospacing="0" w:after="0" w:afterAutospacing="0" w:line="240" w:lineRule="auto"/>
              <w:jc w:val="left"/>
              <w:rPr>
                <w:sz w:val="20"/>
                <w:szCs w:val="20"/>
                <w:lang w:val="ru-RU"/>
              </w:rPr>
            </w:pPr>
            <w:r w:rsidRPr="003A6E5A">
              <w:rPr>
                <w:rStyle w:val="ab"/>
                <w:b w:val="0"/>
                <w:bCs w:val="0"/>
                <w:sz w:val="20"/>
                <w:szCs w:val="20"/>
              </w:rPr>
              <w:t>b</w:t>
            </w:r>
            <w:r w:rsidRPr="003A6E5A">
              <w:rPr>
                <w:sz w:val="20"/>
                <w:szCs w:val="20"/>
                <w:lang w:val="ru-RU"/>
              </w:rPr>
              <w:t xml:space="preserve"> </w:t>
            </w:r>
            <w:r w:rsidRPr="003A6E5A">
              <w:rPr>
                <w:sz w:val="20"/>
                <w:szCs w:val="20"/>
                <w:lang w:val="ru-RU" w:bidi="ar"/>
              </w:rPr>
              <w:t>−</w:t>
            </w:r>
            <w:r w:rsidRPr="003A6E5A">
              <w:rPr>
                <w:sz w:val="20"/>
                <w:szCs w:val="20"/>
                <w:lang w:val="ru-RU"/>
              </w:rPr>
              <w:t xml:space="preserve"> является состоятельной оценкой как при нулевой гипотезе (</w:t>
            </w:r>
            <m:oMath>
              <m:sSub>
                <m:sSubPr>
                  <m:ctrlPr>
                    <w:rPr>
                      <w:rFonts w:ascii="Cambria Math" w:hAnsi="Cambria Math"/>
                      <w:i/>
                      <w:sz w:val="20"/>
                      <w:szCs w:val="20"/>
                      <w:lang w:val="ru-RU"/>
                    </w:rPr>
                  </m:ctrlPr>
                </m:sSubPr>
                <m:e>
                  <m:r>
                    <w:rPr>
                      <w:rFonts w:ascii="Cambria Math" w:hAnsi="Cambria Math"/>
                      <w:sz w:val="20"/>
                      <w:szCs w:val="20"/>
                    </w:rPr>
                    <m:t>H</m:t>
                  </m:r>
                </m:e>
                <m:sub>
                  <m:r>
                    <w:rPr>
                      <w:rFonts w:ascii="Cambria Math" w:hAnsi="Cambria Math"/>
                      <w:sz w:val="20"/>
                      <w:szCs w:val="20"/>
                      <w:lang w:val="ru-RU"/>
                    </w:rPr>
                    <m:t>0</m:t>
                  </m:r>
                </m:sub>
              </m:sSub>
            </m:oMath>
            <w:r w:rsidRPr="003A6E5A">
              <w:rPr>
                <w:sz w:val="20"/>
                <w:szCs w:val="20"/>
                <w:lang w:val="ru-RU"/>
              </w:rPr>
              <w:t>), так и при альтернативной гипотезе (</w:t>
            </w:r>
            <m:oMath>
              <m:sSub>
                <m:sSubPr>
                  <m:ctrlPr>
                    <w:rPr>
                      <w:rFonts w:ascii="Cambria Math" w:hAnsi="Cambria Math"/>
                      <w:i/>
                      <w:sz w:val="20"/>
                      <w:szCs w:val="20"/>
                      <w:lang w:val="ru-RU"/>
                    </w:rPr>
                  </m:ctrlPr>
                </m:sSubPr>
                <m:e>
                  <m:r>
                    <w:rPr>
                      <w:rFonts w:ascii="Cambria Math" w:hAnsi="Cambria Math"/>
                      <w:sz w:val="20"/>
                      <w:szCs w:val="20"/>
                    </w:rPr>
                    <m:t>H</m:t>
                  </m:r>
                </m:e>
                <m:sub>
                  <m:r>
                    <w:rPr>
                      <w:rFonts w:ascii="Cambria Math" w:hAnsi="Cambria Math"/>
                      <w:sz w:val="20"/>
                      <w:szCs w:val="20"/>
                      <w:lang w:val="ru-RU"/>
                    </w:rPr>
                    <m:t>A</m:t>
                  </m:r>
                </m:sub>
              </m:sSub>
            </m:oMath>
            <w:r w:rsidRPr="003A6E5A">
              <w:rPr>
                <w:sz w:val="20"/>
                <w:szCs w:val="20"/>
                <w:lang w:val="ru-RU"/>
              </w:rPr>
              <w:t xml:space="preserve">); получена с использованием модели </w:t>
            </w:r>
            <w:r w:rsidRPr="003A6E5A">
              <w:rPr>
                <w:rStyle w:val="ab"/>
                <w:b w:val="0"/>
                <w:bCs w:val="0"/>
                <w:sz w:val="20"/>
                <w:szCs w:val="20"/>
              </w:rPr>
              <w:t>xtreg</w:t>
            </w:r>
            <w:r w:rsidRPr="003A6E5A">
              <w:rPr>
                <w:sz w:val="20"/>
                <w:szCs w:val="20"/>
                <w:lang w:val="ru-RU"/>
              </w:rPr>
              <w:t>.</w:t>
            </w:r>
          </w:p>
          <w:p w14:paraId="1CEF3F9B" w14:textId="21FDD99D" w:rsidR="002007A0" w:rsidRPr="003A6E5A" w:rsidRDefault="00FC275D" w:rsidP="00620A1B">
            <w:pPr>
              <w:pStyle w:val="aa"/>
              <w:spacing w:beforeAutospacing="0" w:after="0" w:afterAutospacing="0" w:line="240" w:lineRule="auto"/>
              <w:jc w:val="left"/>
              <w:rPr>
                <w:sz w:val="20"/>
                <w:szCs w:val="20"/>
                <w:lang w:val="ru-RU"/>
              </w:rPr>
            </w:pPr>
            <w:r w:rsidRPr="003A6E5A">
              <w:rPr>
                <w:rStyle w:val="ab"/>
                <w:b w:val="0"/>
                <w:bCs w:val="0"/>
                <w:sz w:val="20"/>
                <w:szCs w:val="20"/>
              </w:rPr>
              <w:t>B</w:t>
            </w:r>
            <w:r w:rsidRPr="003A6E5A">
              <w:rPr>
                <w:sz w:val="20"/>
                <w:szCs w:val="20"/>
                <w:lang w:val="ru-RU"/>
              </w:rPr>
              <w:t xml:space="preserve"> </w:t>
            </w:r>
            <w:r w:rsidRPr="003A6E5A">
              <w:rPr>
                <w:sz w:val="20"/>
                <w:szCs w:val="20"/>
                <w:lang w:val="ru-RU" w:bidi="ar"/>
              </w:rPr>
              <w:t>−</w:t>
            </w:r>
            <w:r w:rsidRPr="003A6E5A">
              <w:rPr>
                <w:sz w:val="20"/>
                <w:szCs w:val="20"/>
                <w:lang w:val="ru-RU"/>
              </w:rPr>
              <w:t xml:space="preserve"> является несостоятельной оценкой при альтернативной гипотезе (</w:t>
            </w:r>
            <m:oMath>
              <m:sSub>
                <m:sSubPr>
                  <m:ctrlPr>
                    <w:rPr>
                      <w:rFonts w:ascii="Cambria Math" w:hAnsi="Cambria Math"/>
                      <w:i/>
                      <w:sz w:val="20"/>
                      <w:szCs w:val="20"/>
                      <w:lang w:val="ru-RU"/>
                    </w:rPr>
                  </m:ctrlPr>
                </m:sSubPr>
                <m:e>
                  <m:r>
                    <w:rPr>
                      <w:rFonts w:ascii="Cambria Math" w:hAnsi="Cambria Math"/>
                      <w:sz w:val="20"/>
                      <w:szCs w:val="20"/>
                    </w:rPr>
                    <m:t>H</m:t>
                  </m:r>
                </m:e>
                <m:sub>
                  <m:r>
                    <w:rPr>
                      <w:rFonts w:ascii="Cambria Math" w:hAnsi="Cambria Math"/>
                      <w:sz w:val="20"/>
                      <w:szCs w:val="20"/>
                      <w:lang w:val="ru-RU"/>
                    </w:rPr>
                    <m:t>A</m:t>
                  </m:r>
                </m:sub>
              </m:sSub>
            </m:oMath>
            <w:r w:rsidRPr="003A6E5A">
              <w:rPr>
                <w:sz w:val="20"/>
                <w:szCs w:val="20"/>
                <w:lang w:val="ru-RU"/>
              </w:rPr>
              <w:t>), но эффективной при нулевой гипотезе (</w:t>
            </w:r>
            <m:oMath>
              <m:sSub>
                <m:sSubPr>
                  <m:ctrlPr>
                    <w:rPr>
                      <w:rFonts w:ascii="Cambria Math" w:hAnsi="Cambria Math"/>
                      <w:i/>
                      <w:sz w:val="20"/>
                      <w:szCs w:val="20"/>
                      <w:lang w:val="ru-RU"/>
                    </w:rPr>
                  </m:ctrlPr>
                </m:sSubPr>
                <m:e>
                  <m:r>
                    <w:rPr>
                      <w:rFonts w:ascii="Cambria Math" w:hAnsi="Cambria Math"/>
                      <w:sz w:val="20"/>
                      <w:szCs w:val="20"/>
                    </w:rPr>
                    <m:t>H</m:t>
                  </m:r>
                </m:e>
                <m:sub>
                  <m:r>
                    <w:rPr>
                      <w:rFonts w:ascii="Cambria Math" w:hAnsi="Cambria Math"/>
                      <w:sz w:val="20"/>
                      <w:szCs w:val="20"/>
                      <w:lang w:val="ru-RU"/>
                    </w:rPr>
                    <m:t>0</m:t>
                  </m:r>
                </m:sub>
              </m:sSub>
            </m:oMath>
            <w:r w:rsidRPr="003A6E5A">
              <w:rPr>
                <w:sz w:val="20"/>
                <w:szCs w:val="20"/>
                <w:lang w:val="ru-RU"/>
              </w:rPr>
              <w:t xml:space="preserve">); также получена с использованием модели </w:t>
            </w:r>
            <w:r w:rsidRPr="003A6E5A">
              <w:rPr>
                <w:rStyle w:val="ab"/>
                <w:b w:val="0"/>
                <w:bCs w:val="0"/>
                <w:sz w:val="20"/>
                <w:szCs w:val="20"/>
              </w:rPr>
              <w:t>xtreg</w:t>
            </w:r>
            <w:r w:rsidRPr="003A6E5A">
              <w:rPr>
                <w:sz w:val="20"/>
                <w:szCs w:val="20"/>
                <w:lang w:val="ru-RU"/>
              </w:rPr>
              <w:t>.</w:t>
            </w:r>
          </w:p>
          <w:p w14:paraId="355BE62F" w14:textId="5230D2D0" w:rsidR="0003217D" w:rsidRPr="003A6E5A" w:rsidRDefault="00FC275D" w:rsidP="00620A1B">
            <w:pPr>
              <w:pStyle w:val="aa"/>
              <w:spacing w:beforeAutospacing="0" w:after="0" w:afterAutospacing="0" w:line="240" w:lineRule="auto"/>
              <w:jc w:val="left"/>
              <w:rPr>
                <w:sz w:val="20"/>
                <w:szCs w:val="20"/>
                <w:lang w:val="ru-RU"/>
              </w:rPr>
            </w:pPr>
            <w:r w:rsidRPr="003A6E5A">
              <w:rPr>
                <w:sz w:val="20"/>
                <w:szCs w:val="20"/>
                <w:lang w:val="ru-RU"/>
              </w:rPr>
              <w:t>Нулевая гипотеза (</w:t>
            </w:r>
            <m:oMath>
              <m:sSub>
                <m:sSubPr>
                  <m:ctrlPr>
                    <w:rPr>
                      <w:rFonts w:ascii="Cambria Math" w:hAnsi="Cambria Math"/>
                      <w:i/>
                      <w:sz w:val="20"/>
                      <w:szCs w:val="20"/>
                      <w:lang w:val="ru-RU"/>
                    </w:rPr>
                  </m:ctrlPr>
                </m:sSubPr>
                <m:e>
                  <m:r>
                    <w:rPr>
                      <w:rFonts w:ascii="Cambria Math" w:hAnsi="Cambria Math"/>
                      <w:sz w:val="20"/>
                      <w:szCs w:val="20"/>
                    </w:rPr>
                    <m:t>H</m:t>
                  </m:r>
                </m:e>
                <m:sub>
                  <m:r>
                    <w:rPr>
                      <w:rFonts w:ascii="Cambria Math" w:hAnsi="Cambria Math"/>
                      <w:sz w:val="20"/>
                      <w:szCs w:val="20"/>
                      <w:lang w:val="ru-RU"/>
                    </w:rPr>
                    <m:t>0</m:t>
                  </m:r>
                </m:sub>
              </m:sSub>
            </m:oMath>
            <w:r w:rsidRPr="003A6E5A">
              <w:rPr>
                <w:sz w:val="20"/>
                <w:szCs w:val="20"/>
                <w:lang w:val="ru-RU"/>
              </w:rPr>
              <w:t>): различия между коэффициентами не являются систематическими.</w:t>
            </w:r>
          </w:p>
          <w:p w14:paraId="219A72E1" w14:textId="77777777" w:rsidR="0003217D" w:rsidRPr="003A6E5A" w:rsidRDefault="00FC275D" w:rsidP="00620A1B">
            <w:pPr>
              <w:pStyle w:val="aa"/>
              <w:spacing w:beforeAutospacing="0" w:after="0" w:afterAutospacing="0" w:line="240" w:lineRule="auto"/>
              <w:jc w:val="left"/>
              <w:rPr>
                <w:sz w:val="20"/>
                <w:szCs w:val="20"/>
                <w:lang w:val="ru-RU"/>
              </w:rPr>
            </w:pPr>
            <w:r w:rsidRPr="003A6E5A">
              <w:rPr>
                <w:rStyle w:val="ab"/>
                <w:b w:val="0"/>
                <w:bCs w:val="0"/>
                <w:sz w:val="20"/>
                <w:szCs w:val="20"/>
                <w:lang w:val="ru-RU"/>
              </w:rPr>
              <w:t>Статистика теста Хаусмана</w:t>
            </w:r>
            <w:r w:rsidRPr="003A6E5A">
              <w:rPr>
                <w:sz w:val="20"/>
                <w:szCs w:val="20"/>
                <w:lang w:val="ru-RU"/>
              </w:rPr>
              <w:t>:</w:t>
            </w:r>
          </w:p>
          <w:p w14:paraId="1530221C" w14:textId="2221E24D" w:rsidR="0003217D" w:rsidRPr="003A6E5A" w:rsidRDefault="00FC275D" w:rsidP="00620A1B">
            <w:pPr>
              <w:spacing w:after="0" w:line="240" w:lineRule="auto"/>
              <w:jc w:val="left"/>
              <w:rPr>
                <w:rFonts w:ascii="Times New Roman" w:eastAsia="SimSun" w:hAnsi="Times New Roman" w:cs="Times New Roman"/>
                <w:sz w:val="20"/>
                <w:szCs w:val="20"/>
                <w:lang w:eastAsia="zh-CN" w:bidi="ar"/>
              </w:rPr>
            </w:pPr>
            <w:r w:rsidRPr="003A6E5A">
              <w:rPr>
                <w:rFonts w:ascii="Times New Roman" w:eastAsia="SimSun" w:hAnsi="Times New Roman" w:cs="Times New Roman"/>
                <w:sz w:val="20"/>
                <w:szCs w:val="20"/>
                <w:lang w:val="en-US" w:eastAsia="zh-CN" w:bidi="ar"/>
              </w:rPr>
              <w:t>chi</w:t>
            </w:r>
            <w:r w:rsidRPr="003A6E5A">
              <w:rPr>
                <w:rFonts w:ascii="Times New Roman" w:eastAsia="SimSun" w:hAnsi="Times New Roman" w:cs="Times New Roman"/>
                <w:sz w:val="20"/>
                <w:szCs w:val="20"/>
                <w:lang w:eastAsia="zh-CN" w:bidi="ar"/>
              </w:rPr>
              <w:t>2(2) =</w:t>
            </w:r>
            <w:r w:rsidR="00620A1B" w:rsidRPr="003A6E5A">
              <w:rPr>
                <w:rFonts w:ascii="Times New Roman" w:eastAsia="SimSun" w:hAnsi="Times New Roman" w:cs="Times New Roman"/>
                <w:sz w:val="20"/>
                <w:szCs w:val="20"/>
                <w:lang w:eastAsia="zh-CN" w:bidi="ar"/>
              </w:rPr>
              <w:t xml:space="preserve"> </w:t>
            </w:r>
            <w:r w:rsidRPr="003A6E5A">
              <w:rPr>
                <w:rFonts w:ascii="Times New Roman" w:eastAsia="SimSun" w:hAnsi="Times New Roman" w:cs="Times New Roman"/>
                <w:sz w:val="20"/>
                <w:szCs w:val="20"/>
                <w:lang w:eastAsia="zh-CN" w:bidi="ar"/>
              </w:rPr>
              <w:t>1.65</w:t>
            </w:r>
            <w:r w:rsidR="00620A1B" w:rsidRPr="003A6E5A">
              <w:rPr>
                <w:rFonts w:ascii="Times New Roman" w:eastAsia="SimSun" w:hAnsi="Times New Roman" w:cs="Times New Roman"/>
                <w:sz w:val="20"/>
                <w:szCs w:val="20"/>
                <w:lang w:eastAsia="zh-CN" w:bidi="ar"/>
              </w:rPr>
              <w:t xml:space="preserve">, </w:t>
            </w:r>
            <w:r w:rsidRPr="003A6E5A">
              <w:rPr>
                <w:rStyle w:val="ab"/>
                <w:rFonts w:ascii="Times New Roman" w:hAnsi="Times New Roman" w:cs="Times New Roman"/>
                <w:b w:val="0"/>
                <w:bCs w:val="0"/>
                <w:i/>
                <w:iCs/>
                <w:sz w:val="20"/>
                <w:szCs w:val="20"/>
              </w:rPr>
              <w:t>P</w:t>
            </w:r>
            <w:r w:rsidRPr="003A6E5A">
              <w:rPr>
                <w:rStyle w:val="ab"/>
                <w:rFonts w:ascii="Times New Roman" w:hAnsi="Times New Roman" w:cs="Times New Roman"/>
                <w:b w:val="0"/>
                <w:bCs w:val="0"/>
                <w:sz w:val="20"/>
                <w:szCs w:val="20"/>
              </w:rPr>
              <w:t xml:space="preserve"> &gt;</w:t>
            </w:r>
            <w:r w:rsidRPr="003A6E5A">
              <w:rPr>
                <w:rFonts w:ascii="Times New Roman" w:hAnsi="Times New Roman" w:cs="Times New Roman"/>
                <w:sz w:val="20"/>
                <w:szCs w:val="20"/>
              </w:rPr>
              <w:t xml:space="preserve"> </w:t>
            </w:r>
            <w:r w:rsidRPr="003A6E5A">
              <w:rPr>
                <w:rStyle w:val="ab"/>
                <w:rFonts w:ascii="Times New Roman" w:hAnsi="Times New Roman" w:cs="Times New Roman"/>
                <w:b w:val="0"/>
                <w:bCs w:val="0"/>
                <w:sz w:val="20"/>
                <w:szCs w:val="20"/>
              </w:rPr>
              <w:t>0</w:t>
            </w:r>
            <w:r w:rsidR="00620A1B" w:rsidRPr="003A6E5A">
              <w:rPr>
                <w:rStyle w:val="ab"/>
                <w:rFonts w:ascii="Times New Roman" w:hAnsi="Times New Roman" w:cs="Times New Roman"/>
                <w:b w:val="0"/>
                <w:bCs w:val="0"/>
                <w:sz w:val="20"/>
                <w:szCs w:val="20"/>
              </w:rPr>
              <w:t>,</w:t>
            </w:r>
            <w:r w:rsidRPr="003A6E5A">
              <w:rPr>
                <w:rStyle w:val="ab"/>
                <w:rFonts w:ascii="Times New Roman" w:hAnsi="Times New Roman" w:cs="Times New Roman"/>
                <w:b w:val="0"/>
                <w:bCs w:val="0"/>
                <w:sz w:val="20"/>
                <w:szCs w:val="20"/>
              </w:rPr>
              <w:t>4392</w:t>
            </w:r>
          </w:p>
        </w:tc>
      </w:tr>
    </w:tbl>
    <w:p w14:paraId="3E83E0BD" w14:textId="77777777" w:rsidR="00620A1B" w:rsidRPr="003A6E5A" w:rsidRDefault="00620A1B" w:rsidP="00620A1B">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6451842E" w14:textId="30D5FD75" w:rsidR="00620A1B" w:rsidRPr="003A6E5A" w:rsidRDefault="004C4949" w:rsidP="00620A1B">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p w14:paraId="51DA65E6" w14:textId="77777777" w:rsidR="0003217D" w:rsidRPr="003A6E5A" w:rsidRDefault="0003217D" w:rsidP="00620A1B">
      <w:pPr>
        <w:pStyle w:val="aa"/>
        <w:spacing w:beforeAutospacing="0" w:after="0" w:afterAutospacing="0" w:line="240" w:lineRule="auto"/>
        <w:jc w:val="both"/>
        <w:rPr>
          <w:sz w:val="28"/>
          <w:szCs w:val="28"/>
          <w:lang w:val="ru-RU"/>
        </w:rPr>
      </w:pPr>
    </w:p>
    <w:p w14:paraId="41D7D3EE" w14:textId="77777777" w:rsidR="007C42E0" w:rsidRPr="003A6E5A" w:rsidRDefault="00FC275D" w:rsidP="007C42E0">
      <w:pPr>
        <w:spacing w:after="0" w:line="240" w:lineRule="auto"/>
        <w:ind w:firstLine="709"/>
        <w:jc w:val="both"/>
        <w:rPr>
          <w:rFonts w:ascii="Times New Roman" w:hAnsi="Times New Roman" w:cs="Times New Roman"/>
          <w:sz w:val="28"/>
          <w:szCs w:val="28"/>
          <w:lang w:val="kk-KZ"/>
        </w:rPr>
      </w:pPr>
      <w:r w:rsidRPr="003A6E5A">
        <w:rPr>
          <w:rFonts w:ascii="Times New Roman" w:eastAsia="SimSun" w:hAnsi="Times New Roman" w:cs="Times New Roman"/>
          <w:sz w:val="28"/>
          <w:szCs w:val="28"/>
          <w:lang w:val="kk-KZ" w:eastAsia="zh-CN"/>
        </w:rPr>
        <w:t xml:space="preserve">На уровне статистической значимости </w:t>
      </w:r>
      <w:r w:rsidR="00E422D7" w:rsidRPr="003A6E5A">
        <w:rPr>
          <w:rFonts w:ascii="Times New Roman" w:eastAsia="SimSun" w:hAnsi="Times New Roman" w:cs="Times New Roman"/>
          <w:sz w:val="28"/>
          <w:szCs w:val="28"/>
          <w:lang w:eastAsia="zh-CN"/>
        </w:rPr>
        <w:t>(</w:t>
      </w:r>
      <w:r w:rsidRPr="003A6E5A">
        <w:rPr>
          <w:rFonts w:ascii="Times New Roman" w:eastAsia="SimSun" w:hAnsi="Times New Roman" w:cs="Times New Roman"/>
          <w:sz w:val="28"/>
          <w:szCs w:val="28"/>
          <w:lang w:val="kk-KZ" w:eastAsia="zh-CN"/>
        </w:rPr>
        <w:t>5%</w:t>
      </w:r>
      <w:r w:rsidR="00E422D7" w:rsidRPr="003A6E5A">
        <w:rPr>
          <w:rFonts w:ascii="Times New Roman" w:eastAsia="SimSun" w:hAnsi="Times New Roman" w:cs="Times New Roman"/>
          <w:sz w:val="28"/>
          <w:szCs w:val="28"/>
          <w:lang w:eastAsia="zh-CN"/>
        </w:rPr>
        <w:t>)</w:t>
      </w:r>
      <w:r w:rsidRPr="003A6E5A">
        <w:rPr>
          <w:rFonts w:ascii="Times New Roman" w:eastAsia="SimSun" w:hAnsi="Times New Roman" w:cs="Times New Roman"/>
          <w:sz w:val="28"/>
          <w:szCs w:val="28"/>
          <w:lang w:val="kk-KZ" w:eastAsia="zh-CN"/>
        </w:rPr>
        <w:t xml:space="preserve"> отсутствуют основания для отклонения нулевой гипотезы (</w:t>
      </w:r>
      <m:oMath>
        <m:sSub>
          <m:sSubPr>
            <m:ctrlPr>
              <w:rPr>
                <w:rFonts w:ascii="Cambria Math" w:eastAsia="SimSun" w:hAnsi="Cambria Math" w:cs="Times New Roman"/>
                <w:i/>
                <w:sz w:val="28"/>
                <w:szCs w:val="28"/>
                <w:lang w:val="kk-KZ" w:eastAsia="zh-CN"/>
              </w:rPr>
            </m:ctrlPr>
          </m:sSubPr>
          <m:e>
            <m:r>
              <w:rPr>
                <w:rFonts w:ascii="Cambria Math" w:eastAsia="SimSun" w:hAnsi="Cambria Math" w:cs="Times New Roman"/>
                <w:sz w:val="28"/>
                <w:szCs w:val="28"/>
                <w:lang w:val="en-US" w:eastAsia="zh-CN"/>
              </w:rPr>
              <m:t>H</m:t>
            </m:r>
          </m:e>
          <m:sub>
            <m:r>
              <w:rPr>
                <w:rFonts w:ascii="Cambria Math" w:eastAsia="SimSun" w:hAnsi="Cambria Math" w:cs="Times New Roman"/>
                <w:sz w:val="28"/>
                <w:szCs w:val="28"/>
                <w:lang w:val="kk-KZ" w:eastAsia="zh-CN"/>
              </w:rPr>
              <m:t>0</m:t>
            </m:r>
          </m:sub>
        </m:sSub>
      </m:oMath>
      <w:r w:rsidRPr="003A6E5A">
        <w:rPr>
          <w:rFonts w:ascii="Times New Roman" w:eastAsia="SimSun" w:hAnsi="Times New Roman" w:cs="Times New Roman"/>
          <w:sz w:val="28"/>
          <w:szCs w:val="28"/>
          <w:lang w:val="kk-KZ" w:eastAsia="zh-CN"/>
        </w:rPr>
        <w:t xml:space="preserve">), что указывает на предпочтительность </w:t>
      </w:r>
      <w:r w:rsidRPr="003A6E5A">
        <w:rPr>
          <w:rFonts w:ascii="Times New Roman" w:eastAsia="SimSun" w:hAnsi="Times New Roman" w:cs="Times New Roman"/>
          <w:sz w:val="28"/>
          <w:szCs w:val="28"/>
          <w:lang w:val="kk-KZ" w:eastAsia="zh-CN"/>
        </w:rPr>
        <w:lastRenderedPageBreak/>
        <w:t xml:space="preserve">спецификации модели со случайными эффектами по сравнению с моделью с фиксированными эффектами. В соответствии с результатами теста Хаусмана </w:t>
      </w:r>
      <w:r w:rsidRPr="003A6E5A">
        <w:rPr>
          <w:rFonts w:ascii="Times New Roman" w:hAnsi="Times New Roman" w:cs="Times New Roman"/>
          <w:sz w:val="28"/>
          <w:szCs w:val="28"/>
        </w:rPr>
        <w:t>(</w:t>
      </w:r>
      <m:oMath>
        <m:r>
          <w:rPr>
            <w:rFonts w:ascii="Cambria Math" w:hAnsi="Cambria Math" w:cs="Times New Roman"/>
            <w:sz w:val="28"/>
            <w:szCs w:val="28"/>
          </w:rPr>
          <m:t>p&gt;0,1</m:t>
        </m:r>
      </m:oMath>
      <w:r w:rsidRPr="003A6E5A">
        <w:rPr>
          <w:rFonts w:ascii="Times New Roman" w:hAnsi="Times New Roman" w:cs="Times New Roman"/>
          <w:sz w:val="28"/>
          <w:szCs w:val="28"/>
          <w:lang w:val="kk-KZ"/>
        </w:rPr>
        <w:t>)</w:t>
      </w:r>
      <w:r w:rsidRPr="003A6E5A">
        <w:rPr>
          <w:rFonts w:ascii="Times New Roman" w:hAnsi="Times New Roman" w:cs="Times New Roman"/>
        </w:rPr>
        <w:t xml:space="preserve"> </w:t>
      </w:r>
      <w:r w:rsidRPr="003A6E5A">
        <w:rPr>
          <w:rFonts w:ascii="Times New Roman" w:hAnsi="Times New Roman" w:cs="Times New Roman"/>
          <w:sz w:val="28"/>
          <w:szCs w:val="28"/>
        </w:rPr>
        <w:t>можно заключить, что индивидуальные гетерогенности адекватно учитываются в рамках модели (4), что позволяет использовать менее параметризованную модель со случайными эффектами без потери качества оценок.</w:t>
      </w:r>
      <w:r w:rsidR="00E422D7" w:rsidRPr="003A6E5A">
        <w:rPr>
          <w:rFonts w:ascii="Times New Roman" w:hAnsi="Times New Roman" w:cs="Times New Roman"/>
          <w:sz w:val="28"/>
          <w:szCs w:val="28"/>
        </w:rPr>
        <w:t xml:space="preserve"> </w:t>
      </w:r>
      <w:r w:rsidR="00E422D7" w:rsidRPr="003A6E5A">
        <w:rPr>
          <w:rFonts w:ascii="Times New Roman" w:hAnsi="Times New Roman" w:cs="Times New Roman"/>
          <w:sz w:val="28"/>
          <w:szCs w:val="28"/>
          <w:lang w:val="kk-KZ"/>
        </w:rPr>
        <w:t>Результаты м</w:t>
      </w:r>
      <w:r w:rsidRPr="003A6E5A">
        <w:rPr>
          <w:rFonts w:ascii="Times New Roman" w:hAnsi="Times New Roman" w:cs="Times New Roman"/>
          <w:sz w:val="28"/>
          <w:szCs w:val="28"/>
        </w:rPr>
        <w:t>одел</w:t>
      </w:r>
      <w:r w:rsidR="00E422D7" w:rsidRPr="003A6E5A">
        <w:rPr>
          <w:rFonts w:ascii="Times New Roman" w:hAnsi="Times New Roman" w:cs="Times New Roman"/>
          <w:sz w:val="28"/>
          <w:szCs w:val="28"/>
          <w:lang w:val="kk-KZ"/>
        </w:rPr>
        <w:t>и</w:t>
      </w:r>
      <w:r w:rsidRPr="003A6E5A">
        <w:rPr>
          <w:rFonts w:ascii="Times New Roman" w:hAnsi="Times New Roman" w:cs="Times New Roman"/>
          <w:sz w:val="28"/>
          <w:szCs w:val="28"/>
        </w:rPr>
        <w:t xml:space="preserve"> (5), по</w:t>
      </w:r>
      <w:r w:rsidR="00E422D7" w:rsidRPr="003A6E5A">
        <w:rPr>
          <w:rFonts w:ascii="Times New Roman" w:hAnsi="Times New Roman" w:cs="Times New Roman"/>
          <w:sz w:val="28"/>
          <w:szCs w:val="28"/>
          <w:lang w:val="kk-KZ"/>
        </w:rPr>
        <w:t>лученные</w:t>
      </w:r>
      <w:r w:rsidRPr="003A6E5A">
        <w:rPr>
          <w:rFonts w:ascii="Times New Roman" w:hAnsi="Times New Roman" w:cs="Times New Roman"/>
          <w:sz w:val="28"/>
          <w:szCs w:val="28"/>
        </w:rPr>
        <w:t xml:space="preserve"> с учётом пространственной зависимости, объясня</w:t>
      </w:r>
      <w:r w:rsidR="00E422D7" w:rsidRPr="003A6E5A">
        <w:rPr>
          <w:rFonts w:ascii="Times New Roman" w:hAnsi="Times New Roman" w:cs="Times New Roman"/>
          <w:sz w:val="28"/>
          <w:szCs w:val="28"/>
          <w:lang w:val="kk-KZ"/>
        </w:rPr>
        <w:t>ю</w:t>
      </w:r>
      <w:r w:rsidRPr="003A6E5A">
        <w:rPr>
          <w:rFonts w:ascii="Times New Roman" w:hAnsi="Times New Roman" w:cs="Times New Roman"/>
          <w:sz w:val="28"/>
          <w:szCs w:val="28"/>
        </w:rPr>
        <w:t>т 42,37% дисперсии зависимой переменной. Несмотря на умеренный уровень коэффициента детерминации, такой результат</w:t>
      </w:r>
      <w:r w:rsidR="00E422D7" w:rsidRPr="003A6E5A">
        <w:rPr>
          <w:rFonts w:ascii="Times New Roman" w:hAnsi="Times New Roman" w:cs="Times New Roman"/>
          <w:sz w:val="28"/>
          <w:szCs w:val="28"/>
          <w:lang w:val="kk-KZ"/>
        </w:rPr>
        <w:t xml:space="preserve"> как известно </w:t>
      </w:r>
      <w:r w:rsidRPr="003A6E5A">
        <w:rPr>
          <w:rFonts w:ascii="Times New Roman" w:hAnsi="Times New Roman" w:cs="Times New Roman"/>
          <w:sz w:val="28"/>
          <w:szCs w:val="28"/>
        </w:rPr>
        <w:t>считается приемлемым для пространственно-эконометрических моделей, где часть вариации обусловлена сложно идентифицируемыми межрегиональными и временными взаимодействиями.</w:t>
      </w:r>
    </w:p>
    <w:p w14:paraId="163B04FA" w14:textId="0763348A" w:rsidR="0003217D" w:rsidRPr="003A6E5A" w:rsidRDefault="00FC275D" w:rsidP="007C42E0">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Анализ значимых предикторов показывает, что внутренние затраты на научные исследования и опытно-конструкторские работы оказывают положительное и статистически значимое влияние на инвестиции в основной капитал: увеличение указанного показателя на 1% сопровождается ростом инвестиционной активности в среднем на 0,112%, при прочих равных условиях. Данный результат подтверждён данными таблицы </w:t>
      </w:r>
      <w:r w:rsidR="00DF46D3" w:rsidRPr="003A6E5A">
        <w:rPr>
          <w:rFonts w:ascii="Times New Roman" w:hAnsi="Times New Roman" w:cs="Times New Roman"/>
          <w:sz w:val="28"/>
          <w:szCs w:val="28"/>
          <w:lang w:val="kk-KZ"/>
        </w:rPr>
        <w:t>13</w:t>
      </w:r>
      <w:r w:rsidRPr="003A6E5A">
        <w:rPr>
          <w:rFonts w:ascii="Times New Roman" w:hAnsi="Times New Roman" w:cs="Times New Roman"/>
          <w:sz w:val="28"/>
          <w:szCs w:val="28"/>
        </w:rPr>
        <w:t>, где соответствующий коэффициент демонстрирует значимость на уровне не менее 5%.</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Кроме того, валовый региональный продукт на душу населения также оказывает положительное и статистически значимое влияние, </w:t>
      </w:r>
      <w:r w:rsidR="00F46428" w:rsidRPr="003A6E5A">
        <w:rPr>
          <w:rFonts w:ascii="Times New Roman" w:hAnsi="Times New Roman" w:cs="Times New Roman"/>
          <w:sz w:val="28"/>
          <w:szCs w:val="28"/>
          <w:lang w:val="kk-KZ"/>
        </w:rPr>
        <w:t xml:space="preserve">оценка </w:t>
      </w:r>
      <w:r w:rsidRPr="003A6E5A">
        <w:rPr>
          <w:rFonts w:ascii="Times New Roman" w:hAnsi="Times New Roman" w:cs="Times New Roman"/>
          <w:sz w:val="28"/>
          <w:szCs w:val="28"/>
        </w:rPr>
        <w:t>коэффициент</w:t>
      </w:r>
      <w:r w:rsidR="00F46428" w:rsidRPr="003A6E5A">
        <w:rPr>
          <w:rFonts w:ascii="Times New Roman" w:hAnsi="Times New Roman" w:cs="Times New Roman"/>
          <w:sz w:val="28"/>
          <w:szCs w:val="28"/>
          <w:lang w:val="kk-KZ"/>
        </w:rPr>
        <w:t>а</w:t>
      </w:r>
      <w:r w:rsidRPr="003A6E5A">
        <w:rPr>
          <w:rFonts w:ascii="Times New Roman" w:hAnsi="Times New Roman" w:cs="Times New Roman"/>
          <w:sz w:val="28"/>
          <w:szCs w:val="28"/>
        </w:rPr>
        <w:t xml:space="preserve"> при</w:t>
      </w:r>
      <w:r w:rsidR="00F46428"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переменной составил</w:t>
      </w:r>
      <w:r w:rsidR="00F46428" w:rsidRPr="003A6E5A">
        <w:rPr>
          <w:rFonts w:ascii="Times New Roman" w:hAnsi="Times New Roman" w:cs="Times New Roman"/>
          <w:sz w:val="28"/>
          <w:szCs w:val="28"/>
          <w:lang w:val="kk-KZ"/>
        </w:rPr>
        <w:t>а</w:t>
      </w:r>
      <w:r w:rsidRPr="003A6E5A">
        <w:rPr>
          <w:rFonts w:ascii="Times New Roman" w:hAnsi="Times New Roman" w:cs="Times New Roman"/>
          <w:sz w:val="28"/>
          <w:szCs w:val="28"/>
        </w:rPr>
        <w:t xml:space="preserve"> 0,42, что свидетельствует о тесной взаимосвязи между уровнем регионального экономического развития и объёмом вложений в основной капитал. </w:t>
      </w:r>
      <w:r w:rsidR="005E390F" w:rsidRPr="003A6E5A">
        <w:rPr>
          <w:rFonts w:ascii="Times New Roman" w:hAnsi="Times New Roman" w:cs="Times New Roman"/>
          <w:sz w:val="28"/>
          <w:szCs w:val="28"/>
          <w:lang w:val="kk-KZ"/>
        </w:rPr>
        <w:t>Полученные</w:t>
      </w:r>
      <w:r w:rsidRPr="003A6E5A">
        <w:rPr>
          <w:rFonts w:ascii="Times New Roman" w:hAnsi="Times New Roman" w:cs="Times New Roman"/>
          <w:sz w:val="28"/>
          <w:szCs w:val="28"/>
        </w:rPr>
        <w:t xml:space="preserve"> результаты подчёркивают значимость макроэкономических факторов в формировании инвестиционной активности и обосновывают необходимость их учёта при моделировании региональных инвестиционных процессов.</w:t>
      </w:r>
    </w:p>
    <w:p w14:paraId="713AAEC7" w14:textId="77777777" w:rsidR="0003217D" w:rsidRPr="003A6E5A" w:rsidRDefault="0003217D" w:rsidP="001608EA">
      <w:pPr>
        <w:spacing w:after="0" w:line="240" w:lineRule="auto"/>
        <w:rPr>
          <w:rFonts w:ascii="Times New Roman" w:hAnsi="Times New Roman" w:cs="Times New Roman"/>
          <w:sz w:val="28"/>
          <w:szCs w:val="28"/>
        </w:rPr>
      </w:pPr>
    </w:p>
    <w:p w14:paraId="734FFED4" w14:textId="490C2417" w:rsidR="0003217D" w:rsidRPr="003A6E5A" w:rsidRDefault="00FC275D" w:rsidP="001608EA">
      <w:pPr>
        <w:spacing w:after="0" w:line="240" w:lineRule="auto"/>
        <w:jc w:val="both"/>
        <w:rPr>
          <w:rFonts w:ascii="Times New Roman" w:hAnsi="Times New Roman" w:cs="Times New Roman"/>
          <w:sz w:val="28"/>
          <w:szCs w:val="28"/>
          <w:lang w:val="kk-KZ"/>
        </w:rPr>
      </w:pPr>
      <w:bookmarkStart w:id="34" w:name="_Hlk212300303"/>
      <w:r w:rsidRPr="003A6E5A">
        <w:rPr>
          <w:rFonts w:ascii="Times New Roman" w:hAnsi="Times New Roman" w:cs="Times New Roman"/>
          <w:sz w:val="28"/>
          <w:szCs w:val="28"/>
        </w:rPr>
        <w:t xml:space="preserve">Таблица </w:t>
      </w:r>
      <w:r w:rsidR="003D43A8" w:rsidRPr="003A6E5A">
        <w:rPr>
          <w:rFonts w:ascii="Times New Roman" w:hAnsi="Times New Roman" w:cs="Times New Roman"/>
          <w:sz w:val="28"/>
          <w:szCs w:val="28"/>
          <w:lang w:val="kk-KZ"/>
        </w:rPr>
        <w:t>1</w:t>
      </w:r>
      <w:r w:rsidR="00DA42F3" w:rsidRPr="003A6E5A">
        <w:rPr>
          <w:rFonts w:ascii="Times New Roman" w:hAnsi="Times New Roman" w:cs="Times New Roman"/>
          <w:sz w:val="28"/>
          <w:szCs w:val="28"/>
          <w:lang w:val="kk-KZ"/>
        </w:rPr>
        <w:t>3</w:t>
      </w:r>
      <w:r w:rsidRPr="003A6E5A">
        <w:rPr>
          <w:rFonts w:ascii="Times New Roman" w:hAnsi="Times New Roman" w:cs="Times New Roman"/>
          <w:sz w:val="28"/>
          <w:szCs w:val="28"/>
        </w:rPr>
        <w:t xml:space="preserve">. Оценки коэффициентов </w:t>
      </w:r>
      <w:r w:rsidR="00E203D4" w:rsidRPr="003A6E5A">
        <w:rPr>
          <w:rFonts w:ascii="Times New Roman" w:hAnsi="Times New Roman" w:cs="Times New Roman"/>
          <w:sz w:val="28"/>
          <w:szCs w:val="28"/>
        </w:rPr>
        <w:t>по пространственным моделям</w:t>
      </w:r>
      <w:r w:rsidRPr="003A6E5A">
        <w:rPr>
          <w:rFonts w:ascii="Times New Roman" w:hAnsi="Times New Roman" w:cs="Times New Roman"/>
          <w:sz w:val="28"/>
          <w:szCs w:val="28"/>
        </w:rPr>
        <w:t xml:space="preserve"> Дарбина и авторегрессионным моделям со случайными и фиксированными эффектами</w:t>
      </w:r>
      <w:r w:rsidR="00195433" w:rsidRPr="003A6E5A">
        <w:rPr>
          <w:rFonts w:ascii="Times New Roman" w:hAnsi="Times New Roman" w:cs="Times New Roman"/>
          <w:sz w:val="28"/>
          <w:szCs w:val="28"/>
        </w:rPr>
        <w:t xml:space="preserve"> (</w:t>
      </w:r>
      <m:oMath>
        <m:r>
          <m:rPr>
            <m:sty m:val="p"/>
          </m:rPr>
          <w:rPr>
            <w:rFonts w:ascii="Cambria Math" w:hAnsi="Cambria Math" w:cs="Times New Roman"/>
            <w:sz w:val="28"/>
            <w:szCs w:val="28"/>
          </w:rPr>
          <m:t>n=160</m:t>
        </m:r>
      </m:oMath>
      <w:r w:rsidR="00195433" w:rsidRPr="003A6E5A">
        <w:rPr>
          <w:rFonts w:ascii="Times New Roman" w:hAnsi="Times New Roman" w:cs="Times New Roman"/>
          <w:sz w:val="28"/>
          <w:szCs w:val="28"/>
        </w:rPr>
        <w:t>)</w:t>
      </w:r>
    </w:p>
    <w:tbl>
      <w:tblPr>
        <w:tblStyle w:val="ac"/>
        <w:tblW w:w="0" w:type="auto"/>
        <w:tblLook w:val="04A0" w:firstRow="1" w:lastRow="0" w:firstColumn="1" w:lastColumn="0" w:noHBand="0" w:noVBand="1"/>
      </w:tblPr>
      <w:tblGrid>
        <w:gridCol w:w="1508"/>
        <w:gridCol w:w="1614"/>
        <w:gridCol w:w="1614"/>
        <w:gridCol w:w="1614"/>
        <w:gridCol w:w="1614"/>
        <w:gridCol w:w="1628"/>
      </w:tblGrid>
      <w:tr w:rsidR="00B02CF8" w:rsidRPr="003A6E5A" w14:paraId="5CF46E67" w14:textId="77777777" w:rsidTr="00C14EE7">
        <w:tc>
          <w:tcPr>
            <w:tcW w:w="1508" w:type="dxa"/>
            <w:vMerge w:val="restart"/>
          </w:tcPr>
          <w:p w14:paraId="5EEFF2A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Регрессор</w:t>
            </w:r>
          </w:p>
          <w:p w14:paraId="4528E793" w14:textId="6E3894E6"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(логарифмы)</w:t>
            </w:r>
          </w:p>
        </w:tc>
        <w:tc>
          <w:tcPr>
            <w:tcW w:w="1614" w:type="dxa"/>
          </w:tcPr>
          <w:p w14:paraId="7F095E96" w14:textId="4BAD15F5" w:rsidR="0003217D" w:rsidRPr="003A6E5A" w:rsidRDefault="00FC275D" w:rsidP="0019543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Дарбина со случайными эффектами</w:t>
            </w:r>
          </w:p>
        </w:tc>
        <w:tc>
          <w:tcPr>
            <w:tcW w:w="1614" w:type="dxa"/>
          </w:tcPr>
          <w:p w14:paraId="0449B10A" w14:textId="353FE54A" w:rsidR="0003217D" w:rsidRPr="003A6E5A" w:rsidRDefault="00FC275D" w:rsidP="0019543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Дарбина с фиксированными эффектами</w:t>
            </w:r>
          </w:p>
        </w:tc>
        <w:tc>
          <w:tcPr>
            <w:tcW w:w="1614" w:type="dxa"/>
          </w:tcPr>
          <w:p w14:paraId="5D40BBC4" w14:textId="554F380B" w:rsidR="0003217D" w:rsidRPr="003A6E5A" w:rsidRDefault="00FC275D" w:rsidP="0019543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Дарбина с фиксированными эффектами по методу Ли Ю (2010)</w:t>
            </w:r>
          </w:p>
        </w:tc>
        <w:tc>
          <w:tcPr>
            <w:tcW w:w="1614" w:type="dxa"/>
          </w:tcPr>
          <w:p w14:paraId="49B0A6A3" w14:textId="583D22BD" w:rsidR="0003217D" w:rsidRPr="003A6E5A" w:rsidRDefault="00FC275D" w:rsidP="0019543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Дарбина с учетом временных фиксированных эффектов</w:t>
            </w:r>
          </w:p>
        </w:tc>
        <w:tc>
          <w:tcPr>
            <w:tcW w:w="1628" w:type="dxa"/>
          </w:tcPr>
          <w:p w14:paraId="1E2DC53D" w14:textId="5DB6AE2C" w:rsidR="0003217D" w:rsidRPr="003A6E5A" w:rsidRDefault="00FC275D" w:rsidP="0019543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Дарбина с учетом пространственных и временных фиксированных эффектов</w:t>
            </w:r>
          </w:p>
        </w:tc>
      </w:tr>
      <w:tr w:rsidR="00B02CF8" w:rsidRPr="003A6E5A" w14:paraId="667E12DB" w14:textId="77777777" w:rsidTr="00C14EE7">
        <w:tc>
          <w:tcPr>
            <w:tcW w:w="1508" w:type="dxa"/>
            <w:vMerge/>
          </w:tcPr>
          <w:p w14:paraId="283C5CEE" w14:textId="77777777" w:rsidR="0003217D" w:rsidRPr="003A6E5A" w:rsidRDefault="0003217D" w:rsidP="001608EA">
            <w:pPr>
              <w:spacing w:after="0" w:line="240" w:lineRule="auto"/>
              <w:rPr>
                <w:rFonts w:ascii="Times New Roman" w:hAnsi="Times New Roman" w:cs="Times New Roman"/>
                <w:sz w:val="20"/>
                <w:szCs w:val="20"/>
              </w:rPr>
            </w:pPr>
          </w:p>
        </w:tc>
        <w:tc>
          <w:tcPr>
            <w:tcW w:w="1614" w:type="dxa"/>
            <w:vAlign w:val="center"/>
          </w:tcPr>
          <w:p w14:paraId="2EC5E570"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(5)</w:t>
            </w:r>
          </w:p>
        </w:tc>
        <w:tc>
          <w:tcPr>
            <w:tcW w:w="1614" w:type="dxa"/>
            <w:vAlign w:val="center"/>
          </w:tcPr>
          <w:p w14:paraId="78FFBE65"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(6)</w:t>
            </w:r>
          </w:p>
        </w:tc>
        <w:tc>
          <w:tcPr>
            <w:tcW w:w="1614" w:type="dxa"/>
            <w:vAlign w:val="center"/>
          </w:tcPr>
          <w:p w14:paraId="06381830"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(7)</w:t>
            </w:r>
          </w:p>
        </w:tc>
        <w:tc>
          <w:tcPr>
            <w:tcW w:w="1614" w:type="dxa"/>
            <w:vAlign w:val="center"/>
          </w:tcPr>
          <w:p w14:paraId="3104A7B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(8)</w:t>
            </w:r>
          </w:p>
        </w:tc>
        <w:tc>
          <w:tcPr>
            <w:tcW w:w="1628" w:type="dxa"/>
            <w:vAlign w:val="center"/>
          </w:tcPr>
          <w:p w14:paraId="1AA27C0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(9)</w:t>
            </w:r>
          </w:p>
        </w:tc>
      </w:tr>
      <w:tr w:rsidR="00B02CF8" w:rsidRPr="003A6E5A" w14:paraId="3CF3B4DF" w14:textId="77777777" w:rsidTr="00C14EE7">
        <w:tc>
          <w:tcPr>
            <w:tcW w:w="9592" w:type="dxa"/>
            <w:gridSpan w:val="6"/>
            <w:vAlign w:val="center"/>
          </w:tcPr>
          <w:p w14:paraId="0DA6395F"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Зависимая переменная: инвестиции в основной капитал (логарифм)</w:t>
            </w:r>
          </w:p>
        </w:tc>
      </w:tr>
      <w:tr w:rsidR="00B02CF8" w:rsidRPr="003A6E5A" w14:paraId="6E029156" w14:textId="77777777" w:rsidTr="00C14EE7">
        <w:tc>
          <w:tcPr>
            <w:tcW w:w="9592" w:type="dxa"/>
            <w:gridSpan w:val="6"/>
            <w:vAlign w:val="center"/>
          </w:tcPr>
          <w:p w14:paraId="6C6EB42A"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Основной эффект</w:t>
            </w:r>
          </w:p>
        </w:tc>
      </w:tr>
      <w:tr w:rsidR="00B02CF8" w:rsidRPr="003A6E5A" w14:paraId="25427DA2" w14:textId="77777777" w:rsidTr="00C14EE7">
        <w:tc>
          <w:tcPr>
            <w:tcW w:w="1508" w:type="dxa"/>
            <w:vAlign w:val="center"/>
          </w:tcPr>
          <w:p w14:paraId="738E879A" w14:textId="77777777" w:rsidR="0003217D" w:rsidRPr="003A6E5A" w:rsidRDefault="00FC275D" w:rsidP="00C14EE7">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lang w:val="kk-KZ"/>
              </w:rPr>
              <w:t>Валовый региональный продукт на душу населения</w:t>
            </w:r>
          </w:p>
        </w:tc>
        <w:tc>
          <w:tcPr>
            <w:tcW w:w="1614" w:type="dxa"/>
            <w:vAlign w:val="center"/>
          </w:tcPr>
          <w:p w14:paraId="3DF5066C"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0,4205118</w:t>
            </w:r>
            <w:r w:rsidRPr="003A6E5A">
              <w:rPr>
                <w:rFonts w:ascii="Times New Roman" w:hAnsi="Times New Roman" w:cs="Times New Roman"/>
                <w:sz w:val="20"/>
                <w:szCs w:val="20"/>
                <w:vertAlign w:val="superscript"/>
              </w:rPr>
              <w:t>***</w:t>
            </w:r>
          </w:p>
          <w:p w14:paraId="7C04313A"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(0,1260149)</w:t>
            </w:r>
          </w:p>
        </w:tc>
        <w:tc>
          <w:tcPr>
            <w:tcW w:w="1614" w:type="dxa"/>
            <w:vAlign w:val="center"/>
          </w:tcPr>
          <w:p w14:paraId="47E16FA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0,4130729</w:t>
            </w:r>
            <w:r w:rsidRPr="003A6E5A">
              <w:rPr>
                <w:rFonts w:ascii="Times New Roman" w:hAnsi="Times New Roman" w:cs="Times New Roman"/>
                <w:sz w:val="20"/>
                <w:szCs w:val="20"/>
                <w:vertAlign w:val="superscript"/>
              </w:rPr>
              <w:t>***</w:t>
            </w:r>
          </w:p>
          <w:p w14:paraId="2E858E52"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(0,1262679)</w:t>
            </w:r>
          </w:p>
        </w:tc>
        <w:tc>
          <w:tcPr>
            <w:tcW w:w="1614" w:type="dxa"/>
            <w:vAlign w:val="center"/>
          </w:tcPr>
          <w:p w14:paraId="54B1B728"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0,4130729</w:t>
            </w:r>
            <w:r w:rsidRPr="003A6E5A">
              <w:rPr>
                <w:rFonts w:ascii="Times New Roman" w:hAnsi="Times New Roman" w:cs="Times New Roman"/>
                <w:sz w:val="20"/>
                <w:szCs w:val="20"/>
                <w:vertAlign w:val="superscript"/>
              </w:rPr>
              <w:t>***</w:t>
            </w:r>
          </w:p>
          <w:p w14:paraId="40CC4B6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(0,1262679)</w:t>
            </w:r>
          </w:p>
        </w:tc>
        <w:tc>
          <w:tcPr>
            <w:tcW w:w="1614" w:type="dxa"/>
            <w:vAlign w:val="center"/>
          </w:tcPr>
          <w:p w14:paraId="787682E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0,3109288</w:t>
            </w:r>
            <w:r w:rsidRPr="003A6E5A">
              <w:rPr>
                <w:rFonts w:ascii="Times New Roman" w:hAnsi="Times New Roman" w:cs="Times New Roman"/>
                <w:sz w:val="20"/>
                <w:szCs w:val="20"/>
                <w:vertAlign w:val="superscript"/>
              </w:rPr>
              <w:t>***</w:t>
            </w:r>
          </w:p>
          <w:p w14:paraId="75884D0D"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(0,1261638)</w:t>
            </w:r>
          </w:p>
        </w:tc>
        <w:tc>
          <w:tcPr>
            <w:tcW w:w="1628" w:type="dxa"/>
            <w:vAlign w:val="center"/>
          </w:tcPr>
          <w:p w14:paraId="0900DF0A"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0,5925503</w:t>
            </w:r>
            <w:r w:rsidRPr="003A6E5A">
              <w:rPr>
                <w:rFonts w:ascii="Times New Roman" w:hAnsi="Times New Roman" w:cs="Times New Roman"/>
                <w:sz w:val="20"/>
                <w:szCs w:val="20"/>
                <w:vertAlign w:val="superscript"/>
              </w:rPr>
              <w:t>***</w:t>
            </w:r>
          </w:p>
          <w:p w14:paraId="01794B18"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(0,1553791)</w:t>
            </w:r>
          </w:p>
        </w:tc>
      </w:tr>
      <w:tr w:rsidR="00B02CF8" w:rsidRPr="003A6E5A" w14:paraId="2A28F92D" w14:textId="77777777" w:rsidTr="00C14EE7">
        <w:tc>
          <w:tcPr>
            <w:tcW w:w="1508" w:type="dxa"/>
            <w:vAlign w:val="center"/>
          </w:tcPr>
          <w:p w14:paraId="02DA8640"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614" w:type="dxa"/>
            <w:vAlign w:val="center"/>
          </w:tcPr>
          <w:p w14:paraId="145CEE6D"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0,1123692</w:t>
            </w:r>
            <w:r w:rsidRPr="003A6E5A">
              <w:rPr>
                <w:rFonts w:ascii="Times New Roman" w:hAnsi="Times New Roman" w:cs="Times New Roman"/>
                <w:sz w:val="20"/>
                <w:szCs w:val="20"/>
                <w:vertAlign w:val="superscript"/>
              </w:rPr>
              <w:t>**</w:t>
            </w:r>
          </w:p>
          <w:p w14:paraId="4C338B07"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(0,0550087)</w:t>
            </w:r>
          </w:p>
        </w:tc>
        <w:tc>
          <w:tcPr>
            <w:tcW w:w="1614" w:type="dxa"/>
            <w:vAlign w:val="center"/>
          </w:tcPr>
          <w:p w14:paraId="70695FF2"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0,1225195</w:t>
            </w:r>
            <w:r w:rsidRPr="003A6E5A">
              <w:rPr>
                <w:rFonts w:ascii="Times New Roman" w:hAnsi="Times New Roman" w:cs="Times New Roman"/>
                <w:sz w:val="20"/>
                <w:szCs w:val="20"/>
                <w:vertAlign w:val="superscript"/>
              </w:rPr>
              <w:t>**</w:t>
            </w:r>
          </w:p>
          <w:p w14:paraId="1592CBB1"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(0,0626577)</w:t>
            </w:r>
          </w:p>
        </w:tc>
        <w:tc>
          <w:tcPr>
            <w:tcW w:w="1614" w:type="dxa"/>
            <w:vAlign w:val="center"/>
          </w:tcPr>
          <w:p w14:paraId="3B9CF3A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0,1225195</w:t>
            </w:r>
            <w:r w:rsidRPr="003A6E5A">
              <w:rPr>
                <w:rFonts w:ascii="Times New Roman" w:hAnsi="Times New Roman" w:cs="Times New Roman"/>
                <w:sz w:val="20"/>
                <w:szCs w:val="20"/>
                <w:vertAlign w:val="superscript"/>
              </w:rPr>
              <w:t>**</w:t>
            </w:r>
          </w:p>
          <w:p w14:paraId="0F3D44C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(0,626577)</w:t>
            </w:r>
          </w:p>
        </w:tc>
        <w:tc>
          <w:tcPr>
            <w:tcW w:w="1614" w:type="dxa"/>
            <w:vAlign w:val="center"/>
          </w:tcPr>
          <w:p w14:paraId="3C83AB8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0,1381532</w:t>
            </w:r>
            <w:r w:rsidRPr="003A6E5A">
              <w:rPr>
                <w:rFonts w:ascii="Times New Roman" w:hAnsi="Times New Roman" w:cs="Times New Roman"/>
                <w:sz w:val="20"/>
                <w:szCs w:val="20"/>
                <w:vertAlign w:val="superscript"/>
              </w:rPr>
              <w:t>**</w:t>
            </w:r>
          </w:p>
          <w:p w14:paraId="225941B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(0,0308252)</w:t>
            </w:r>
          </w:p>
        </w:tc>
        <w:tc>
          <w:tcPr>
            <w:tcW w:w="1628" w:type="dxa"/>
            <w:vAlign w:val="center"/>
          </w:tcPr>
          <w:p w14:paraId="553A4512"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0,0840951</w:t>
            </w:r>
            <w:r w:rsidRPr="003A6E5A">
              <w:rPr>
                <w:rFonts w:ascii="Times New Roman" w:hAnsi="Times New Roman" w:cs="Times New Roman"/>
                <w:sz w:val="20"/>
                <w:szCs w:val="20"/>
                <w:vertAlign w:val="superscript"/>
              </w:rPr>
              <w:t>**</w:t>
            </w:r>
          </w:p>
          <w:p w14:paraId="3778A39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(0,0416771)</w:t>
            </w:r>
          </w:p>
        </w:tc>
      </w:tr>
      <w:tr w:rsidR="00B02CF8" w:rsidRPr="003A6E5A" w14:paraId="264105CD" w14:textId="77777777" w:rsidTr="00C14EE7">
        <w:tc>
          <w:tcPr>
            <w:tcW w:w="1508" w:type="dxa"/>
            <w:vAlign w:val="center"/>
          </w:tcPr>
          <w:p w14:paraId="00EC0FF7"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 xml:space="preserve">Количество </w:t>
            </w:r>
            <w:r w:rsidRPr="003A6E5A">
              <w:rPr>
                <w:rFonts w:ascii="Times New Roman" w:hAnsi="Times New Roman" w:cs="Times New Roman"/>
                <w:sz w:val="20"/>
                <w:szCs w:val="20"/>
              </w:rPr>
              <w:lastRenderedPageBreak/>
              <w:t>предприятий, осуществлявших НИОКР</w:t>
            </w:r>
          </w:p>
        </w:tc>
        <w:tc>
          <w:tcPr>
            <w:tcW w:w="1614" w:type="dxa"/>
            <w:vAlign w:val="center"/>
          </w:tcPr>
          <w:p w14:paraId="7B2D1752"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0BE4A585"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0,1414094</w:t>
            </w:r>
            <w:r w:rsidRPr="003A6E5A">
              <w:rPr>
                <w:rFonts w:ascii="Times New Roman" w:hAnsi="Times New Roman" w:cs="Times New Roman"/>
                <w:sz w:val="20"/>
                <w:szCs w:val="20"/>
                <w:vertAlign w:val="superscript"/>
              </w:rPr>
              <w:t>*</w:t>
            </w:r>
          </w:p>
          <w:p w14:paraId="5DAEA09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(0,0770198)</w:t>
            </w:r>
          </w:p>
        </w:tc>
        <w:tc>
          <w:tcPr>
            <w:tcW w:w="1614" w:type="dxa"/>
            <w:vAlign w:val="center"/>
          </w:tcPr>
          <w:p w14:paraId="0F532FA0"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0,1414094</w:t>
            </w:r>
            <w:r w:rsidRPr="003A6E5A">
              <w:rPr>
                <w:rFonts w:ascii="Times New Roman" w:hAnsi="Times New Roman" w:cs="Times New Roman"/>
                <w:sz w:val="20"/>
                <w:szCs w:val="20"/>
                <w:vertAlign w:val="superscript"/>
              </w:rPr>
              <w:t>*</w:t>
            </w:r>
          </w:p>
          <w:p w14:paraId="0556C925"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(0,0770198)</w:t>
            </w:r>
          </w:p>
        </w:tc>
        <w:tc>
          <w:tcPr>
            <w:tcW w:w="1614" w:type="dxa"/>
            <w:vAlign w:val="center"/>
          </w:tcPr>
          <w:p w14:paraId="6D6F56DF"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28" w:type="dxa"/>
            <w:vAlign w:val="center"/>
          </w:tcPr>
          <w:p w14:paraId="63649F52" w14:textId="77777777" w:rsidR="0003217D" w:rsidRPr="003A6E5A" w:rsidRDefault="0003217D" w:rsidP="00C14EE7">
            <w:pPr>
              <w:spacing w:after="0" w:line="240" w:lineRule="auto"/>
              <w:jc w:val="center"/>
              <w:rPr>
                <w:rFonts w:ascii="Times New Roman" w:hAnsi="Times New Roman" w:cs="Times New Roman"/>
                <w:sz w:val="20"/>
                <w:szCs w:val="20"/>
              </w:rPr>
            </w:pPr>
          </w:p>
        </w:tc>
      </w:tr>
      <w:tr w:rsidR="00B02CF8" w:rsidRPr="003A6E5A" w14:paraId="5FEEE75B" w14:textId="77777777" w:rsidTr="00C14EE7">
        <w:tc>
          <w:tcPr>
            <w:tcW w:w="1508" w:type="dxa"/>
            <w:vAlign w:val="center"/>
          </w:tcPr>
          <w:p w14:paraId="27884A5D"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Объем инновационной продукции</w:t>
            </w:r>
          </w:p>
        </w:tc>
        <w:tc>
          <w:tcPr>
            <w:tcW w:w="1614" w:type="dxa"/>
            <w:vAlign w:val="center"/>
          </w:tcPr>
          <w:p w14:paraId="329990CD"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4854D918"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7A1958A3"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396A6D2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0,0608208</w:t>
            </w:r>
            <w:r w:rsidRPr="003A6E5A">
              <w:rPr>
                <w:rFonts w:ascii="Times New Roman" w:hAnsi="Times New Roman" w:cs="Times New Roman"/>
                <w:sz w:val="20"/>
                <w:szCs w:val="20"/>
                <w:vertAlign w:val="superscript"/>
              </w:rPr>
              <w:t>**</w:t>
            </w:r>
          </w:p>
          <w:p w14:paraId="42E99E5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(0,0312211)</w:t>
            </w:r>
          </w:p>
        </w:tc>
        <w:tc>
          <w:tcPr>
            <w:tcW w:w="1628" w:type="dxa"/>
            <w:vAlign w:val="center"/>
          </w:tcPr>
          <w:p w14:paraId="176D875E" w14:textId="77777777" w:rsidR="0003217D" w:rsidRPr="003A6E5A" w:rsidRDefault="0003217D" w:rsidP="00C14EE7">
            <w:pPr>
              <w:spacing w:after="0" w:line="240" w:lineRule="auto"/>
              <w:jc w:val="center"/>
              <w:rPr>
                <w:rFonts w:ascii="Times New Roman" w:hAnsi="Times New Roman" w:cs="Times New Roman"/>
                <w:sz w:val="20"/>
                <w:szCs w:val="20"/>
              </w:rPr>
            </w:pPr>
          </w:p>
        </w:tc>
      </w:tr>
      <w:tr w:rsidR="00B02CF8" w:rsidRPr="003A6E5A" w14:paraId="2C0500C9" w14:textId="77777777" w:rsidTr="00C14EE7">
        <w:trPr>
          <w:trHeight w:val="90"/>
        </w:trPr>
        <w:tc>
          <w:tcPr>
            <w:tcW w:w="1508" w:type="dxa"/>
            <w:vAlign w:val="center"/>
          </w:tcPr>
          <w:p w14:paraId="6B2E6F77"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Инновационную активность предприятий</w:t>
            </w:r>
          </w:p>
        </w:tc>
        <w:tc>
          <w:tcPr>
            <w:tcW w:w="1614" w:type="dxa"/>
            <w:vAlign w:val="center"/>
          </w:tcPr>
          <w:p w14:paraId="6F770729"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445AB57E"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66F17784"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5882ED80"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-0,1740129</w:t>
            </w:r>
            <w:r w:rsidRPr="003A6E5A">
              <w:rPr>
                <w:rFonts w:ascii="Times New Roman" w:hAnsi="Times New Roman" w:cs="Times New Roman"/>
                <w:sz w:val="20"/>
                <w:szCs w:val="20"/>
                <w:vertAlign w:val="superscript"/>
              </w:rPr>
              <w:t>**</w:t>
            </w:r>
          </w:p>
          <w:p w14:paraId="31DE2C9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(0,0691806)</w:t>
            </w:r>
          </w:p>
        </w:tc>
        <w:tc>
          <w:tcPr>
            <w:tcW w:w="1628" w:type="dxa"/>
            <w:vAlign w:val="center"/>
          </w:tcPr>
          <w:p w14:paraId="336104E1" w14:textId="77777777" w:rsidR="0003217D" w:rsidRPr="003A6E5A" w:rsidRDefault="0003217D" w:rsidP="00C14EE7">
            <w:pPr>
              <w:spacing w:after="0" w:line="240" w:lineRule="auto"/>
              <w:jc w:val="center"/>
              <w:rPr>
                <w:rFonts w:ascii="Times New Roman" w:hAnsi="Times New Roman" w:cs="Times New Roman"/>
                <w:sz w:val="20"/>
                <w:szCs w:val="20"/>
              </w:rPr>
            </w:pPr>
          </w:p>
        </w:tc>
      </w:tr>
      <w:tr w:rsidR="00B02CF8" w:rsidRPr="003A6E5A" w14:paraId="1F22B372" w14:textId="77777777" w:rsidTr="00C14EE7">
        <w:tc>
          <w:tcPr>
            <w:tcW w:w="1508" w:type="dxa"/>
            <w:vAlign w:val="center"/>
          </w:tcPr>
          <w:p w14:paraId="56FBD8B7"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Константа</w:t>
            </w:r>
          </w:p>
        </w:tc>
        <w:tc>
          <w:tcPr>
            <w:tcW w:w="1614" w:type="dxa"/>
            <w:vAlign w:val="center"/>
          </w:tcPr>
          <w:p w14:paraId="16B5B91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5,190534</w:t>
            </w:r>
            <w:r w:rsidRPr="003A6E5A">
              <w:rPr>
                <w:rFonts w:ascii="Times New Roman" w:hAnsi="Times New Roman" w:cs="Times New Roman"/>
                <w:sz w:val="20"/>
                <w:szCs w:val="20"/>
                <w:vertAlign w:val="superscript"/>
              </w:rPr>
              <w:t>***</w:t>
            </w:r>
          </w:p>
          <w:p w14:paraId="5489EA8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(0,8146583)</w:t>
            </w:r>
          </w:p>
        </w:tc>
        <w:tc>
          <w:tcPr>
            <w:tcW w:w="1614" w:type="dxa"/>
            <w:vAlign w:val="center"/>
          </w:tcPr>
          <w:p w14:paraId="49F690E9"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13221503"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1D8CC9D1" w14:textId="77777777" w:rsidR="0003217D" w:rsidRPr="003A6E5A" w:rsidRDefault="0003217D" w:rsidP="00C14EE7">
            <w:pPr>
              <w:spacing w:after="0" w:line="240" w:lineRule="auto"/>
              <w:jc w:val="center"/>
              <w:rPr>
                <w:rFonts w:ascii="Times New Roman" w:hAnsi="Times New Roman" w:cs="Times New Roman"/>
                <w:sz w:val="20"/>
                <w:szCs w:val="20"/>
                <w:lang w:val="kk-KZ"/>
              </w:rPr>
            </w:pPr>
          </w:p>
        </w:tc>
        <w:tc>
          <w:tcPr>
            <w:tcW w:w="1628" w:type="dxa"/>
            <w:vAlign w:val="center"/>
          </w:tcPr>
          <w:p w14:paraId="3D271378" w14:textId="77777777" w:rsidR="0003217D" w:rsidRPr="003A6E5A" w:rsidRDefault="0003217D" w:rsidP="00C14EE7">
            <w:pPr>
              <w:spacing w:after="0" w:line="240" w:lineRule="auto"/>
              <w:jc w:val="center"/>
              <w:rPr>
                <w:rFonts w:ascii="Times New Roman" w:hAnsi="Times New Roman" w:cs="Times New Roman"/>
                <w:sz w:val="20"/>
                <w:szCs w:val="20"/>
                <w:lang w:val="kk-KZ"/>
              </w:rPr>
            </w:pPr>
          </w:p>
        </w:tc>
      </w:tr>
      <w:tr w:rsidR="00B02CF8" w:rsidRPr="003A6E5A" w14:paraId="7E07D025" w14:textId="77777777" w:rsidTr="00C14EE7">
        <w:tc>
          <w:tcPr>
            <w:tcW w:w="9592" w:type="dxa"/>
            <w:gridSpan w:val="6"/>
            <w:vAlign w:val="center"/>
          </w:tcPr>
          <w:p w14:paraId="114ACF85"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Матрица пространственных весов</w:t>
            </w:r>
          </w:p>
        </w:tc>
      </w:tr>
      <w:tr w:rsidR="00B02CF8" w:rsidRPr="003A6E5A" w14:paraId="3AF47DE6" w14:textId="77777777" w:rsidTr="00C14EE7">
        <w:tc>
          <w:tcPr>
            <w:tcW w:w="1508" w:type="dxa"/>
            <w:vAlign w:val="center"/>
          </w:tcPr>
          <w:p w14:paraId="0CC90971"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lang w:val="kk-KZ"/>
              </w:rPr>
              <w:t>Валовый региональный продукт на душу населения</w:t>
            </w:r>
          </w:p>
        </w:tc>
        <w:tc>
          <w:tcPr>
            <w:tcW w:w="1614" w:type="dxa"/>
            <w:vAlign w:val="center"/>
          </w:tcPr>
          <w:p w14:paraId="177BDA0B"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-0,3755878</w:t>
            </w:r>
            <w:r w:rsidRPr="003A6E5A">
              <w:rPr>
                <w:rFonts w:ascii="Times New Roman" w:hAnsi="Times New Roman" w:cs="Times New Roman"/>
                <w:sz w:val="20"/>
                <w:szCs w:val="20"/>
                <w:vertAlign w:val="superscript"/>
              </w:rPr>
              <w:t>***</w:t>
            </w:r>
          </w:p>
          <w:p w14:paraId="05688EF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(0,1436472)</w:t>
            </w:r>
          </w:p>
        </w:tc>
        <w:tc>
          <w:tcPr>
            <w:tcW w:w="1614" w:type="dxa"/>
            <w:vAlign w:val="center"/>
          </w:tcPr>
          <w:p w14:paraId="17428C8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-0,3653899</w:t>
            </w:r>
            <w:r w:rsidRPr="003A6E5A">
              <w:rPr>
                <w:rFonts w:ascii="Times New Roman" w:hAnsi="Times New Roman" w:cs="Times New Roman"/>
                <w:sz w:val="20"/>
                <w:szCs w:val="20"/>
                <w:vertAlign w:val="superscript"/>
              </w:rPr>
              <w:t>***</w:t>
            </w:r>
          </w:p>
          <w:p w14:paraId="6F16D4BD"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(0,1305163)</w:t>
            </w:r>
          </w:p>
        </w:tc>
        <w:tc>
          <w:tcPr>
            <w:tcW w:w="1614" w:type="dxa"/>
            <w:vAlign w:val="center"/>
          </w:tcPr>
          <w:p w14:paraId="59EC367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-0,3653899</w:t>
            </w:r>
            <w:r w:rsidRPr="003A6E5A">
              <w:rPr>
                <w:rFonts w:ascii="Times New Roman" w:hAnsi="Times New Roman" w:cs="Times New Roman"/>
                <w:sz w:val="20"/>
                <w:szCs w:val="20"/>
                <w:vertAlign w:val="superscript"/>
              </w:rPr>
              <w:t>***</w:t>
            </w:r>
          </w:p>
          <w:p w14:paraId="55F365E6"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(0,1305136)</w:t>
            </w:r>
          </w:p>
        </w:tc>
        <w:tc>
          <w:tcPr>
            <w:tcW w:w="1614" w:type="dxa"/>
            <w:vAlign w:val="center"/>
          </w:tcPr>
          <w:p w14:paraId="7599187F"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-0,0391242</w:t>
            </w:r>
          </w:p>
          <w:p w14:paraId="0D4DA837"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(0,1631089)</w:t>
            </w:r>
          </w:p>
        </w:tc>
        <w:tc>
          <w:tcPr>
            <w:tcW w:w="1628" w:type="dxa"/>
            <w:vAlign w:val="center"/>
          </w:tcPr>
          <w:p w14:paraId="773B04F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0,6162156</w:t>
            </w:r>
          </w:p>
          <w:p w14:paraId="2E3B7B4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(0,3769741)</w:t>
            </w:r>
          </w:p>
        </w:tc>
      </w:tr>
      <w:tr w:rsidR="00B02CF8" w:rsidRPr="003A6E5A" w14:paraId="4E10AD9C" w14:textId="77777777" w:rsidTr="00C14EE7">
        <w:tc>
          <w:tcPr>
            <w:tcW w:w="1508" w:type="dxa"/>
            <w:vAlign w:val="center"/>
          </w:tcPr>
          <w:p w14:paraId="508EC21C"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614" w:type="dxa"/>
            <w:vAlign w:val="center"/>
          </w:tcPr>
          <w:p w14:paraId="0FB9990C"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-0,0665215</w:t>
            </w:r>
          </w:p>
          <w:p w14:paraId="5E3111E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(0,0527001)</w:t>
            </w:r>
          </w:p>
        </w:tc>
        <w:tc>
          <w:tcPr>
            <w:tcW w:w="1614" w:type="dxa"/>
            <w:vAlign w:val="center"/>
          </w:tcPr>
          <w:p w14:paraId="1B890C76"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-0,0287462</w:t>
            </w:r>
          </w:p>
          <w:p w14:paraId="73AFC52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(0,0606675)</w:t>
            </w:r>
          </w:p>
        </w:tc>
        <w:tc>
          <w:tcPr>
            <w:tcW w:w="1614" w:type="dxa"/>
            <w:vAlign w:val="center"/>
          </w:tcPr>
          <w:p w14:paraId="392B9BD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-0,0287462</w:t>
            </w:r>
          </w:p>
          <w:p w14:paraId="59079C17"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(0,0606675)</w:t>
            </w:r>
          </w:p>
        </w:tc>
        <w:tc>
          <w:tcPr>
            <w:tcW w:w="1614" w:type="dxa"/>
            <w:vAlign w:val="center"/>
          </w:tcPr>
          <w:p w14:paraId="13FC15A5"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0,4313118</w:t>
            </w:r>
            <w:r w:rsidRPr="003A6E5A">
              <w:rPr>
                <w:rFonts w:ascii="Times New Roman" w:hAnsi="Times New Roman" w:cs="Times New Roman"/>
                <w:sz w:val="20"/>
                <w:szCs w:val="20"/>
                <w:vertAlign w:val="superscript"/>
              </w:rPr>
              <w:t>***</w:t>
            </w:r>
          </w:p>
          <w:p w14:paraId="48D71503"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(0,1205843)</w:t>
            </w:r>
          </w:p>
        </w:tc>
        <w:tc>
          <w:tcPr>
            <w:tcW w:w="1628" w:type="dxa"/>
            <w:vAlign w:val="center"/>
          </w:tcPr>
          <w:p w14:paraId="7E4DE52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-0,0523064</w:t>
            </w:r>
          </w:p>
          <w:p w14:paraId="0D5D444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(0,0498074)</w:t>
            </w:r>
          </w:p>
        </w:tc>
      </w:tr>
      <w:tr w:rsidR="00B02CF8" w:rsidRPr="003A6E5A" w14:paraId="1BB12343" w14:textId="77777777" w:rsidTr="00C14EE7">
        <w:tc>
          <w:tcPr>
            <w:tcW w:w="1508" w:type="dxa"/>
            <w:vAlign w:val="center"/>
          </w:tcPr>
          <w:p w14:paraId="70E10965"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Количество предприятий, осуществлявших НИОКР</w:t>
            </w:r>
          </w:p>
        </w:tc>
        <w:tc>
          <w:tcPr>
            <w:tcW w:w="1614" w:type="dxa"/>
            <w:vAlign w:val="center"/>
          </w:tcPr>
          <w:p w14:paraId="04324BBA"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188FBE91"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-0,43081885</w:t>
            </w:r>
            <w:r w:rsidRPr="003A6E5A">
              <w:rPr>
                <w:rFonts w:ascii="Times New Roman" w:hAnsi="Times New Roman" w:cs="Times New Roman"/>
                <w:sz w:val="20"/>
                <w:szCs w:val="20"/>
                <w:vertAlign w:val="superscript"/>
              </w:rPr>
              <w:t>**</w:t>
            </w:r>
          </w:p>
          <w:p w14:paraId="5D8E89A8"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(0,2229169)</w:t>
            </w:r>
          </w:p>
        </w:tc>
        <w:tc>
          <w:tcPr>
            <w:tcW w:w="1614" w:type="dxa"/>
            <w:vAlign w:val="center"/>
          </w:tcPr>
          <w:p w14:paraId="4043C8B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-0,4308185</w:t>
            </w:r>
            <w:r w:rsidRPr="003A6E5A">
              <w:rPr>
                <w:rFonts w:ascii="Times New Roman" w:hAnsi="Times New Roman" w:cs="Times New Roman"/>
                <w:sz w:val="20"/>
                <w:szCs w:val="20"/>
                <w:vertAlign w:val="superscript"/>
              </w:rPr>
              <w:t>**</w:t>
            </w:r>
          </w:p>
          <w:p w14:paraId="0378411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(0,2229169)</w:t>
            </w:r>
          </w:p>
        </w:tc>
        <w:tc>
          <w:tcPr>
            <w:tcW w:w="1614" w:type="dxa"/>
            <w:vAlign w:val="center"/>
          </w:tcPr>
          <w:p w14:paraId="3766E28F" w14:textId="77777777" w:rsidR="0003217D" w:rsidRPr="003A6E5A" w:rsidRDefault="0003217D" w:rsidP="00C14EE7">
            <w:pPr>
              <w:spacing w:after="0" w:line="240" w:lineRule="auto"/>
              <w:jc w:val="center"/>
              <w:rPr>
                <w:rFonts w:ascii="Times New Roman" w:hAnsi="Times New Roman" w:cs="Times New Roman"/>
                <w:sz w:val="20"/>
                <w:szCs w:val="20"/>
                <w:lang w:val="kk-KZ"/>
              </w:rPr>
            </w:pPr>
          </w:p>
        </w:tc>
        <w:tc>
          <w:tcPr>
            <w:tcW w:w="1628" w:type="dxa"/>
            <w:vAlign w:val="center"/>
          </w:tcPr>
          <w:p w14:paraId="010E4672" w14:textId="77777777" w:rsidR="0003217D" w:rsidRPr="003A6E5A" w:rsidRDefault="0003217D" w:rsidP="00C14EE7">
            <w:pPr>
              <w:spacing w:after="0" w:line="240" w:lineRule="auto"/>
              <w:jc w:val="center"/>
              <w:rPr>
                <w:rFonts w:ascii="Times New Roman" w:hAnsi="Times New Roman" w:cs="Times New Roman"/>
                <w:sz w:val="20"/>
                <w:szCs w:val="20"/>
                <w:lang w:val="kk-KZ"/>
              </w:rPr>
            </w:pPr>
          </w:p>
        </w:tc>
      </w:tr>
      <w:tr w:rsidR="00B02CF8" w:rsidRPr="003A6E5A" w14:paraId="612AEE38" w14:textId="77777777" w:rsidTr="00C14EE7">
        <w:tc>
          <w:tcPr>
            <w:tcW w:w="1508" w:type="dxa"/>
            <w:vAlign w:val="center"/>
          </w:tcPr>
          <w:p w14:paraId="75A27C62"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Объем инновационной продукции</w:t>
            </w:r>
          </w:p>
        </w:tc>
        <w:tc>
          <w:tcPr>
            <w:tcW w:w="1614" w:type="dxa"/>
            <w:vAlign w:val="center"/>
          </w:tcPr>
          <w:p w14:paraId="758AA609"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63109530"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0E383E43"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1EB9526E"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0,015767</w:t>
            </w:r>
          </w:p>
          <w:p w14:paraId="469C0161"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(0,0724431)</w:t>
            </w:r>
          </w:p>
        </w:tc>
        <w:tc>
          <w:tcPr>
            <w:tcW w:w="1628" w:type="dxa"/>
            <w:vAlign w:val="center"/>
          </w:tcPr>
          <w:p w14:paraId="69EDC1A6" w14:textId="77777777" w:rsidR="0003217D" w:rsidRPr="003A6E5A" w:rsidRDefault="0003217D" w:rsidP="00C14EE7">
            <w:pPr>
              <w:spacing w:after="0" w:line="240" w:lineRule="auto"/>
              <w:jc w:val="center"/>
              <w:rPr>
                <w:rFonts w:ascii="Times New Roman" w:hAnsi="Times New Roman" w:cs="Times New Roman"/>
                <w:sz w:val="20"/>
                <w:szCs w:val="20"/>
                <w:lang w:val="kk-KZ"/>
              </w:rPr>
            </w:pPr>
          </w:p>
        </w:tc>
      </w:tr>
      <w:tr w:rsidR="00B02CF8" w:rsidRPr="003A6E5A" w14:paraId="4624DB6E" w14:textId="77777777" w:rsidTr="00C14EE7">
        <w:tc>
          <w:tcPr>
            <w:tcW w:w="1508" w:type="dxa"/>
            <w:vAlign w:val="center"/>
          </w:tcPr>
          <w:p w14:paraId="4701D048" w14:textId="77777777" w:rsidR="0003217D" w:rsidRPr="003A6E5A" w:rsidRDefault="00FC275D" w:rsidP="00C14EE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Инновационную активность предприятий</w:t>
            </w:r>
          </w:p>
        </w:tc>
        <w:tc>
          <w:tcPr>
            <w:tcW w:w="1614" w:type="dxa"/>
            <w:vAlign w:val="center"/>
          </w:tcPr>
          <w:p w14:paraId="2BA03040"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3B67D5C7"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1980F48F" w14:textId="77777777" w:rsidR="0003217D" w:rsidRPr="003A6E5A" w:rsidRDefault="0003217D" w:rsidP="00C14EE7">
            <w:pPr>
              <w:spacing w:after="0" w:line="240" w:lineRule="auto"/>
              <w:jc w:val="center"/>
              <w:rPr>
                <w:rFonts w:ascii="Times New Roman" w:hAnsi="Times New Roman" w:cs="Times New Roman"/>
                <w:sz w:val="20"/>
                <w:szCs w:val="20"/>
              </w:rPr>
            </w:pPr>
          </w:p>
        </w:tc>
        <w:tc>
          <w:tcPr>
            <w:tcW w:w="1614" w:type="dxa"/>
            <w:vAlign w:val="center"/>
          </w:tcPr>
          <w:p w14:paraId="0332CD72"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-1,588573</w:t>
            </w:r>
            <w:r w:rsidRPr="003A6E5A">
              <w:rPr>
                <w:rFonts w:ascii="Times New Roman" w:hAnsi="Times New Roman" w:cs="Times New Roman"/>
                <w:sz w:val="20"/>
                <w:szCs w:val="20"/>
                <w:vertAlign w:val="superscript"/>
              </w:rPr>
              <w:t>***</w:t>
            </w:r>
          </w:p>
          <w:p w14:paraId="4F004A6E"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(0,2406669)</w:t>
            </w:r>
          </w:p>
        </w:tc>
        <w:tc>
          <w:tcPr>
            <w:tcW w:w="1628" w:type="dxa"/>
            <w:vAlign w:val="center"/>
          </w:tcPr>
          <w:p w14:paraId="59344AC2" w14:textId="77777777" w:rsidR="0003217D" w:rsidRPr="003A6E5A" w:rsidRDefault="0003217D" w:rsidP="00C14EE7">
            <w:pPr>
              <w:spacing w:after="0" w:line="240" w:lineRule="auto"/>
              <w:jc w:val="center"/>
              <w:rPr>
                <w:rFonts w:ascii="Times New Roman" w:hAnsi="Times New Roman" w:cs="Times New Roman"/>
                <w:sz w:val="20"/>
                <w:szCs w:val="20"/>
                <w:lang w:val="kk-KZ"/>
              </w:rPr>
            </w:pPr>
          </w:p>
        </w:tc>
      </w:tr>
      <w:tr w:rsidR="00B02CF8" w:rsidRPr="003A6E5A" w14:paraId="10025EAB" w14:textId="77777777" w:rsidTr="00852E30">
        <w:tc>
          <w:tcPr>
            <w:tcW w:w="7964" w:type="dxa"/>
            <w:gridSpan w:val="5"/>
          </w:tcPr>
          <w:p w14:paraId="0F02D478" w14:textId="77777777" w:rsidR="0003217D" w:rsidRPr="003A6E5A" w:rsidRDefault="00FC275D" w:rsidP="00C14EE7">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Пространственный эффект</w:t>
            </w:r>
          </w:p>
        </w:tc>
        <w:tc>
          <w:tcPr>
            <w:tcW w:w="1628" w:type="dxa"/>
          </w:tcPr>
          <w:p w14:paraId="7A9DBA56" w14:textId="77777777" w:rsidR="0003217D" w:rsidRPr="003A6E5A" w:rsidRDefault="0003217D" w:rsidP="001608EA">
            <w:pPr>
              <w:spacing w:after="0" w:line="240" w:lineRule="auto"/>
              <w:rPr>
                <w:rFonts w:ascii="Times New Roman" w:hAnsi="Times New Roman" w:cs="Times New Roman"/>
                <w:sz w:val="20"/>
                <w:szCs w:val="20"/>
              </w:rPr>
            </w:pPr>
          </w:p>
        </w:tc>
      </w:tr>
      <w:tr w:rsidR="00B02CF8" w:rsidRPr="003A6E5A" w14:paraId="6BE2794C" w14:textId="77777777" w:rsidTr="00C14EE7">
        <w:tc>
          <w:tcPr>
            <w:tcW w:w="1508" w:type="dxa"/>
            <w:vAlign w:val="center"/>
          </w:tcPr>
          <w:p w14:paraId="45F68F7A" w14:textId="30815F7A" w:rsidR="0003217D" w:rsidRPr="003A6E5A" w:rsidRDefault="00C14EE7" w:rsidP="00C14EE7">
            <w:pPr>
              <w:spacing w:after="0" w:line="240" w:lineRule="auto"/>
              <w:jc w:val="center"/>
              <w:rPr>
                <w:rFonts w:ascii="Times New Roman" w:hAnsi="Times New Roman" w:cs="Times New Roman"/>
                <w:i/>
                <w:iCs/>
                <w:sz w:val="20"/>
                <w:szCs w:val="20"/>
              </w:rPr>
            </w:pPr>
            <m:oMathPara>
              <m:oMath>
                <m:r>
                  <w:rPr>
                    <w:rFonts w:ascii="Cambria Math" w:hAnsi="Cambria Math" w:cs="Times New Roman"/>
                    <w:sz w:val="20"/>
                    <w:szCs w:val="20"/>
                  </w:rPr>
                  <m:t>ρ</m:t>
                </m:r>
              </m:oMath>
            </m:oMathPara>
          </w:p>
        </w:tc>
        <w:tc>
          <w:tcPr>
            <w:tcW w:w="1614" w:type="dxa"/>
            <w:vAlign w:val="center"/>
          </w:tcPr>
          <w:p w14:paraId="1EEB0E7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0,5363933</w:t>
            </w:r>
            <w:r w:rsidRPr="003A6E5A">
              <w:rPr>
                <w:rFonts w:ascii="Times New Roman" w:hAnsi="Times New Roman" w:cs="Times New Roman"/>
                <w:sz w:val="20"/>
                <w:szCs w:val="20"/>
                <w:vertAlign w:val="superscript"/>
              </w:rPr>
              <w:t>***</w:t>
            </w:r>
          </w:p>
          <w:p w14:paraId="3A97C31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(0,0695326)</w:t>
            </w:r>
          </w:p>
        </w:tc>
        <w:tc>
          <w:tcPr>
            <w:tcW w:w="1614" w:type="dxa"/>
            <w:vAlign w:val="center"/>
          </w:tcPr>
          <w:p w14:paraId="6B239ECB" w14:textId="77777777" w:rsidR="0003217D" w:rsidRPr="003A6E5A" w:rsidRDefault="00FC275D" w:rsidP="00C14EE7">
            <w:pPr>
              <w:spacing w:after="0" w:line="240" w:lineRule="auto"/>
              <w:jc w:val="center"/>
              <w:rPr>
                <w:rFonts w:ascii="Times New Roman" w:hAnsi="Times New Roman" w:cs="Times New Roman"/>
                <w:sz w:val="20"/>
                <w:szCs w:val="20"/>
                <w:vertAlign w:val="superscript"/>
              </w:rPr>
            </w:pPr>
            <w:r w:rsidRPr="003A6E5A">
              <w:rPr>
                <w:rFonts w:ascii="Times New Roman" w:hAnsi="Times New Roman" w:cs="Times New Roman"/>
                <w:sz w:val="20"/>
                <w:szCs w:val="20"/>
              </w:rPr>
              <w:t>0,5772816</w:t>
            </w:r>
            <w:r w:rsidRPr="003A6E5A">
              <w:rPr>
                <w:rFonts w:ascii="Times New Roman" w:hAnsi="Times New Roman" w:cs="Times New Roman"/>
                <w:sz w:val="20"/>
                <w:szCs w:val="20"/>
                <w:vertAlign w:val="superscript"/>
              </w:rPr>
              <w:t>***</w:t>
            </w:r>
          </w:p>
          <w:p w14:paraId="508FCB5B"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(0,2229169)</w:t>
            </w:r>
          </w:p>
        </w:tc>
        <w:tc>
          <w:tcPr>
            <w:tcW w:w="1614" w:type="dxa"/>
            <w:vAlign w:val="center"/>
          </w:tcPr>
          <w:p w14:paraId="37793468"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0,5772816</w:t>
            </w:r>
            <w:r w:rsidRPr="003A6E5A">
              <w:rPr>
                <w:rFonts w:ascii="Times New Roman" w:hAnsi="Times New Roman" w:cs="Times New Roman"/>
                <w:sz w:val="20"/>
                <w:szCs w:val="20"/>
                <w:vertAlign w:val="superscript"/>
              </w:rPr>
              <w:t>***</w:t>
            </w:r>
          </w:p>
          <w:p w14:paraId="3FDC4529"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(0,2229169)</w:t>
            </w:r>
          </w:p>
        </w:tc>
        <w:tc>
          <w:tcPr>
            <w:tcW w:w="1614" w:type="dxa"/>
            <w:vAlign w:val="center"/>
          </w:tcPr>
          <w:p w14:paraId="00560566"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-0,6877776</w:t>
            </w:r>
            <w:r w:rsidRPr="003A6E5A">
              <w:rPr>
                <w:rFonts w:ascii="Times New Roman" w:hAnsi="Times New Roman" w:cs="Times New Roman"/>
                <w:sz w:val="20"/>
                <w:szCs w:val="20"/>
                <w:vertAlign w:val="superscript"/>
              </w:rPr>
              <w:t>***</w:t>
            </w:r>
          </w:p>
          <w:p w14:paraId="7F19C2D0"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(0,1407859)</w:t>
            </w:r>
          </w:p>
        </w:tc>
        <w:tc>
          <w:tcPr>
            <w:tcW w:w="1628" w:type="dxa"/>
            <w:vAlign w:val="center"/>
          </w:tcPr>
          <w:p w14:paraId="1A539E9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-0,2074728</w:t>
            </w:r>
          </w:p>
          <w:p w14:paraId="14F73CC1"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(0,1404354)</w:t>
            </w:r>
          </w:p>
        </w:tc>
      </w:tr>
      <w:tr w:rsidR="00B02CF8" w:rsidRPr="003A6E5A" w14:paraId="6C17E384" w14:textId="77777777" w:rsidTr="00C14EE7">
        <w:tc>
          <w:tcPr>
            <w:tcW w:w="1508" w:type="dxa"/>
            <w:vAlign w:val="center"/>
          </w:tcPr>
          <w:p w14:paraId="6A5459DC" w14:textId="77777777" w:rsidR="0003217D" w:rsidRPr="003A6E5A" w:rsidRDefault="00790CB1" w:rsidP="00C14EE7">
            <w:pPr>
              <w:spacing w:after="0" w:line="240" w:lineRule="auto"/>
              <w:jc w:val="center"/>
              <w:rPr>
                <w:rFonts w:ascii="Times New Roman" w:hAnsi="Times New Roman" w:cs="Times New Roman"/>
                <w:sz w:val="20"/>
                <w:szCs w:val="20"/>
              </w:rPr>
            </w:pPr>
            <m:oMathPara>
              <m:oMath>
                <m:sSup>
                  <m:sSupPr>
                    <m:ctrlPr>
                      <w:rPr>
                        <w:rFonts w:ascii="Cambria Math" w:hAnsi="Cambria Math" w:cs="Times New Roman"/>
                        <w:bCs/>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1614" w:type="dxa"/>
            <w:vAlign w:val="center"/>
          </w:tcPr>
          <w:p w14:paraId="41083380"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0,4237</w:t>
            </w:r>
          </w:p>
        </w:tc>
        <w:tc>
          <w:tcPr>
            <w:tcW w:w="1614" w:type="dxa"/>
            <w:vAlign w:val="center"/>
          </w:tcPr>
          <w:p w14:paraId="72AC8286"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0,4632</w:t>
            </w:r>
          </w:p>
        </w:tc>
        <w:tc>
          <w:tcPr>
            <w:tcW w:w="1614" w:type="dxa"/>
            <w:vAlign w:val="center"/>
          </w:tcPr>
          <w:p w14:paraId="5F184464"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0,4632</w:t>
            </w:r>
          </w:p>
        </w:tc>
        <w:tc>
          <w:tcPr>
            <w:tcW w:w="1614" w:type="dxa"/>
            <w:vAlign w:val="center"/>
          </w:tcPr>
          <w:p w14:paraId="410497F4"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0,6867</w:t>
            </w:r>
          </w:p>
        </w:tc>
        <w:tc>
          <w:tcPr>
            <w:tcW w:w="1628" w:type="dxa"/>
            <w:vAlign w:val="center"/>
          </w:tcPr>
          <w:p w14:paraId="68464D7F"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0,2718</w:t>
            </w:r>
          </w:p>
        </w:tc>
      </w:tr>
      <w:tr w:rsidR="00B02CF8" w:rsidRPr="003A6E5A" w14:paraId="0F142285" w14:textId="77777777" w:rsidTr="00C14EE7">
        <w:trPr>
          <w:trHeight w:val="90"/>
        </w:trPr>
        <w:tc>
          <w:tcPr>
            <w:tcW w:w="1508" w:type="dxa"/>
            <w:vAlign w:val="center"/>
          </w:tcPr>
          <w:p w14:paraId="6B802BBF" w14:textId="77777777" w:rsidR="0003217D" w:rsidRPr="003A6E5A" w:rsidRDefault="00FC275D" w:rsidP="00C14EE7">
            <w:pPr>
              <w:spacing w:after="0" w:line="240" w:lineRule="auto"/>
              <w:jc w:val="center"/>
              <w:rPr>
                <w:rFonts w:ascii="Cambria Math" w:hAnsi="Cambria Math" w:cs="Times New Roman"/>
                <w:sz w:val="20"/>
                <w:szCs w:val="20"/>
                <w:oMath/>
              </w:rPr>
            </w:pPr>
            <w:r w:rsidRPr="003A6E5A">
              <w:rPr>
                <w:rFonts w:ascii="Times New Roman" w:hAnsi="Times New Roman" w:cs="Times New Roman"/>
                <w:bCs/>
                <w:i/>
                <w:sz w:val="20"/>
                <w:szCs w:val="20"/>
              </w:rPr>
              <w:t>AIC</w:t>
            </w:r>
          </w:p>
        </w:tc>
        <w:tc>
          <w:tcPr>
            <w:tcW w:w="1614" w:type="dxa"/>
            <w:vAlign w:val="center"/>
          </w:tcPr>
          <w:p w14:paraId="2F1B34B3"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-5,234624</w:t>
            </w:r>
          </w:p>
        </w:tc>
        <w:tc>
          <w:tcPr>
            <w:tcW w:w="1614" w:type="dxa"/>
            <w:vAlign w:val="center"/>
          </w:tcPr>
          <w:p w14:paraId="41C189AC"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-95,52099</w:t>
            </w:r>
          </w:p>
        </w:tc>
        <w:tc>
          <w:tcPr>
            <w:tcW w:w="1614" w:type="dxa"/>
            <w:vAlign w:val="center"/>
          </w:tcPr>
          <w:p w14:paraId="38CB72BC"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-69,19698</w:t>
            </w:r>
          </w:p>
        </w:tc>
        <w:tc>
          <w:tcPr>
            <w:tcW w:w="1614" w:type="dxa"/>
            <w:vAlign w:val="center"/>
          </w:tcPr>
          <w:p w14:paraId="6FFD7BAC"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54,38235</w:t>
            </w:r>
          </w:p>
        </w:tc>
        <w:tc>
          <w:tcPr>
            <w:tcW w:w="1628" w:type="dxa"/>
            <w:vAlign w:val="center"/>
          </w:tcPr>
          <w:p w14:paraId="6A7E6C78"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-159,4481</w:t>
            </w:r>
          </w:p>
        </w:tc>
      </w:tr>
      <w:tr w:rsidR="00B02CF8" w:rsidRPr="003A6E5A" w14:paraId="206CDEFB" w14:textId="77777777" w:rsidTr="00C14EE7">
        <w:tc>
          <w:tcPr>
            <w:tcW w:w="1508" w:type="dxa"/>
            <w:vAlign w:val="center"/>
          </w:tcPr>
          <w:p w14:paraId="127D0383" w14:textId="77777777" w:rsidR="0003217D" w:rsidRPr="003A6E5A" w:rsidRDefault="00FC275D" w:rsidP="00C14EE7">
            <w:pPr>
              <w:spacing w:after="0" w:line="240" w:lineRule="auto"/>
              <w:jc w:val="center"/>
              <w:rPr>
                <w:rFonts w:ascii="Cambria Math" w:hAnsi="Cambria Math" w:cs="Times New Roman"/>
                <w:sz w:val="20"/>
                <w:szCs w:val="20"/>
                <w:lang w:val="en-US"/>
                <w:oMath/>
              </w:rPr>
            </w:pPr>
            <w:r w:rsidRPr="003A6E5A">
              <w:rPr>
                <w:rFonts w:ascii="Times New Roman" w:hAnsi="Times New Roman" w:cs="Times New Roman"/>
                <w:bCs/>
                <w:i/>
                <w:sz w:val="20"/>
                <w:szCs w:val="20"/>
                <w:lang w:val="en-US"/>
              </w:rPr>
              <w:t>BIC</w:t>
            </w:r>
          </w:p>
        </w:tc>
        <w:tc>
          <w:tcPr>
            <w:tcW w:w="1614" w:type="dxa"/>
            <w:vAlign w:val="center"/>
          </w:tcPr>
          <w:p w14:paraId="60FC7F18"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19,36677</w:t>
            </w:r>
          </w:p>
        </w:tc>
        <w:tc>
          <w:tcPr>
            <w:tcW w:w="1614" w:type="dxa"/>
            <w:vAlign w:val="center"/>
          </w:tcPr>
          <w:p w14:paraId="51A4B900"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-70,9196</w:t>
            </w:r>
          </w:p>
        </w:tc>
        <w:tc>
          <w:tcPr>
            <w:tcW w:w="1614" w:type="dxa"/>
            <w:vAlign w:val="center"/>
          </w:tcPr>
          <w:p w14:paraId="375A0373"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-45,43847</w:t>
            </w:r>
          </w:p>
        </w:tc>
        <w:tc>
          <w:tcPr>
            <w:tcW w:w="1614" w:type="dxa"/>
            <w:vAlign w:val="center"/>
          </w:tcPr>
          <w:p w14:paraId="13433370" w14:textId="77777777" w:rsidR="0003217D" w:rsidRPr="003A6E5A" w:rsidRDefault="00FC275D" w:rsidP="00C14EE7">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85,13409</w:t>
            </w:r>
          </w:p>
        </w:tc>
        <w:tc>
          <w:tcPr>
            <w:tcW w:w="1628" w:type="dxa"/>
            <w:vAlign w:val="center"/>
          </w:tcPr>
          <w:p w14:paraId="14190F4E" w14:textId="77777777" w:rsidR="0003217D" w:rsidRPr="003A6E5A" w:rsidRDefault="00FC275D" w:rsidP="00C14EE7">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140,997</w:t>
            </w:r>
          </w:p>
        </w:tc>
      </w:tr>
    </w:tbl>
    <w:p w14:paraId="1AA07732" w14:textId="77777777" w:rsidR="00852E30" w:rsidRPr="003A6E5A" w:rsidRDefault="00852E30" w:rsidP="00852E30">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350E13C4" w14:textId="1C6947F9" w:rsidR="0003217D" w:rsidRPr="003A6E5A" w:rsidRDefault="004C4949" w:rsidP="00852E30">
      <w:pPr>
        <w:spacing w:after="0" w:line="240" w:lineRule="auto"/>
        <w:rPr>
          <w:rFonts w:ascii="Times New Roman" w:hAnsi="Times New Roman" w:cs="Times New Roman"/>
          <w:sz w:val="28"/>
          <w:szCs w:val="28"/>
          <w:lang w:val="kk-KZ"/>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bookmarkEnd w:id="34"/>
    <w:p w14:paraId="363060F0" w14:textId="77777777" w:rsidR="00DF46D3" w:rsidRPr="003A6E5A" w:rsidRDefault="00DF46D3" w:rsidP="00EC496D">
      <w:pPr>
        <w:spacing w:after="0" w:line="240" w:lineRule="auto"/>
        <w:ind w:firstLine="709"/>
        <w:jc w:val="both"/>
        <w:rPr>
          <w:rFonts w:ascii="Times New Roman" w:eastAsiaTheme="minorEastAsia" w:hAnsi="Times New Roman" w:cs="Times New Roman"/>
          <w:bCs/>
          <w:sz w:val="28"/>
          <w:szCs w:val="28"/>
          <w:lang w:val="kk-KZ"/>
        </w:rPr>
      </w:pPr>
    </w:p>
    <w:p w14:paraId="0B0C331A" w14:textId="6A400C9A" w:rsidR="00EC496D" w:rsidRPr="003A6E5A" w:rsidRDefault="00FC275D" w:rsidP="00EC496D">
      <w:pPr>
        <w:spacing w:after="0" w:line="240" w:lineRule="auto"/>
        <w:ind w:firstLine="709"/>
        <w:jc w:val="both"/>
        <w:rPr>
          <w:rFonts w:ascii="Times New Roman" w:eastAsiaTheme="minorEastAsia" w:hAnsi="Times New Roman" w:cs="Times New Roman"/>
          <w:bCs/>
          <w:sz w:val="28"/>
          <w:szCs w:val="28"/>
          <w:lang w:val="kk-KZ"/>
        </w:rPr>
      </w:pPr>
      <w:r w:rsidRPr="003A6E5A">
        <w:rPr>
          <w:rFonts w:ascii="Times New Roman" w:eastAsiaTheme="minorEastAsia" w:hAnsi="Times New Roman" w:cs="Times New Roman"/>
          <w:bCs/>
          <w:sz w:val="28"/>
          <w:szCs w:val="28"/>
          <w:lang w:val="kk-KZ"/>
        </w:rPr>
        <w:t xml:space="preserve">Гипотеза о статистически значимом влиянии внутренних затрат на НИОКР в соседних </w:t>
      </w:r>
      <w:r w:rsidR="00A05068" w:rsidRPr="003A6E5A">
        <w:rPr>
          <w:rFonts w:ascii="Times New Roman" w:eastAsiaTheme="minorEastAsia" w:hAnsi="Times New Roman" w:cs="Times New Roman"/>
          <w:bCs/>
          <w:sz w:val="28"/>
          <w:szCs w:val="28"/>
          <w:lang w:val="kk-KZ"/>
        </w:rPr>
        <w:t>областях</w:t>
      </w:r>
      <w:r w:rsidRPr="003A6E5A">
        <w:rPr>
          <w:rFonts w:ascii="Times New Roman" w:eastAsiaTheme="minorEastAsia" w:hAnsi="Times New Roman" w:cs="Times New Roman"/>
          <w:bCs/>
          <w:sz w:val="28"/>
          <w:szCs w:val="28"/>
          <w:lang w:val="kk-KZ"/>
        </w:rPr>
        <w:t xml:space="preserve"> Республики Казахстан на инвестиции в основной капитал конкретного региона не получила эмпирического подтверждения: соответствующий коэффициент оказался незначимым. В то же время отрицательное значение коэффициента при переменной «валовый региональный продукт на душу населения в смежных </w:t>
      </w:r>
      <w:r w:rsidR="00A05068" w:rsidRPr="003A6E5A">
        <w:rPr>
          <w:rFonts w:ascii="Times New Roman" w:eastAsiaTheme="minorEastAsia" w:hAnsi="Times New Roman" w:cs="Times New Roman"/>
          <w:bCs/>
          <w:sz w:val="28"/>
          <w:szCs w:val="28"/>
          <w:lang w:val="kk-KZ"/>
        </w:rPr>
        <w:t>областях</w:t>
      </w:r>
      <w:r w:rsidRPr="003A6E5A">
        <w:rPr>
          <w:rFonts w:ascii="Times New Roman" w:eastAsiaTheme="minorEastAsia" w:hAnsi="Times New Roman" w:cs="Times New Roman"/>
          <w:bCs/>
          <w:sz w:val="28"/>
          <w:szCs w:val="28"/>
          <w:lang w:val="kk-KZ"/>
        </w:rPr>
        <w:t xml:space="preserve">» (-0,37%) указывает на наличие пространственного перераспределительного эффекта, при котором рост экономической активности в одном регионе может сдерживать инвестиционную динамику в соседних </w:t>
      </w:r>
      <w:r w:rsidR="00A05068" w:rsidRPr="003A6E5A">
        <w:rPr>
          <w:rFonts w:ascii="Times New Roman" w:eastAsiaTheme="minorEastAsia" w:hAnsi="Times New Roman" w:cs="Times New Roman"/>
          <w:bCs/>
          <w:sz w:val="28"/>
          <w:szCs w:val="28"/>
          <w:lang w:val="kk-KZ"/>
        </w:rPr>
        <w:t>областях Казахстана</w:t>
      </w:r>
      <w:r w:rsidRPr="003A6E5A">
        <w:rPr>
          <w:rFonts w:ascii="Times New Roman" w:eastAsiaTheme="minorEastAsia" w:hAnsi="Times New Roman" w:cs="Times New Roman"/>
          <w:bCs/>
          <w:sz w:val="28"/>
          <w:szCs w:val="28"/>
          <w:lang w:val="kk-KZ"/>
        </w:rPr>
        <w:t>.</w:t>
      </w:r>
      <w:r w:rsidR="00EC496D" w:rsidRPr="003A6E5A">
        <w:rPr>
          <w:rFonts w:ascii="Times New Roman" w:eastAsiaTheme="minorEastAsia" w:hAnsi="Times New Roman" w:cs="Times New Roman"/>
          <w:bCs/>
          <w:sz w:val="28"/>
          <w:szCs w:val="28"/>
          <w:lang w:val="kk-KZ"/>
        </w:rPr>
        <w:t xml:space="preserve"> </w:t>
      </w:r>
      <w:r w:rsidRPr="003A6E5A">
        <w:rPr>
          <w:rFonts w:ascii="Times New Roman" w:eastAsiaTheme="minorEastAsia" w:hAnsi="Times New Roman" w:cs="Times New Roman"/>
          <w:bCs/>
          <w:sz w:val="28"/>
          <w:szCs w:val="28"/>
          <w:lang w:val="kk-KZ"/>
        </w:rPr>
        <w:t>В то же время положительное значение коэффициента при пространственном лаге зависимой переменной (0,528) подтверждает наличие прямой пространственной зависимости: объем инвестиций в основной капитал в одно</w:t>
      </w:r>
      <w:r w:rsidR="00EC496D" w:rsidRPr="003A6E5A">
        <w:rPr>
          <w:rFonts w:ascii="Times New Roman" w:eastAsiaTheme="minorEastAsia" w:hAnsi="Times New Roman" w:cs="Times New Roman"/>
          <w:bCs/>
          <w:sz w:val="28"/>
          <w:szCs w:val="28"/>
          <w:lang w:val="kk-KZ"/>
        </w:rPr>
        <w:t>й области Казахстана</w:t>
      </w:r>
      <w:r w:rsidRPr="003A6E5A">
        <w:rPr>
          <w:rFonts w:ascii="Times New Roman" w:eastAsiaTheme="minorEastAsia" w:hAnsi="Times New Roman" w:cs="Times New Roman"/>
          <w:bCs/>
          <w:sz w:val="28"/>
          <w:szCs w:val="28"/>
          <w:lang w:val="kk-KZ"/>
        </w:rPr>
        <w:t xml:space="preserve"> положительно коррелирует с аналогичными инвестиционными потоками в соседних субъектах. </w:t>
      </w:r>
      <w:r w:rsidR="00EC496D" w:rsidRPr="003A6E5A">
        <w:rPr>
          <w:rFonts w:ascii="Times New Roman" w:eastAsiaTheme="minorEastAsia" w:hAnsi="Times New Roman" w:cs="Times New Roman"/>
          <w:bCs/>
          <w:sz w:val="28"/>
          <w:szCs w:val="28"/>
          <w:lang w:val="kk-KZ"/>
        </w:rPr>
        <w:t>Данный результат</w:t>
      </w:r>
      <w:r w:rsidRPr="003A6E5A">
        <w:rPr>
          <w:rFonts w:ascii="Times New Roman" w:eastAsiaTheme="minorEastAsia" w:hAnsi="Times New Roman" w:cs="Times New Roman"/>
          <w:bCs/>
          <w:sz w:val="28"/>
          <w:szCs w:val="28"/>
          <w:lang w:val="kk-KZ"/>
        </w:rPr>
        <w:t xml:space="preserve"> согласуется с гипотезой о наличии кластеризации инвестиционной активности и межрегионального мультипликативного эффекта.</w:t>
      </w:r>
    </w:p>
    <w:p w14:paraId="7379B28E" w14:textId="77777777" w:rsidR="00EC496D" w:rsidRPr="003A6E5A" w:rsidRDefault="00FC275D" w:rsidP="00EC496D">
      <w:pPr>
        <w:spacing w:after="0" w:line="240" w:lineRule="auto"/>
        <w:ind w:firstLine="709"/>
        <w:jc w:val="both"/>
        <w:rPr>
          <w:rFonts w:ascii="Times New Roman" w:eastAsiaTheme="minorEastAsia" w:hAnsi="Times New Roman" w:cs="Times New Roman"/>
          <w:bCs/>
          <w:sz w:val="28"/>
          <w:szCs w:val="28"/>
          <w:lang w:val="kk-KZ"/>
        </w:rPr>
      </w:pPr>
      <w:r w:rsidRPr="003A6E5A">
        <w:rPr>
          <w:rFonts w:ascii="Times New Roman" w:eastAsiaTheme="minorEastAsia" w:hAnsi="Times New Roman" w:cs="Times New Roman"/>
          <w:bCs/>
          <w:sz w:val="28"/>
          <w:szCs w:val="28"/>
          <w:lang w:val="kk-KZ"/>
        </w:rPr>
        <w:lastRenderedPageBreak/>
        <w:t xml:space="preserve">Модель (6), отличающаяся от модели (5) использованием спецификации с фиксированными эффектами вместо случайных, предполагает, что неизменные во времени характеристики </w:t>
      </w:r>
      <w:r w:rsidR="00EC496D" w:rsidRPr="003A6E5A">
        <w:rPr>
          <w:rFonts w:ascii="Times New Roman" w:eastAsiaTheme="minorEastAsia" w:hAnsi="Times New Roman" w:cs="Times New Roman"/>
          <w:bCs/>
          <w:sz w:val="28"/>
          <w:szCs w:val="28"/>
          <w:lang w:val="kk-KZ"/>
        </w:rPr>
        <w:t>областей Казахстана</w:t>
      </w:r>
      <w:r w:rsidRPr="003A6E5A">
        <w:rPr>
          <w:rFonts w:ascii="Times New Roman" w:eastAsiaTheme="minorEastAsia" w:hAnsi="Times New Roman" w:cs="Times New Roman"/>
          <w:bCs/>
          <w:sz w:val="28"/>
          <w:szCs w:val="28"/>
          <w:lang w:val="kk-KZ"/>
        </w:rPr>
        <w:t xml:space="preserve"> (например, институциональная среда, налоговая политика, инфраструктура) являются детерминированными и контролируются в рамках модели. В этой модификации переменная «количество предприятий, осуществляющих НИОКР» приобрела статистическую значимость, при этом её коэффициент составил 0,14%, что указывает на умеренное положительное влияние данного показателя на уровень инвестиций. Остальные ключевые детерминанты </w:t>
      </w:r>
      <w:r w:rsidR="00EC496D" w:rsidRPr="003A6E5A">
        <w:rPr>
          <w:rFonts w:ascii="Times New Roman" w:eastAsiaTheme="minorEastAsia" w:hAnsi="Times New Roman" w:cs="Times New Roman"/>
          <w:bCs/>
          <w:sz w:val="28"/>
          <w:szCs w:val="28"/>
        </w:rPr>
        <w:t>(</w:t>
      </w:r>
      <w:r w:rsidRPr="003A6E5A">
        <w:rPr>
          <w:rFonts w:ascii="Times New Roman" w:eastAsiaTheme="minorEastAsia" w:hAnsi="Times New Roman" w:cs="Times New Roman"/>
          <w:bCs/>
          <w:sz w:val="28"/>
          <w:szCs w:val="28"/>
          <w:lang w:val="kk-KZ"/>
        </w:rPr>
        <w:t>ВРП на душу населения и внутренние затраты на НИОКР</w:t>
      </w:r>
      <w:r w:rsidR="00EC496D" w:rsidRPr="003A6E5A">
        <w:rPr>
          <w:rFonts w:ascii="Times New Roman" w:eastAsiaTheme="minorEastAsia" w:hAnsi="Times New Roman" w:cs="Times New Roman"/>
          <w:bCs/>
          <w:sz w:val="28"/>
          <w:szCs w:val="28"/>
          <w:lang w:val="kk-KZ"/>
        </w:rPr>
        <w:t>)</w:t>
      </w:r>
      <w:r w:rsidRPr="003A6E5A">
        <w:rPr>
          <w:rFonts w:ascii="Times New Roman" w:eastAsiaTheme="minorEastAsia" w:hAnsi="Times New Roman" w:cs="Times New Roman"/>
          <w:bCs/>
          <w:sz w:val="28"/>
          <w:szCs w:val="28"/>
          <w:lang w:val="kk-KZ"/>
        </w:rPr>
        <w:t xml:space="preserve"> сохранили прежние значения (0,41% и 0,112% соответственно). Однако рост числа НИОКР-активных предприятий в соседних </w:t>
      </w:r>
      <w:r w:rsidR="00EC496D" w:rsidRPr="003A6E5A">
        <w:rPr>
          <w:rFonts w:ascii="Times New Roman" w:eastAsiaTheme="minorEastAsia" w:hAnsi="Times New Roman" w:cs="Times New Roman"/>
          <w:bCs/>
          <w:sz w:val="28"/>
          <w:szCs w:val="28"/>
          <w:lang w:val="kk-KZ"/>
        </w:rPr>
        <w:t>областях</w:t>
      </w:r>
      <w:r w:rsidRPr="003A6E5A">
        <w:rPr>
          <w:rFonts w:ascii="Times New Roman" w:eastAsiaTheme="minorEastAsia" w:hAnsi="Times New Roman" w:cs="Times New Roman"/>
          <w:bCs/>
          <w:sz w:val="28"/>
          <w:szCs w:val="28"/>
          <w:lang w:val="kk-KZ"/>
        </w:rPr>
        <w:t xml:space="preserve"> продемонстрировал</w:t>
      </w:r>
      <w:r w:rsidR="00EC496D" w:rsidRPr="003A6E5A">
        <w:rPr>
          <w:rFonts w:ascii="Times New Roman" w:eastAsiaTheme="minorEastAsia" w:hAnsi="Times New Roman" w:cs="Times New Roman"/>
          <w:bCs/>
          <w:sz w:val="28"/>
          <w:szCs w:val="28"/>
          <w:lang w:val="kk-KZ"/>
        </w:rPr>
        <w:t>и</w:t>
      </w:r>
      <w:r w:rsidRPr="003A6E5A">
        <w:rPr>
          <w:rFonts w:ascii="Times New Roman" w:eastAsiaTheme="minorEastAsia" w:hAnsi="Times New Roman" w:cs="Times New Roman"/>
          <w:bCs/>
          <w:sz w:val="28"/>
          <w:szCs w:val="28"/>
          <w:lang w:val="kk-KZ"/>
        </w:rPr>
        <w:t xml:space="preserve"> отрицательное воздействие на локальные инвестиции, что выразилось в значении коэффициента -0,43%. Несмотря на усложнение модели, прирост коэффициента детерминации оказался незначительным.</w:t>
      </w:r>
    </w:p>
    <w:p w14:paraId="450454BA" w14:textId="2489AF67" w:rsidR="0003217D" w:rsidRPr="003A6E5A" w:rsidRDefault="00FC275D" w:rsidP="00383813">
      <w:pPr>
        <w:spacing w:after="0" w:line="240" w:lineRule="auto"/>
        <w:ind w:firstLine="709"/>
        <w:jc w:val="both"/>
        <w:rPr>
          <w:rFonts w:ascii="Times New Roman" w:eastAsiaTheme="minorEastAsia" w:hAnsi="Times New Roman" w:cs="Times New Roman"/>
          <w:bCs/>
          <w:sz w:val="28"/>
          <w:szCs w:val="28"/>
          <w:lang w:val="kk-KZ"/>
        </w:rPr>
      </w:pPr>
      <w:r w:rsidRPr="003A6E5A">
        <w:rPr>
          <w:rFonts w:ascii="Times New Roman" w:eastAsiaTheme="minorEastAsia" w:hAnsi="Times New Roman" w:cs="Times New Roman"/>
          <w:bCs/>
          <w:sz w:val="28"/>
          <w:szCs w:val="28"/>
          <w:lang w:val="kk-KZ"/>
        </w:rPr>
        <w:t xml:space="preserve">Модель (7) была оценена с использованием модифицированного метода Ли-Ю, что позволило скорректировать потенциальное смещение оценок в условиях пространственной зависимости и гетероскедастичности. Применение данного подхода привело к снижению значений информационных критериев Акаике и Байеса, однако качественные изменения в интерпретации параметров остались минимальными. Существенное улучшение модели было достигнуто за счёт включения временных эффектов в спецификацию пространственной модели Дарбина, что позволило увеличить коэффициент детерминации до 69%. </w:t>
      </w:r>
      <w:r w:rsidR="00EC496D" w:rsidRPr="003A6E5A">
        <w:rPr>
          <w:rFonts w:ascii="Times New Roman" w:eastAsiaTheme="minorEastAsia" w:hAnsi="Times New Roman" w:cs="Times New Roman"/>
          <w:bCs/>
          <w:sz w:val="28"/>
          <w:szCs w:val="28"/>
          <w:lang w:val="kk-KZ"/>
        </w:rPr>
        <w:t>Полученый результат</w:t>
      </w:r>
      <w:r w:rsidRPr="003A6E5A">
        <w:rPr>
          <w:rFonts w:ascii="Times New Roman" w:eastAsiaTheme="minorEastAsia" w:hAnsi="Times New Roman" w:cs="Times New Roman"/>
          <w:bCs/>
          <w:sz w:val="28"/>
          <w:szCs w:val="28"/>
          <w:lang w:val="kk-KZ"/>
        </w:rPr>
        <w:t xml:space="preserve"> свидетельствует о том, что совокупное воздействие ВРП на душу населения, внутренних затрат на НИОКР, объема инновационной продукции и уровня инновационной активности объясняет почти 70% вариации инвестиций в основной капитал </w:t>
      </w:r>
      <w:r w:rsidR="00EC496D" w:rsidRPr="003A6E5A">
        <w:rPr>
          <w:rFonts w:ascii="Times New Roman" w:eastAsiaTheme="minorEastAsia" w:hAnsi="Times New Roman" w:cs="Times New Roman"/>
          <w:bCs/>
          <w:sz w:val="28"/>
          <w:szCs w:val="28"/>
          <w:lang w:val="kk-KZ"/>
        </w:rPr>
        <w:t>в областях Республики Казахстан</w:t>
      </w:r>
      <w:r w:rsidRPr="003A6E5A">
        <w:rPr>
          <w:rFonts w:ascii="Times New Roman" w:eastAsiaTheme="minorEastAsia" w:hAnsi="Times New Roman" w:cs="Times New Roman"/>
          <w:bCs/>
          <w:sz w:val="28"/>
          <w:szCs w:val="28"/>
          <w:lang w:val="kk-KZ"/>
        </w:rPr>
        <w:t>.</w:t>
      </w:r>
      <w:r w:rsidR="00F32D06" w:rsidRPr="003A6E5A">
        <w:rPr>
          <w:rFonts w:ascii="Times New Roman" w:eastAsiaTheme="minorEastAsia" w:hAnsi="Times New Roman" w:cs="Times New Roman"/>
          <w:bCs/>
          <w:sz w:val="28"/>
          <w:szCs w:val="28"/>
          <w:lang w:val="kk-KZ"/>
        </w:rPr>
        <w:t xml:space="preserve"> </w:t>
      </w:r>
      <w:r w:rsidRPr="003A6E5A">
        <w:rPr>
          <w:rFonts w:ascii="Times New Roman" w:eastAsiaTheme="minorEastAsia" w:hAnsi="Times New Roman" w:cs="Times New Roman"/>
          <w:bCs/>
          <w:sz w:val="28"/>
          <w:szCs w:val="28"/>
          <w:lang w:val="kk-KZ"/>
        </w:rPr>
        <w:t>Следует, однако, отметить, что коэффициент при переменной «инновационная активность предприятий» оказался статистически значимым, но отрицательным, что противоречит теоретическим ожиданиям и требует дополнительного анализа. Одновременно удалось выявить статистически значимое</w:t>
      </w:r>
      <w:r w:rsidR="00F32D06" w:rsidRPr="003A6E5A">
        <w:rPr>
          <w:rFonts w:ascii="Times New Roman" w:eastAsiaTheme="minorEastAsia" w:hAnsi="Times New Roman" w:cs="Times New Roman"/>
          <w:bCs/>
          <w:sz w:val="28"/>
          <w:szCs w:val="28"/>
          <w:lang w:val="kk-KZ"/>
        </w:rPr>
        <w:t xml:space="preserve"> </w:t>
      </w:r>
      <w:r w:rsidRPr="003A6E5A">
        <w:rPr>
          <w:rFonts w:ascii="Times New Roman" w:eastAsiaTheme="minorEastAsia" w:hAnsi="Times New Roman" w:cs="Times New Roman"/>
          <w:bCs/>
          <w:sz w:val="28"/>
          <w:szCs w:val="28"/>
          <w:lang w:val="kk-KZ"/>
        </w:rPr>
        <w:t xml:space="preserve">положительное влияние внутренних затрат на НИОКР в смежных </w:t>
      </w:r>
      <w:r w:rsidR="00F32D06" w:rsidRPr="003A6E5A">
        <w:rPr>
          <w:rFonts w:ascii="Times New Roman" w:eastAsiaTheme="minorEastAsia" w:hAnsi="Times New Roman" w:cs="Times New Roman"/>
          <w:bCs/>
          <w:sz w:val="28"/>
          <w:szCs w:val="28"/>
          <w:lang w:val="kk-KZ"/>
        </w:rPr>
        <w:t>областях</w:t>
      </w:r>
      <w:r w:rsidRPr="003A6E5A">
        <w:rPr>
          <w:rFonts w:ascii="Times New Roman" w:eastAsiaTheme="minorEastAsia" w:hAnsi="Times New Roman" w:cs="Times New Roman"/>
          <w:bCs/>
          <w:sz w:val="28"/>
          <w:szCs w:val="28"/>
          <w:lang w:val="kk-KZ"/>
        </w:rPr>
        <w:t xml:space="preserve"> на уровень инвестиций в анализируемо</w:t>
      </w:r>
      <w:r w:rsidR="00F32D06" w:rsidRPr="003A6E5A">
        <w:rPr>
          <w:rFonts w:ascii="Times New Roman" w:eastAsiaTheme="minorEastAsia" w:hAnsi="Times New Roman" w:cs="Times New Roman"/>
          <w:bCs/>
          <w:sz w:val="28"/>
          <w:szCs w:val="28"/>
          <w:lang w:val="kk-KZ"/>
        </w:rPr>
        <w:t>й области Казахстана</w:t>
      </w:r>
      <w:r w:rsidRPr="003A6E5A">
        <w:rPr>
          <w:rFonts w:ascii="Times New Roman" w:eastAsiaTheme="minorEastAsia" w:hAnsi="Times New Roman" w:cs="Times New Roman"/>
          <w:bCs/>
          <w:sz w:val="28"/>
          <w:szCs w:val="28"/>
          <w:lang w:val="kk-KZ"/>
        </w:rPr>
        <w:t>.</w:t>
      </w:r>
      <w:r w:rsidR="00383813" w:rsidRPr="003A6E5A">
        <w:rPr>
          <w:rFonts w:ascii="Times New Roman" w:eastAsiaTheme="minorEastAsia" w:hAnsi="Times New Roman" w:cs="Times New Roman"/>
          <w:bCs/>
          <w:sz w:val="28"/>
          <w:szCs w:val="28"/>
          <w:lang w:val="kk-KZ"/>
        </w:rPr>
        <w:t xml:space="preserve"> </w:t>
      </w:r>
      <w:r w:rsidRPr="003A6E5A">
        <w:rPr>
          <w:rFonts w:ascii="Times New Roman" w:eastAsiaTheme="minorEastAsia" w:hAnsi="Times New Roman" w:cs="Times New Roman"/>
          <w:bCs/>
          <w:sz w:val="28"/>
          <w:szCs w:val="28"/>
          <w:lang w:val="kk-KZ"/>
        </w:rPr>
        <w:t>Таким образом, пространственные лаги зависимой переменной в моделях 5</w:t>
      </w:r>
      <w:r w:rsidR="00D271B2" w:rsidRPr="003A6E5A">
        <w:rPr>
          <w:rFonts w:ascii="Times New Roman" w:eastAsiaTheme="minorEastAsia" w:hAnsi="Times New Roman" w:cs="Times New Roman"/>
          <w:bCs/>
          <w:sz w:val="28"/>
          <w:szCs w:val="28"/>
          <w:lang w:val="kk-KZ"/>
        </w:rPr>
        <w:t>-</w:t>
      </w:r>
      <w:r w:rsidRPr="003A6E5A">
        <w:rPr>
          <w:rFonts w:ascii="Times New Roman" w:eastAsiaTheme="minorEastAsia" w:hAnsi="Times New Roman" w:cs="Times New Roman"/>
          <w:bCs/>
          <w:sz w:val="28"/>
          <w:szCs w:val="28"/>
          <w:lang w:val="kk-KZ"/>
        </w:rPr>
        <w:t xml:space="preserve">7 подтверждают наличие положительной межрегиональной инвестиционной зависимости (в пределах от 0,54% до 0,58%). Однако включение временных эффектов в моделях 8 и 9 трансформирует данный результат: при прочих равных условиях 1%-ный рост инвестиций в основной капитал в соседних </w:t>
      </w:r>
      <w:r w:rsidR="00383813" w:rsidRPr="003A6E5A">
        <w:rPr>
          <w:rFonts w:ascii="Times New Roman" w:eastAsiaTheme="minorEastAsia" w:hAnsi="Times New Roman" w:cs="Times New Roman"/>
          <w:bCs/>
          <w:sz w:val="28"/>
          <w:szCs w:val="28"/>
          <w:lang w:val="kk-KZ"/>
        </w:rPr>
        <w:t>областях Казахстана</w:t>
      </w:r>
      <w:r w:rsidRPr="003A6E5A">
        <w:rPr>
          <w:rFonts w:ascii="Times New Roman" w:eastAsiaTheme="minorEastAsia" w:hAnsi="Times New Roman" w:cs="Times New Roman"/>
          <w:bCs/>
          <w:sz w:val="28"/>
          <w:szCs w:val="28"/>
          <w:lang w:val="kk-KZ"/>
        </w:rPr>
        <w:t xml:space="preserve"> ассоциируется с их снижением в анализируемо</w:t>
      </w:r>
      <w:r w:rsidR="00383813" w:rsidRPr="003A6E5A">
        <w:rPr>
          <w:rFonts w:ascii="Times New Roman" w:eastAsiaTheme="minorEastAsia" w:hAnsi="Times New Roman" w:cs="Times New Roman"/>
          <w:bCs/>
          <w:sz w:val="28"/>
          <w:szCs w:val="28"/>
          <w:lang w:val="kk-KZ"/>
        </w:rPr>
        <w:t>й области</w:t>
      </w:r>
      <w:r w:rsidRPr="003A6E5A">
        <w:rPr>
          <w:rFonts w:ascii="Times New Roman" w:eastAsiaTheme="minorEastAsia" w:hAnsi="Times New Roman" w:cs="Times New Roman"/>
          <w:bCs/>
          <w:sz w:val="28"/>
          <w:szCs w:val="28"/>
          <w:lang w:val="kk-KZ"/>
        </w:rPr>
        <w:t xml:space="preserve"> на величину от -0,21% до -0,69%</w:t>
      </w:r>
      <w:r w:rsidR="00383813" w:rsidRPr="003A6E5A">
        <w:rPr>
          <w:rFonts w:ascii="Times New Roman" w:eastAsiaTheme="minorEastAsia" w:hAnsi="Times New Roman" w:cs="Times New Roman"/>
          <w:bCs/>
          <w:sz w:val="28"/>
          <w:szCs w:val="28"/>
          <w:lang w:val="kk-KZ"/>
        </w:rPr>
        <w:t>,</w:t>
      </w:r>
      <w:r w:rsidRPr="003A6E5A">
        <w:rPr>
          <w:rFonts w:ascii="Times New Roman" w:eastAsiaTheme="minorEastAsia" w:hAnsi="Times New Roman" w:cs="Times New Roman"/>
          <w:bCs/>
          <w:sz w:val="28"/>
          <w:szCs w:val="28"/>
          <w:lang w:val="kk-KZ"/>
        </w:rPr>
        <w:t xml:space="preserve"> свидетельств</w:t>
      </w:r>
      <w:r w:rsidR="00383813" w:rsidRPr="003A6E5A">
        <w:rPr>
          <w:rFonts w:ascii="Times New Roman" w:eastAsiaTheme="minorEastAsia" w:hAnsi="Times New Roman" w:cs="Times New Roman"/>
          <w:bCs/>
          <w:sz w:val="28"/>
          <w:szCs w:val="28"/>
          <w:lang w:val="kk-KZ"/>
        </w:rPr>
        <w:t>уя</w:t>
      </w:r>
      <w:r w:rsidRPr="003A6E5A">
        <w:rPr>
          <w:rFonts w:ascii="Times New Roman" w:eastAsiaTheme="minorEastAsia" w:hAnsi="Times New Roman" w:cs="Times New Roman"/>
          <w:bCs/>
          <w:sz w:val="28"/>
          <w:szCs w:val="28"/>
          <w:lang w:val="kk-KZ"/>
        </w:rPr>
        <w:t xml:space="preserve"> о потенциальном эффекте инвестиционного вытеснения и межрегиональной конкуренции за ресурсы, что необходимо учитывать при разработке сбалансированной региональной инвестиционной политики.</w:t>
      </w:r>
    </w:p>
    <w:p w14:paraId="1AF15D54" w14:textId="77777777" w:rsidR="0062430A" w:rsidRPr="003A6E5A" w:rsidRDefault="0062430A" w:rsidP="0062430A">
      <w:pPr>
        <w:spacing w:after="0" w:line="240" w:lineRule="auto"/>
        <w:jc w:val="both"/>
        <w:rPr>
          <w:rFonts w:ascii="Times New Roman" w:eastAsiaTheme="minorEastAsia" w:hAnsi="Times New Roman" w:cs="Times New Roman"/>
          <w:bCs/>
          <w:sz w:val="28"/>
          <w:szCs w:val="28"/>
        </w:rPr>
      </w:pPr>
    </w:p>
    <w:p w14:paraId="11B3C33C" w14:textId="07787A72"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Таблица </w:t>
      </w:r>
      <w:r w:rsidR="003D43A8" w:rsidRPr="003A6E5A">
        <w:rPr>
          <w:rFonts w:ascii="Times New Roman" w:hAnsi="Times New Roman" w:cs="Times New Roman"/>
          <w:sz w:val="28"/>
          <w:szCs w:val="28"/>
        </w:rPr>
        <w:t>1</w:t>
      </w:r>
      <w:r w:rsidR="00DA42F3" w:rsidRPr="003A6E5A">
        <w:rPr>
          <w:rFonts w:ascii="Times New Roman" w:hAnsi="Times New Roman" w:cs="Times New Roman"/>
          <w:sz w:val="28"/>
          <w:szCs w:val="28"/>
        </w:rPr>
        <w:t>4</w:t>
      </w:r>
      <w:r w:rsidRPr="003A6E5A">
        <w:rPr>
          <w:rFonts w:ascii="Times New Roman" w:hAnsi="Times New Roman" w:cs="Times New Roman"/>
          <w:sz w:val="28"/>
          <w:szCs w:val="28"/>
        </w:rPr>
        <w:t>. Оценки коэффициентов по пространственным моделям Дарбина и авторегрессионным моделям со случайными и фиксированными эффектами</w:t>
      </w:r>
    </w:p>
    <w:tbl>
      <w:tblPr>
        <w:tblStyle w:val="ac"/>
        <w:tblW w:w="0" w:type="auto"/>
        <w:tblLook w:val="04A0" w:firstRow="1" w:lastRow="0" w:firstColumn="1" w:lastColumn="0" w:noHBand="0" w:noVBand="1"/>
      </w:tblPr>
      <w:tblGrid>
        <w:gridCol w:w="1455"/>
        <w:gridCol w:w="1601"/>
        <w:gridCol w:w="1634"/>
        <w:gridCol w:w="1634"/>
        <w:gridCol w:w="1634"/>
        <w:gridCol w:w="1634"/>
      </w:tblGrid>
      <w:tr w:rsidR="00B02CF8" w:rsidRPr="003A6E5A" w14:paraId="3CB8C682" w14:textId="77777777" w:rsidTr="00EF61F5">
        <w:tc>
          <w:tcPr>
            <w:tcW w:w="1455" w:type="dxa"/>
            <w:vMerge w:val="restart"/>
          </w:tcPr>
          <w:p w14:paraId="385593D0"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Регрессор</w:t>
            </w:r>
          </w:p>
          <w:p w14:paraId="172DED00" w14:textId="7AE3A3BA"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(логарифмы)</w:t>
            </w:r>
          </w:p>
        </w:tc>
        <w:tc>
          <w:tcPr>
            <w:tcW w:w="1601" w:type="dxa"/>
          </w:tcPr>
          <w:p w14:paraId="57E9D431"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Дарбина без эффектов</w:t>
            </w:r>
          </w:p>
          <w:p w14:paraId="407E48AC"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634" w:type="dxa"/>
          </w:tcPr>
          <w:p w14:paraId="47B6C567"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авторегрессионная модель со случайными эффектами</w:t>
            </w:r>
          </w:p>
          <w:p w14:paraId="49BFCEDE"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634" w:type="dxa"/>
          </w:tcPr>
          <w:p w14:paraId="5E6FFB4E"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авторегрессионная модель с фиксироваными эффектами</w:t>
            </w:r>
          </w:p>
          <w:p w14:paraId="0908C551" w14:textId="77777777" w:rsidR="0003217D" w:rsidRPr="003A6E5A" w:rsidRDefault="00FC275D" w:rsidP="00EF61F5">
            <w:pPr>
              <w:spacing w:after="0" w:line="240" w:lineRule="auto"/>
              <w:jc w:val="center"/>
              <w:rPr>
                <w:rFonts w:ascii="Times New Roman" w:hAnsi="Times New Roman" w:cs="Times New Roman"/>
                <w:b/>
                <w:bCs/>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634" w:type="dxa"/>
          </w:tcPr>
          <w:p w14:paraId="30867012"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авторегрессионная модель с фиксироваными эффектами по методу Ли Ю (2010)</w:t>
            </w:r>
          </w:p>
          <w:p w14:paraId="30862C7F" w14:textId="77777777" w:rsidR="0003217D" w:rsidRPr="003A6E5A" w:rsidRDefault="00FC275D" w:rsidP="00EF61F5">
            <w:pPr>
              <w:spacing w:after="0" w:line="240" w:lineRule="auto"/>
              <w:jc w:val="center"/>
              <w:rPr>
                <w:rFonts w:ascii="Times New Roman" w:hAnsi="Times New Roman" w:cs="Times New Roman"/>
                <w:b/>
                <w:bCs/>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m:t>
              </m:r>
              <m:r>
                <m:rPr>
                  <m:sty m:val="p"/>
                </m:rPr>
                <w:rPr>
                  <w:rFonts w:ascii="Cambria Math" w:hAnsi="Cambria Math" w:cs="Times New Roman"/>
                  <w:sz w:val="20"/>
                  <w:szCs w:val="20"/>
                  <w:lang w:val="en-US"/>
                </w:rPr>
                <m:t>44</m:t>
              </m:r>
            </m:oMath>
            <w:r w:rsidRPr="003A6E5A">
              <w:rPr>
                <w:rFonts w:ascii="Times New Roman" w:hAnsi="Times New Roman" w:cs="Times New Roman"/>
                <w:sz w:val="20"/>
                <w:szCs w:val="20"/>
              </w:rPr>
              <w:t>)</w:t>
            </w:r>
          </w:p>
        </w:tc>
        <w:tc>
          <w:tcPr>
            <w:tcW w:w="1634" w:type="dxa"/>
          </w:tcPr>
          <w:p w14:paraId="2665C254"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авторегрессионная модель с временными фиксированными эффектами</w:t>
            </w:r>
          </w:p>
          <w:p w14:paraId="28DCE137"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r>
      <w:tr w:rsidR="00B02CF8" w:rsidRPr="003A6E5A" w14:paraId="69146C51" w14:textId="77777777" w:rsidTr="007364DE">
        <w:tc>
          <w:tcPr>
            <w:tcW w:w="1455" w:type="dxa"/>
            <w:vMerge/>
          </w:tcPr>
          <w:p w14:paraId="17A446AA" w14:textId="77777777" w:rsidR="0003217D" w:rsidRPr="003A6E5A" w:rsidRDefault="0003217D" w:rsidP="00EF61F5">
            <w:pPr>
              <w:spacing w:after="0" w:line="240" w:lineRule="auto"/>
              <w:jc w:val="center"/>
              <w:rPr>
                <w:rFonts w:ascii="Times New Roman" w:hAnsi="Times New Roman" w:cs="Times New Roman"/>
                <w:sz w:val="20"/>
                <w:szCs w:val="20"/>
              </w:rPr>
            </w:pPr>
          </w:p>
        </w:tc>
        <w:tc>
          <w:tcPr>
            <w:tcW w:w="1601" w:type="dxa"/>
            <w:vAlign w:val="center"/>
          </w:tcPr>
          <w:p w14:paraId="1437AEA5"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(10)</w:t>
            </w:r>
          </w:p>
        </w:tc>
        <w:tc>
          <w:tcPr>
            <w:tcW w:w="1634" w:type="dxa"/>
            <w:vAlign w:val="center"/>
          </w:tcPr>
          <w:p w14:paraId="37339CF9"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(11)</w:t>
            </w:r>
          </w:p>
        </w:tc>
        <w:tc>
          <w:tcPr>
            <w:tcW w:w="1634" w:type="dxa"/>
            <w:vAlign w:val="center"/>
          </w:tcPr>
          <w:p w14:paraId="5219DCAA"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(12)</w:t>
            </w:r>
          </w:p>
        </w:tc>
        <w:tc>
          <w:tcPr>
            <w:tcW w:w="1634" w:type="dxa"/>
            <w:vAlign w:val="center"/>
          </w:tcPr>
          <w:p w14:paraId="4533484A"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(13)</w:t>
            </w:r>
          </w:p>
        </w:tc>
        <w:tc>
          <w:tcPr>
            <w:tcW w:w="1634" w:type="dxa"/>
            <w:vAlign w:val="center"/>
          </w:tcPr>
          <w:p w14:paraId="5B691340"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(14)</w:t>
            </w:r>
          </w:p>
        </w:tc>
      </w:tr>
      <w:tr w:rsidR="00B02CF8" w:rsidRPr="003A6E5A" w14:paraId="56436069" w14:textId="77777777" w:rsidTr="00E72911">
        <w:tc>
          <w:tcPr>
            <w:tcW w:w="9592" w:type="dxa"/>
            <w:gridSpan w:val="6"/>
            <w:vAlign w:val="center"/>
          </w:tcPr>
          <w:p w14:paraId="4F8C591C" w14:textId="77777777" w:rsidR="0003217D" w:rsidRPr="003A6E5A" w:rsidRDefault="00FC275D" w:rsidP="00E72911">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Зависимая переменная: инвестиции в основной капитал (логарифм)</w:t>
            </w:r>
          </w:p>
        </w:tc>
      </w:tr>
      <w:tr w:rsidR="00B02CF8" w:rsidRPr="003A6E5A" w14:paraId="4D64A01A" w14:textId="77777777" w:rsidTr="00E0153B">
        <w:tc>
          <w:tcPr>
            <w:tcW w:w="9592" w:type="dxa"/>
            <w:gridSpan w:val="6"/>
          </w:tcPr>
          <w:p w14:paraId="71D682CB"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Основной эффект</w:t>
            </w:r>
          </w:p>
        </w:tc>
      </w:tr>
      <w:tr w:rsidR="00B02CF8" w:rsidRPr="003A6E5A" w14:paraId="0398D2F2" w14:textId="77777777" w:rsidTr="009E4507">
        <w:tc>
          <w:tcPr>
            <w:tcW w:w="1455" w:type="dxa"/>
            <w:vAlign w:val="center"/>
          </w:tcPr>
          <w:p w14:paraId="285EF71D" w14:textId="77777777" w:rsidR="0003217D" w:rsidRPr="003A6E5A" w:rsidRDefault="00FC275D" w:rsidP="009E4507">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lang w:val="kk-KZ"/>
              </w:rPr>
              <w:t>Валовый региональный продукт на душу населения</w:t>
            </w:r>
          </w:p>
        </w:tc>
        <w:tc>
          <w:tcPr>
            <w:tcW w:w="1601" w:type="dxa"/>
            <w:vAlign w:val="center"/>
          </w:tcPr>
          <w:p w14:paraId="5E3ADC10"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0,4205118</w:t>
            </w:r>
            <w:r w:rsidRPr="003A6E5A">
              <w:rPr>
                <w:rFonts w:ascii="Times New Roman" w:hAnsi="Times New Roman" w:cs="Times New Roman"/>
                <w:sz w:val="20"/>
                <w:szCs w:val="20"/>
                <w:vertAlign w:val="superscript"/>
              </w:rPr>
              <w:t>***</w:t>
            </w:r>
          </w:p>
          <w:p w14:paraId="13194B6D"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(0,0964887)</w:t>
            </w:r>
          </w:p>
        </w:tc>
        <w:tc>
          <w:tcPr>
            <w:tcW w:w="1634" w:type="dxa"/>
            <w:vAlign w:val="center"/>
          </w:tcPr>
          <w:p w14:paraId="4C6F4081"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630A7FA2"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24CF63D6"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4335D77E" w14:textId="77777777" w:rsidR="0003217D" w:rsidRPr="003A6E5A" w:rsidRDefault="0003217D" w:rsidP="007364DE">
            <w:pPr>
              <w:spacing w:after="0" w:line="240" w:lineRule="auto"/>
              <w:jc w:val="center"/>
              <w:rPr>
                <w:rFonts w:ascii="Times New Roman" w:hAnsi="Times New Roman" w:cs="Times New Roman"/>
                <w:sz w:val="20"/>
                <w:szCs w:val="20"/>
              </w:rPr>
            </w:pPr>
          </w:p>
        </w:tc>
      </w:tr>
      <w:tr w:rsidR="00B02CF8" w:rsidRPr="003A6E5A" w14:paraId="58B73A19" w14:textId="77777777" w:rsidTr="009E4507">
        <w:tc>
          <w:tcPr>
            <w:tcW w:w="1455" w:type="dxa"/>
            <w:vAlign w:val="center"/>
          </w:tcPr>
          <w:p w14:paraId="18E13D0C" w14:textId="77777777" w:rsidR="0003217D" w:rsidRPr="003A6E5A" w:rsidRDefault="00FC275D" w:rsidP="009E450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601" w:type="dxa"/>
            <w:vAlign w:val="center"/>
          </w:tcPr>
          <w:p w14:paraId="13EFB281"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0,1123692</w:t>
            </w:r>
            <w:r w:rsidRPr="003A6E5A">
              <w:rPr>
                <w:rFonts w:ascii="Times New Roman" w:hAnsi="Times New Roman" w:cs="Times New Roman"/>
                <w:sz w:val="20"/>
                <w:szCs w:val="20"/>
                <w:vertAlign w:val="superscript"/>
              </w:rPr>
              <w:t>***</w:t>
            </w:r>
          </w:p>
          <w:p w14:paraId="6D9FBABB"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(0,0300974)</w:t>
            </w:r>
          </w:p>
        </w:tc>
        <w:tc>
          <w:tcPr>
            <w:tcW w:w="1634" w:type="dxa"/>
            <w:vAlign w:val="center"/>
          </w:tcPr>
          <w:p w14:paraId="23CB76CB"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0,1277117</w:t>
            </w:r>
            <w:r w:rsidRPr="003A6E5A">
              <w:rPr>
                <w:rFonts w:ascii="Times New Roman" w:hAnsi="Times New Roman" w:cs="Times New Roman"/>
                <w:i/>
                <w:iCs/>
                <w:sz w:val="24"/>
                <w:szCs w:val="24"/>
                <w:vertAlign w:val="superscript"/>
              </w:rPr>
              <w:t>***</w:t>
            </w:r>
          </w:p>
          <w:p w14:paraId="4F992216"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(0,0448183)</w:t>
            </w:r>
          </w:p>
        </w:tc>
        <w:tc>
          <w:tcPr>
            <w:tcW w:w="1634" w:type="dxa"/>
            <w:vAlign w:val="center"/>
          </w:tcPr>
          <w:p w14:paraId="40BD85C0"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0,1177405</w:t>
            </w:r>
            <w:r w:rsidRPr="003A6E5A">
              <w:rPr>
                <w:rFonts w:ascii="Times New Roman" w:hAnsi="Times New Roman" w:cs="Times New Roman"/>
                <w:i/>
                <w:iCs/>
                <w:sz w:val="24"/>
                <w:szCs w:val="24"/>
                <w:vertAlign w:val="superscript"/>
              </w:rPr>
              <w:t>**</w:t>
            </w:r>
          </w:p>
          <w:p w14:paraId="22A3D97A" w14:textId="15DD1003" w:rsidR="0003217D" w:rsidRPr="003A6E5A" w:rsidRDefault="00FC275D" w:rsidP="001532E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(0,051559)</w:t>
            </w:r>
          </w:p>
        </w:tc>
        <w:tc>
          <w:tcPr>
            <w:tcW w:w="1634" w:type="dxa"/>
            <w:vAlign w:val="center"/>
          </w:tcPr>
          <w:p w14:paraId="02DAE2C8"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0,1177405</w:t>
            </w:r>
            <w:r w:rsidRPr="003A6E5A">
              <w:rPr>
                <w:rFonts w:ascii="Times New Roman" w:hAnsi="Times New Roman" w:cs="Times New Roman"/>
                <w:i/>
                <w:iCs/>
                <w:sz w:val="24"/>
                <w:szCs w:val="24"/>
                <w:vertAlign w:val="superscript"/>
              </w:rPr>
              <w:t>**</w:t>
            </w:r>
          </w:p>
          <w:p w14:paraId="46005ECF" w14:textId="5CBBF8F6" w:rsidR="0003217D" w:rsidRPr="003A6E5A" w:rsidRDefault="00FC275D" w:rsidP="001532EB">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(0,051559)</w:t>
            </w:r>
          </w:p>
        </w:tc>
        <w:tc>
          <w:tcPr>
            <w:tcW w:w="1634" w:type="dxa"/>
            <w:vAlign w:val="center"/>
          </w:tcPr>
          <w:p w14:paraId="1741F741" w14:textId="77777777" w:rsidR="0003217D" w:rsidRPr="003A6E5A" w:rsidRDefault="0003217D" w:rsidP="007364DE">
            <w:pPr>
              <w:spacing w:after="0" w:line="240" w:lineRule="auto"/>
              <w:jc w:val="center"/>
              <w:rPr>
                <w:rFonts w:ascii="Times New Roman" w:hAnsi="Times New Roman" w:cs="Times New Roman"/>
                <w:sz w:val="20"/>
                <w:szCs w:val="20"/>
              </w:rPr>
            </w:pPr>
          </w:p>
        </w:tc>
      </w:tr>
      <w:tr w:rsidR="00B02CF8" w:rsidRPr="003A6E5A" w14:paraId="35E4637D" w14:textId="77777777" w:rsidTr="009E4507">
        <w:tc>
          <w:tcPr>
            <w:tcW w:w="1455" w:type="dxa"/>
            <w:vAlign w:val="center"/>
          </w:tcPr>
          <w:p w14:paraId="083CC7D9" w14:textId="77777777" w:rsidR="0003217D" w:rsidRPr="003A6E5A" w:rsidRDefault="00FC275D" w:rsidP="009E450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Среднемесячная заработная плата</w:t>
            </w:r>
          </w:p>
        </w:tc>
        <w:tc>
          <w:tcPr>
            <w:tcW w:w="1601" w:type="dxa"/>
            <w:vAlign w:val="center"/>
          </w:tcPr>
          <w:p w14:paraId="1ECB7F7D"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7FE6A5F7"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4E79E07A"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34A589F4"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4DAA231E"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1,532355</w:t>
            </w:r>
            <w:r w:rsidRPr="003A6E5A">
              <w:rPr>
                <w:rFonts w:ascii="Times New Roman" w:hAnsi="Times New Roman" w:cs="Times New Roman"/>
                <w:i/>
                <w:iCs/>
                <w:sz w:val="24"/>
                <w:szCs w:val="24"/>
                <w:vertAlign w:val="superscript"/>
              </w:rPr>
              <w:t>***</w:t>
            </w:r>
          </w:p>
          <w:p w14:paraId="131208B3"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(0,428223</w:t>
            </w:r>
          </w:p>
        </w:tc>
      </w:tr>
      <w:tr w:rsidR="00B02CF8" w:rsidRPr="003A6E5A" w14:paraId="2312FECB" w14:textId="77777777" w:rsidTr="009E4507">
        <w:tc>
          <w:tcPr>
            <w:tcW w:w="1455" w:type="dxa"/>
            <w:vAlign w:val="center"/>
          </w:tcPr>
          <w:p w14:paraId="15C98F8D" w14:textId="77777777" w:rsidR="0003217D" w:rsidRPr="003A6E5A" w:rsidRDefault="00FC275D" w:rsidP="009E4507">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Константа</w:t>
            </w:r>
          </w:p>
        </w:tc>
        <w:tc>
          <w:tcPr>
            <w:tcW w:w="1601" w:type="dxa"/>
            <w:vAlign w:val="center"/>
          </w:tcPr>
          <w:p w14:paraId="7094BF3B"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15791E51"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5,380411</w:t>
            </w:r>
            <w:r w:rsidRPr="003A6E5A">
              <w:rPr>
                <w:rFonts w:ascii="Times New Roman" w:hAnsi="Times New Roman" w:cs="Times New Roman"/>
                <w:i/>
                <w:iCs/>
                <w:sz w:val="24"/>
                <w:szCs w:val="24"/>
                <w:vertAlign w:val="superscript"/>
              </w:rPr>
              <w:t>***</w:t>
            </w:r>
          </w:p>
          <w:p w14:paraId="628CC1D8"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(0,799964)</w:t>
            </w:r>
          </w:p>
        </w:tc>
        <w:tc>
          <w:tcPr>
            <w:tcW w:w="1634" w:type="dxa"/>
            <w:vAlign w:val="center"/>
          </w:tcPr>
          <w:p w14:paraId="4CF5730E"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7F4BB606" w14:textId="77777777" w:rsidR="0003217D" w:rsidRPr="003A6E5A" w:rsidRDefault="0003217D" w:rsidP="007364DE">
            <w:pPr>
              <w:spacing w:after="0" w:line="240" w:lineRule="auto"/>
              <w:jc w:val="center"/>
              <w:rPr>
                <w:rFonts w:ascii="Times New Roman" w:hAnsi="Times New Roman" w:cs="Times New Roman"/>
                <w:sz w:val="20"/>
                <w:szCs w:val="20"/>
                <w:lang w:val="kk-KZ"/>
              </w:rPr>
            </w:pPr>
          </w:p>
        </w:tc>
        <w:tc>
          <w:tcPr>
            <w:tcW w:w="1634" w:type="dxa"/>
            <w:vAlign w:val="center"/>
          </w:tcPr>
          <w:p w14:paraId="1693117F" w14:textId="77777777" w:rsidR="0003217D" w:rsidRPr="003A6E5A" w:rsidRDefault="0003217D" w:rsidP="007364DE">
            <w:pPr>
              <w:spacing w:after="0" w:line="240" w:lineRule="auto"/>
              <w:jc w:val="center"/>
              <w:rPr>
                <w:rFonts w:ascii="Times New Roman" w:hAnsi="Times New Roman" w:cs="Times New Roman"/>
                <w:sz w:val="20"/>
                <w:szCs w:val="20"/>
                <w:lang w:val="kk-KZ"/>
              </w:rPr>
            </w:pPr>
          </w:p>
        </w:tc>
      </w:tr>
      <w:tr w:rsidR="00B02CF8" w:rsidRPr="003A6E5A" w14:paraId="74F688C7" w14:textId="77777777" w:rsidTr="007364DE">
        <w:tc>
          <w:tcPr>
            <w:tcW w:w="9592" w:type="dxa"/>
            <w:gridSpan w:val="6"/>
            <w:vAlign w:val="center"/>
          </w:tcPr>
          <w:p w14:paraId="2AC57A6E" w14:textId="77777777" w:rsidR="0003217D" w:rsidRPr="003A6E5A" w:rsidRDefault="00FC275D" w:rsidP="007364DE">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Матрица пространственных весов</w:t>
            </w:r>
          </w:p>
        </w:tc>
      </w:tr>
      <w:tr w:rsidR="00B02CF8" w:rsidRPr="003A6E5A" w14:paraId="75500EB1" w14:textId="77777777" w:rsidTr="007364DE">
        <w:tc>
          <w:tcPr>
            <w:tcW w:w="1455" w:type="dxa"/>
          </w:tcPr>
          <w:p w14:paraId="30EA2AB0"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lang w:val="kk-KZ"/>
              </w:rPr>
              <w:t>Валовый региональный продукт на душу населения</w:t>
            </w:r>
          </w:p>
        </w:tc>
        <w:tc>
          <w:tcPr>
            <w:tcW w:w="1601" w:type="dxa"/>
            <w:vAlign w:val="center"/>
          </w:tcPr>
          <w:p w14:paraId="22746719"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-0,3755878</w:t>
            </w:r>
            <w:r w:rsidRPr="003A6E5A">
              <w:rPr>
                <w:rFonts w:ascii="Times New Roman" w:hAnsi="Times New Roman" w:cs="Times New Roman"/>
                <w:sz w:val="20"/>
                <w:szCs w:val="20"/>
                <w:vertAlign w:val="superscript"/>
              </w:rPr>
              <w:t>***</w:t>
            </w:r>
          </w:p>
          <w:p w14:paraId="3B3A7D4C" w14:textId="5F1812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(0,09713)</w:t>
            </w:r>
          </w:p>
        </w:tc>
        <w:tc>
          <w:tcPr>
            <w:tcW w:w="1634" w:type="dxa"/>
            <w:vAlign w:val="center"/>
          </w:tcPr>
          <w:p w14:paraId="4DE5A686"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7E323B51"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681A8E0E" w14:textId="77777777" w:rsidR="0003217D" w:rsidRPr="003A6E5A" w:rsidRDefault="0003217D" w:rsidP="007364DE">
            <w:pPr>
              <w:spacing w:after="0" w:line="240" w:lineRule="auto"/>
              <w:jc w:val="center"/>
              <w:rPr>
                <w:rFonts w:ascii="Times New Roman" w:hAnsi="Times New Roman" w:cs="Times New Roman"/>
                <w:sz w:val="20"/>
                <w:szCs w:val="20"/>
                <w:lang w:val="kk-KZ"/>
              </w:rPr>
            </w:pPr>
          </w:p>
        </w:tc>
        <w:tc>
          <w:tcPr>
            <w:tcW w:w="1634" w:type="dxa"/>
            <w:vAlign w:val="center"/>
          </w:tcPr>
          <w:p w14:paraId="5DC8A433" w14:textId="77777777" w:rsidR="0003217D" w:rsidRPr="003A6E5A" w:rsidRDefault="0003217D" w:rsidP="007364DE">
            <w:pPr>
              <w:spacing w:after="0" w:line="240" w:lineRule="auto"/>
              <w:jc w:val="center"/>
              <w:rPr>
                <w:rFonts w:ascii="Times New Roman" w:hAnsi="Times New Roman" w:cs="Times New Roman"/>
                <w:sz w:val="20"/>
                <w:szCs w:val="20"/>
              </w:rPr>
            </w:pPr>
          </w:p>
        </w:tc>
      </w:tr>
      <w:tr w:rsidR="00B02CF8" w:rsidRPr="003A6E5A" w14:paraId="5AE0659A" w14:textId="77777777" w:rsidTr="007364DE">
        <w:tc>
          <w:tcPr>
            <w:tcW w:w="1455" w:type="dxa"/>
          </w:tcPr>
          <w:p w14:paraId="1B509829"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Внутренние затраты на НИОКР</w:t>
            </w:r>
          </w:p>
        </w:tc>
        <w:tc>
          <w:tcPr>
            <w:tcW w:w="1601" w:type="dxa"/>
            <w:vAlign w:val="center"/>
          </w:tcPr>
          <w:p w14:paraId="7DEA1A1C"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-0,0665215</w:t>
            </w:r>
          </w:p>
          <w:p w14:paraId="18F88D60" w14:textId="77777777" w:rsidR="0003217D" w:rsidRPr="003A6E5A" w:rsidRDefault="00FC275D" w:rsidP="007364D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(0,582342)</w:t>
            </w:r>
          </w:p>
        </w:tc>
        <w:tc>
          <w:tcPr>
            <w:tcW w:w="1634" w:type="dxa"/>
            <w:vAlign w:val="center"/>
          </w:tcPr>
          <w:p w14:paraId="12545041"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47977FD1" w14:textId="77777777" w:rsidR="0003217D" w:rsidRPr="003A6E5A" w:rsidRDefault="0003217D" w:rsidP="007364DE">
            <w:pPr>
              <w:spacing w:after="0" w:line="240" w:lineRule="auto"/>
              <w:jc w:val="center"/>
              <w:rPr>
                <w:rFonts w:ascii="Times New Roman" w:hAnsi="Times New Roman" w:cs="Times New Roman"/>
                <w:sz w:val="20"/>
                <w:szCs w:val="20"/>
              </w:rPr>
            </w:pPr>
          </w:p>
        </w:tc>
        <w:tc>
          <w:tcPr>
            <w:tcW w:w="1634" w:type="dxa"/>
            <w:vAlign w:val="center"/>
          </w:tcPr>
          <w:p w14:paraId="1A0F433A" w14:textId="77777777" w:rsidR="0003217D" w:rsidRPr="003A6E5A" w:rsidRDefault="0003217D" w:rsidP="007364DE">
            <w:pPr>
              <w:spacing w:after="0" w:line="240" w:lineRule="auto"/>
              <w:jc w:val="center"/>
              <w:rPr>
                <w:rFonts w:ascii="Times New Roman" w:hAnsi="Times New Roman" w:cs="Times New Roman"/>
                <w:sz w:val="20"/>
                <w:szCs w:val="20"/>
                <w:lang w:val="kk-KZ"/>
              </w:rPr>
            </w:pPr>
          </w:p>
        </w:tc>
        <w:tc>
          <w:tcPr>
            <w:tcW w:w="1634" w:type="dxa"/>
            <w:vAlign w:val="center"/>
          </w:tcPr>
          <w:p w14:paraId="5692DACA" w14:textId="77777777" w:rsidR="0003217D" w:rsidRPr="003A6E5A" w:rsidRDefault="0003217D" w:rsidP="007364DE">
            <w:pPr>
              <w:spacing w:after="0" w:line="240" w:lineRule="auto"/>
              <w:jc w:val="center"/>
              <w:rPr>
                <w:rFonts w:ascii="Times New Roman" w:hAnsi="Times New Roman" w:cs="Times New Roman"/>
                <w:sz w:val="20"/>
                <w:szCs w:val="20"/>
              </w:rPr>
            </w:pPr>
          </w:p>
        </w:tc>
      </w:tr>
      <w:tr w:rsidR="00B02CF8" w:rsidRPr="003A6E5A" w14:paraId="7B1390F0" w14:textId="77777777" w:rsidTr="008E6E4D">
        <w:tc>
          <w:tcPr>
            <w:tcW w:w="7958" w:type="dxa"/>
            <w:gridSpan w:val="5"/>
            <w:vAlign w:val="center"/>
          </w:tcPr>
          <w:p w14:paraId="6DA6A633" w14:textId="77777777" w:rsidR="0003217D" w:rsidRPr="003A6E5A" w:rsidRDefault="00FC275D" w:rsidP="008E6E4D">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rPr>
              <w:t>Пространственный эффект</w:t>
            </w:r>
          </w:p>
        </w:tc>
        <w:tc>
          <w:tcPr>
            <w:tcW w:w="1634" w:type="dxa"/>
          </w:tcPr>
          <w:p w14:paraId="2D42E9E4" w14:textId="77777777" w:rsidR="0003217D" w:rsidRPr="003A6E5A" w:rsidRDefault="0003217D" w:rsidP="001608EA">
            <w:pPr>
              <w:spacing w:after="0" w:line="240" w:lineRule="auto"/>
              <w:rPr>
                <w:rFonts w:ascii="Times New Roman" w:hAnsi="Times New Roman" w:cs="Times New Roman"/>
                <w:sz w:val="20"/>
                <w:szCs w:val="20"/>
              </w:rPr>
            </w:pPr>
          </w:p>
        </w:tc>
      </w:tr>
      <w:tr w:rsidR="00B02CF8" w:rsidRPr="003A6E5A" w14:paraId="5E7711A9" w14:textId="77777777" w:rsidTr="008E6E4D">
        <w:tc>
          <w:tcPr>
            <w:tcW w:w="1455" w:type="dxa"/>
            <w:vAlign w:val="center"/>
          </w:tcPr>
          <w:p w14:paraId="38AC4179" w14:textId="564A61CA" w:rsidR="0003217D" w:rsidRPr="003A6E5A" w:rsidRDefault="00E0153B" w:rsidP="008E6E4D">
            <w:pPr>
              <w:spacing w:after="0" w:line="240" w:lineRule="auto"/>
              <w:jc w:val="center"/>
              <w:rPr>
                <w:rFonts w:ascii="Times New Roman" w:hAnsi="Times New Roman" w:cs="Times New Roman"/>
                <w:sz w:val="20"/>
                <w:szCs w:val="20"/>
              </w:rPr>
            </w:pPr>
            <m:oMathPara>
              <m:oMath>
                <m:r>
                  <w:rPr>
                    <w:rFonts w:ascii="Cambria Math" w:hAnsi="Cambria Math" w:cs="Times New Roman"/>
                    <w:sz w:val="20"/>
                    <w:szCs w:val="20"/>
                  </w:rPr>
                  <m:t>ρ</m:t>
                </m:r>
              </m:oMath>
            </m:oMathPara>
          </w:p>
        </w:tc>
        <w:tc>
          <w:tcPr>
            <w:tcW w:w="1601" w:type="dxa"/>
            <w:vAlign w:val="center"/>
          </w:tcPr>
          <w:p w14:paraId="43588338"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0,5363933</w:t>
            </w:r>
            <w:r w:rsidRPr="003A6E5A">
              <w:rPr>
                <w:rFonts w:ascii="Times New Roman" w:hAnsi="Times New Roman" w:cs="Times New Roman"/>
                <w:sz w:val="20"/>
                <w:szCs w:val="20"/>
                <w:vertAlign w:val="superscript"/>
              </w:rPr>
              <w:t>***</w:t>
            </w:r>
          </w:p>
          <w:p w14:paraId="35AEC107"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0,064825</w:t>
            </w:r>
          </w:p>
        </w:tc>
        <w:tc>
          <w:tcPr>
            <w:tcW w:w="1634" w:type="dxa"/>
            <w:vAlign w:val="center"/>
          </w:tcPr>
          <w:p w14:paraId="0C30008A"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0,5025541</w:t>
            </w:r>
            <w:r w:rsidRPr="003A6E5A">
              <w:rPr>
                <w:rFonts w:ascii="Times New Roman" w:hAnsi="Times New Roman" w:cs="Times New Roman"/>
                <w:i/>
                <w:iCs/>
                <w:sz w:val="24"/>
                <w:szCs w:val="24"/>
                <w:vertAlign w:val="superscript"/>
              </w:rPr>
              <w:t>***</w:t>
            </w:r>
          </w:p>
        </w:tc>
        <w:tc>
          <w:tcPr>
            <w:tcW w:w="1634" w:type="dxa"/>
            <w:vAlign w:val="center"/>
          </w:tcPr>
          <w:p w14:paraId="28915D31"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0,5318813</w:t>
            </w:r>
            <w:r w:rsidRPr="003A6E5A">
              <w:rPr>
                <w:rFonts w:ascii="Times New Roman" w:hAnsi="Times New Roman" w:cs="Times New Roman"/>
                <w:i/>
                <w:iCs/>
                <w:sz w:val="24"/>
                <w:szCs w:val="24"/>
                <w:vertAlign w:val="superscript"/>
              </w:rPr>
              <w:t>***</w:t>
            </w:r>
          </w:p>
          <w:p w14:paraId="6BB0D6F9"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(0,0666669)</w:t>
            </w:r>
          </w:p>
        </w:tc>
        <w:tc>
          <w:tcPr>
            <w:tcW w:w="1634" w:type="dxa"/>
            <w:vAlign w:val="center"/>
          </w:tcPr>
          <w:p w14:paraId="7A33F4CE"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0,5318813</w:t>
            </w:r>
            <w:r w:rsidRPr="003A6E5A">
              <w:rPr>
                <w:rFonts w:ascii="Times New Roman" w:hAnsi="Times New Roman" w:cs="Times New Roman"/>
                <w:i/>
                <w:iCs/>
                <w:sz w:val="24"/>
                <w:szCs w:val="24"/>
                <w:vertAlign w:val="superscript"/>
              </w:rPr>
              <w:t>***</w:t>
            </w:r>
          </w:p>
          <w:p w14:paraId="364387D6" w14:textId="77777777" w:rsidR="0003217D" w:rsidRPr="003A6E5A" w:rsidRDefault="00FC275D" w:rsidP="008E6E4D">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(0,0666669)</w:t>
            </w:r>
          </w:p>
        </w:tc>
        <w:tc>
          <w:tcPr>
            <w:tcW w:w="1634" w:type="dxa"/>
            <w:vAlign w:val="center"/>
          </w:tcPr>
          <w:p w14:paraId="57BEE01A"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-0,2722766</w:t>
            </w:r>
          </w:p>
          <w:p w14:paraId="50A82A99"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(0,2642769)</w:t>
            </w:r>
          </w:p>
        </w:tc>
      </w:tr>
      <w:tr w:rsidR="00B02CF8" w:rsidRPr="003A6E5A" w14:paraId="069F0A34" w14:textId="77777777" w:rsidTr="008E6E4D">
        <w:tc>
          <w:tcPr>
            <w:tcW w:w="1455" w:type="dxa"/>
            <w:vAlign w:val="center"/>
          </w:tcPr>
          <w:p w14:paraId="18ED77AF" w14:textId="77777777" w:rsidR="0003217D" w:rsidRPr="003A6E5A" w:rsidRDefault="00790CB1" w:rsidP="008E6E4D">
            <w:pPr>
              <w:spacing w:after="0" w:line="240" w:lineRule="auto"/>
              <w:jc w:val="center"/>
              <w:rPr>
                <w:rFonts w:ascii="Times New Roman" w:hAnsi="Times New Roman" w:cs="Times New Roman"/>
                <w:sz w:val="20"/>
                <w:szCs w:val="20"/>
              </w:rPr>
            </w:pPr>
            <m:oMathPara>
              <m:oMath>
                <m:sSup>
                  <m:sSupPr>
                    <m:ctrlPr>
                      <w:rPr>
                        <w:rFonts w:ascii="Cambria Math" w:hAnsi="Cambria Math" w:cs="Times New Roman"/>
                        <w:bCs/>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1601" w:type="dxa"/>
            <w:vAlign w:val="center"/>
          </w:tcPr>
          <w:p w14:paraId="69152EA4"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0,4237</w:t>
            </w:r>
          </w:p>
        </w:tc>
        <w:tc>
          <w:tcPr>
            <w:tcW w:w="1634" w:type="dxa"/>
            <w:vAlign w:val="center"/>
          </w:tcPr>
          <w:p w14:paraId="6CAB4103"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0,2704</w:t>
            </w:r>
          </w:p>
        </w:tc>
        <w:tc>
          <w:tcPr>
            <w:tcW w:w="1634" w:type="dxa"/>
            <w:vAlign w:val="center"/>
          </w:tcPr>
          <w:p w14:paraId="00E9FE77"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0,2709</w:t>
            </w:r>
          </w:p>
        </w:tc>
        <w:tc>
          <w:tcPr>
            <w:tcW w:w="1634" w:type="dxa"/>
            <w:vAlign w:val="center"/>
          </w:tcPr>
          <w:p w14:paraId="2BD3BDC6" w14:textId="77777777" w:rsidR="0003217D" w:rsidRPr="003A6E5A" w:rsidRDefault="00FC275D" w:rsidP="008E6E4D">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0,2709</w:t>
            </w:r>
          </w:p>
        </w:tc>
        <w:tc>
          <w:tcPr>
            <w:tcW w:w="1634" w:type="dxa"/>
            <w:vAlign w:val="center"/>
          </w:tcPr>
          <w:p w14:paraId="752424A7"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0,4458</w:t>
            </w:r>
          </w:p>
        </w:tc>
      </w:tr>
      <w:tr w:rsidR="00B02CF8" w:rsidRPr="003A6E5A" w14:paraId="6047878A" w14:textId="77777777" w:rsidTr="008E6E4D">
        <w:trPr>
          <w:trHeight w:val="90"/>
        </w:trPr>
        <w:tc>
          <w:tcPr>
            <w:tcW w:w="1455" w:type="dxa"/>
            <w:vAlign w:val="center"/>
          </w:tcPr>
          <w:p w14:paraId="1E571B93" w14:textId="77777777" w:rsidR="0003217D" w:rsidRPr="003A6E5A" w:rsidRDefault="00FC275D" w:rsidP="008E6E4D">
            <w:pPr>
              <w:spacing w:after="0" w:line="240" w:lineRule="auto"/>
              <w:jc w:val="center"/>
              <w:rPr>
                <w:rFonts w:ascii="Cambria Math" w:hAnsi="Cambria Math" w:cs="Times New Roman"/>
                <w:sz w:val="20"/>
                <w:szCs w:val="20"/>
                <w:oMath/>
              </w:rPr>
            </w:pPr>
            <w:r w:rsidRPr="003A6E5A">
              <w:rPr>
                <w:rFonts w:ascii="Times New Roman" w:hAnsi="Times New Roman" w:cs="Times New Roman"/>
                <w:bCs/>
                <w:i/>
                <w:sz w:val="20"/>
                <w:szCs w:val="20"/>
              </w:rPr>
              <w:t>AIC</w:t>
            </w:r>
          </w:p>
        </w:tc>
        <w:tc>
          <w:tcPr>
            <w:tcW w:w="1601" w:type="dxa"/>
            <w:vAlign w:val="center"/>
          </w:tcPr>
          <w:p w14:paraId="0EC9901A"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-5,234624</w:t>
            </w:r>
          </w:p>
        </w:tc>
        <w:tc>
          <w:tcPr>
            <w:tcW w:w="1634" w:type="dxa"/>
            <w:vAlign w:val="center"/>
          </w:tcPr>
          <w:p w14:paraId="65A9E3AD"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7,429081</w:t>
            </w:r>
          </w:p>
        </w:tc>
        <w:tc>
          <w:tcPr>
            <w:tcW w:w="1634" w:type="dxa"/>
            <w:vAlign w:val="center"/>
          </w:tcPr>
          <w:p w14:paraId="41904076"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-84,44664</w:t>
            </w:r>
          </w:p>
        </w:tc>
        <w:tc>
          <w:tcPr>
            <w:tcW w:w="1634" w:type="dxa"/>
            <w:vAlign w:val="center"/>
          </w:tcPr>
          <w:p w14:paraId="5605B5D3" w14:textId="77777777" w:rsidR="0003217D" w:rsidRPr="003A6E5A" w:rsidRDefault="00FC275D" w:rsidP="008E6E4D">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-60,23006</w:t>
            </w:r>
          </w:p>
        </w:tc>
        <w:tc>
          <w:tcPr>
            <w:tcW w:w="1634" w:type="dxa"/>
            <w:vAlign w:val="center"/>
          </w:tcPr>
          <w:p w14:paraId="341D3A04"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166,4755</w:t>
            </w:r>
          </w:p>
        </w:tc>
      </w:tr>
      <w:tr w:rsidR="00B02CF8" w:rsidRPr="003A6E5A" w14:paraId="46468540" w14:textId="77777777" w:rsidTr="008E6E4D">
        <w:tc>
          <w:tcPr>
            <w:tcW w:w="1455" w:type="dxa"/>
            <w:vAlign w:val="center"/>
          </w:tcPr>
          <w:p w14:paraId="33279C0A" w14:textId="77777777" w:rsidR="0003217D" w:rsidRPr="003A6E5A" w:rsidRDefault="00FC275D" w:rsidP="008E6E4D">
            <w:pPr>
              <w:spacing w:after="0" w:line="240" w:lineRule="auto"/>
              <w:jc w:val="center"/>
              <w:rPr>
                <w:rFonts w:ascii="Cambria Math" w:hAnsi="Cambria Math" w:cs="Times New Roman"/>
                <w:sz w:val="20"/>
                <w:szCs w:val="20"/>
                <w:lang w:val="en-US"/>
                <w:oMath/>
              </w:rPr>
            </w:pPr>
            <w:r w:rsidRPr="003A6E5A">
              <w:rPr>
                <w:rFonts w:ascii="Times New Roman" w:hAnsi="Times New Roman" w:cs="Times New Roman"/>
                <w:bCs/>
                <w:i/>
                <w:sz w:val="20"/>
                <w:szCs w:val="20"/>
                <w:lang w:val="en-US"/>
              </w:rPr>
              <w:t>BIC</w:t>
            </w:r>
          </w:p>
        </w:tc>
        <w:tc>
          <w:tcPr>
            <w:tcW w:w="1601" w:type="dxa"/>
            <w:vAlign w:val="center"/>
          </w:tcPr>
          <w:p w14:paraId="1199FC7C"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19,36677</w:t>
            </w:r>
          </w:p>
        </w:tc>
        <w:tc>
          <w:tcPr>
            <w:tcW w:w="1634" w:type="dxa"/>
            <w:vAlign w:val="center"/>
          </w:tcPr>
          <w:p w14:paraId="5B77D426"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22,80495</w:t>
            </w:r>
          </w:p>
        </w:tc>
        <w:tc>
          <w:tcPr>
            <w:tcW w:w="1634" w:type="dxa"/>
            <w:vAlign w:val="center"/>
          </w:tcPr>
          <w:p w14:paraId="1F128B00"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-75,22111</w:t>
            </w:r>
          </w:p>
        </w:tc>
        <w:tc>
          <w:tcPr>
            <w:tcW w:w="1634" w:type="dxa"/>
            <w:vAlign w:val="center"/>
          </w:tcPr>
          <w:p w14:paraId="256B46A2" w14:textId="77777777" w:rsidR="0003217D" w:rsidRPr="003A6E5A" w:rsidRDefault="00FC275D" w:rsidP="008E6E4D">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-51.32062</w:t>
            </w:r>
          </w:p>
        </w:tc>
        <w:tc>
          <w:tcPr>
            <w:tcW w:w="1634" w:type="dxa"/>
            <w:vAlign w:val="center"/>
          </w:tcPr>
          <w:p w14:paraId="1F818135" w14:textId="77777777" w:rsidR="0003217D" w:rsidRPr="003A6E5A" w:rsidRDefault="00FC275D" w:rsidP="008E6E4D">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175,7011</w:t>
            </w:r>
          </w:p>
        </w:tc>
      </w:tr>
    </w:tbl>
    <w:p w14:paraId="39A2E1D0" w14:textId="77777777" w:rsidR="00E0153B" w:rsidRPr="003A6E5A" w:rsidRDefault="00E0153B" w:rsidP="00E0153B">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38BDC39A" w14:textId="6D680FE3" w:rsidR="00E0153B" w:rsidRPr="003A6E5A" w:rsidRDefault="004C4949" w:rsidP="00E0153B">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p w14:paraId="170B95C9" w14:textId="77777777" w:rsidR="0003217D" w:rsidRPr="003A6E5A" w:rsidRDefault="0003217D" w:rsidP="00E0153B">
      <w:pPr>
        <w:spacing w:after="0" w:line="240" w:lineRule="auto"/>
        <w:jc w:val="both"/>
        <w:rPr>
          <w:rFonts w:ascii="Times New Roman" w:hAnsi="Times New Roman" w:cs="Times New Roman"/>
          <w:sz w:val="28"/>
          <w:szCs w:val="28"/>
        </w:rPr>
      </w:pPr>
    </w:p>
    <w:p w14:paraId="117F4B12" w14:textId="62EE50C7" w:rsidR="00537633" w:rsidRPr="003A6E5A" w:rsidRDefault="00852E53" w:rsidP="008E66D4">
      <w:pPr>
        <w:pStyle w:val="aa"/>
        <w:spacing w:beforeAutospacing="0" w:after="0" w:afterAutospacing="0" w:line="240" w:lineRule="auto"/>
        <w:jc w:val="both"/>
        <w:rPr>
          <w:rFonts w:eastAsia="Times New Roman"/>
          <w:sz w:val="28"/>
          <w:szCs w:val="28"/>
          <w:lang w:val="ru-RU"/>
        </w:rPr>
      </w:pPr>
      <w:r w:rsidRPr="003A6E5A">
        <w:rPr>
          <w:sz w:val="28"/>
          <w:szCs w:val="28"/>
          <w:lang w:val="ru-RU"/>
        </w:rPr>
        <w:t xml:space="preserve">Оценки моделей (10)–(14) в таблице </w:t>
      </w:r>
      <w:r w:rsidR="003D43A8" w:rsidRPr="003A6E5A">
        <w:rPr>
          <w:sz w:val="28"/>
          <w:szCs w:val="28"/>
          <w:lang w:val="ru-RU"/>
        </w:rPr>
        <w:t>1</w:t>
      </w:r>
      <w:r w:rsidR="00DA42F3" w:rsidRPr="003A6E5A">
        <w:rPr>
          <w:sz w:val="28"/>
          <w:szCs w:val="28"/>
          <w:lang w:val="ru-RU"/>
        </w:rPr>
        <w:t>4</w:t>
      </w:r>
      <w:r w:rsidRPr="003A6E5A">
        <w:rPr>
          <w:sz w:val="28"/>
          <w:szCs w:val="28"/>
          <w:lang w:val="ru-RU"/>
        </w:rPr>
        <w:t xml:space="preserve"> позволяют выявить факторы, определяющие инвестиции в основной капитал в казахстанских областях, а также уточнить роль пространственной зависимости. Как можно видеть из модели (10) валовой региональный продукт на душу населения оказывает положительное и статистически значимое влияние, тем самым подтверждая значимость лишь в данной спецификации и демонстрируя ограниченность интерпретации ВРП на душу насления в целом. При этом внутренние затраты на научные исследования и разработки имеют устойчивый положительный эффект в моделях (10)–(13), подтверждая их важность для стимулирования инвестиций, тогда как в модели (14) их влияние становится статистически незначимым. Оценка коэффициента при переменной «среднемесячная заработная плата» </w:t>
      </w:r>
      <w:r w:rsidRPr="003A6E5A">
        <w:rPr>
          <w:sz w:val="28"/>
          <w:szCs w:val="28"/>
          <w:lang w:val="ru-RU"/>
        </w:rPr>
        <w:lastRenderedPageBreak/>
        <w:t>оказалась значимой только в модели (14), указывая на долгосрочный характер её воздействия на инвестиционную активность. Константа оказывается статистически значимой исключительно в модели (11), свидетельствуя о наличии неучтённых факторов именно в этой спецификации. Согласно матрице пространственных весов, в модели (10) более высокий уровень валового регионального продукта в соседних областях снижает объём инвестиций в рассматриваемой области, при этом пространственный эффект по внутренним затратам на научные исследования и разработки не наблюдается. Коэффициент пространственной авторегрессии положителен и статистически значим в моделях (10)–(13), тем самым подтверждая наличие положительной пространственной взаимозависимости инвестиционной активности между областями, тогда как в модели (14) он принимает отрицательное и статистически незначимое значение. Сравнение значений информационного критерия Акаике и информационного критерия Шварца демонстрирует наилучшую подгонку в модели (12), где оба показателя принимают минимальные значения, тогда как наименее удовлетворительные результаты характерны для модели (14). В целом полученные оценки подтверждают необходимость учёта пространственной зависимости и инновационной активности для адекватного объяснения различий в инвестициях в основной капитал по казахстанским областям, тогда как влияние валового регионального продукта остаётся дискуссионным и требует дополнительного анализа.</w:t>
      </w:r>
      <w:r w:rsidR="00687294" w:rsidRPr="003A6E5A">
        <w:rPr>
          <w:sz w:val="28"/>
          <w:szCs w:val="28"/>
          <w:lang w:val="ru-RU"/>
        </w:rPr>
        <w:t xml:space="preserve"> </w:t>
      </w:r>
      <w:r w:rsidR="00537633" w:rsidRPr="003A6E5A">
        <w:rPr>
          <w:rFonts w:eastAsia="Times New Roman"/>
          <w:bCs/>
          <w:sz w:val="28"/>
          <w:szCs w:val="28"/>
          <w:lang w:val="ru-RU"/>
        </w:rPr>
        <w:t>В научной литературе неоднократно отмечается, что положительная зависимость между валовым внутренним продуктом и инвестициями представляет собой устойчивую закономерность экономического развития.</w:t>
      </w:r>
      <w:r w:rsidR="00537633" w:rsidRPr="003A6E5A">
        <w:rPr>
          <w:rFonts w:eastAsia="Times New Roman"/>
          <w:sz w:val="28"/>
          <w:szCs w:val="28"/>
          <w:lang w:val="ru-RU"/>
        </w:rPr>
        <w:t xml:space="preserve"> Данный вывод подтверждается в трудах Энсинаса-Феррера и Виллегаса-Зермено, где на материале эмпирического анализа подчеркивается значимость прямых иностранных инвестиций для роста ВВП [</w:t>
      </w:r>
      <w:r w:rsidR="002242B1" w:rsidRPr="003A6E5A">
        <w:rPr>
          <w:rFonts w:eastAsia="Times New Roman"/>
          <w:sz w:val="28"/>
          <w:szCs w:val="28"/>
          <w:lang w:val="ru-RU"/>
        </w:rPr>
        <w:t>1</w:t>
      </w:r>
      <w:r w:rsidR="00B67905" w:rsidRPr="003A6E5A">
        <w:rPr>
          <w:rFonts w:eastAsia="Times New Roman"/>
          <w:sz w:val="28"/>
          <w:szCs w:val="28"/>
          <w:lang w:val="ru-RU"/>
        </w:rPr>
        <w:t>32</w:t>
      </w:r>
      <w:r w:rsidR="00537633" w:rsidRPr="003A6E5A">
        <w:rPr>
          <w:rFonts w:eastAsia="Times New Roman"/>
          <w:sz w:val="28"/>
          <w:szCs w:val="28"/>
          <w:lang w:val="ru-RU"/>
        </w:rPr>
        <w:t xml:space="preserve">]. Схожие результаты были получены </w:t>
      </w:r>
      <w:r w:rsidR="005F20E2" w:rsidRPr="003A6E5A">
        <w:rPr>
          <w:rFonts w:eastAsia="Times New Roman"/>
          <w:sz w:val="28"/>
          <w:szCs w:val="28"/>
          <w:lang w:val="kk-KZ"/>
        </w:rPr>
        <w:t>Калеема и др.</w:t>
      </w:r>
      <w:r w:rsidR="00537633" w:rsidRPr="003A6E5A">
        <w:rPr>
          <w:rFonts w:eastAsia="Times New Roman"/>
          <w:sz w:val="28"/>
          <w:szCs w:val="28"/>
          <w:lang w:val="ru-RU"/>
        </w:rPr>
        <w:t>, исследовавшим взаимосвязь между государственными и частными инвестициями и динамикой ВВП [</w:t>
      </w:r>
      <w:r w:rsidR="002242B1" w:rsidRPr="003A6E5A">
        <w:rPr>
          <w:sz w:val="28"/>
          <w:szCs w:val="28"/>
          <w:shd w:val="clear" w:color="auto" w:fill="FFFFFF"/>
          <w:lang w:val="ru-RU"/>
        </w:rPr>
        <w:t>1</w:t>
      </w:r>
      <w:r w:rsidR="00B67905" w:rsidRPr="003A6E5A">
        <w:rPr>
          <w:sz w:val="28"/>
          <w:szCs w:val="28"/>
          <w:shd w:val="clear" w:color="auto" w:fill="FFFFFF"/>
          <w:lang w:val="ru-RU"/>
        </w:rPr>
        <w:t>33</w:t>
      </w:r>
      <w:r w:rsidR="00537633" w:rsidRPr="003A6E5A">
        <w:rPr>
          <w:rFonts w:eastAsia="Times New Roman"/>
          <w:sz w:val="28"/>
          <w:szCs w:val="28"/>
          <w:lang w:val="ru-RU"/>
        </w:rPr>
        <w:t>]. Указанная корреляция может быть обусловлена, в частности, ростом доверия инвесторов к экономической стабильности. В этом контексте показательно исследование Каневой и Унтуры, где акцентируется роль расходов на научные исследования и разработки (НИОКР) как фактора, обеспечивающего долгосрочный экономический рост регионов [</w:t>
      </w:r>
      <w:r w:rsidR="002242B1" w:rsidRPr="003A6E5A">
        <w:rPr>
          <w:rFonts w:eastAsia="Times New Roman"/>
          <w:sz w:val="28"/>
          <w:szCs w:val="28"/>
          <w:lang w:val="ru-RU"/>
        </w:rPr>
        <w:t>1</w:t>
      </w:r>
      <w:r w:rsidR="00B67905" w:rsidRPr="003A6E5A">
        <w:rPr>
          <w:rFonts w:eastAsia="Times New Roman"/>
          <w:sz w:val="28"/>
          <w:szCs w:val="28"/>
          <w:lang w:val="ru-RU"/>
        </w:rPr>
        <w:t>34</w:t>
      </w:r>
      <w:r w:rsidR="00537633" w:rsidRPr="003A6E5A">
        <w:rPr>
          <w:rFonts w:eastAsia="Times New Roman"/>
          <w:sz w:val="28"/>
          <w:szCs w:val="28"/>
          <w:lang w:val="ru-RU"/>
        </w:rPr>
        <w:t>].</w:t>
      </w:r>
    </w:p>
    <w:p w14:paraId="069FC07F" w14:textId="77777777" w:rsidR="0003217D" w:rsidRPr="003A6E5A" w:rsidRDefault="0003217D" w:rsidP="008E66D4">
      <w:pPr>
        <w:spacing w:after="0" w:line="240" w:lineRule="auto"/>
        <w:jc w:val="both"/>
        <w:rPr>
          <w:rFonts w:ascii="Times New Roman" w:hAnsi="Times New Roman" w:cs="Times New Roman"/>
          <w:sz w:val="28"/>
          <w:szCs w:val="28"/>
        </w:rPr>
      </w:pPr>
    </w:p>
    <w:p w14:paraId="39A86CB4" w14:textId="62114CF7" w:rsidR="0003217D" w:rsidRPr="003A6E5A" w:rsidRDefault="00FC275D" w:rsidP="008E66D4">
      <w:pPr>
        <w:spacing w:after="0" w:line="240" w:lineRule="auto"/>
        <w:jc w:val="both"/>
        <w:rPr>
          <w:rFonts w:ascii="Times New Roman" w:hAnsi="Times New Roman" w:cs="Times New Roman"/>
          <w:sz w:val="28"/>
          <w:szCs w:val="28"/>
        </w:rPr>
      </w:pPr>
      <w:bookmarkStart w:id="35" w:name="_Hlk212300053"/>
      <w:r w:rsidRPr="003A6E5A">
        <w:rPr>
          <w:rFonts w:ascii="Times New Roman" w:hAnsi="Times New Roman" w:cs="Times New Roman"/>
          <w:sz w:val="28"/>
          <w:szCs w:val="28"/>
        </w:rPr>
        <w:t xml:space="preserve">Таблица </w:t>
      </w:r>
      <w:r w:rsidR="003D43A8" w:rsidRPr="003A6E5A">
        <w:rPr>
          <w:rFonts w:ascii="Times New Roman" w:hAnsi="Times New Roman" w:cs="Times New Roman"/>
          <w:sz w:val="28"/>
          <w:szCs w:val="28"/>
        </w:rPr>
        <w:t>1</w:t>
      </w:r>
      <w:r w:rsidR="00DA42F3" w:rsidRPr="003A6E5A">
        <w:rPr>
          <w:rFonts w:ascii="Times New Roman" w:hAnsi="Times New Roman" w:cs="Times New Roman"/>
          <w:sz w:val="28"/>
          <w:szCs w:val="28"/>
        </w:rPr>
        <w:t>5</w:t>
      </w:r>
      <w:r w:rsidRPr="003A6E5A">
        <w:rPr>
          <w:rFonts w:ascii="Times New Roman" w:hAnsi="Times New Roman" w:cs="Times New Roman"/>
          <w:sz w:val="28"/>
          <w:szCs w:val="28"/>
        </w:rPr>
        <w:t>. Оценки коэффициентов по пространственным моделям ошибок и авторегрессионным моделям со случайными и фиксированными эффектами</w:t>
      </w:r>
    </w:p>
    <w:tbl>
      <w:tblPr>
        <w:tblStyle w:val="ac"/>
        <w:tblW w:w="0" w:type="auto"/>
        <w:tblLook w:val="04A0" w:firstRow="1" w:lastRow="0" w:firstColumn="1" w:lastColumn="0" w:noHBand="0" w:noVBand="1"/>
      </w:tblPr>
      <w:tblGrid>
        <w:gridCol w:w="1482"/>
        <w:gridCol w:w="1720"/>
        <w:gridCol w:w="1623"/>
        <w:gridCol w:w="1589"/>
        <w:gridCol w:w="1589"/>
        <w:gridCol w:w="1589"/>
      </w:tblGrid>
      <w:tr w:rsidR="00B02CF8" w:rsidRPr="003A6E5A" w14:paraId="1A6105D2" w14:textId="77777777" w:rsidTr="004563C3">
        <w:tc>
          <w:tcPr>
            <w:tcW w:w="1482" w:type="dxa"/>
            <w:vMerge w:val="restart"/>
          </w:tcPr>
          <w:p w14:paraId="0D5F0172"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Регрессор</w:t>
            </w:r>
          </w:p>
          <w:p w14:paraId="451EF551" w14:textId="133BDEEB"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(логарифмы)</w:t>
            </w:r>
          </w:p>
        </w:tc>
        <w:tc>
          <w:tcPr>
            <w:tcW w:w="1720" w:type="dxa"/>
          </w:tcPr>
          <w:p w14:paraId="4FB5FA71"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авторегрессионная модель с пространственными и временными фиксироваными эффектами</w:t>
            </w:r>
          </w:p>
          <w:p w14:paraId="1355AEF9"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623" w:type="dxa"/>
          </w:tcPr>
          <w:p w14:paraId="59264BD7"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авторегрессионная модель без эффектов</w:t>
            </w:r>
          </w:p>
          <w:p w14:paraId="2D385897"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589" w:type="dxa"/>
          </w:tcPr>
          <w:p w14:paraId="65AB5865"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ошибок со случайными эффектами</w:t>
            </w:r>
          </w:p>
          <w:p w14:paraId="796AF5BA" w14:textId="77777777"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589" w:type="dxa"/>
          </w:tcPr>
          <w:p w14:paraId="1761D503" w14:textId="5139032E"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ошибок с фиксированными эффектами</w:t>
            </w:r>
          </w:p>
          <w:p w14:paraId="1F35920F" w14:textId="77777777" w:rsidR="0003217D" w:rsidRPr="003A6E5A" w:rsidRDefault="00FC275D" w:rsidP="00EF61F5">
            <w:pPr>
              <w:spacing w:after="0" w:line="240" w:lineRule="auto"/>
              <w:jc w:val="center"/>
              <w:rPr>
                <w:rFonts w:ascii="Times New Roman" w:hAnsi="Times New Roman" w:cs="Times New Roman"/>
                <w:b/>
                <w:bCs/>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589" w:type="dxa"/>
          </w:tcPr>
          <w:p w14:paraId="6531053D" w14:textId="26C0E5B4" w:rsidR="0003217D" w:rsidRPr="003A6E5A" w:rsidRDefault="00FC275D" w:rsidP="00EF61F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Пространственная модель ошибок с фиксированными эффектами по методу Ли Ю (2010)</w:t>
            </w:r>
          </w:p>
          <w:p w14:paraId="24A2F36B" w14:textId="77777777" w:rsidR="0003217D" w:rsidRPr="003A6E5A" w:rsidRDefault="00FC275D" w:rsidP="00EF61F5">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w:t>
            </w:r>
            <m:oMath>
              <m:r>
                <m:rPr>
                  <m:sty m:val="p"/>
                </m:rPr>
                <w:rPr>
                  <w:rFonts w:ascii="Cambria Math" w:hAnsi="Cambria Math" w:cs="Times New Roman"/>
                  <w:sz w:val="20"/>
                  <w:szCs w:val="20"/>
                </w:rPr>
                <m:t>n=1</m:t>
              </m:r>
              <m:r>
                <m:rPr>
                  <m:sty m:val="p"/>
                </m:rPr>
                <w:rPr>
                  <w:rFonts w:ascii="Cambria Math" w:hAnsi="Cambria Math" w:cs="Times New Roman"/>
                  <w:sz w:val="20"/>
                  <w:szCs w:val="20"/>
                  <w:lang w:val="en-US"/>
                </w:rPr>
                <m:t>44</m:t>
              </m:r>
            </m:oMath>
            <w:r w:rsidRPr="003A6E5A">
              <w:rPr>
                <w:rFonts w:ascii="Times New Roman" w:hAnsi="Times New Roman" w:cs="Times New Roman"/>
                <w:sz w:val="20"/>
                <w:szCs w:val="20"/>
              </w:rPr>
              <w:t>)</w:t>
            </w:r>
          </w:p>
        </w:tc>
      </w:tr>
      <w:tr w:rsidR="00B02CF8" w:rsidRPr="003A6E5A" w14:paraId="0E76150B" w14:textId="77777777" w:rsidTr="0031247E">
        <w:tc>
          <w:tcPr>
            <w:tcW w:w="1482" w:type="dxa"/>
            <w:vMerge/>
          </w:tcPr>
          <w:p w14:paraId="17291ABD" w14:textId="77777777" w:rsidR="0003217D" w:rsidRPr="003A6E5A" w:rsidRDefault="0003217D" w:rsidP="00EF61F5">
            <w:pPr>
              <w:spacing w:after="0" w:line="240" w:lineRule="auto"/>
              <w:jc w:val="center"/>
              <w:rPr>
                <w:rFonts w:ascii="Times New Roman" w:hAnsi="Times New Roman" w:cs="Times New Roman"/>
                <w:sz w:val="20"/>
                <w:szCs w:val="20"/>
              </w:rPr>
            </w:pPr>
          </w:p>
        </w:tc>
        <w:tc>
          <w:tcPr>
            <w:tcW w:w="1720" w:type="dxa"/>
            <w:vAlign w:val="center"/>
          </w:tcPr>
          <w:p w14:paraId="1EF38926"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(15)</w:t>
            </w:r>
          </w:p>
        </w:tc>
        <w:tc>
          <w:tcPr>
            <w:tcW w:w="1623" w:type="dxa"/>
            <w:vAlign w:val="center"/>
          </w:tcPr>
          <w:p w14:paraId="7FE12B07"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(16)</w:t>
            </w:r>
          </w:p>
        </w:tc>
        <w:tc>
          <w:tcPr>
            <w:tcW w:w="1589" w:type="dxa"/>
            <w:vAlign w:val="center"/>
          </w:tcPr>
          <w:p w14:paraId="7C3C9C88"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(17)</w:t>
            </w:r>
          </w:p>
        </w:tc>
        <w:tc>
          <w:tcPr>
            <w:tcW w:w="1589" w:type="dxa"/>
            <w:vAlign w:val="center"/>
          </w:tcPr>
          <w:p w14:paraId="3C4E0A50"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(18)</w:t>
            </w:r>
          </w:p>
        </w:tc>
        <w:tc>
          <w:tcPr>
            <w:tcW w:w="1589" w:type="dxa"/>
            <w:vAlign w:val="center"/>
          </w:tcPr>
          <w:p w14:paraId="18EE711D"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(19)</w:t>
            </w:r>
          </w:p>
        </w:tc>
      </w:tr>
      <w:tr w:rsidR="00B02CF8" w:rsidRPr="003A6E5A" w14:paraId="44AE7B06" w14:textId="77777777">
        <w:tc>
          <w:tcPr>
            <w:tcW w:w="9592" w:type="dxa"/>
            <w:gridSpan w:val="6"/>
          </w:tcPr>
          <w:p w14:paraId="6312009D"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Зависимая переменная: инвестиции в основной капитал (логарифм)</w:t>
            </w:r>
          </w:p>
        </w:tc>
      </w:tr>
      <w:tr w:rsidR="00B02CF8" w:rsidRPr="003A6E5A" w14:paraId="7D625896" w14:textId="77777777">
        <w:tc>
          <w:tcPr>
            <w:tcW w:w="9592" w:type="dxa"/>
            <w:gridSpan w:val="6"/>
          </w:tcPr>
          <w:p w14:paraId="74B275E9"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lastRenderedPageBreak/>
              <w:t>Основной эффект</w:t>
            </w:r>
          </w:p>
        </w:tc>
      </w:tr>
      <w:tr w:rsidR="00B02CF8" w:rsidRPr="003A6E5A" w14:paraId="746E22E6" w14:textId="77777777" w:rsidTr="0031247E">
        <w:tc>
          <w:tcPr>
            <w:tcW w:w="1482" w:type="dxa"/>
          </w:tcPr>
          <w:p w14:paraId="40ED76E4"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en-US"/>
              </w:rPr>
              <w:t>Внутренние затраты на НИОКР</w:t>
            </w:r>
          </w:p>
        </w:tc>
        <w:tc>
          <w:tcPr>
            <w:tcW w:w="1720" w:type="dxa"/>
            <w:vAlign w:val="center"/>
          </w:tcPr>
          <w:p w14:paraId="70F6E12A"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0,0927392</w:t>
            </w:r>
            <w:r w:rsidRPr="003A6E5A">
              <w:rPr>
                <w:rFonts w:ascii="Times New Roman" w:hAnsi="Times New Roman" w:cs="Times New Roman"/>
                <w:i/>
                <w:iCs/>
                <w:sz w:val="20"/>
                <w:szCs w:val="20"/>
                <w:vertAlign w:val="superscript"/>
              </w:rPr>
              <w:t>**</w:t>
            </w:r>
          </w:p>
          <w:p w14:paraId="4A290E61"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(0,0535144)</w:t>
            </w:r>
          </w:p>
        </w:tc>
        <w:tc>
          <w:tcPr>
            <w:tcW w:w="1623" w:type="dxa"/>
            <w:vAlign w:val="center"/>
          </w:tcPr>
          <w:p w14:paraId="24197E79"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1277117</w:t>
            </w:r>
            <w:r w:rsidRPr="003A6E5A">
              <w:rPr>
                <w:rFonts w:ascii="Times New Roman" w:hAnsi="Times New Roman" w:cs="Times New Roman"/>
                <w:i/>
                <w:iCs/>
                <w:sz w:val="24"/>
                <w:szCs w:val="24"/>
                <w:vertAlign w:val="superscript"/>
              </w:rPr>
              <w:t>***</w:t>
            </w:r>
          </w:p>
          <w:p w14:paraId="0115BCA1"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0448183)</w:t>
            </w:r>
          </w:p>
        </w:tc>
        <w:tc>
          <w:tcPr>
            <w:tcW w:w="1589" w:type="dxa"/>
            <w:vAlign w:val="center"/>
          </w:tcPr>
          <w:p w14:paraId="39F229B5"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0,1051136</w:t>
            </w:r>
            <w:r w:rsidRPr="003A6E5A">
              <w:rPr>
                <w:rFonts w:ascii="Times New Roman" w:hAnsi="Times New Roman" w:cs="Times New Roman"/>
                <w:i/>
                <w:iCs/>
                <w:sz w:val="24"/>
                <w:szCs w:val="24"/>
                <w:vertAlign w:val="superscript"/>
              </w:rPr>
              <w:t>**</w:t>
            </w:r>
          </w:p>
          <w:p w14:paraId="1A36C798"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(0,0508011)</w:t>
            </w:r>
          </w:p>
        </w:tc>
        <w:tc>
          <w:tcPr>
            <w:tcW w:w="1589" w:type="dxa"/>
            <w:vAlign w:val="center"/>
          </w:tcPr>
          <w:p w14:paraId="4293D20F"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0,1062261**</w:t>
            </w:r>
          </w:p>
          <w:p w14:paraId="3BEE59FF"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(0,0526131)</w:t>
            </w:r>
          </w:p>
        </w:tc>
        <w:tc>
          <w:tcPr>
            <w:tcW w:w="1589" w:type="dxa"/>
            <w:vAlign w:val="center"/>
          </w:tcPr>
          <w:p w14:paraId="41FF6F97"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0,1062261**</w:t>
            </w:r>
          </w:p>
          <w:p w14:paraId="7F68D988"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(0,0526131)</w:t>
            </w:r>
          </w:p>
        </w:tc>
      </w:tr>
      <w:tr w:rsidR="00B02CF8" w:rsidRPr="003A6E5A" w14:paraId="0163C52D" w14:textId="77777777" w:rsidTr="0031247E">
        <w:tc>
          <w:tcPr>
            <w:tcW w:w="1482" w:type="dxa"/>
          </w:tcPr>
          <w:p w14:paraId="403DD25B"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Валовый региональный продукт</w:t>
            </w:r>
            <w:r w:rsidRPr="003A6E5A">
              <w:rPr>
                <w:rFonts w:ascii="Times New Roman" w:hAnsi="Times New Roman" w:cs="Times New Roman"/>
                <w:sz w:val="20"/>
                <w:szCs w:val="20"/>
                <w:lang w:val="kk-KZ"/>
              </w:rPr>
              <w:t xml:space="preserve"> на душу населения</w:t>
            </w:r>
          </w:p>
        </w:tc>
        <w:tc>
          <w:tcPr>
            <w:tcW w:w="1720" w:type="dxa"/>
            <w:vAlign w:val="center"/>
          </w:tcPr>
          <w:p w14:paraId="1EBBD031"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0,5256168</w:t>
            </w:r>
            <w:r w:rsidRPr="003A6E5A">
              <w:rPr>
                <w:rFonts w:ascii="Times New Roman" w:hAnsi="Times New Roman" w:cs="Times New Roman"/>
                <w:i/>
                <w:iCs/>
                <w:sz w:val="20"/>
                <w:szCs w:val="20"/>
                <w:vertAlign w:val="superscript"/>
              </w:rPr>
              <w:t>***</w:t>
            </w:r>
          </w:p>
          <w:p w14:paraId="262EA731"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(0,1530144)</w:t>
            </w:r>
          </w:p>
        </w:tc>
        <w:tc>
          <w:tcPr>
            <w:tcW w:w="1623" w:type="dxa"/>
            <w:vAlign w:val="center"/>
          </w:tcPr>
          <w:p w14:paraId="66D0CFE6" w14:textId="77777777" w:rsidR="0003217D" w:rsidRPr="003A6E5A" w:rsidRDefault="0003217D" w:rsidP="0031247E">
            <w:pPr>
              <w:spacing w:after="0" w:line="240" w:lineRule="auto"/>
              <w:jc w:val="center"/>
              <w:rPr>
                <w:rFonts w:ascii="Times New Roman" w:hAnsi="Times New Roman" w:cs="Times New Roman"/>
                <w:sz w:val="20"/>
                <w:szCs w:val="20"/>
                <w:lang w:val="en-US"/>
              </w:rPr>
            </w:pPr>
          </w:p>
        </w:tc>
        <w:tc>
          <w:tcPr>
            <w:tcW w:w="1589" w:type="dxa"/>
            <w:vAlign w:val="center"/>
          </w:tcPr>
          <w:p w14:paraId="73C4A73C"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0,2733739</w:t>
            </w:r>
            <w:r w:rsidRPr="003A6E5A">
              <w:rPr>
                <w:rFonts w:ascii="Times New Roman" w:hAnsi="Times New Roman" w:cs="Times New Roman"/>
                <w:i/>
                <w:iCs/>
                <w:sz w:val="24"/>
                <w:szCs w:val="24"/>
                <w:vertAlign w:val="superscript"/>
              </w:rPr>
              <w:t>***</w:t>
            </w:r>
          </w:p>
          <w:p w14:paraId="5A508C3A"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(0,1053205)</w:t>
            </w:r>
          </w:p>
        </w:tc>
        <w:tc>
          <w:tcPr>
            <w:tcW w:w="1589" w:type="dxa"/>
            <w:vAlign w:val="center"/>
          </w:tcPr>
          <w:p w14:paraId="5F206868"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0,2251969**</w:t>
            </w:r>
          </w:p>
          <w:p w14:paraId="795247BA"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(0,1132559)</w:t>
            </w:r>
          </w:p>
        </w:tc>
        <w:tc>
          <w:tcPr>
            <w:tcW w:w="1589" w:type="dxa"/>
            <w:vAlign w:val="center"/>
          </w:tcPr>
          <w:p w14:paraId="6496A4A0"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0,2251969**</w:t>
            </w:r>
          </w:p>
          <w:p w14:paraId="02368A49"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(0,1132559)</w:t>
            </w:r>
          </w:p>
        </w:tc>
      </w:tr>
      <w:tr w:rsidR="00B02CF8" w:rsidRPr="003A6E5A" w14:paraId="26C50DA5" w14:textId="77777777" w:rsidTr="0031247E">
        <w:tc>
          <w:tcPr>
            <w:tcW w:w="1482" w:type="dxa"/>
          </w:tcPr>
          <w:p w14:paraId="6B8FFABB"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Количество предприятий, осуществлявших НИОКР</w:t>
            </w:r>
          </w:p>
        </w:tc>
        <w:tc>
          <w:tcPr>
            <w:tcW w:w="1720" w:type="dxa"/>
            <w:vAlign w:val="center"/>
          </w:tcPr>
          <w:p w14:paraId="0D92CF4B" w14:textId="77777777" w:rsidR="0003217D" w:rsidRPr="003A6E5A" w:rsidRDefault="0003217D" w:rsidP="0031247E">
            <w:pPr>
              <w:spacing w:after="0" w:line="240" w:lineRule="auto"/>
              <w:jc w:val="center"/>
              <w:rPr>
                <w:rFonts w:ascii="Times New Roman" w:hAnsi="Times New Roman" w:cs="Times New Roman"/>
                <w:sz w:val="20"/>
                <w:szCs w:val="20"/>
              </w:rPr>
            </w:pPr>
          </w:p>
        </w:tc>
        <w:tc>
          <w:tcPr>
            <w:tcW w:w="1623" w:type="dxa"/>
            <w:vAlign w:val="center"/>
          </w:tcPr>
          <w:p w14:paraId="54271E2D" w14:textId="77777777" w:rsidR="0003217D" w:rsidRPr="003A6E5A" w:rsidRDefault="0003217D" w:rsidP="0031247E">
            <w:pPr>
              <w:spacing w:after="0" w:line="240" w:lineRule="auto"/>
              <w:jc w:val="center"/>
              <w:rPr>
                <w:rFonts w:ascii="Times New Roman" w:hAnsi="Times New Roman" w:cs="Times New Roman"/>
                <w:sz w:val="20"/>
                <w:szCs w:val="20"/>
                <w:lang w:val="en-US"/>
              </w:rPr>
            </w:pPr>
          </w:p>
        </w:tc>
        <w:tc>
          <w:tcPr>
            <w:tcW w:w="1589" w:type="dxa"/>
            <w:vAlign w:val="center"/>
          </w:tcPr>
          <w:p w14:paraId="7BBD8B72"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0,132899</w:t>
            </w:r>
            <w:r w:rsidRPr="003A6E5A">
              <w:rPr>
                <w:rFonts w:ascii="Times New Roman" w:hAnsi="Times New Roman" w:cs="Times New Roman"/>
                <w:i/>
                <w:iCs/>
                <w:sz w:val="24"/>
                <w:szCs w:val="24"/>
                <w:vertAlign w:val="superscript"/>
              </w:rPr>
              <w:t>*</w:t>
            </w:r>
          </w:p>
          <w:p w14:paraId="319B9238"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(0,0796783)</w:t>
            </w:r>
          </w:p>
        </w:tc>
        <w:tc>
          <w:tcPr>
            <w:tcW w:w="1589" w:type="dxa"/>
            <w:vAlign w:val="center"/>
          </w:tcPr>
          <w:p w14:paraId="38454749"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0,1641671*</w:t>
            </w:r>
          </w:p>
          <w:p w14:paraId="54CC864C"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(0,0857499)</w:t>
            </w:r>
          </w:p>
        </w:tc>
        <w:tc>
          <w:tcPr>
            <w:tcW w:w="1589" w:type="dxa"/>
            <w:vAlign w:val="center"/>
          </w:tcPr>
          <w:p w14:paraId="4548F617"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0,1641671*</w:t>
            </w:r>
          </w:p>
          <w:p w14:paraId="1B159A16"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(0,0857499)</w:t>
            </w:r>
          </w:p>
        </w:tc>
      </w:tr>
      <w:tr w:rsidR="00B02CF8" w:rsidRPr="003A6E5A" w14:paraId="0845B694" w14:textId="77777777" w:rsidTr="0031247E">
        <w:tc>
          <w:tcPr>
            <w:tcW w:w="1482" w:type="dxa"/>
          </w:tcPr>
          <w:p w14:paraId="70A929A3" w14:textId="77777777" w:rsidR="0003217D" w:rsidRPr="003A6E5A" w:rsidRDefault="00FC275D" w:rsidP="001608EA">
            <w:pPr>
              <w:spacing w:after="0" w:line="240" w:lineRule="auto"/>
              <w:rPr>
                <w:rFonts w:ascii="Times New Roman" w:hAnsi="Times New Roman" w:cs="Times New Roman"/>
                <w:sz w:val="20"/>
                <w:szCs w:val="20"/>
                <w:lang w:val="en-US"/>
              </w:rPr>
            </w:pPr>
            <w:r w:rsidRPr="003A6E5A">
              <w:rPr>
                <w:rFonts w:ascii="Times New Roman" w:hAnsi="Times New Roman" w:cs="Times New Roman"/>
                <w:sz w:val="20"/>
                <w:szCs w:val="20"/>
              </w:rPr>
              <w:t xml:space="preserve">Константа </w:t>
            </w:r>
          </w:p>
        </w:tc>
        <w:tc>
          <w:tcPr>
            <w:tcW w:w="1720" w:type="dxa"/>
            <w:vAlign w:val="center"/>
          </w:tcPr>
          <w:p w14:paraId="24AF42FC" w14:textId="77777777" w:rsidR="0003217D" w:rsidRPr="003A6E5A" w:rsidRDefault="0003217D" w:rsidP="0031247E">
            <w:pPr>
              <w:spacing w:after="0" w:line="240" w:lineRule="auto"/>
              <w:jc w:val="center"/>
              <w:rPr>
                <w:rFonts w:ascii="Times New Roman" w:hAnsi="Times New Roman" w:cs="Times New Roman"/>
                <w:sz w:val="20"/>
                <w:szCs w:val="20"/>
              </w:rPr>
            </w:pPr>
          </w:p>
        </w:tc>
        <w:tc>
          <w:tcPr>
            <w:tcW w:w="1623" w:type="dxa"/>
            <w:vAlign w:val="center"/>
          </w:tcPr>
          <w:p w14:paraId="72A97F42" w14:textId="77777777" w:rsidR="0003217D" w:rsidRPr="003A6E5A" w:rsidRDefault="0003217D" w:rsidP="0031247E">
            <w:pPr>
              <w:spacing w:after="0" w:line="240" w:lineRule="auto"/>
              <w:jc w:val="center"/>
              <w:rPr>
                <w:rFonts w:ascii="Times New Roman" w:hAnsi="Times New Roman" w:cs="Times New Roman"/>
                <w:sz w:val="20"/>
                <w:szCs w:val="20"/>
              </w:rPr>
            </w:pPr>
          </w:p>
        </w:tc>
        <w:tc>
          <w:tcPr>
            <w:tcW w:w="1589" w:type="dxa"/>
            <w:vAlign w:val="center"/>
          </w:tcPr>
          <w:p w14:paraId="6B83EC47"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9,372581</w:t>
            </w:r>
            <w:r w:rsidRPr="003A6E5A">
              <w:rPr>
                <w:rFonts w:ascii="Times New Roman" w:hAnsi="Times New Roman" w:cs="Times New Roman"/>
                <w:i/>
                <w:iCs/>
                <w:sz w:val="24"/>
                <w:szCs w:val="24"/>
                <w:vertAlign w:val="superscript"/>
              </w:rPr>
              <w:t>***</w:t>
            </w:r>
          </w:p>
        </w:tc>
        <w:tc>
          <w:tcPr>
            <w:tcW w:w="1589" w:type="dxa"/>
            <w:vAlign w:val="center"/>
          </w:tcPr>
          <w:p w14:paraId="3F0C4FD0" w14:textId="77777777" w:rsidR="0003217D" w:rsidRPr="003A6E5A" w:rsidRDefault="0003217D" w:rsidP="0031247E">
            <w:pPr>
              <w:spacing w:after="0" w:line="240" w:lineRule="auto"/>
              <w:jc w:val="center"/>
              <w:rPr>
                <w:rFonts w:ascii="Times New Roman" w:hAnsi="Times New Roman" w:cs="Times New Roman"/>
                <w:sz w:val="20"/>
                <w:szCs w:val="20"/>
              </w:rPr>
            </w:pPr>
          </w:p>
        </w:tc>
        <w:tc>
          <w:tcPr>
            <w:tcW w:w="1589" w:type="dxa"/>
            <w:vAlign w:val="center"/>
          </w:tcPr>
          <w:p w14:paraId="565EA751" w14:textId="77777777" w:rsidR="0003217D" w:rsidRPr="003A6E5A" w:rsidRDefault="0003217D" w:rsidP="0031247E">
            <w:pPr>
              <w:spacing w:after="0" w:line="240" w:lineRule="auto"/>
              <w:jc w:val="center"/>
              <w:rPr>
                <w:rFonts w:ascii="Times New Roman" w:hAnsi="Times New Roman" w:cs="Times New Roman"/>
                <w:sz w:val="20"/>
                <w:szCs w:val="20"/>
              </w:rPr>
            </w:pPr>
          </w:p>
        </w:tc>
      </w:tr>
      <w:tr w:rsidR="00B02CF8" w:rsidRPr="003A6E5A" w14:paraId="40FA7BA8" w14:textId="77777777" w:rsidTr="003569F3">
        <w:tc>
          <w:tcPr>
            <w:tcW w:w="8003" w:type="dxa"/>
            <w:gridSpan w:val="5"/>
            <w:vAlign w:val="center"/>
          </w:tcPr>
          <w:p w14:paraId="757A11AC" w14:textId="77777777" w:rsidR="0003217D" w:rsidRPr="003A6E5A" w:rsidRDefault="00FC275D" w:rsidP="003569F3">
            <w:pPr>
              <w:spacing w:after="0" w:line="240" w:lineRule="auto"/>
              <w:jc w:val="left"/>
              <w:rPr>
                <w:rFonts w:ascii="Times New Roman" w:hAnsi="Times New Roman" w:cs="Times New Roman"/>
                <w:sz w:val="20"/>
                <w:szCs w:val="20"/>
                <w:lang w:val="kk-KZ"/>
              </w:rPr>
            </w:pPr>
            <w:r w:rsidRPr="003A6E5A">
              <w:rPr>
                <w:rFonts w:ascii="Times New Roman" w:hAnsi="Times New Roman" w:cs="Times New Roman"/>
                <w:sz w:val="20"/>
                <w:szCs w:val="20"/>
              </w:rPr>
              <w:t>Пространственный эффект</w:t>
            </w:r>
          </w:p>
        </w:tc>
        <w:tc>
          <w:tcPr>
            <w:tcW w:w="1589" w:type="dxa"/>
          </w:tcPr>
          <w:p w14:paraId="6704DF61" w14:textId="77777777" w:rsidR="0003217D" w:rsidRPr="003A6E5A" w:rsidRDefault="0003217D" w:rsidP="001608EA">
            <w:pPr>
              <w:spacing w:after="0" w:line="240" w:lineRule="auto"/>
              <w:rPr>
                <w:rFonts w:ascii="Times New Roman" w:hAnsi="Times New Roman" w:cs="Times New Roman"/>
                <w:sz w:val="20"/>
                <w:szCs w:val="20"/>
              </w:rPr>
            </w:pPr>
          </w:p>
        </w:tc>
      </w:tr>
      <w:tr w:rsidR="00B02CF8" w:rsidRPr="003A6E5A" w14:paraId="4CE051E0" w14:textId="77777777" w:rsidTr="0031247E">
        <w:tc>
          <w:tcPr>
            <w:tcW w:w="1482" w:type="dxa"/>
            <w:vAlign w:val="center"/>
          </w:tcPr>
          <w:p w14:paraId="6466B9B1" w14:textId="32959ADB" w:rsidR="0003217D" w:rsidRPr="003A6E5A" w:rsidRDefault="001E1075" w:rsidP="0031247E">
            <w:pPr>
              <w:spacing w:after="0" w:line="240" w:lineRule="auto"/>
              <w:jc w:val="center"/>
              <w:rPr>
                <w:rFonts w:ascii="Times New Roman" w:hAnsi="Times New Roman" w:cs="Times New Roman"/>
                <w:i/>
                <w:iCs/>
                <w:sz w:val="20"/>
                <w:szCs w:val="20"/>
              </w:rPr>
            </w:pPr>
            <m:oMathPara>
              <m:oMath>
                <m:r>
                  <w:rPr>
                    <w:rFonts w:ascii="Cambria Math" w:hAnsi="Cambria Math" w:cs="Times New Roman"/>
                    <w:sz w:val="20"/>
                    <w:szCs w:val="20"/>
                  </w:rPr>
                  <m:t>ρ</m:t>
                </m:r>
              </m:oMath>
            </m:oMathPara>
          </w:p>
        </w:tc>
        <w:tc>
          <w:tcPr>
            <w:tcW w:w="1720" w:type="dxa"/>
            <w:vAlign w:val="center"/>
          </w:tcPr>
          <w:p w14:paraId="53EE9716"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-0,16277076</w:t>
            </w:r>
          </w:p>
          <w:p w14:paraId="03271464"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(0,1100934)</w:t>
            </w:r>
          </w:p>
        </w:tc>
        <w:tc>
          <w:tcPr>
            <w:tcW w:w="1623" w:type="dxa"/>
            <w:vAlign w:val="center"/>
          </w:tcPr>
          <w:p w14:paraId="0D45FB4D"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5025541</w:t>
            </w:r>
            <w:r w:rsidRPr="003A6E5A">
              <w:rPr>
                <w:rFonts w:ascii="Times New Roman" w:hAnsi="Times New Roman" w:cs="Times New Roman"/>
                <w:i/>
                <w:iCs/>
                <w:sz w:val="24"/>
                <w:szCs w:val="24"/>
                <w:vertAlign w:val="superscript"/>
              </w:rPr>
              <w:t>***</w:t>
            </w:r>
          </w:p>
          <w:p w14:paraId="50C66A94"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065487)</w:t>
            </w:r>
          </w:p>
        </w:tc>
        <w:tc>
          <w:tcPr>
            <w:tcW w:w="1589" w:type="dxa"/>
            <w:vAlign w:val="center"/>
          </w:tcPr>
          <w:p w14:paraId="66F383AD" w14:textId="77777777" w:rsidR="0003217D" w:rsidRPr="003A6E5A" w:rsidRDefault="0003217D" w:rsidP="0031247E">
            <w:pPr>
              <w:spacing w:after="0" w:line="240" w:lineRule="auto"/>
              <w:jc w:val="center"/>
              <w:rPr>
                <w:rFonts w:ascii="Times New Roman" w:hAnsi="Times New Roman" w:cs="Times New Roman"/>
                <w:sz w:val="20"/>
                <w:szCs w:val="20"/>
              </w:rPr>
            </w:pPr>
          </w:p>
        </w:tc>
        <w:tc>
          <w:tcPr>
            <w:tcW w:w="1589" w:type="dxa"/>
            <w:vAlign w:val="center"/>
          </w:tcPr>
          <w:p w14:paraId="270F5F30" w14:textId="77777777" w:rsidR="0003217D" w:rsidRPr="003A6E5A" w:rsidRDefault="0003217D" w:rsidP="0031247E">
            <w:pPr>
              <w:spacing w:after="0" w:line="240" w:lineRule="auto"/>
              <w:jc w:val="center"/>
              <w:rPr>
                <w:rFonts w:ascii="Times New Roman" w:hAnsi="Times New Roman" w:cs="Times New Roman"/>
                <w:sz w:val="20"/>
                <w:szCs w:val="20"/>
                <w:lang w:val="kk-KZ"/>
              </w:rPr>
            </w:pPr>
          </w:p>
        </w:tc>
        <w:tc>
          <w:tcPr>
            <w:tcW w:w="1589" w:type="dxa"/>
            <w:vAlign w:val="center"/>
          </w:tcPr>
          <w:p w14:paraId="13C37807" w14:textId="77777777" w:rsidR="0003217D" w:rsidRPr="003A6E5A" w:rsidRDefault="0003217D" w:rsidP="0031247E">
            <w:pPr>
              <w:spacing w:after="0" w:line="240" w:lineRule="auto"/>
              <w:jc w:val="center"/>
              <w:rPr>
                <w:rFonts w:ascii="Times New Roman" w:hAnsi="Times New Roman" w:cs="Times New Roman"/>
                <w:sz w:val="20"/>
                <w:szCs w:val="20"/>
              </w:rPr>
            </w:pPr>
          </w:p>
        </w:tc>
      </w:tr>
      <w:tr w:rsidR="00B02CF8" w:rsidRPr="003A6E5A" w14:paraId="143DCFB6" w14:textId="77777777" w:rsidTr="0031247E">
        <w:tc>
          <w:tcPr>
            <w:tcW w:w="1482" w:type="dxa"/>
            <w:vAlign w:val="center"/>
          </w:tcPr>
          <w:p w14:paraId="54B1D418" w14:textId="51E127DD" w:rsidR="0003217D" w:rsidRPr="003A6E5A" w:rsidRDefault="001E1075" w:rsidP="0031247E">
            <w:pPr>
              <w:spacing w:after="0" w:line="240" w:lineRule="auto"/>
              <w:jc w:val="center"/>
              <w:rPr>
                <w:rFonts w:ascii="Cambria Math" w:hAnsi="Cambria Math" w:cs="Times New Roman"/>
                <w:sz w:val="20"/>
                <w:szCs w:val="20"/>
                <w:oMath/>
              </w:rPr>
            </w:pPr>
            <m:oMathPara>
              <m:oMath>
                <m:r>
                  <w:rPr>
                    <w:rFonts w:ascii="Cambria Math" w:hAnsi="Cambria Math" w:cs="Times New Roman"/>
                    <w:sz w:val="20"/>
                    <w:szCs w:val="20"/>
                  </w:rPr>
                  <m:t>λ</m:t>
                </m:r>
              </m:oMath>
            </m:oMathPara>
          </w:p>
        </w:tc>
        <w:tc>
          <w:tcPr>
            <w:tcW w:w="1720" w:type="dxa"/>
            <w:vAlign w:val="center"/>
          </w:tcPr>
          <w:p w14:paraId="45226EC4" w14:textId="77777777" w:rsidR="0003217D" w:rsidRPr="003A6E5A" w:rsidRDefault="0003217D" w:rsidP="0031247E">
            <w:pPr>
              <w:spacing w:after="0" w:line="240" w:lineRule="auto"/>
              <w:jc w:val="center"/>
              <w:rPr>
                <w:rFonts w:ascii="Times New Roman" w:hAnsi="Times New Roman" w:cs="Times New Roman"/>
                <w:sz w:val="20"/>
                <w:szCs w:val="20"/>
              </w:rPr>
            </w:pPr>
          </w:p>
        </w:tc>
        <w:tc>
          <w:tcPr>
            <w:tcW w:w="1623" w:type="dxa"/>
            <w:vAlign w:val="center"/>
          </w:tcPr>
          <w:p w14:paraId="55002B12" w14:textId="77777777" w:rsidR="0003217D" w:rsidRPr="003A6E5A" w:rsidRDefault="0003217D" w:rsidP="0031247E">
            <w:pPr>
              <w:spacing w:after="0" w:line="240" w:lineRule="auto"/>
              <w:jc w:val="center"/>
              <w:rPr>
                <w:rFonts w:ascii="Times New Roman" w:hAnsi="Times New Roman" w:cs="Times New Roman"/>
                <w:sz w:val="20"/>
                <w:szCs w:val="20"/>
                <w:lang w:val="en-US"/>
              </w:rPr>
            </w:pPr>
          </w:p>
        </w:tc>
        <w:tc>
          <w:tcPr>
            <w:tcW w:w="1589" w:type="dxa"/>
            <w:vAlign w:val="center"/>
          </w:tcPr>
          <w:p w14:paraId="02813187"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0,6086134</w:t>
            </w:r>
            <w:r w:rsidRPr="003A6E5A">
              <w:rPr>
                <w:rFonts w:ascii="Times New Roman" w:hAnsi="Times New Roman" w:cs="Times New Roman"/>
                <w:i/>
                <w:iCs/>
                <w:sz w:val="24"/>
                <w:szCs w:val="24"/>
                <w:vertAlign w:val="superscript"/>
              </w:rPr>
              <w:t>***</w:t>
            </w:r>
          </w:p>
          <w:p w14:paraId="3155AF4E"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(0,0693503)</w:t>
            </w:r>
          </w:p>
        </w:tc>
        <w:tc>
          <w:tcPr>
            <w:tcW w:w="1589" w:type="dxa"/>
            <w:vAlign w:val="center"/>
          </w:tcPr>
          <w:p w14:paraId="3F332412"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0,5975345</w:t>
            </w:r>
            <w:r w:rsidRPr="003A6E5A">
              <w:rPr>
                <w:rFonts w:ascii="Times New Roman" w:hAnsi="Times New Roman" w:cs="Times New Roman"/>
                <w:i/>
                <w:iCs/>
                <w:sz w:val="24"/>
                <w:szCs w:val="24"/>
                <w:vertAlign w:val="superscript"/>
              </w:rPr>
              <w:t>***</w:t>
            </w:r>
          </w:p>
          <w:p w14:paraId="27FBA420"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(0,0699418)</w:t>
            </w:r>
          </w:p>
        </w:tc>
        <w:tc>
          <w:tcPr>
            <w:tcW w:w="1589" w:type="dxa"/>
            <w:vAlign w:val="center"/>
          </w:tcPr>
          <w:p w14:paraId="7BD43471"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0,5975345</w:t>
            </w:r>
            <w:r w:rsidRPr="003A6E5A">
              <w:rPr>
                <w:rFonts w:ascii="Times New Roman" w:hAnsi="Times New Roman" w:cs="Times New Roman"/>
                <w:i/>
                <w:iCs/>
                <w:sz w:val="24"/>
                <w:szCs w:val="24"/>
                <w:vertAlign w:val="superscript"/>
              </w:rPr>
              <w:t>***</w:t>
            </w:r>
          </w:p>
          <w:p w14:paraId="16ECC492"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(0,0699418)</w:t>
            </w:r>
          </w:p>
        </w:tc>
      </w:tr>
      <w:tr w:rsidR="00B02CF8" w:rsidRPr="003A6E5A" w14:paraId="1FC334EE" w14:textId="77777777" w:rsidTr="0031247E">
        <w:tc>
          <w:tcPr>
            <w:tcW w:w="1482" w:type="dxa"/>
            <w:vAlign w:val="center"/>
          </w:tcPr>
          <w:p w14:paraId="22563536" w14:textId="77777777" w:rsidR="0003217D" w:rsidRPr="003A6E5A" w:rsidRDefault="00790CB1" w:rsidP="0031247E">
            <w:pPr>
              <w:spacing w:after="0" w:line="240" w:lineRule="auto"/>
              <w:jc w:val="center"/>
              <w:rPr>
                <w:rFonts w:ascii="Times New Roman" w:hAnsi="Times New Roman" w:cs="Times New Roman"/>
                <w:sz w:val="20"/>
                <w:szCs w:val="20"/>
              </w:rPr>
            </w:pPr>
            <m:oMathPara>
              <m:oMath>
                <m:sSup>
                  <m:sSupPr>
                    <m:ctrlPr>
                      <w:rPr>
                        <w:rFonts w:ascii="Cambria Math" w:hAnsi="Cambria Math" w:cs="Times New Roman"/>
                        <w:bCs/>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1720" w:type="dxa"/>
            <w:vAlign w:val="center"/>
          </w:tcPr>
          <w:p w14:paraId="60442604" w14:textId="77777777" w:rsidR="0003217D" w:rsidRPr="003A6E5A" w:rsidRDefault="00FC275D" w:rsidP="0031247E">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0,4102</w:t>
            </w:r>
          </w:p>
        </w:tc>
        <w:tc>
          <w:tcPr>
            <w:tcW w:w="1623" w:type="dxa"/>
            <w:vAlign w:val="center"/>
          </w:tcPr>
          <w:p w14:paraId="317359A5"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2704</w:t>
            </w:r>
          </w:p>
        </w:tc>
        <w:tc>
          <w:tcPr>
            <w:tcW w:w="1589" w:type="dxa"/>
            <w:vAlign w:val="center"/>
          </w:tcPr>
          <w:p w14:paraId="3142E1E3"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0,3811</w:t>
            </w:r>
          </w:p>
        </w:tc>
        <w:tc>
          <w:tcPr>
            <w:tcW w:w="1589" w:type="dxa"/>
            <w:vAlign w:val="center"/>
          </w:tcPr>
          <w:p w14:paraId="6DE09E39"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0,3580</w:t>
            </w:r>
          </w:p>
        </w:tc>
        <w:tc>
          <w:tcPr>
            <w:tcW w:w="1589" w:type="dxa"/>
            <w:vAlign w:val="center"/>
          </w:tcPr>
          <w:p w14:paraId="5D22EBF6"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0,3580</w:t>
            </w:r>
          </w:p>
        </w:tc>
      </w:tr>
      <w:tr w:rsidR="00B02CF8" w:rsidRPr="003A6E5A" w14:paraId="65ACCE1C" w14:textId="77777777" w:rsidTr="0031247E">
        <w:trPr>
          <w:trHeight w:val="282"/>
        </w:trPr>
        <w:tc>
          <w:tcPr>
            <w:tcW w:w="1482" w:type="dxa"/>
            <w:vAlign w:val="center"/>
          </w:tcPr>
          <w:p w14:paraId="1ED24BE8" w14:textId="77777777" w:rsidR="0003217D" w:rsidRPr="003A6E5A" w:rsidRDefault="00FC275D" w:rsidP="0031247E">
            <w:pPr>
              <w:spacing w:after="0" w:line="240" w:lineRule="auto"/>
              <w:jc w:val="center"/>
              <w:rPr>
                <w:rFonts w:ascii="Cambria Math" w:hAnsi="Cambria Math" w:cs="Times New Roman"/>
                <w:sz w:val="20"/>
                <w:szCs w:val="20"/>
                <w:oMath/>
              </w:rPr>
            </w:pPr>
            <w:r w:rsidRPr="003A6E5A">
              <w:rPr>
                <w:rFonts w:ascii="Times New Roman" w:hAnsi="Times New Roman" w:cs="Times New Roman"/>
                <w:bCs/>
                <w:i/>
                <w:sz w:val="20"/>
                <w:szCs w:val="20"/>
              </w:rPr>
              <w:t>AIC</w:t>
            </w:r>
          </w:p>
        </w:tc>
        <w:tc>
          <w:tcPr>
            <w:tcW w:w="1720" w:type="dxa"/>
            <w:vAlign w:val="center"/>
          </w:tcPr>
          <w:p w14:paraId="04B6B4AA"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-157.6408</w:t>
            </w:r>
          </w:p>
        </w:tc>
        <w:tc>
          <w:tcPr>
            <w:tcW w:w="1623" w:type="dxa"/>
            <w:vAlign w:val="center"/>
          </w:tcPr>
          <w:p w14:paraId="703D85C4"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7,429081</w:t>
            </w:r>
          </w:p>
        </w:tc>
        <w:tc>
          <w:tcPr>
            <w:tcW w:w="1589" w:type="dxa"/>
            <w:vAlign w:val="center"/>
          </w:tcPr>
          <w:p w14:paraId="0341B042"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-8,473717</w:t>
            </w:r>
          </w:p>
        </w:tc>
        <w:tc>
          <w:tcPr>
            <w:tcW w:w="1589" w:type="dxa"/>
            <w:vAlign w:val="center"/>
          </w:tcPr>
          <w:p w14:paraId="0A1397CA"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-92,78936</w:t>
            </w:r>
          </w:p>
        </w:tc>
        <w:tc>
          <w:tcPr>
            <w:tcW w:w="1589" w:type="dxa"/>
            <w:vAlign w:val="center"/>
          </w:tcPr>
          <w:p w14:paraId="2CB2E2A0"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-67,33851</w:t>
            </w:r>
          </w:p>
        </w:tc>
      </w:tr>
      <w:tr w:rsidR="00B02CF8" w:rsidRPr="003A6E5A" w14:paraId="2DD6584D" w14:textId="77777777" w:rsidTr="0031247E">
        <w:tc>
          <w:tcPr>
            <w:tcW w:w="1482" w:type="dxa"/>
            <w:vAlign w:val="center"/>
          </w:tcPr>
          <w:p w14:paraId="316BE964" w14:textId="77777777" w:rsidR="0003217D" w:rsidRPr="003A6E5A" w:rsidRDefault="00FC275D" w:rsidP="0031247E">
            <w:pPr>
              <w:spacing w:after="0" w:line="240" w:lineRule="auto"/>
              <w:jc w:val="center"/>
              <w:rPr>
                <w:rFonts w:ascii="Cambria Math" w:hAnsi="Cambria Math" w:cs="Times New Roman"/>
                <w:sz w:val="20"/>
                <w:szCs w:val="20"/>
                <w:lang w:val="en-US"/>
                <w:oMath/>
              </w:rPr>
            </w:pPr>
            <w:r w:rsidRPr="003A6E5A">
              <w:rPr>
                <w:rFonts w:ascii="Times New Roman" w:hAnsi="Times New Roman" w:cs="Times New Roman"/>
                <w:bCs/>
                <w:i/>
                <w:sz w:val="20"/>
                <w:szCs w:val="20"/>
                <w:lang w:val="en-US"/>
              </w:rPr>
              <w:t>BIC</w:t>
            </w:r>
          </w:p>
        </w:tc>
        <w:tc>
          <w:tcPr>
            <w:tcW w:w="1720" w:type="dxa"/>
            <w:vAlign w:val="center"/>
          </w:tcPr>
          <w:p w14:paraId="13E581FD"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-145,3401</w:t>
            </w:r>
          </w:p>
        </w:tc>
        <w:tc>
          <w:tcPr>
            <w:tcW w:w="1623" w:type="dxa"/>
            <w:vAlign w:val="center"/>
          </w:tcPr>
          <w:p w14:paraId="66B88686"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22,80495</w:t>
            </w:r>
          </w:p>
        </w:tc>
        <w:tc>
          <w:tcPr>
            <w:tcW w:w="1589" w:type="dxa"/>
            <w:vAlign w:val="center"/>
          </w:tcPr>
          <w:p w14:paraId="500DA4AF"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13,0525</w:t>
            </w:r>
          </w:p>
        </w:tc>
        <w:tc>
          <w:tcPr>
            <w:tcW w:w="1589" w:type="dxa"/>
            <w:vAlign w:val="center"/>
          </w:tcPr>
          <w:p w14:paraId="3673BDE5"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-77,41349</w:t>
            </w:r>
          </w:p>
        </w:tc>
        <w:tc>
          <w:tcPr>
            <w:tcW w:w="1589" w:type="dxa"/>
            <w:vAlign w:val="center"/>
          </w:tcPr>
          <w:p w14:paraId="1148B863" w14:textId="77777777" w:rsidR="0003217D" w:rsidRPr="003A6E5A" w:rsidRDefault="00FC275D" w:rsidP="0031247E">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-52,48944</w:t>
            </w:r>
          </w:p>
        </w:tc>
      </w:tr>
    </w:tbl>
    <w:p w14:paraId="23486805" w14:textId="77777777" w:rsidR="004563C3" w:rsidRPr="003A6E5A" w:rsidRDefault="004563C3" w:rsidP="004563C3">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2BCB402A" w14:textId="5C555E03" w:rsidR="004563C3" w:rsidRPr="003A6E5A" w:rsidRDefault="004C4949" w:rsidP="004563C3">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bookmarkEnd w:id="35"/>
    <w:p w14:paraId="41423212" w14:textId="77777777" w:rsidR="0003217D" w:rsidRPr="003A6E5A" w:rsidRDefault="0003217D" w:rsidP="004563C3">
      <w:pPr>
        <w:spacing w:after="0" w:line="240" w:lineRule="auto"/>
        <w:jc w:val="both"/>
        <w:rPr>
          <w:rFonts w:ascii="Times New Roman" w:hAnsi="Times New Roman" w:cs="Times New Roman"/>
          <w:sz w:val="28"/>
          <w:szCs w:val="28"/>
        </w:rPr>
      </w:pPr>
    </w:p>
    <w:p w14:paraId="0B616C23" w14:textId="3779A92D" w:rsidR="00936036" w:rsidRPr="003A6E5A" w:rsidRDefault="00ED43B9" w:rsidP="00936036">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В пространственной авторегрессионной модели с пространственными и временными фиксированными эффектами (см. модель 15 в таблице </w:t>
      </w:r>
      <w:r w:rsidR="003D43A8" w:rsidRPr="003A6E5A">
        <w:rPr>
          <w:rFonts w:ascii="Times New Roman" w:hAnsi="Times New Roman" w:cs="Times New Roman"/>
          <w:sz w:val="28"/>
          <w:szCs w:val="28"/>
        </w:rPr>
        <w:t>1</w:t>
      </w:r>
      <w:r w:rsidR="00DF46D3" w:rsidRPr="003A6E5A">
        <w:rPr>
          <w:rFonts w:ascii="Times New Roman" w:hAnsi="Times New Roman" w:cs="Times New Roman"/>
          <w:sz w:val="28"/>
          <w:szCs w:val="28"/>
        </w:rPr>
        <w:t>5</w:t>
      </w:r>
      <w:r w:rsidRPr="003A6E5A">
        <w:rPr>
          <w:rFonts w:ascii="Times New Roman" w:hAnsi="Times New Roman" w:cs="Times New Roman"/>
          <w:sz w:val="28"/>
          <w:szCs w:val="28"/>
        </w:rPr>
        <w:t>) установлено, что внутренние затраты на НИОКР и валовой региональный продукт на душу населения также оказывают положительное и статистически значимое влияние на инвестиции в основной капитал. Такой результат подтверждает ключевую роль инновационной активности и уровня социально-экономического развития областей Республики Казахстан в формировании инвестиционной активности. При этом пространственный коэффициент не достигает статистической значимости, что позволяет заключить: учет пространственных и временных фиксированных эффектов частично нивелирует проявление межрегиональных зависимостей. В пространственной авторегрессионной модели без фиксированных эффектов (модель 16) сохраняется значимость внутренних затрат на НИОКР и валового регионального продукта на душу населения. В отличие от модели 15, пространственный коэффициент оказывается положительным и статистически значимым, что отражает наличие межрегиональных взаимосвязей, когда инвестиционная активность в одной области Казахстана сопряжена с аналогичными процессами в соседних областях. Тем самым подтверждается гипотеза о пространственных эффектах распространения.</w:t>
      </w:r>
    </w:p>
    <w:p w14:paraId="39F09B6D" w14:textId="145775D6" w:rsidR="00936036" w:rsidRPr="003A6E5A" w:rsidRDefault="00ED43B9" w:rsidP="00936036">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Пространственная модель ошибок со случайными эффектами (модель 17) также фиксирует положительное влияние валового регионального продукта на душу населения и внутренних затрат на НИОКР, однако значимость </w:t>
      </w:r>
      <w:r w:rsidR="0017325E" w:rsidRPr="003A6E5A">
        <w:rPr>
          <w:rFonts w:ascii="Times New Roman" w:hAnsi="Times New Roman" w:cs="Times New Roman"/>
          <w:sz w:val="28"/>
          <w:szCs w:val="28"/>
        </w:rPr>
        <w:t>оценки коэффициента при переменной «внутренние затраты на НИОКР»</w:t>
      </w:r>
      <w:r w:rsidRPr="003A6E5A">
        <w:rPr>
          <w:rFonts w:ascii="Times New Roman" w:hAnsi="Times New Roman" w:cs="Times New Roman"/>
          <w:sz w:val="28"/>
          <w:szCs w:val="28"/>
        </w:rPr>
        <w:t xml:space="preserve"> несколько сниж</w:t>
      </w:r>
      <w:r w:rsidR="0017325E" w:rsidRPr="003A6E5A">
        <w:rPr>
          <w:rFonts w:ascii="Times New Roman" w:hAnsi="Times New Roman" w:cs="Times New Roman"/>
          <w:sz w:val="28"/>
          <w:szCs w:val="28"/>
        </w:rPr>
        <w:t>ена</w:t>
      </w:r>
      <w:r w:rsidRPr="003A6E5A">
        <w:rPr>
          <w:rFonts w:ascii="Times New Roman" w:hAnsi="Times New Roman" w:cs="Times New Roman"/>
          <w:sz w:val="28"/>
          <w:szCs w:val="28"/>
        </w:rPr>
        <w:t xml:space="preserve"> в сравнении с оценкой в модели 16. При этом коэффициент ошибок оказывается статистически значимым и положительным, свидетельству</w:t>
      </w:r>
      <w:r w:rsidR="0017325E" w:rsidRPr="003A6E5A">
        <w:rPr>
          <w:rFonts w:ascii="Times New Roman" w:hAnsi="Times New Roman" w:cs="Times New Roman"/>
          <w:sz w:val="28"/>
          <w:szCs w:val="28"/>
        </w:rPr>
        <w:t>я</w:t>
      </w:r>
      <w:r w:rsidRPr="003A6E5A">
        <w:rPr>
          <w:rFonts w:ascii="Times New Roman" w:hAnsi="Times New Roman" w:cs="Times New Roman"/>
          <w:sz w:val="28"/>
          <w:szCs w:val="28"/>
        </w:rPr>
        <w:t xml:space="preserve"> о </w:t>
      </w:r>
      <w:r w:rsidRPr="003A6E5A">
        <w:rPr>
          <w:rFonts w:ascii="Times New Roman" w:hAnsi="Times New Roman" w:cs="Times New Roman"/>
          <w:sz w:val="28"/>
          <w:szCs w:val="28"/>
        </w:rPr>
        <w:lastRenderedPageBreak/>
        <w:t>наличии пространственной корреляции ненаблюдаемых факторов, влияющих на инвестиционную активность.</w:t>
      </w:r>
      <w:r w:rsidR="0017325E" w:rsidRPr="003A6E5A">
        <w:rPr>
          <w:rFonts w:ascii="Times New Roman" w:hAnsi="Times New Roman" w:cs="Times New Roman"/>
          <w:sz w:val="28"/>
          <w:szCs w:val="28"/>
        </w:rPr>
        <w:t xml:space="preserve"> </w:t>
      </w:r>
      <w:r w:rsidRPr="003A6E5A">
        <w:rPr>
          <w:rFonts w:ascii="Times New Roman" w:hAnsi="Times New Roman" w:cs="Times New Roman"/>
          <w:sz w:val="28"/>
          <w:szCs w:val="28"/>
        </w:rPr>
        <w:t>Пространственная модель ошибок с фиксированными эффектами (модель 18) и пространственная модель ошибок с фиксированными эффектами по методу Ли Ю (модель 19) подтверждают устойчивость полученных ранее результатов. В обеих спецификациях внутренние затраты на НИОКР и валовой региональный продукт на душу населения сохраняют положительное и статистически значимое влияние на инвестиции в основной капитал, при этом количество предприятий, осуществлявших НИОКР, приобретает статистическую значимость. Пространственные коэффициенты в обеих моделях оказываются значимыми и положительными, что дополнительно подтверждает наличие пространственных зависимостей, связанных с ненаблюдаемыми характеристиками регионов.</w:t>
      </w:r>
    </w:p>
    <w:p w14:paraId="43607728" w14:textId="2CA42197" w:rsidR="00936036" w:rsidRPr="003A6E5A" w:rsidRDefault="00ED43B9" w:rsidP="00936036">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Сравнительный анализ на основе информационного критерия Акаике и байесовского информационного критерия демонстрирует, что наилучшей спецификацией является модель 15, поскольку именно она характеризуется минимальными значениями обоих критериев. Данный результат свидетельствует о том, что включение пространственных и временных фиксированных эффектов обеспечивает наиболее корректное описание инвестиционной активности </w:t>
      </w:r>
      <w:r w:rsidR="00F24E09" w:rsidRPr="003A6E5A">
        <w:rPr>
          <w:rFonts w:ascii="Times New Roman" w:hAnsi="Times New Roman" w:cs="Times New Roman"/>
          <w:sz w:val="28"/>
          <w:szCs w:val="28"/>
        </w:rPr>
        <w:t>областей Республики Казахстан</w:t>
      </w:r>
      <w:r w:rsidRPr="003A6E5A">
        <w:rPr>
          <w:rFonts w:ascii="Times New Roman" w:hAnsi="Times New Roman" w:cs="Times New Roman"/>
          <w:sz w:val="28"/>
          <w:szCs w:val="28"/>
        </w:rPr>
        <w:t>. Вместе с тем значимость пространственных коэффициентов в моделях 16</w:t>
      </w:r>
      <w:r w:rsidR="003D43A8" w:rsidRPr="003A6E5A">
        <w:rPr>
          <w:rFonts w:ascii="Times New Roman" w:hAnsi="Times New Roman" w:cs="Times New Roman"/>
          <w:sz w:val="28"/>
          <w:szCs w:val="28"/>
        </w:rPr>
        <w:t>-</w:t>
      </w:r>
      <w:r w:rsidRPr="003A6E5A">
        <w:rPr>
          <w:rFonts w:ascii="Times New Roman" w:hAnsi="Times New Roman" w:cs="Times New Roman"/>
          <w:sz w:val="28"/>
          <w:szCs w:val="28"/>
        </w:rPr>
        <w:t>19 подтверждает, что пространственные зависимости являются устойчивыми и их игнорирование может приводить к смещению оценок.</w:t>
      </w:r>
    </w:p>
    <w:p w14:paraId="507B7251" w14:textId="77777777" w:rsidR="0004322D" w:rsidRPr="003A6E5A" w:rsidRDefault="0004322D" w:rsidP="0031247E">
      <w:pPr>
        <w:spacing w:after="0" w:line="240" w:lineRule="auto"/>
        <w:jc w:val="both"/>
        <w:rPr>
          <w:rFonts w:ascii="Times New Roman" w:hAnsi="Times New Roman" w:cs="Times New Roman"/>
          <w:sz w:val="28"/>
          <w:szCs w:val="28"/>
        </w:rPr>
      </w:pPr>
    </w:p>
    <w:p w14:paraId="2EDB95E5" w14:textId="5CC71BD0" w:rsidR="0003217D" w:rsidRPr="003A6E5A" w:rsidRDefault="00FC275D" w:rsidP="001608EA">
      <w:pPr>
        <w:spacing w:after="0" w:line="240" w:lineRule="auto"/>
        <w:jc w:val="both"/>
        <w:rPr>
          <w:rFonts w:ascii="Times New Roman" w:hAnsi="Times New Roman" w:cs="Times New Roman"/>
          <w:sz w:val="28"/>
          <w:szCs w:val="28"/>
          <w:lang w:val="kk-KZ"/>
        </w:rPr>
      </w:pPr>
      <w:bookmarkStart w:id="36" w:name="_Hlk212300078"/>
      <w:r w:rsidRPr="003A6E5A">
        <w:rPr>
          <w:rFonts w:ascii="Times New Roman" w:hAnsi="Times New Roman" w:cs="Times New Roman"/>
          <w:sz w:val="28"/>
          <w:szCs w:val="28"/>
        </w:rPr>
        <w:t xml:space="preserve">Таблица </w:t>
      </w:r>
      <w:r w:rsidR="0031247E" w:rsidRPr="003A6E5A">
        <w:rPr>
          <w:rFonts w:ascii="Times New Roman" w:hAnsi="Times New Roman" w:cs="Times New Roman"/>
          <w:sz w:val="28"/>
          <w:szCs w:val="28"/>
        </w:rPr>
        <w:t>1</w:t>
      </w:r>
      <w:r w:rsidR="00DA42F3" w:rsidRPr="003A6E5A">
        <w:rPr>
          <w:rFonts w:ascii="Times New Roman" w:hAnsi="Times New Roman" w:cs="Times New Roman"/>
          <w:sz w:val="28"/>
          <w:szCs w:val="28"/>
        </w:rPr>
        <w:t>6</w:t>
      </w:r>
      <w:r w:rsidRPr="003A6E5A">
        <w:rPr>
          <w:rFonts w:ascii="Times New Roman" w:hAnsi="Times New Roman" w:cs="Times New Roman"/>
          <w:sz w:val="28"/>
          <w:szCs w:val="28"/>
        </w:rPr>
        <w:t xml:space="preserve">. Оценки коэффициентов по </w:t>
      </w:r>
      <w:r w:rsidRPr="003A6E5A">
        <w:rPr>
          <w:rFonts w:ascii="Times New Roman" w:hAnsi="Times New Roman" w:cs="Times New Roman"/>
          <w:sz w:val="28"/>
          <w:szCs w:val="28"/>
          <w:lang w:val="kk-KZ"/>
        </w:rPr>
        <w:t>моделям пространственной авторегрессии с пространственно</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автокоррелированными ошибками (МПА ПАО)</w:t>
      </w:r>
    </w:p>
    <w:tbl>
      <w:tblPr>
        <w:tblStyle w:val="ac"/>
        <w:tblW w:w="0" w:type="auto"/>
        <w:tblLook w:val="04A0" w:firstRow="1" w:lastRow="0" w:firstColumn="1" w:lastColumn="0" w:noHBand="0" w:noVBand="1"/>
      </w:tblPr>
      <w:tblGrid>
        <w:gridCol w:w="1666"/>
        <w:gridCol w:w="1970"/>
        <w:gridCol w:w="1970"/>
        <w:gridCol w:w="1970"/>
        <w:gridCol w:w="2016"/>
      </w:tblGrid>
      <w:tr w:rsidR="00B02CF8" w:rsidRPr="003A6E5A" w14:paraId="02154CB0" w14:textId="77777777" w:rsidTr="00FC58A3">
        <w:tc>
          <w:tcPr>
            <w:tcW w:w="1666" w:type="dxa"/>
            <w:vMerge w:val="restart"/>
          </w:tcPr>
          <w:p w14:paraId="3912442A"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Регрессор</w:t>
            </w:r>
          </w:p>
          <w:p w14:paraId="4E6AB8A3" w14:textId="3E6E4ADB"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(логарифмы)</w:t>
            </w:r>
          </w:p>
        </w:tc>
        <w:tc>
          <w:tcPr>
            <w:tcW w:w="1970" w:type="dxa"/>
          </w:tcPr>
          <w:p w14:paraId="6F3A1277"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МПА ПАО</w:t>
            </w:r>
            <w:r w:rsidRPr="003A6E5A">
              <w:rPr>
                <w:rFonts w:ascii="Times New Roman" w:hAnsi="Times New Roman" w:cs="Times New Roman"/>
                <w:sz w:val="20"/>
                <w:szCs w:val="20"/>
                <w:lang w:val="kk-KZ"/>
              </w:rPr>
              <w:t>,</w:t>
            </w:r>
            <w:r w:rsidRPr="003A6E5A">
              <w:rPr>
                <w:rFonts w:ascii="Times New Roman" w:hAnsi="Times New Roman" w:cs="Times New Roman"/>
                <w:sz w:val="20"/>
                <w:szCs w:val="20"/>
              </w:rPr>
              <w:t xml:space="preserve"> учитывающая фиксированные эффекты</w:t>
            </w:r>
          </w:p>
          <w:p w14:paraId="21E3437D"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1970" w:type="dxa"/>
          </w:tcPr>
          <w:p w14:paraId="26A0C763"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МПА ПАО</w:t>
            </w:r>
            <w:r w:rsidRPr="003A6E5A">
              <w:rPr>
                <w:rFonts w:ascii="Times New Roman" w:hAnsi="Times New Roman" w:cs="Times New Roman"/>
                <w:sz w:val="20"/>
                <w:szCs w:val="20"/>
                <w:lang w:val="kk-KZ"/>
              </w:rPr>
              <w:t xml:space="preserve">, </w:t>
            </w:r>
            <w:r w:rsidRPr="003A6E5A">
              <w:rPr>
                <w:rFonts w:ascii="Times New Roman" w:hAnsi="Times New Roman" w:cs="Times New Roman"/>
                <w:sz w:val="20"/>
                <w:szCs w:val="20"/>
              </w:rPr>
              <w:t>учитывающая фиксированные эффекты по методу Ли Ю (2010)</w:t>
            </w:r>
          </w:p>
          <w:p w14:paraId="010DE48E"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n=144</m:t>
              </m:r>
            </m:oMath>
            <w:r w:rsidRPr="003A6E5A">
              <w:rPr>
                <w:rFonts w:ascii="Times New Roman" w:hAnsi="Times New Roman" w:cs="Times New Roman"/>
                <w:sz w:val="20"/>
                <w:szCs w:val="20"/>
              </w:rPr>
              <w:t>)</w:t>
            </w:r>
          </w:p>
        </w:tc>
        <w:tc>
          <w:tcPr>
            <w:tcW w:w="1970" w:type="dxa"/>
          </w:tcPr>
          <w:p w14:paraId="0D05C8EC"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МПА ПАО</w:t>
            </w:r>
            <w:r w:rsidRPr="003A6E5A">
              <w:rPr>
                <w:rFonts w:ascii="Times New Roman" w:hAnsi="Times New Roman" w:cs="Times New Roman"/>
                <w:sz w:val="20"/>
                <w:szCs w:val="20"/>
                <w:lang w:val="kk-KZ"/>
              </w:rPr>
              <w:t xml:space="preserve">, </w:t>
            </w:r>
            <w:r w:rsidRPr="003A6E5A">
              <w:rPr>
                <w:rFonts w:ascii="Times New Roman" w:hAnsi="Times New Roman" w:cs="Times New Roman"/>
                <w:sz w:val="20"/>
                <w:szCs w:val="20"/>
              </w:rPr>
              <w:t xml:space="preserve">учитывающая </w:t>
            </w:r>
            <w:r w:rsidRPr="003A6E5A">
              <w:rPr>
                <w:rFonts w:ascii="Times New Roman" w:hAnsi="Times New Roman" w:cs="Times New Roman"/>
                <w:sz w:val="20"/>
                <w:szCs w:val="20"/>
                <w:lang w:val="kk-KZ"/>
              </w:rPr>
              <w:t xml:space="preserve">временные </w:t>
            </w:r>
            <w:r w:rsidRPr="003A6E5A">
              <w:rPr>
                <w:rFonts w:ascii="Times New Roman" w:hAnsi="Times New Roman" w:cs="Times New Roman"/>
                <w:sz w:val="20"/>
                <w:szCs w:val="20"/>
              </w:rPr>
              <w:t>фиксированные эффекты</w:t>
            </w:r>
          </w:p>
          <w:p w14:paraId="31F9B517"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c>
          <w:tcPr>
            <w:tcW w:w="2016" w:type="dxa"/>
          </w:tcPr>
          <w:p w14:paraId="53A510E7"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МПА ПАО</w:t>
            </w:r>
            <w:r w:rsidRPr="003A6E5A">
              <w:rPr>
                <w:rFonts w:ascii="Times New Roman" w:hAnsi="Times New Roman" w:cs="Times New Roman"/>
                <w:sz w:val="20"/>
                <w:szCs w:val="20"/>
                <w:lang w:val="kk-KZ"/>
              </w:rPr>
              <w:t xml:space="preserve">, </w:t>
            </w:r>
            <w:r w:rsidRPr="003A6E5A">
              <w:rPr>
                <w:rFonts w:ascii="Times New Roman" w:hAnsi="Times New Roman" w:cs="Times New Roman"/>
                <w:sz w:val="20"/>
                <w:szCs w:val="20"/>
              </w:rPr>
              <w:t xml:space="preserve">учитывающая </w:t>
            </w:r>
            <w:r w:rsidRPr="003A6E5A">
              <w:rPr>
                <w:rFonts w:ascii="Times New Roman" w:hAnsi="Times New Roman" w:cs="Times New Roman"/>
                <w:sz w:val="20"/>
                <w:szCs w:val="20"/>
                <w:lang w:val="kk-KZ"/>
              </w:rPr>
              <w:t xml:space="preserve">пространственные и временные </w:t>
            </w:r>
            <w:r w:rsidRPr="003A6E5A">
              <w:rPr>
                <w:rFonts w:ascii="Times New Roman" w:hAnsi="Times New Roman" w:cs="Times New Roman"/>
                <w:sz w:val="20"/>
                <w:szCs w:val="20"/>
              </w:rPr>
              <w:t>фиксированные эффекты</w:t>
            </w:r>
          </w:p>
          <w:p w14:paraId="7E86526E" w14:textId="77777777" w:rsidR="0003217D" w:rsidRPr="003A6E5A" w:rsidRDefault="00FC275D" w:rsidP="00045C25">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w:t>
            </w:r>
            <m:oMath>
              <m:r>
                <m:rPr>
                  <m:sty m:val="p"/>
                </m:rPr>
                <w:rPr>
                  <w:rFonts w:ascii="Cambria Math" w:hAnsi="Cambria Math" w:cs="Times New Roman"/>
                  <w:sz w:val="20"/>
                  <w:szCs w:val="20"/>
                </w:rPr>
                <m:t>n=160</m:t>
              </m:r>
            </m:oMath>
            <w:r w:rsidRPr="003A6E5A">
              <w:rPr>
                <w:rFonts w:ascii="Times New Roman" w:hAnsi="Times New Roman" w:cs="Times New Roman"/>
                <w:sz w:val="20"/>
                <w:szCs w:val="20"/>
              </w:rPr>
              <w:t>)</w:t>
            </w:r>
          </w:p>
        </w:tc>
      </w:tr>
      <w:tr w:rsidR="00B02CF8" w:rsidRPr="003A6E5A" w14:paraId="74551242" w14:textId="77777777" w:rsidTr="00FC58A3">
        <w:tc>
          <w:tcPr>
            <w:tcW w:w="1666" w:type="dxa"/>
            <w:vMerge/>
          </w:tcPr>
          <w:p w14:paraId="062B9FD5" w14:textId="77777777" w:rsidR="0003217D" w:rsidRPr="003A6E5A" w:rsidRDefault="0003217D" w:rsidP="001608EA">
            <w:pPr>
              <w:spacing w:after="0" w:line="240" w:lineRule="auto"/>
              <w:rPr>
                <w:rFonts w:ascii="Times New Roman" w:hAnsi="Times New Roman" w:cs="Times New Roman"/>
                <w:sz w:val="20"/>
                <w:szCs w:val="20"/>
              </w:rPr>
            </w:pPr>
          </w:p>
        </w:tc>
        <w:tc>
          <w:tcPr>
            <w:tcW w:w="1970" w:type="dxa"/>
            <w:vAlign w:val="center"/>
          </w:tcPr>
          <w:p w14:paraId="529F6215"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(20)</w:t>
            </w:r>
          </w:p>
        </w:tc>
        <w:tc>
          <w:tcPr>
            <w:tcW w:w="1970" w:type="dxa"/>
            <w:vAlign w:val="center"/>
          </w:tcPr>
          <w:p w14:paraId="478296D6"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(21)</w:t>
            </w:r>
          </w:p>
        </w:tc>
        <w:tc>
          <w:tcPr>
            <w:tcW w:w="1970" w:type="dxa"/>
            <w:vAlign w:val="center"/>
          </w:tcPr>
          <w:p w14:paraId="77E16AC7"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(22)</w:t>
            </w:r>
          </w:p>
        </w:tc>
        <w:tc>
          <w:tcPr>
            <w:tcW w:w="2016" w:type="dxa"/>
            <w:vAlign w:val="center"/>
          </w:tcPr>
          <w:p w14:paraId="1DCA48BC"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(23)</w:t>
            </w:r>
          </w:p>
        </w:tc>
      </w:tr>
      <w:tr w:rsidR="00B02CF8" w:rsidRPr="003A6E5A" w14:paraId="6C90BE2D" w14:textId="77777777" w:rsidTr="00045C25">
        <w:tc>
          <w:tcPr>
            <w:tcW w:w="9592" w:type="dxa"/>
            <w:gridSpan w:val="5"/>
            <w:vAlign w:val="center"/>
          </w:tcPr>
          <w:p w14:paraId="7EAA767E" w14:textId="77777777" w:rsidR="0003217D" w:rsidRPr="003A6E5A" w:rsidRDefault="00FC275D" w:rsidP="00045C25">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Зависимая переменная: инвестиции в основной капитал (логарифм)</w:t>
            </w:r>
          </w:p>
        </w:tc>
      </w:tr>
      <w:tr w:rsidR="00B02CF8" w:rsidRPr="003A6E5A" w14:paraId="3825CCBC" w14:textId="77777777">
        <w:tc>
          <w:tcPr>
            <w:tcW w:w="9592" w:type="dxa"/>
            <w:gridSpan w:val="5"/>
          </w:tcPr>
          <w:p w14:paraId="07DCAEAD"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Основной эффект</w:t>
            </w:r>
          </w:p>
        </w:tc>
      </w:tr>
      <w:tr w:rsidR="00B02CF8" w:rsidRPr="003A6E5A" w14:paraId="10C4065B" w14:textId="77777777" w:rsidTr="00FC58A3">
        <w:tc>
          <w:tcPr>
            <w:tcW w:w="1666" w:type="dxa"/>
          </w:tcPr>
          <w:p w14:paraId="1D2C1061" w14:textId="77777777" w:rsidR="0003217D" w:rsidRPr="003A6E5A" w:rsidRDefault="00FC275D" w:rsidP="001608EA">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en-US"/>
              </w:rPr>
              <w:t>Внутренние затраты на НИОКР</w:t>
            </w:r>
          </w:p>
        </w:tc>
        <w:tc>
          <w:tcPr>
            <w:tcW w:w="1970" w:type="dxa"/>
            <w:vAlign w:val="center"/>
          </w:tcPr>
          <w:p w14:paraId="3E7D290A"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0,0744793</w:t>
            </w:r>
            <w:r w:rsidRPr="003A6E5A">
              <w:rPr>
                <w:rFonts w:ascii="Times New Roman" w:hAnsi="Times New Roman" w:cs="Times New Roman"/>
                <w:i/>
                <w:iCs/>
                <w:sz w:val="24"/>
                <w:szCs w:val="24"/>
                <w:vertAlign w:val="superscript"/>
              </w:rPr>
              <w:t>**</w:t>
            </w:r>
          </w:p>
          <w:p w14:paraId="629C2944"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(0,0366627)</w:t>
            </w:r>
          </w:p>
        </w:tc>
        <w:tc>
          <w:tcPr>
            <w:tcW w:w="1970" w:type="dxa"/>
            <w:vAlign w:val="center"/>
          </w:tcPr>
          <w:p w14:paraId="1BE7FE3B"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0,0744793</w:t>
            </w:r>
            <w:r w:rsidRPr="003A6E5A">
              <w:rPr>
                <w:rFonts w:ascii="Times New Roman" w:hAnsi="Times New Roman" w:cs="Times New Roman"/>
                <w:i/>
                <w:iCs/>
                <w:sz w:val="24"/>
                <w:szCs w:val="24"/>
                <w:vertAlign w:val="superscript"/>
              </w:rPr>
              <w:t>**</w:t>
            </w:r>
          </w:p>
          <w:p w14:paraId="2E10DFD2"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(0,0366627)</w:t>
            </w:r>
          </w:p>
        </w:tc>
        <w:tc>
          <w:tcPr>
            <w:tcW w:w="1970" w:type="dxa"/>
            <w:vAlign w:val="center"/>
          </w:tcPr>
          <w:p w14:paraId="58675294" w14:textId="77777777" w:rsidR="0003217D" w:rsidRPr="003A6E5A" w:rsidRDefault="0003217D" w:rsidP="00045C25">
            <w:pPr>
              <w:spacing w:after="0" w:line="240" w:lineRule="auto"/>
              <w:jc w:val="center"/>
              <w:rPr>
                <w:rFonts w:ascii="Times New Roman" w:hAnsi="Times New Roman" w:cs="Times New Roman"/>
                <w:sz w:val="20"/>
                <w:szCs w:val="20"/>
                <w:lang w:val="en-US"/>
              </w:rPr>
            </w:pPr>
          </w:p>
        </w:tc>
        <w:tc>
          <w:tcPr>
            <w:tcW w:w="2016" w:type="dxa"/>
            <w:vAlign w:val="center"/>
          </w:tcPr>
          <w:p w14:paraId="0ED7E90F"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0,0879009</w:t>
            </w:r>
            <w:r w:rsidRPr="003A6E5A">
              <w:rPr>
                <w:rFonts w:ascii="Times New Roman" w:hAnsi="Times New Roman" w:cs="Times New Roman"/>
                <w:i/>
                <w:iCs/>
                <w:sz w:val="24"/>
                <w:szCs w:val="24"/>
                <w:vertAlign w:val="superscript"/>
              </w:rPr>
              <w:t>*</w:t>
            </w:r>
          </w:p>
          <w:p w14:paraId="0C14B081"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(0,0524913)</w:t>
            </w:r>
          </w:p>
        </w:tc>
      </w:tr>
      <w:tr w:rsidR="00B02CF8" w:rsidRPr="003A6E5A" w14:paraId="5A376390" w14:textId="77777777" w:rsidTr="00FC58A3">
        <w:tc>
          <w:tcPr>
            <w:tcW w:w="1666" w:type="dxa"/>
          </w:tcPr>
          <w:p w14:paraId="4B347B18"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Валовый региональный продукт</w:t>
            </w:r>
            <w:r w:rsidRPr="003A6E5A">
              <w:rPr>
                <w:rFonts w:ascii="Times New Roman" w:hAnsi="Times New Roman" w:cs="Times New Roman"/>
                <w:sz w:val="20"/>
                <w:szCs w:val="20"/>
                <w:lang w:val="kk-KZ"/>
              </w:rPr>
              <w:t xml:space="preserve"> на душу населения</w:t>
            </w:r>
          </w:p>
        </w:tc>
        <w:tc>
          <w:tcPr>
            <w:tcW w:w="1970" w:type="dxa"/>
            <w:vAlign w:val="center"/>
          </w:tcPr>
          <w:p w14:paraId="37631DBD"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0,3398328</w:t>
            </w:r>
            <w:r w:rsidRPr="003A6E5A">
              <w:rPr>
                <w:rFonts w:ascii="Times New Roman" w:hAnsi="Times New Roman" w:cs="Times New Roman"/>
                <w:i/>
                <w:iCs/>
                <w:sz w:val="24"/>
                <w:szCs w:val="24"/>
                <w:vertAlign w:val="superscript"/>
              </w:rPr>
              <w:t>***</w:t>
            </w:r>
          </w:p>
          <w:p w14:paraId="7078A337"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(0,1192506)</w:t>
            </w:r>
          </w:p>
        </w:tc>
        <w:tc>
          <w:tcPr>
            <w:tcW w:w="1970" w:type="dxa"/>
            <w:vAlign w:val="center"/>
          </w:tcPr>
          <w:p w14:paraId="5F1A60BA"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0,3398328</w:t>
            </w:r>
            <w:r w:rsidRPr="003A6E5A">
              <w:rPr>
                <w:rFonts w:ascii="Times New Roman" w:hAnsi="Times New Roman" w:cs="Times New Roman"/>
                <w:i/>
                <w:iCs/>
                <w:sz w:val="24"/>
                <w:szCs w:val="24"/>
                <w:vertAlign w:val="superscript"/>
              </w:rPr>
              <w:t>***</w:t>
            </w:r>
          </w:p>
          <w:p w14:paraId="11FDA134"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(0,1192506)</w:t>
            </w:r>
          </w:p>
        </w:tc>
        <w:tc>
          <w:tcPr>
            <w:tcW w:w="1970" w:type="dxa"/>
            <w:vAlign w:val="center"/>
          </w:tcPr>
          <w:p w14:paraId="4A1E155E" w14:textId="77777777" w:rsidR="0003217D" w:rsidRPr="003A6E5A" w:rsidRDefault="00FC275D" w:rsidP="00045C25">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0,0907686</w:t>
            </w:r>
            <w:r w:rsidRPr="003A6E5A">
              <w:rPr>
                <w:rFonts w:ascii="Times New Roman" w:hAnsi="Times New Roman" w:cs="Times New Roman"/>
                <w:i/>
                <w:iCs/>
                <w:sz w:val="24"/>
                <w:szCs w:val="24"/>
                <w:vertAlign w:val="superscript"/>
              </w:rPr>
              <w:t>*</w:t>
            </w:r>
          </w:p>
          <w:p w14:paraId="7F2689F1"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(0,2716835)</w:t>
            </w:r>
          </w:p>
          <w:p w14:paraId="0486D7BE" w14:textId="77777777" w:rsidR="0003217D" w:rsidRPr="003A6E5A" w:rsidRDefault="0003217D" w:rsidP="00045C25">
            <w:pPr>
              <w:spacing w:after="0" w:line="240" w:lineRule="auto"/>
              <w:jc w:val="center"/>
              <w:rPr>
                <w:rFonts w:ascii="Times New Roman" w:hAnsi="Times New Roman" w:cs="Times New Roman"/>
                <w:sz w:val="20"/>
                <w:szCs w:val="20"/>
                <w:lang w:val="kk-KZ"/>
              </w:rPr>
            </w:pPr>
          </w:p>
        </w:tc>
        <w:tc>
          <w:tcPr>
            <w:tcW w:w="2016" w:type="dxa"/>
            <w:vAlign w:val="center"/>
          </w:tcPr>
          <w:p w14:paraId="440F4ACC"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0,5550536</w:t>
            </w:r>
            <w:r w:rsidRPr="003A6E5A">
              <w:rPr>
                <w:rFonts w:ascii="Times New Roman" w:hAnsi="Times New Roman" w:cs="Times New Roman"/>
                <w:i/>
                <w:iCs/>
                <w:sz w:val="24"/>
                <w:szCs w:val="24"/>
                <w:vertAlign w:val="superscript"/>
              </w:rPr>
              <w:t>***</w:t>
            </w:r>
          </w:p>
          <w:p w14:paraId="5B9B5094" w14:textId="77777777" w:rsidR="001E44CE"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(0,1558429</w:t>
            </w:r>
          </w:p>
          <w:p w14:paraId="19B5457C" w14:textId="4781DA2A"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w:t>
            </w:r>
          </w:p>
        </w:tc>
      </w:tr>
      <w:tr w:rsidR="00B02CF8" w:rsidRPr="003A6E5A" w14:paraId="309BA2D0" w14:textId="77777777" w:rsidTr="00FC58A3">
        <w:tc>
          <w:tcPr>
            <w:tcW w:w="1666" w:type="dxa"/>
          </w:tcPr>
          <w:p w14:paraId="19F36A06"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Количество предприятий, осуществлявших НИОКР</w:t>
            </w:r>
          </w:p>
        </w:tc>
        <w:tc>
          <w:tcPr>
            <w:tcW w:w="1970" w:type="dxa"/>
            <w:vAlign w:val="center"/>
          </w:tcPr>
          <w:p w14:paraId="2A37326F"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0,120748</w:t>
            </w:r>
            <w:r w:rsidRPr="003A6E5A">
              <w:rPr>
                <w:rFonts w:ascii="Times New Roman" w:hAnsi="Times New Roman" w:cs="Times New Roman"/>
                <w:i/>
                <w:iCs/>
                <w:sz w:val="24"/>
                <w:szCs w:val="24"/>
                <w:vertAlign w:val="superscript"/>
              </w:rPr>
              <w:t>**</w:t>
            </w:r>
          </w:p>
          <w:p w14:paraId="2296A664"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(0,0528471)</w:t>
            </w:r>
          </w:p>
        </w:tc>
        <w:tc>
          <w:tcPr>
            <w:tcW w:w="1970" w:type="dxa"/>
            <w:vAlign w:val="center"/>
          </w:tcPr>
          <w:p w14:paraId="087A0A8C"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0,120748</w:t>
            </w:r>
            <w:r w:rsidRPr="003A6E5A">
              <w:rPr>
                <w:rFonts w:ascii="Times New Roman" w:hAnsi="Times New Roman" w:cs="Times New Roman"/>
                <w:i/>
                <w:iCs/>
                <w:sz w:val="24"/>
                <w:szCs w:val="24"/>
                <w:vertAlign w:val="superscript"/>
              </w:rPr>
              <w:t>**</w:t>
            </w:r>
          </w:p>
          <w:p w14:paraId="4CF34386"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(0,0528471)</w:t>
            </w:r>
          </w:p>
        </w:tc>
        <w:tc>
          <w:tcPr>
            <w:tcW w:w="1970" w:type="dxa"/>
            <w:vAlign w:val="center"/>
          </w:tcPr>
          <w:p w14:paraId="2B723B08"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0,1696261</w:t>
            </w:r>
            <w:r w:rsidRPr="003A6E5A">
              <w:rPr>
                <w:rFonts w:ascii="Times New Roman" w:hAnsi="Times New Roman" w:cs="Times New Roman"/>
                <w:i/>
                <w:iCs/>
                <w:sz w:val="24"/>
                <w:szCs w:val="24"/>
                <w:vertAlign w:val="superscript"/>
              </w:rPr>
              <w:t>**</w:t>
            </w:r>
          </w:p>
          <w:p w14:paraId="584F6318"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(0,0712033)</w:t>
            </w:r>
          </w:p>
        </w:tc>
        <w:tc>
          <w:tcPr>
            <w:tcW w:w="2016" w:type="dxa"/>
            <w:vAlign w:val="center"/>
          </w:tcPr>
          <w:p w14:paraId="78996A9B" w14:textId="77777777" w:rsidR="0003217D" w:rsidRPr="003A6E5A" w:rsidRDefault="0003217D" w:rsidP="00045C25">
            <w:pPr>
              <w:spacing w:after="0" w:line="240" w:lineRule="auto"/>
              <w:jc w:val="center"/>
              <w:rPr>
                <w:rFonts w:ascii="Times New Roman" w:hAnsi="Times New Roman" w:cs="Times New Roman"/>
                <w:sz w:val="20"/>
                <w:szCs w:val="20"/>
                <w:lang w:val="en-US"/>
              </w:rPr>
            </w:pPr>
          </w:p>
        </w:tc>
      </w:tr>
      <w:tr w:rsidR="00B02CF8" w:rsidRPr="003A6E5A" w14:paraId="13AEB0BC" w14:textId="77777777" w:rsidTr="00FC58A3">
        <w:tc>
          <w:tcPr>
            <w:tcW w:w="1666" w:type="dxa"/>
          </w:tcPr>
          <w:p w14:paraId="5DC1CB9E"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Среднемесячная заработная плата</w:t>
            </w:r>
          </w:p>
        </w:tc>
        <w:tc>
          <w:tcPr>
            <w:tcW w:w="1970" w:type="dxa"/>
            <w:vAlign w:val="center"/>
          </w:tcPr>
          <w:p w14:paraId="6EAD663B" w14:textId="77777777" w:rsidR="0003217D" w:rsidRPr="003A6E5A" w:rsidRDefault="0003217D" w:rsidP="00045C25">
            <w:pPr>
              <w:spacing w:after="0" w:line="240" w:lineRule="auto"/>
              <w:jc w:val="center"/>
              <w:rPr>
                <w:rFonts w:ascii="Times New Roman" w:hAnsi="Times New Roman" w:cs="Times New Roman"/>
                <w:sz w:val="20"/>
                <w:szCs w:val="20"/>
              </w:rPr>
            </w:pPr>
          </w:p>
        </w:tc>
        <w:tc>
          <w:tcPr>
            <w:tcW w:w="1970" w:type="dxa"/>
            <w:vAlign w:val="center"/>
          </w:tcPr>
          <w:p w14:paraId="0D37CC9D" w14:textId="77777777" w:rsidR="0003217D" w:rsidRPr="003A6E5A" w:rsidRDefault="0003217D" w:rsidP="00045C25">
            <w:pPr>
              <w:spacing w:after="0" w:line="240" w:lineRule="auto"/>
              <w:jc w:val="center"/>
              <w:rPr>
                <w:rFonts w:ascii="Times New Roman" w:hAnsi="Times New Roman" w:cs="Times New Roman"/>
                <w:sz w:val="20"/>
                <w:szCs w:val="20"/>
              </w:rPr>
            </w:pPr>
          </w:p>
        </w:tc>
        <w:tc>
          <w:tcPr>
            <w:tcW w:w="1970" w:type="dxa"/>
            <w:vAlign w:val="center"/>
          </w:tcPr>
          <w:p w14:paraId="30B15B28"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1,12641</w:t>
            </w:r>
            <w:r w:rsidRPr="003A6E5A">
              <w:rPr>
                <w:rFonts w:ascii="Times New Roman" w:hAnsi="Times New Roman" w:cs="Times New Roman"/>
                <w:i/>
                <w:iCs/>
                <w:sz w:val="24"/>
                <w:szCs w:val="24"/>
                <w:vertAlign w:val="superscript"/>
              </w:rPr>
              <w:t>**</w:t>
            </w:r>
          </w:p>
          <w:p w14:paraId="1F02E93F" w14:textId="77777777" w:rsidR="0003217D" w:rsidRPr="003A6E5A" w:rsidRDefault="00FC275D" w:rsidP="00045C25">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(0,5382044)</w:t>
            </w:r>
          </w:p>
        </w:tc>
        <w:tc>
          <w:tcPr>
            <w:tcW w:w="2016" w:type="dxa"/>
            <w:vAlign w:val="center"/>
          </w:tcPr>
          <w:p w14:paraId="4DBAD5F3" w14:textId="77777777" w:rsidR="0003217D" w:rsidRPr="003A6E5A" w:rsidRDefault="0003217D" w:rsidP="00045C25">
            <w:pPr>
              <w:spacing w:after="0" w:line="240" w:lineRule="auto"/>
              <w:jc w:val="center"/>
              <w:rPr>
                <w:rFonts w:ascii="Times New Roman" w:hAnsi="Times New Roman" w:cs="Times New Roman"/>
                <w:sz w:val="20"/>
                <w:szCs w:val="20"/>
                <w:lang w:val="en-US"/>
              </w:rPr>
            </w:pPr>
          </w:p>
        </w:tc>
      </w:tr>
      <w:tr w:rsidR="00B02CF8" w:rsidRPr="003A6E5A" w14:paraId="45DF747B" w14:textId="77777777" w:rsidTr="00045C25">
        <w:tc>
          <w:tcPr>
            <w:tcW w:w="9592" w:type="dxa"/>
            <w:gridSpan w:val="5"/>
            <w:vAlign w:val="center"/>
          </w:tcPr>
          <w:p w14:paraId="2FBECD87" w14:textId="77777777" w:rsidR="0003217D" w:rsidRPr="003A6E5A" w:rsidRDefault="00FC275D" w:rsidP="00045C25">
            <w:pPr>
              <w:spacing w:after="0" w:line="240" w:lineRule="auto"/>
              <w:jc w:val="left"/>
              <w:rPr>
                <w:rFonts w:ascii="Times New Roman" w:hAnsi="Times New Roman" w:cs="Times New Roman"/>
                <w:sz w:val="20"/>
                <w:szCs w:val="20"/>
              </w:rPr>
            </w:pPr>
            <w:r w:rsidRPr="003A6E5A">
              <w:rPr>
                <w:rFonts w:ascii="Times New Roman" w:hAnsi="Times New Roman" w:cs="Times New Roman"/>
                <w:sz w:val="20"/>
                <w:szCs w:val="20"/>
              </w:rPr>
              <w:t>Пространственный эффект</w:t>
            </w:r>
          </w:p>
        </w:tc>
      </w:tr>
      <w:tr w:rsidR="00B02CF8" w:rsidRPr="003A6E5A" w14:paraId="1747E59B" w14:textId="77777777" w:rsidTr="00FC58A3">
        <w:tc>
          <w:tcPr>
            <w:tcW w:w="1666" w:type="dxa"/>
            <w:vAlign w:val="center"/>
          </w:tcPr>
          <w:p w14:paraId="2884749E" w14:textId="6FD941B9" w:rsidR="0003217D" w:rsidRPr="003A6E5A" w:rsidRDefault="00FC58A3" w:rsidP="00FC58A3">
            <w:pPr>
              <w:spacing w:after="0" w:line="240" w:lineRule="auto"/>
              <w:jc w:val="center"/>
              <w:rPr>
                <w:rFonts w:ascii="Times New Roman" w:hAnsi="Times New Roman" w:cs="Times New Roman"/>
                <w:i/>
                <w:iCs/>
                <w:sz w:val="20"/>
                <w:szCs w:val="20"/>
              </w:rPr>
            </w:pPr>
            <m:oMathPara>
              <m:oMath>
                <m:r>
                  <w:rPr>
                    <w:rFonts w:ascii="Cambria Math" w:hAnsi="Cambria Math" w:cs="Times New Roman"/>
                    <w:sz w:val="20"/>
                    <w:szCs w:val="20"/>
                  </w:rPr>
                  <m:t>ρ</m:t>
                </m:r>
              </m:oMath>
            </m:oMathPara>
          </w:p>
        </w:tc>
        <w:tc>
          <w:tcPr>
            <w:tcW w:w="1970" w:type="dxa"/>
            <w:vAlign w:val="center"/>
          </w:tcPr>
          <w:p w14:paraId="7C7A9462"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-0,6945008</w:t>
            </w:r>
            <w:r w:rsidRPr="003A6E5A">
              <w:rPr>
                <w:rFonts w:ascii="Times New Roman" w:hAnsi="Times New Roman" w:cs="Times New Roman"/>
                <w:i/>
                <w:iCs/>
                <w:sz w:val="24"/>
                <w:szCs w:val="24"/>
                <w:vertAlign w:val="superscript"/>
              </w:rPr>
              <w:t>***</w:t>
            </w:r>
          </w:p>
          <w:p w14:paraId="059B5C48"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(0,1468399)</w:t>
            </w:r>
          </w:p>
        </w:tc>
        <w:tc>
          <w:tcPr>
            <w:tcW w:w="1970" w:type="dxa"/>
            <w:vAlign w:val="center"/>
          </w:tcPr>
          <w:p w14:paraId="342FE031"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-0,6945008</w:t>
            </w:r>
            <w:r w:rsidRPr="003A6E5A">
              <w:rPr>
                <w:rFonts w:ascii="Times New Roman" w:hAnsi="Times New Roman" w:cs="Times New Roman"/>
                <w:i/>
                <w:iCs/>
                <w:sz w:val="24"/>
                <w:szCs w:val="24"/>
                <w:vertAlign w:val="superscript"/>
              </w:rPr>
              <w:t>***</w:t>
            </w:r>
          </w:p>
          <w:p w14:paraId="2BB88DD2" w14:textId="77777777" w:rsidR="0003217D" w:rsidRPr="003A6E5A" w:rsidRDefault="00FC275D" w:rsidP="00FC58A3">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lastRenderedPageBreak/>
              <w:t>(0,1468399)</w:t>
            </w:r>
          </w:p>
        </w:tc>
        <w:tc>
          <w:tcPr>
            <w:tcW w:w="1970" w:type="dxa"/>
            <w:vAlign w:val="center"/>
          </w:tcPr>
          <w:p w14:paraId="622578D8"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0,3766489</w:t>
            </w:r>
            <w:r w:rsidRPr="003A6E5A">
              <w:rPr>
                <w:rFonts w:ascii="Times New Roman" w:hAnsi="Times New Roman" w:cs="Times New Roman"/>
                <w:i/>
                <w:iCs/>
                <w:sz w:val="24"/>
                <w:szCs w:val="24"/>
                <w:vertAlign w:val="superscript"/>
              </w:rPr>
              <w:t>*</w:t>
            </w:r>
          </w:p>
          <w:p w14:paraId="5299E237"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(0,2361498)</w:t>
            </w:r>
          </w:p>
        </w:tc>
        <w:tc>
          <w:tcPr>
            <w:tcW w:w="2016" w:type="dxa"/>
            <w:vAlign w:val="center"/>
          </w:tcPr>
          <w:p w14:paraId="74883976"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0,0091372</w:t>
            </w:r>
          </w:p>
          <w:p w14:paraId="291149C5"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lastRenderedPageBreak/>
              <w:t>(0,3390977)</w:t>
            </w:r>
          </w:p>
        </w:tc>
      </w:tr>
      <w:tr w:rsidR="00B02CF8" w:rsidRPr="003A6E5A" w14:paraId="1D28D034" w14:textId="77777777" w:rsidTr="00FC58A3">
        <w:tc>
          <w:tcPr>
            <w:tcW w:w="1666" w:type="dxa"/>
            <w:vAlign w:val="center"/>
          </w:tcPr>
          <w:p w14:paraId="3C403962" w14:textId="383CBF58" w:rsidR="0003217D" w:rsidRPr="003A6E5A" w:rsidRDefault="00FC58A3" w:rsidP="00FC58A3">
            <w:pPr>
              <w:spacing w:after="0" w:line="240" w:lineRule="auto"/>
              <w:jc w:val="center"/>
              <w:rPr>
                <w:rFonts w:ascii="Cambria Math" w:hAnsi="Cambria Math" w:cs="Times New Roman"/>
                <w:sz w:val="20"/>
                <w:szCs w:val="20"/>
                <w:oMath/>
              </w:rPr>
            </w:pPr>
            <m:oMathPara>
              <m:oMath>
                <m:r>
                  <w:rPr>
                    <w:rFonts w:ascii="Cambria Math" w:hAnsi="Cambria Math" w:cs="Times New Roman"/>
                    <w:sz w:val="20"/>
                    <w:szCs w:val="20"/>
                  </w:rPr>
                  <w:lastRenderedPageBreak/>
                  <m:t>λ</m:t>
                </m:r>
              </m:oMath>
            </m:oMathPara>
          </w:p>
        </w:tc>
        <w:tc>
          <w:tcPr>
            <w:tcW w:w="1970" w:type="dxa"/>
            <w:vAlign w:val="center"/>
          </w:tcPr>
          <w:p w14:paraId="06E648C9"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0,8351411</w:t>
            </w:r>
            <w:r w:rsidRPr="003A6E5A">
              <w:rPr>
                <w:rFonts w:ascii="Times New Roman" w:hAnsi="Times New Roman" w:cs="Times New Roman"/>
                <w:i/>
                <w:iCs/>
                <w:sz w:val="24"/>
                <w:szCs w:val="24"/>
                <w:vertAlign w:val="superscript"/>
              </w:rPr>
              <w:t>***</w:t>
            </w:r>
          </w:p>
          <w:p w14:paraId="4B82F4E0"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(0,0465242)</w:t>
            </w:r>
          </w:p>
        </w:tc>
        <w:tc>
          <w:tcPr>
            <w:tcW w:w="1970" w:type="dxa"/>
            <w:vAlign w:val="center"/>
          </w:tcPr>
          <w:p w14:paraId="79F91581"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0,8351411</w:t>
            </w:r>
            <w:r w:rsidRPr="003A6E5A">
              <w:rPr>
                <w:rFonts w:ascii="Times New Roman" w:hAnsi="Times New Roman" w:cs="Times New Roman"/>
                <w:i/>
                <w:iCs/>
                <w:sz w:val="24"/>
                <w:szCs w:val="24"/>
                <w:vertAlign w:val="superscript"/>
              </w:rPr>
              <w:t>***</w:t>
            </w:r>
          </w:p>
          <w:p w14:paraId="63BAF7C9" w14:textId="77777777" w:rsidR="0003217D" w:rsidRPr="003A6E5A" w:rsidRDefault="00FC275D" w:rsidP="00FC58A3">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(0,0465242)</w:t>
            </w:r>
          </w:p>
        </w:tc>
        <w:tc>
          <w:tcPr>
            <w:tcW w:w="1970" w:type="dxa"/>
            <w:vAlign w:val="center"/>
          </w:tcPr>
          <w:p w14:paraId="16C0D907"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-0,8353606</w:t>
            </w:r>
            <w:r w:rsidRPr="003A6E5A">
              <w:rPr>
                <w:rFonts w:ascii="Times New Roman" w:hAnsi="Times New Roman" w:cs="Times New Roman"/>
                <w:i/>
                <w:iCs/>
                <w:sz w:val="24"/>
                <w:szCs w:val="24"/>
                <w:vertAlign w:val="superscript"/>
              </w:rPr>
              <w:t>**</w:t>
            </w:r>
          </w:p>
          <w:p w14:paraId="7F529072"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(0,3416554)</w:t>
            </w:r>
          </w:p>
        </w:tc>
        <w:tc>
          <w:tcPr>
            <w:tcW w:w="2016" w:type="dxa"/>
            <w:vAlign w:val="center"/>
          </w:tcPr>
          <w:p w14:paraId="1D7C5A61"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-0,220632</w:t>
            </w:r>
          </w:p>
          <w:p w14:paraId="46A4038B"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(0,3752819)</w:t>
            </w:r>
          </w:p>
        </w:tc>
      </w:tr>
      <w:tr w:rsidR="00B02CF8" w:rsidRPr="003A6E5A" w14:paraId="6993041D" w14:textId="77777777" w:rsidTr="00FC58A3">
        <w:tc>
          <w:tcPr>
            <w:tcW w:w="1666" w:type="dxa"/>
            <w:vAlign w:val="center"/>
          </w:tcPr>
          <w:p w14:paraId="41C81329" w14:textId="77777777" w:rsidR="0003217D" w:rsidRPr="003A6E5A" w:rsidRDefault="00790CB1" w:rsidP="00FC58A3">
            <w:pPr>
              <w:spacing w:after="0" w:line="240" w:lineRule="auto"/>
              <w:jc w:val="center"/>
              <w:rPr>
                <w:rFonts w:ascii="Times New Roman" w:hAnsi="Times New Roman" w:cs="Times New Roman"/>
                <w:sz w:val="20"/>
                <w:szCs w:val="20"/>
              </w:rPr>
            </w:pPr>
            <m:oMathPara>
              <m:oMath>
                <m:sSup>
                  <m:sSupPr>
                    <m:ctrlPr>
                      <w:rPr>
                        <w:rFonts w:ascii="Cambria Math" w:hAnsi="Cambria Math" w:cs="Times New Roman"/>
                        <w:bCs/>
                        <w:i/>
                        <w:sz w:val="20"/>
                        <w:szCs w:val="20"/>
                      </w:rPr>
                    </m:ctrlPr>
                  </m:sSupPr>
                  <m:e>
                    <m:r>
                      <w:rPr>
                        <w:rFonts w:ascii="Cambria Math" w:hAnsi="Cambria Math" w:cs="Times New Roman"/>
                        <w:sz w:val="20"/>
                        <w:szCs w:val="20"/>
                      </w:rPr>
                      <m:t>R</m:t>
                    </m:r>
                  </m:e>
                  <m:sup>
                    <m:r>
                      <w:rPr>
                        <w:rFonts w:ascii="Cambria Math" w:hAnsi="Cambria Math" w:cs="Times New Roman"/>
                        <w:sz w:val="20"/>
                        <w:szCs w:val="20"/>
                      </w:rPr>
                      <m:t>2</m:t>
                    </m:r>
                  </m:sup>
                </m:sSup>
              </m:oMath>
            </m:oMathPara>
          </w:p>
        </w:tc>
        <w:tc>
          <w:tcPr>
            <w:tcW w:w="1970" w:type="dxa"/>
            <w:vAlign w:val="center"/>
          </w:tcPr>
          <w:p w14:paraId="3393F58B"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0,4169</w:t>
            </w:r>
          </w:p>
        </w:tc>
        <w:tc>
          <w:tcPr>
            <w:tcW w:w="1970" w:type="dxa"/>
            <w:vAlign w:val="center"/>
          </w:tcPr>
          <w:p w14:paraId="4E3FB3AE" w14:textId="77777777" w:rsidR="0003217D" w:rsidRPr="003A6E5A" w:rsidRDefault="00FC275D" w:rsidP="00FC58A3">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0,4169</w:t>
            </w:r>
          </w:p>
        </w:tc>
        <w:tc>
          <w:tcPr>
            <w:tcW w:w="1970" w:type="dxa"/>
            <w:vAlign w:val="center"/>
          </w:tcPr>
          <w:p w14:paraId="7CDD0069"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0,4010</w:t>
            </w:r>
          </w:p>
        </w:tc>
        <w:tc>
          <w:tcPr>
            <w:tcW w:w="2016" w:type="dxa"/>
            <w:vAlign w:val="center"/>
          </w:tcPr>
          <w:p w14:paraId="4565B30E"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0,3904</w:t>
            </w:r>
          </w:p>
        </w:tc>
      </w:tr>
      <w:tr w:rsidR="00B02CF8" w:rsidRPr="003A6E5A" w14:paraId="7D651565" w14:textId="77777777" w:rsidTr="00FC58A3">
        <w:trPr>
          <w:trHeight w:val="282"/>
        </w:trPr>
        <w:tc>
          <w:tcPr>
            <w:tcW w:w="1666" w:type="dxa"/>
            <w:vAlign w:val="center"/>
          </w:tcPr>
          <w:p w14:paraId="4811B92E" w14:textId="77777777" w:rsidR="0003217D" w:rsidRPr="003A6E5A" w:rsidRDefault="00FC275D" w:rsidP="00FC58A3">
            <w:pPr>
              <w:spacing w:after="0" w:line="240" w:lineRule="auto"/>
              <w:jc w:val="center"/>
              <w:rPr>
                <w:rFonts w:ascii="Cambria Math" w:hAnsi="Cambria Math" w:cs="Times New Roman"/>
                <w:sz w:val="20"/>
                <w:szCs w:val="20"/>
                <w:oMath/>
              </w:rPr>
            </w:pPr>
            <w:r w:rsidRPr="003A6E5A">
              <w:rPr>
                <w:rFonts w:ascii="Times New Roman" w:hAnsi="Times New Roman" w:cs="Times New Roman"/>
                <w:bCs/>
                <w:i/>
                <w:sz w:val="20"/>
                <w:szCs w:val="20"/>
              </w:rPr>
              <w:t>AIC</w:t>
            </w:r>
          </w:p>
        </w:tc>
        <w:tc>
          <w:tcPr>
            <w:tcW w:w="1970" w:type="dxa"/>
            <w:vAlign w:val="center"/>
          </w:tcPr>
          <w:p w14:paraId="6AFA0215"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-107,9864</w:t>
            </w:r>
          </w:p>
        </w:tc>
        <w:tc>
          <w:tcPr>
            <w:tcW w:w="1970" w:type="dxa"/>
            <w:vAlign w:val="center"/>
          </w:tcPr>
          <w:p w14:paraId="142EE0CF"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-80,81582</w:t>
            </w:r>
          </w:p>
        </w:tc>
        <w:tc>
          <w:tcPr>
            <w:tcW w:w="1970" w:type="dxa"/>
            <w:vAlign w:val="center"/>
          </w:tcPr>
          <w:p w14:paraId="65731E5E"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146,814</w:t>
            </w:r>
          </w:p>
        </w:tc>
        <w:tc>
          <w:tcPr>
            <w:tcW w:w="2016" w:type="dxa"/>
            <w:vAlign w:val="center"/>
          </w:tcPr>
          <w:p w14:paraId="0C60ECB2"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-156,7339</w:t>
            </w:r>
          </w:p>
        </w:tc>
      </w:tr>
      <w:tr w:rsidR="00B02CF8" w:rsidRPr="003A6E5A" w14:paraId="1AFB59BC" w14:textId="77777777" w:rsidTr="00FC58A3">
        <w:tc>
          <w:tcPr>
            <w:tcW w:w="1666" w:type="dxa"/>
            <w:vAlign w:val="center"/>
          </w:tcPr>
          <w:p w14:paraId="29F2AE64" w14:textId="77777777" w:rsidR="0003217D" w:rsidRPr="003A6E5A" w:rsidRDefault="00FC275D" w:rsidP="00FC58A3">
            <w:pPr>
              <w:spacing w:after="0" w:line="240" w:lineRule="auto"/>
              <w:jc w:val="center"/>
              <w:rPr>
                <w:rFonts w:ascii="Cambria Math" w:hAnsi="Cambria Math" w:cs="Times New Roman"/>
                <w:sz w:val="20"/>
                <w:szCs w:val="20"/>
                <w:lang w:val="en-US"/>
                <w:oMath/>
              </w:rPr>
            </w:pPr>
            <w:r w:rsidRPr="003A6E5A">
              <w:rPr>
                <w:rFonts w:ascii="Times New Roman" w:hAnsi="Times New Roman" w:cs="Times New Roman"/>
                <w:bCs/>
                <w:i/>
                <w:sz w:val="20"/>
                <w:szCs w:val="20"/>
                <w:lang w:val="en-US"/>
              </w:rPr>
              <w:t>BIC</w:t>
            </w:r>
          </w:p>
        </w:tc>
        <w:tc>
          <w:tcPr>
            <w:tcW w:w="1970" w:type="dxa"/>
            <w:vAlign w:val="center"/>
          </w:tcPr>
          <w:p w14:paraId="5E18FEFA"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-89,53533</w:t>
            </w:r>
          </w:p>
        </w:tc>
        <w:tc>
          <w:tcPr>
            <w:tcW w:w="1970" w:type="dxa"/>
            <w:vAlign w:val="center"/>
          </w:tcPr>
          <w:p w14:paraId="7FFAB60D"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-62,99694</w:t>
            </w:r>
          </w:p>
        </w:tc>
        <w:tc>
          <w:tcPr>
            <w:tcW w:w="1970" w:type="dxa"/>
            <w:vAlign w:val="center"/>
          </w:tcPr>
          <w:p w14:paraId="50270CE1"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165,2651</w:t>
            </w:r>
          </w:p>
        </w:tc>
        <w:tc>
          <w:tcPr>
            <w:tcW w:w="2016" w:type="dxa"/>
            <w:vAlign w:val="center"/>
          </w:tcPr>
          <w:p w14:paraId="0525ECD5" w14:textId="77777777" w:rsidR="0003217D" w:rsidRPr="003A6E5A" w:rsidRDefault="00FC275D" w:rsidP="00FC58A3">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-141,3581</w:t>
            </w:r>
          </w:p>
        </w:tc>
      </w:tr>
    </w:tbl>
    <w:p w14:paraId="34117A98" w14:textId="11A66A5B" w:rsidR="00FC58A3" w:rsidRPr="003A6E5A" w:rsidRDefault="00FC58A3" w:rsidP="00FC58A3">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&lt;0,01</m:t>
        </m:r>
      </m:oMath>
      <w:r w:rsidRPr="003A6E5A">
        <w:rPr>
          <w:rFonts w:ascii="Times New Roman" w:hAnsi="Times New Roman" w:cs="Times New Roman"/>
          <w:i/>
          <w:iCs/>
          <w:sz w:val="20"/>
          <w:szCs w:val="20"/>
        </w:rPr>
        <w:t>,</w:t>
      </w:r>
      <w:r w:rsidRPr="003A6E5A">
        <w:rPr>
          <w:rFonts w:ascii="Times New Roman" w:hAnsi="Times New Roman" w:cs="Times New Roman"/>
          <w:i/>
          <w:iCs/>
          <w:sz w:val="20"/>
          <w:szCs w:val="20"/>
          <w:vertAlign w:val="superscript"/>
        </w:rPr>
        <w:t>**</w:t>
      </w:r>
      <m:oMath>
        <m:r>
          <w:rPr>
            <w:rFonts w:ascii="Cambria Math" w:hAnsi="Cambria Math" w:cs="Times New Roman"/>
            <w:sz w:val="20"/>
            <w:szCs w:val="20"/>
            <w:lang w:val="en-US"/>
          </w:rPr>
          <m:t>p</m:t>
        </m:r>
        <m:r>
          <w:rPr>
            <w:rFonts w:ascii="Cambria Math" w:hAnsi="Cambria Math" w:cs="Times New Roman"/>
            <w:sz w:val="20"/>
            <w:szCs w:val="20"/>
          </w:rPr>
          <m:t>&lt;0,05</m:t>
        </m:r>
      </m:oMath>
      <w:r w:rsidRPr="003A6E5A">
        <w:rPr>
          <w:rFonts w:ascii="Times New Roman" w:hAnsi="Times New Roman" w:cs="Times New Roman"/>
          <w:i/>
          <w:iCs/>
          <w:sz w:val="20"/>
          <w:szCs w:val="20"/>
        </w:rPr>
        <w:t xml:space="preserve">, </w:t>
      </w:r>
      <w:r w:rsidRPr="003A6E5A">
        <w:rPr>
          <w:rFonts w:ascii="Times New Roman" w:hAnsi="Times New Roman" w:cs="Times New Roman"/>
          <w:i/>
          <w:iCs/>
          <w:sz w:val="20"/>
          <w:szCs w:val="20"/>
          <w:vertAlign w:val="superscript"/>
        </w:rPr>
        <w:t>*</w:t>
      </w:r>
      <m:oMath>
        <m:r>
          <w:rPr>
            <w:rFonts w:ascii="Cambria Math" w:hAnsi="Cambria Math" w:cs="Times New Roman"/>
            <w:sz w:val="20"/>
            <w:szCs w:val="20"/>
            <w:vertAlign w:val="superscript"/>
          </w:rPr>
          <m:t>p&lt;0,1</m:t>
        </m:r>
      </m:oMath>
      <w:r w:rsidRPr="003A6E5A">
        <w:rPr>
          <w:rFonts w:ascii="Times New Roman" w:hAnsi="Times New Roman" w:cs="Times New Roman"/>
          <w:i/>
          <w:iCs/>
          <w:sz w:val="20"/>
          <w:szCs w:val="20"/>
        </w:rPr>
        <w:t xml:space="preserve">. </w:t>
      </w:r>
      <w:r w:rsidRPr="003A6E5A">
        <w:rPr>
          <w:rFonts w:ascii="Times New Roman" w:hAnsi="Times New Roman" w:cs="Times New Roman"/>
          <w:sz w:val="20"/>
          <w:szCs w:val="20"/>
        </w:rPr>
        <w:t>Стоимостные переменные выражены в ценах 2014 года.</w:t>
      </w:r>
    </w:p>
    <w:p w14:paraId="268E1394" w14:textId="612946B8" w:rsidR="00813CC5" w:rsidRPr="003A6E5A" w:rsidRDefault="00813CC5" w:rsidP="00813CC5">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λ (-0.835) данный факт означает, что области Казахстана со схожими характеристиками демонстрируют противоположные инвестиционные паттерны. Высокие значения инвестиций в одной области соседствуют с низкими значениями в соседних </w:t>
      </w:r>
      <w:r w:rsidR="00E218C2" w:rsidRPr="003A6E5A">
        <w:rPr>
          <w:rFonts w:ascii="Times New Roman" w:hAnsi="Times New Roman" w:cs="Times New Roman"/>
          <w:sz w:val="20"/>
          <w:szCs w:val="20"/>
        </w:rPr>
        <w:t>областях</w:t>
      </w:r>
    </w:p>
    <w:p w14:paraId="1D98E98B" w14:textId="0FAB86C8" w:rsidR="00FC58A3" w:rsidRPr="003A6E5A" w:rsidRDefault="004C4949" w:rsidP="00FC58A3">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bookmarkEnd w:id="36"/>
    <w:p w14:paraId="368AF9F5" w14:textId="77777777" w:rsidR="0003217D" w:rsidRPr="003A6E5A" w:rsidRDefault="0003217D" w:rsidP="00525DFD">
      <w:pPr>
        <w:spacing w:after="0" w:line="240" w:lineRule="auto"/>
        <w:jc w:val="both"/>
        <w:rPr>
          <w:rFonts w:ascii="Times New Roman" w:hAnsi="Times New Roman" w:cs="Times New Roman"/>
          <w:sz w:val="28"/>
          <w:szCs w:val="28"/>
        </w:rPr>
      </w:pPr>
    </w:p>
    <w:p w14:paraId="57AC32AB" w14:textId="654A1C5D" w:rsidR="00280019" w:rsidRPr="003A6E5A" w:rsidRDefault="00280019" w:rsidP="00280019">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В модели (20), учитывающей фиксированные эффекты, внутренние затраты на НИОКР оказывают положительное и статистически значимое влияние на инвестиции в основной капитал. Существенным фактором выступает также валовый региональный продукт на душу населения, демонстрирующий положительное воздействие на инвестиции. Количество предприятий, осуществляющих НИОКР, оказывает положительное и значимое влияние, тем самым подчеркивается роль инновационной инфраструктуры. Пространственный коэффициент </w:t>
      </w:r>
      <m:oMath>
        <m:r>
          <w:rPr>
            <w:rFonts w:ascii="Cambria Math" w:hAnsi="Cambria Math" w:cs="Times New Roman"/>
            <w:sz w:val="28"/>
            <w:szCs w:val="28"/>
          </w:rPr>
          <m:t>ρ</m:t>
        </m:r>
      </m:oMath>
      <w:r w:rsidRPr="003A6E5A">
        <w:rPr>
          <w:rFonts w:ascii="Times New Roman" w:hAnsi="Times New Roman" w:cs="Times New Roman"/>
          <w:sz w:val="28"/>
          <w:szCs w:val="28"/>
        </w:rPr>
        <w:t xml:space="preserve"> отрицателен и значим, </w:t>
      </w:r>
      <m:oMath>
        <m:r>
          <w:rPr>
            <w:rFonts w:ascii="Cambria Math" w:hAnsi="Cambria Math" w:cs="Times New Roman"/>
            <w:sz w:val="28"/>
            <w:szCs w:val="28"/>
          </w:rPr>
          <m:t>λ</m:t>
        </m:r>
      </m:oMath>
      <w:r w:rsidRPr="003A6E5A">
        <w:rPr>
          <w:rFonts w:ascii="Times New Roman" w:hAnsi="Times New Roman" w:cs="Times New Roman"/>
          <w:sz w:val="28"/>
          <w:szCs w:val="28"/>
        </w:rPr>
        <w:t xml:space="preserve"> положителен и значим, оба параметра подтверждают наличие пространственных зависимостей по зависимой переменной и по ошибкам. В </w:t>
      </w:r>
      <w:r w:rsidRPr="003A6E5A">
        <w:rPr>
          <w:rFonts w:ascii="Times New Roman" w:hAnsi="Times New Roman" w:cs="Times New Roman"/>
          <w:sz w:val="28"/>
          <w:szCs w:val="28"/>
          <w:lang w:val="kk-KZ"/>
        </w:rPr>
        <w:t xml:space="preserve">следующей </w:t>
      </w:r>
      <w:r w:rsidRPr="003A6E5A">
        <w:rPr>
          <w:rFonts w:ascii="Times New Roman" w:hAnsi="Times New Roman" w:cs="Times New Roman"/>
          <w:sz w:val="28"/>
          <w:szCs w:val="28"/>
        </w:rPr>
        <w:t>модели (21), построенной с учетом фиксированных эффектов по методу Ли Ю (2010), сохраняются положительные и значимые эффекты внутренних затрат на НИОКР, валового регионального продукта на душу населения и числа предприятий, ведущих НИОКР. Пространственные коэффициенты идентичны результатам модели (20), результаты указывают на устойчивость полученных выводов.</w:t>
      </w:r>
    </w:p>
    <w:p w14:paraId="4965D234" w14:textId="77777777" w:rsidR="00255428" w:rsidRPr="003A6E5A" w:rsidRDefault="00280019" w:rsidP="00255428">
      <w:pPr>
        <w:spacing w:after="0" w:line="240" w:lineRule="auto"/>
        <w:ind w:firstLine="708"/>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В модели (22), где введены временные фиксированные эффекты, значимое положительное влияние оказывают валовый региональный продукт на душу населения, количество предприятий, ведущих НИОКР, а также среднемесячная заработная плата. Пространственный коэффициент </w:t>
      </w:r>
      <m:oMath>
        <m:r>
          <w:rPr>
            <w:rFonts w:ascii="Cambria Math" w:hAnsi="Cambria Math" w:cs="Times New Roman"/>
            <w:sz w:val="28"/>
            <w:szCs w:val="28"/>
          </w:rPr>
          <m:t>ρ</m:t>
        </m:r>
      </m:oMath>
      <w:r w:rsidRPr="003A6E5A">
        <w:rPr>
          <w:rFonts w:ascii="Times New Roman" w:hAnsi="Times New Roman" w:cs="Times New Roman"/>
          <w:sz w:val="28"/>
          <w:szCs w:val="28"/>
        </w:rPr>
        <w:t xml:space="preserve"> становится положительным и значимым, а </w:t>
      </w:r>
      <m:oMath>
        <m:r>
          <w:rPr>
            <w:rFonts w:ascii="Cambria Math" w:hAnsi="Cambria Math" w:cs="Times New Roman"/>
            <w:sz w:val="28"/>
            <w:szCs w:val="28"/>
          </w:rPr>
          <m:t>λ</m:t>
        </m:r>
      </m:oMath>
      <w:r w:rsidRPr="003A6E5A">
        <w:rPr>
          <w:rFonts w:ascii="Times New Roman" w:hAnsi="Times New Roman" w:cs="Times New Roman"/>
          <w:sz w:val="28"/>
          <w:szCs w:val="28"/>
        </w:rPr>
        <w:t xml:space="preserve"> принимает отрицательное значение, подобная трансформация отражает изменение характера пространственной зависимости при учете временной динамики.</w:t>
      </w:r>
      <w:r w:rsidR="00255428"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В модели (23), учитывающей одновременно пространственные и временные фиксированные эффекты, сохраняется положительное влияние внутренних затрат на НИОКР и усили</w:t>
      </w:r>
      <w:r w:rsidR="00255428" w:rsidRPr="003A6E5A">
        <w:rPr>
          <w:rFonts w:ascii="Times New Roman" w:hAnsi="Times New Roman" w:cs="Times New Roman"/>
          <w:sz w:val="28"/>
          <w:szCs w:val="28"/>
          <w:lang w:val="kk-KZ"/>
        </w:rPr>
        <w:t>лась</w:t>
      </w:r>
      <w:r w:rsidRPr="003A6E5A">
        <w:rPr>
          <w:rFonts w:ascii="Times New Roman" w:hAnsi="Times New Roman" w:cs="Times New Roman"/>
          <w:sz w:val="28"/>
          <w:szCs w:val="28"/>
        </w:rPr>
        <w:t xml:space="preserve"> значимость валового регионального продукта на душу населения. Влияние числа предприятий, осуществляющих НИОКР, перест</w:t>
      </w:r>
      <w:r w:rsidR="00255428" w:rsidRPr="003A6E5A">
        <w:rPr>
          <w:rFonts w:ascii="Times New Roman" w:hAnsi="Times New Roman" w:cs="Times New Roman"/>
          <w:sz w:val="28"/>
          <w:szCs w:val="28"/>
          <w:lang w:val="kk-KZ"/>
        </w:rPr>
        <w:t>ало</w:t>
      </w:r>
      <w:r w:rsidRPr="003A6E5A">
        <w:rPr>
          <w:rFonts w:ascii="Times New Roman" w:hAnsi="Times New Roman" w:cs="Times New Roman"/>
          <w:sz w:val="28"/>
          <w:szCs w:val="28"/>
        </w:rPr>
        <w:t xml:space="preserve"> быть статистически значимым. Пространственные коэффициенты </w:t>
      </w:r>
      <m:oMath>
        <m:r>
          <w:rPr>
            <w:rFonts w:ascii="Cambria Math" w:hAnsi="Cambria Math" w:cs="Times New Roman"/>
            <w:sz w:val="28"/>
            <w:szCs w:val="28"/>
          </w:rPr>
          <m:t>ρ</m:t>
        </m:r>
      </m:oMath>
      <w:r w:rsidRPr="003A6E5A">
        <w:rPr>
          <w:rFonts w:ascii="Times New Roman" w:hAnsi="Times New Roman" w:cs="Times New Roman"/>
          <w:sz w:val="28"/>
          <w:szCs w:val="28"/>
        </w:rPr>
        <w:t xml:space="preserve"> и</w:t>
      </w:r>
      <w:r w:rsidR="00255428" w:rsidRPr="003A6E5A">
        <w:rPr>
          <w:rFonts w:ascii="Times New Roman" w:hAnsi="Times New Roman" w:cs="Times New Roman"/>
          <w:sz w:val="28"/>
          <w:szCs w:val="28"/>
          <w:lang w:val="kk-KZ"/>
        </w:rPr>
        <w:t xml:space="preserve"> </w:t>
      </w:r>
      <m:oMath>
        <m:r>
          <w:rPr>
            <w:rFonts w:ascii="Cambria Math" w:hAnsi="Cambria Math" w:cs="Times New Roman"/>
            <w:sz w:val="28"/>
            <w:szCs w:val="28"/>
          </w:rPr>
          <m:t>λ</m:t>
        </m:r>
      </m:oMath>
      <w:r w:rsidRPr="003A6E5A">
        <w:rPr>
          <w:rFonts w:ascii="Times New Roman" w:hAnsi="Times New Roman" w:cs="Times New Roman"/>
          <w:sz w:val="28"/>
          <w:szCs w:val="28"/>
        </w:rPr>
        <w:t xml:space="preserve"> </w:t>
      </w:r>
      <w:r w:rsidR="00255428" w:rsidRPr="003A6E5A">
        <w:rPr>
          <w:rFonts w:ascii="Times New Roman" w:hAnsi="Times New Roman" w:cs="Times New Roman"/>
          <w:sz w:val="28"/>
          <w:szCs w:val="28"/>
          <w:lang w:val="kk-KZ"/>
        </w:rPr>
        <w:t>также по</w:t>
      </w:r>
      <w:r w:rsidRPr="003A6E5A">
        <w:rPr>
          <w:rFonts w:ascii="Times New Roman" w:hAnsi="Times New Roman" w:cs="Times New Roman"/>
          <w:sz w:val="28"/>
          <w:szCs w:val="28"/>
        </w:rPr>
        <w:t>теря</w:t>
      </w:r>
      <w:r w:rsidR="00255428" w:rsidRPr="003A6E5A">
        <w:rPr>
          <w:rFonts w:ascii="Times New Roman" w:hAnsi="Times New Roman" w:cs="Times New Roman"/>
          <w:sz w:val="28"/>
          <w:szCs w:val="28"/>
          <w:lang w:val="kk-KZ"/>
        </w:rPr>
        <w:t>ли</w:t>
      </w:r>
      <w:r w:rsidRPr="003A6E5A">
        <w:rPr>
          <w:rFonts w:ascii="Times New Roman" w:hAnsi="Times New Roman" w:cs="Times New Roman"/>
          <w:sz w:val="28"/>
          <w:szCs w:val="28"/>
        </w:rPr>
        <w:t xml:space="preserve"> значимость, пространственная автокорреляция ослабевает при одновременном контроле пространственных и временных эффектов.</w:t>
      </w:r>
      <w:r w:rsidR="00255428"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Сопоставление моделей (20)–(23) позволяет заключить:</w:t>
      </w:r>
    </w:p>
    <w:p w14:paraId="37CA525E" w14:textId="77777777" w:rsidR="00255428" w:rsidRPr="003A6E5A" w:rsidRDefault="00255428" w:rsidP="00255428">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 </w:t>
      </w:r>
      <w:r w:rsidR="00280019" w:rsidRPr="003A6E5A">
        <w:rPr>
          <w:rFonts w:ascii="Times New Roman" w:hAnsi="Times New Roman" w:cs="Times New Roman"/>
          <w:sz w:val="28"/>
          <w:szCs w:val="28"/>
        </w:rPr>
        <w:t>наиболее устойчивыми факторами инвестиций в основной капитал выступают внутренние затраты на НИОКР и валовый региональный продукт на душу населения</w:t>
      </w:r>
      <w:r w:rsidRPr="003A6E5A">
        <w:rPr>
          <w:rFonts w:ascii="Times New Roman" w:hAnsi="Times New Roman" w:cs="Times New Roman"/>
          <w:sz w:val="28"/>
          <w:szCs w:val="28"/>
        </w:rPr>
        <w:t>;</w:t>
      </w:r>
    </w:p>
    <w:p w14:paraId="4282CDD8" w14:textId="77777777" w:rsidR="00255428" w:rsidRPr="003A6E5A" w:rsidRDefault="00255428" w:rsidP="00255428">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з</w:t>
      </w:r>
      <w:r w:rsidR="00280019" w:rsidRPr="003A6E5A">
        <w:rPr>
          <w:rFonts w:ascii="Times New Roman" w:hAnsi="Times New Roman" w:cs="Times New Roman"/>
          <w:sz w:val="28"/>
          <w:szCs w:val="28"/>
        </w:rPr>
        <w:t>начимость числа предприятий, ведущих НИОКР, проявляется лишь в отдельных спецификациях</w:t>
      </w:r>
      <w:r w:rsidRPr="003A6E5A">
        <w:rPr>
          <w:rFonts w:ascii="Times New Roman" w:hAnsi="Times New Roman" w:cs="Times New Roman"/>
          <w:sz w:val="28"/>
          <w:szCs w:val="28"/>
        </w:rPr>
        <w:t>;</w:t>
      </w:r>
    </w:p>
    <w:p w14:paraId="466B4045" w14:textId="77777777" w:rsidR="00E218C2" w:rsidRPr="003A6E5A" w:rsidRDefault="00255428" w:rsidP="00525DF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lastRenderedPageBreak/>
        <w:t>– у</w:t>
      </w:r>
      <w:r w:rsidR="00280019" w:rsidRPr="003A6E5A">
        <w:rPr>
          <w:rFonts w:ascii="Times New Roman" w:hAnsi="Times New Roman" w:cs="Times New Roman"/>
          <w:sz w:val="28"/>
          <w:szCs w:val="28"/>
        </w:rPr>
        <w:t>чет временных и пространственно-временных эффектов меняет характер пространственных зависимостей и снижает статистическую значимость пространственной автокорреляции.</w:t>
      </w:r>
    </w:p>
    <w:p w14:paraId="773BC2FD" w14:textId="222F5D83" w:rsidR="00E218C2" w:rsidRPr="003A6E5A" w:rsidRDefault="00E218C2" w:rsidP="00E218C2">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Тест Хаусмана представляет собой фундаментальный инструмент эконометрического анализа, используемый для верификации выбора между моделями с фиксированными (Fixed Effects, FE) и случайными эффектами (Random Effects, RE) при работе с панельными данными. Методологическая сущность теста заключается в проверке гипотезы о корреляции между ненаблюдаемыми индивидуальными эффектами и регрессорами модели</w:t>
      </w:r>
      <w:r w:rsidR="005F20E2" w:rsidRPr="003A6E5A">
        <w:rPr>
          <w:rFonts w:ascii="Times New Roman" w:hAnsi="Times New Roman" w:cs="Times New Roman"/>
          <w:sz w:val="28"/>
          <w:szCs w:val="28"/>
        </w:rPr>
        <w:t xml:space="preserve"> [1</w:t>
      </w:r>
      <w:r w:rsidR="001C3BE7" w:rsidRPr="003A6E5A">
        <w:rPr>
          <w:rFonts w:ascii="Times New Roman" w:hAnsi="Times New Roman" w:cs="Times New Roman"/>
          <w:sz w:val="28"/>
          <w:szCs w:val="28"/>
        </w:rPr>
        <w:t>3</w:t>
      </w:r>
      <w:r w:rsidR="00B67905" w:rsidRPr="003A6E5A">
        <w:rPr>
          <w:rFonts w:ascii="Times New Roman" w:hAnsi="Times New Roman" w:cs="Times New Roman"/>
          <w:sz w:val="28"/>
          <w:szCs w:val="28"/>
        </w:rPr>
        <w:t>5</w:t>
      </w:r>
      <w:r w:rsidR="005F20E2" w:rsidRPr="003A6E5A">
        <w:rPr>
          <w:rFonts w:ascii="Times New Roman" w:hAnsi="Times New Roman" w:cs="Times New Roman"/>
          <w:sz w:val="28"/>
          <w:szCs w:val="28"/>
        </w:rPr>
        <w:t>]</w:t>
      </w:r>
      <w:r w:rsidRPr="003A6E5A">
        <w:rPr>
          <w:rFonts w:ascii="Times New Roman" w:hAnsi="Times New Roman" w:cs="Times New Roman"/>
          <w:sz w:val="28"/>
          <w:szCs w:val="28"/>
        </w:rPr>
        <w:t>.</w:t>
      </w:r>
    </w:p>
    <w:p w14:paraId="7E06621E" w14:textId="77777777" w:rsidR="00255428" w:rsidRPr="003A6E5A" w:rsidRDefault="00255428" w:rsidP="00525DFD">
      <w:pPr>
        <w:spacing w:after="0" w:line="240" w:lineRule="auto"/>
        <w:jc w:val="both"/>
        <w:rPr>
          <w:rFonts w:ascii="Times New Roman" w:hAnsi="Times New Roman" w:cs="Times New Roman"/>
          <w:sz w:val="28"/>
          <w:szCs w:val="28"/>
        </w:rPr>
      </w:pPr>
    </w:p>
    <w:p w14:paraId="552A023E" w14:textId="7FB67E1A"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Таблица </w:t>
      </w:r>
      <w:r w:rsidR="00255428" w:rsidRPr="003A6E5A">
        <w:rPr>
          <w:rFonts w:ascii="Times New Roman" w:hAnsi="Times New Roman" w:cs="Times New Roman"/>
          <w:sz w:val="28"/>
          <w:szCs w:val="28"/>
        </w:rPr>
        <w:t>1</w:t>
      </w:r>
      <w:r w:rsidR="00DA42F3" w:rsidRPr="003A6E5A">
        <w:rPr>
          <w:rFonts w:ascii="Times New Roman" w:hAnsi="Times New Roman" w:cs="Times New Roman"/>
          <w:sz w:val="28"/>
          <w:szCs w:val="28"/>
        </w:rPr>
        <w:t>7</w:t>
      </w:r>
      <w:r w:rsidRPr="003A6E5A">
        <w:rPr>
          <w:rFonts w:ascii="Times New Roman" w:hAnsi="Times New Roman" w:cs="Times New Roman"/>
          <w:sz w:val="28"/>
          <w:szCs w:val="28"/>
          <w:lang w:val="kk-KZ"/>
        </w:rPr>
        <w:t>. Р</w:t>
      </w:r>
      <w:r w:rsidRPr="003A6E5A">
        <w:rPr>
          <w:rFonts w:ascii="Times New Roman" w:hAnsi="Times New Roman" w:cs="Times New Roman"/>
          <w:sz w:val="28"/>
          <w:szCs w:val="28"/>
        </w:rPr>
        <w:t>езультаты расчетов теста Хаусмана</w:t>
      </w:r>
      <w:r w:rsidR="00255428" w:rsidRPr="003A6E5A">
        <w:rPr>
          <w:rFonts w:ascii="Times New Roman" w:hAnsi="Times New Roman" w:cs="Times New Roman"/>
          <w:sz w:val="28"/>
          <w:szCs w:val="28"/>
        </w:rPr>
        <w:t xml:space="preserve"> для моделей (6)–(9), (12)–(15), (18)</w:t>
      </w:r>
      <w:r w:rsidR="007673B4" w:rsidRPr="003A6E5A">
        <w:rPr>
          <w:rFonts w:ascii="Times New Roman" w:hAnsi="Times New Roman" w:cs="Times New Roman"/>
          <w:sz w:val="28"/>
          <w:szCs w:val="28"/>
        </w:rPr>
        <w:t>-</w:t>
      </w:r>
      <w:r w:rsidR="00255428" w:rsidRPr="003A6E5A">
        <w:rPr>
          <w:rFonts w:ascii="Times New Roman" w:hAnsi="Times New Roman" w:cs="Times New Roman"/>
          <w:sz w:val="28"/>
          <w:szCs w:val="28"/>
        </w:rPr>
        <w:t>(</w:t>
      </w:r>
      <w:r w:rsidR="008F488D" w:rsidRPr="003A6E5A">
        <w:rPr>
          <w:rFonts w:ascii="Times New Roman" w:hAnsi="Times New Roman" w:cs="Times New Roman"/>
          <w:sz w:val="28"/>
          <w:szCs w:val="28"/>
        </w:rPr>
        <w:t>21</w:t>
      </w:r>
      <w:r w:rsidR="00255428" w:rsidRPr="003A6E5A">
        <w:rPr>
          <w:rFonts w:ascii="Times New Roman" w:hAnsi="Times New Roman" w:cs="Times New Roman"/>
          <w:sz w:val="28"/>
          <w:szCs w:val="28"/>
        </w:rPr>
        <w:t>)</w:t>
      </w:r>
    </w:p>
    <w:tbl>
      <w:tblPr>
        <w:tblStyle w:val="ac"/>
        <w:tblW w:w="0" w:type="auto"/>
        <w:tblLook w:val="04A0" w:firstRow="1" w:lastRow="0" w:firstColumn="1" w:lastColumn="0" w:noHBand="0" w:noVBand="1"/>
      </w:tblPr>
      <w:tblGrid>
        <w:gridCol w:w="2115"/>
        <w:gridCol w:w="1476"/>
        <w:gridCol w:w="1579"/>
        <w:gridCol w:w="1580"/>
        <w:gridCol w:w="1424"/>
        <w:gridCol w:w="1418"/>
      </w:tblGrid>
      <w:tr w:rsidR="00B02CF8" w:rsidRPr="003A6E5A" w14:paraId="0B162C71" w14:textId="77777777" w:rsidTr="00255428">
        <w:tc>
          <w:tcPr>
            <w:tcW w:w="2115" w:type="dxa"/>
          </w:tcPr>
          <w:p w14:paraId="486CA613" w14:textId="77777777" w:rsidR="0003217D" w:rsidRPr="003A6E5A" w:rsidRDefault="0003217D" w:rsidP="001608EA">
            <w:pPr>
              <w:spacing w:after="0" w:line="240" w:lineRule="auto"/>
              <w:jc w:val="center"/>
              <w:rPr>
                <w:rFonts w:ascii="Times New Roman" w:hAnsi="Times New Roman" w:cs="Times New Roman"/>
                <w:sz w:val="20"/>
                <w:szCs w:val="20"/>
              </w:rPr>
            </w:pPr>
          </w:p>
        </w:tc>
        <w:tc>
          <w:tcPr>
            <w:tcW w:w="1476" w:type="dxa"/>
          </w:tcPr>
          <w:p w14:paraId="0B2C0DEF" w14:textId="28E7A1F8" w:rsidR="0003217D" w:rsidRPr="003A6E5A" w:rsidRDefault="00255428" w:rsidP="001608EA">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lang w:val="en-US"/>
              </w:rPr>
              <w:t>(6)</w:t>
            </w:r>
          </w:p>
        </w:tc>
        <w:tc>
          <w:tcPr>
            <w:tcW w:w="1579" w:type="dxa"/>
          </w:tcPr>
          <w:p w14:paraId="341F33EF" w14:textId="7D5195AE"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(7)</w:t>
            </w:r>
          </w:p>
        </w:tc>
        <w:tc>
          <w:tcPr>
            <w:tcW w:w="1580" w:type="dxa"/>
          </w:tcPr>
          <w:p w14:paraId="2C1834D0" w14:textId="5EE513A0"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(8)</w:t>
            </w:r>
          </w:p>
        </w:tc>
        <w:tc>
          <w:tcPr>
            <w:tcW w:w="1424" w:type="dxa"/>
          </w:tcPr>
          <w:p w14:paraId="37AED300" w14:textId="3F87A7B8"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(9)</w:t>
            </w:r>
          </w:p>
        </w:tc>
        <w:tc>
          <w:tcPr>
            <w:tcW w:w="1418" w:type="dxa"/>
          </w:tcPr>
          <w:p w14:paraId="48E16CC2" w14:textId="17C59C1B"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(12)</w:t>
            </w:r>
          </w:p>
        </w:tc>
      </w:tr>
      <w:tr w:rsidR="00B02CF8" w:rsidRPr="003A6E5A" w14:paraId="2F84C6AB" w14:textId="77777777" w:rsidTr="00255428">
        <w:tc>
          <w:tcPr>
            <w:tcW w:w="2115" w:type="dxa"/>
          </w:tcPr>
          <w:p w14:paraId="6CB395FB"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Хи-квадрат</w:t>
            </w:r>
          </w:p>
          <w:p w14:paraId="408DC175" w14:textId="5912AB78" w:rsidR="0003217D" w:rsidRPr="003A6E5A" w:rsidRDefault="00FC275D" w:rsidP="001608EA">
            <w:pPr>
              <w:spacing w:after="0" w:line="240" w:lineRule="auto"/>
              <w:jc w:val="center"/>
              <w:rPr>
                <w:rFonts w:ascii="Times New Roman" w:hAnsi="Times New Roman" w:cs="Times New Roman"/>
                <w:sz w:val="20"/>
                <w:szCs w:val="20"/>
              </w:rPr>
            </w:pPr>
            <m:oMath>
              <m:r>
                <m:rPr>
                  <m:sty m:val="p"/>
                </m:rPr>
                <w:rPr>
                  <w:rFonts w:ascii="Cambria Math" w:hAnsi="Cambria Math" w:cs="Times New Roman"/>
                  <w:sz w:val="20"/>
                  <w:szCs w:val="20"/>
                  <w:lang w:val="en-US"/>
                </w:rPr>
                <m:t>(</m:t>
              </m:r>
              <m:r>
                <w:rPr>
                  <w:rFonts w:ascii="Cambria Math" w:hAnsi="Cambria Math" w:cs="Times New Roman"/>
                  <w:sz w:val="20"/>
                  <w:szCs w:val="20"/>
                  <w:lang w:val="en-US"/>
                </w:rPr>
                <m:t>p</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lang w:val="en-US"/>
              </w:rPr>
              <w:t xml:space="preserve"> </w:t>
            </w:r>
            <w:r w:rsidRPr="003A6E5A">
              <w:rPr>
                <w:rFonts w:ascii="Times New Roman" w:hAnsi="Times New Roman" w:cs="Times New Roman"/>
                <w:sz w:val="20"/>
                <w:szCs w:val="20"/>
              </w:rPr>
              <w:t>значение)</w:t>
            </w:r>
          </w:p>
        </w:tc>
        <w:tc>
          <w:tcPr>
            <w:tcW w:w="1476" w:type="dxa"/>
          </w:tcPr>
          <w:p w14:paraId="19438856"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27,25</w:t>
            </w:r>
          </w:p>
          <w:p w14:paraId="4ED2151F"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(0,0003)</w:t>
            </w:r>
          </w:p>
        </w:tc>
        <w:tc>
          <w:tcPr>
            <w:tcW w:w="1579" w:type="dxa"/>
          </w:tcPr>
          <w:p w14:paraId="6C8123D8"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27,25</w:t>
            </w:r>
          </w:p>
          <w:p w14:paraId="314910A7"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(0,0003)</w:t>
            </w:r>
          </w:p>
        </w:tc>
        <w:tc>
          <w:tcPr>
            <w:tcW w:w="1580" w:type="dxa"/>
          </w:tcPr>
          <w:p w14:paraId="5B10A1D2"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279,27</w:t>
            </w:r>
          </w:p>
          <w:p w14:paraId="281CD640"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(0,0000)</w:t>
            </w:r>
          </w:p>
        </w:tc>
        <w:tc>
          <w:tcPr>
            <w:tcW w:w="1424" w:type="dxa"/>
          </w:tcPr>
          <w:p w14:paraId="75540A5F"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24,01</w:t>
            </w:r>
          </w:p>
          <w:p w14:paraId="341ED666"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(0,0002)</w:t>
            </w:r>
          </w:p>
        </w:tc>
        <w:tc>
          <w:tcPr>
            <w:tcW w:w="1418" w:type="dxa"/>
          </w:tcPr>
          <w:p w14:paraId="1E13D283"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7,74</w:t>
            </w:r>
          </w:p>
          <w:p w14:paraId="797F9BB1"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(0,0208)</w:t>
            </w:r>
          </w:p>
        </w:tc>
      </w:tr>
      <w:tr w:rsidR="00B02CF8" w:rsidRPr="003A6E5A" w14:paraId="70BA5526" w14:textId="77777777" w:rsidTr="00255428">
        <w:tc>
          <w:tcPr>
            <w:tcW w:w="2115" w:type="dxa"/>
          </w:tcPr>
          <w:p w14:paraId="13C66138" w14:textId="77777777" w:rsidR="0003217D" w:rsidRPr="003A6E5A" w:rsidRDefault="0003217D" w:rsidP="001608EA">
            <w:pPr>
              <w:spacing w:after="0" w:line="240" w:lineRule="auto"/>
              <w:jc w:val="center"/>
              <w:rPr>
                <w:rFonts w:ascii="Times New Roman" w:hAnsi="Times New Roman" w:cs="Times New Roman"/>
                <w:sz w:val="20"/>
                <w:szCs w:val="20"/>
              </w:rPr>
            </w:pPr>
          </w:p>
        </w:tc>
        <w:tc>
          <w:tcPr>
            <w:tcW w:w="1476" w:type="dxa"/>
          </w:tcPr>
          <w:p w14:paraId="3C8C65AE" w14:textId="62F83AD3"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(13)</w:t>
            </w:r>
          </w:p>
        </w:tc>
        <w:tc>
          <w:tcPr>
            <w:tcW w:w="1579" w:type="dxa"/>
          </w:tcPr>
          <w:p w14:paraId="712590DC" w14:textId="572CD7A0"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(14)</w:t>
            </w:r>
          </w:p>
        </w:tc>
        <w:tc>
          <w:tcPr>
            <w:tcW w:w="1580" w:type="dxa"/>
          </w:tcPr>
          <w:p w14:paraId="49334128" w14:textId="688320FB"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(15)</w:t>
            </w:r>
          </w:p>
        </w:tc>
        <w:tc>
          <w:tcPr>
            <w:tcW w:w="1424" w:type="dxa"/>
          </w:tcPr>
          <w:p w14:paraId="4E577179" w14:textId="3BFC60AC"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(18)</w:t>
            </w:r>
          </w:p>
        </w:tc>
        <w:tc>
          <w:tcPr>
            <w:tcW w:w="1418" w:type="dxa"/>
          </w:tcPr>
          <w:p w14:paraId="0BA915E9" w14:textId="41AEED64"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(19)</w:t>
            </w:r>
          </w:p>
        </w:tc>
      </w:tr>
      <w:tr w:rsidR="00B02CF8" w:rsidRPr="003A6E5A" w14:paraId="54CC426B" w14:textId="77777777" w:rsidTr="00255428">
        <w:tc>
          <w:tcPr>
            <w:tcW w:w="2115" w:type="dxa"/>
          </w:tcPr>
          <w:p w14:paraId="376173EA"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Хи-квадрат</w:t>
            </w:r>
          </w:p>
          <w:p w14:paraId="30A89B12" w14:textId="5814FE21"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eastAsiaTheme="minorEastAsia" w:hAnsi="Times New Roman" w:cs="Times New Roman"/>
                <w:sz w:val="20"/>
                <w:szCs w:val="20"/>
              </w:rPr>
              <w:t>(</w:t>
            </w:r>
            <m:oMath>
              <m:r>
                <w:rPr>
                  <w:rFonts w:ascii="Cambria Math" w:hAnsi="Cambria Math" w:cs="Times New Roman"/>
                  <w:sz w:val="20"/>
                  <w:szCs w:val="20"/>
                  <w:lang w:val="en-US"/>
                </w:rPr>
                <m:t>p</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lang w:val="en-US"/>
              </w:rPr>
              <w:t xml:space="preserve"> </w:t>
            </w:r>
            <w:r w:rsidRPr="003A6E5A">
              <w:rPr>
                <w:rFonts w:ascii="Times New Roman" w:hAnsi="Times New Roman" w:cs="Times New Roman"/>
                <w:sz w:val="20"/>
                <w:szCs w:val="20"/>
              </w:rPr>
              <w:t>значение)</w:t>
            </w:r>
          </w:p>
        </w:tc>
        <w:tc>
          <w:tcPr>
            <w:tcW w:w="1476" w:type="dxa"/>
          </w:tcPr>
          <w:p w14:paraId="4F51CAD1"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7,74</w:t>
            </w:r>
          </w:p>
          <w:p w14:paraId="0FDEA67F"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(0,0208)</w:t>
            </w:r>
          </w:p>
        </w:tc>
        <w:tc>
          <w:tcPr>
            <w:tcW w:w="1579" w:type="dxa"/>
          </w:tcPr>
          <w:p w14:paraId="6BA5FF32"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29,46</w:t>
            </w:r>
          </w:p>
          <w:p w14:paraId="5A3C0FAF"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(0,0000)</w:t>
            </w:r>
          </w:p>
        </w:tc>
        <w:tc>
          <w:tcPr>
            <w:tcW w:w="1580" w:type="dxa"/>
          </w:tcPr>
          <w:p w14:paraId="4D32836A"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25,03</w:t>
            </w:r>
          </w:p>
          <w:p w14:paraId="25E8675B"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(0,0000)</w:t>
            </w:r>
          </w:p>
        </w:tc>
        <w:tc>
          <w:tcPr>
            <w:tcW w:w="1424" w:type="dxa"/>
          </w:tcPr>
          <w:p w14:paraId="5FD1CC79"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24,52</w:t>
            </w:r>
          </w:p>
          <w:p w14:paraId="0E9E2390"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(0,0001)</w:t>
            </w:r>
          </w:p>
        </w:tc>
        <w:tc>
          <w:tcPr>
            <w:tcW w:w="1418" w:type="dxa"/>
          </w:tcPr>
          <w:p w14:paraId="63C70A7A"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24,52</w:t>
            </w:r>
          </w:p>
          <w:p w14:paraId="65E9C8E1"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(0,0001)</w:t>
            </w:r>
          </w:p>
        </w:tc>
      </w:tr>
      <w:tr w:rsidR="00B02CF8" w:rsidRPr="003A6E5A" w14:paraId="70DD2211" w14:textId="77777777" w:rsidTr="00255428">
        <w:tc>
          <w:tcPr>
            <w:tcW w:w="2115" w:type="dxa"/>
          </w:tcPr>
          <w:p w14:paraId="3B1CE52D" w14:textId="77777777" w:rsidR="0003217D" w:rsidRPr="003A6E5A" w:rsidRDefault="0003217D" w:rsidP="001608EA">
            <w:pPr>
              <w:spacing w:after="0" w:line="240" w:lineRule="auto"/>
              <w:jc w:val="center"/>
              <w:rPr>
                <w:rFonts w:ascii="Times New Roman" w:eastAsiaTheme="minorEastAsia" w:hAnsi="Times New Roman" w:cs="Times New Roman"/>
                <w:sz w:val="20"/>
                <w:szCs w:val="20"/>
              </w:rPr>
            </w:pPr>
          </w:p>
        </w:tc>
        <w:tc>
          <w:tcPr>
            <w:tcW w:w="3055" w:type="dxa"/>
            <w:gridSpan w:val="2"/>
          </w:tcPr>
          <w:p w14:paraId="5E90D52C" w14:textId="205C1543"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(20)</w:t>
            </w:r>
          </w:p>
        </w:tc>
        <w:tc>
          <w:tcPr>
            <w:tcW w:w="4422" w:type="dxa"/>
            <w:gridSpan w:val="3"/>
          </w:tcPr>
          <w:p w14:paraId="754EF36A" w14:textId="620DC0CD" w:rsidR="0003217D" w:rsidRPr="003A6E5A" w:rsidRDefault="00255428"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 xml:space="preserve">Модель </w:t>
            </w:r>
            <w:r w:rsidR="00FC275D" w:rsidRPr="003A6E5A">
              <w:rPr>
                <w:rFonts w:ascii="Times New Roman" w:hAnsi="Times New Roman" w:cs="Times New Roman"/>
                <w:sz w:val="20"/>
                <w:szCs w:val="20"/>
              </w:rPr>
              <w:t>(21)</w:t>
            </w:r>
          </w:p>
        </w:tc>
      </w:tr>
      <w:tr w:rsidR="00B02CF8" w:rsidRPr="003A6E5A" w14:paraId="421D07E3" w14:textId="77777777" w:rsidTr="00255428">
        <w:tc>
          <w:tcPr>
            <w:tcW w:w="2115" w:type="dxa"/>
          </w:tcPr>
          <w:p w14:paraId="6E70CA0D"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Хи-квадрат</w:t>
            </w:r>
          </w:p>
          <w:p w14:paraId="780459DE" w14:textId="41AC6252" w:rsidR="0003217D" w:rsidRPr="003A6E5A" w:rsidRDefault="00FC275D" w:rsidP="001608EA">
            <w:pPr>
              <w:spacing w:after="0" w:line="240" w:lineRule="auto"/>
              <w:jc w:val="center"/>
              <w:rPr>
                <w:rFonts w:ascii="Times New Roman" w:eastAsiaTheme="minorEastAsia" w:hAnsi="Times New Roman" w:cs="Times New Roman"/>
                <w:sz w:val="20"/>
                <w:szCs w:val="20"/>
              </w:rPr>
            </w:pPr>
            <w:r w:rsidRPr="003A6E5A">
              <w:rPr>
                <w:rFonts w:ascii="Times New Roman" w:eastAsiaTheme="minorEastAsia" w:hAnsi="Times New Roman" w:cs="Times New Roman"/>
                <w:sz w:val="20"/>
                <w:szCs w:val="20"/>
              </w:rPr>
              <w:t>(</w:t>
            </w:r>
            <m:oMath>
              <m:r>
                <w:rPr>
                  <w:rFonts w:ascii="Cambria Math" w:hAnsi="Cambria Math" w:cs="Times New Roman"/>
                  <w:sz w:val="20"/>
                  <w:szCs w:val="20"/>
                  <w:lang w:val="en-US"/>
                </w:rPr>
                <m:t>p</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lang w:val="en-US"/>
              </w:rPr>
              <w:t xml:space="preserve"> </w:t>
            </w:r>
            <w:r w:rsidRPr="003A6E5A">
              <w:rPr>
                <w:rFonts w:ascii="Times New Roman" w:hAnsi="Times New Roman" w:cs="Times New Roman"/>
                <w:sz w:val="20"/>
                <w:szCs w:val="20"/>
              </w:rPr>
              <w:t>значение)</w:t>
            </w:r>
          </w:p>
        </w:tc>
        <w:tc>
          <w:tcPr>
            <w:tcW w:w="3055" w:type="dxa"/>
            <w:gridSpan w:val="2"/>
          </w:tcPr>
          <w:p w14:paraId="59F8914F"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1,19</w:t>
            </w:r>
          </w:p>
          <w:p w14:paraId="2FEB60B0"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(0,8792)</w:t>
            </w:r>
          </w:p>
        </w:tc>
        <w:tc>
          <w:tcPr>
            <w:tcW w:w="4422" w:type="dxa"/>
            <w:gridSpan w:val="3"/>
          </w:tcPr>
          <w:p w14:paraId="73E9035F"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1,19</w:t>
            </w:r>
          </w:p>
          <w:p w14:paraId="4D333FA2" w14:textId="77777777" w:rsidR="0003217D" w:rsidRPr="003A6E5A" w:rsidRDefault="00FC275D" w:rsidP="001608EA">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(0,8792)</w:t>
            </w:r>
          </w:p>
        </w:tc>
      </w:tr>
    </w:tbl>
    <w:p w14:paraId="4DD05FBC" w14:textId="1685B925" w:rsidR="008F488D" w:rsidRPr="003A6E5A" w:rsidRDefault="00255428" w:rsidP="008F488D">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модель (6) – пространственная модель Дарбина с фиксированными эффектами, модель (7) – пространственная модель Дарбина с фиксированными эффектами по методу Ли Ю (2010), модель (8) – пространственная модель Дарбина с учетом временных фиксированных эффектов, модель (9) – пространственная модель Дарбина с учетом пространственных и временных фиксированных эффектов, </w:t>
      </w:r>
      <w:r w:rsidR="008F488D" w:rsidRPr="003A6E5A">
        <w:rPr>
          <w:rFonts w:ascii="Times New Roman" w:hAnsi="Times New Roman" w:cs="Times New Roman"/>
          <w:sz w:val="20"/>
          <w:szCs w:val="20"/>
        </w:rPr>
        <w:t xml:space="preserve">модель (12) – пространственная авторегрессионная модель с фиксироваными эффектами, модель (13) – пространственная авторегрессионная модель с фиксироваными эффектами по методу Ли Ю (2010), модель (14) – пространственная авторегрессионная модель с временными фиксированными эффектами, модель (15) – пространственная авторегрессионная модель с пространственными и временными фиксироваными эффектами, модель (18) – пространственная модель ошибок с фиксированными эффектами, модель (19) – пространственная модель ошибок с фиксированными эффектами по методу Ли Ю (2010), модель (20) – </w:t>
      </w:r>
      <w:r w:rsidR="008F488D" w:rsidRPr="003A6E5A">
        <w:rPr>
          <w:rFonts w:ascii="Times New Roman" w:hAnsi="Times New Roman" w:cs="Times New Roman"/>
          <w:sz w:val="20"/>
          <w:szCs w:val="20"/>
          <w:lang w:val="kk-KZ"/>
        </w:rPr>
        <w:t>модель пространственной авторегрессии с пространственно</w:t>
      </w:r>
      <w:r w:rsidR="008F488D" w:rsidRPr="003A6E5A">
        <w:rPr>
          <w:rFonts w:ascii="Times New Roman" w:hAnsi="Times New Roman" w:cs="Times New Roman"/>
          <w:sz w:val="20"/>
          <w:szCs w:val="20"/>
        </w:rPr>
        <w:t>-</w:t>
      </w:r>
      <w:r w:rsidR="008F488D" w:rsidRPr="003A6E5A">
        <w:rPr>
          <w:rFonts w:ascii="Times New Roman" w:hAnsi="Times New Roman" w:cs="Times New Roman"/>
          <w:sz w:val="20"/>
          <w:szCs w:val="20"/>
          <w:lang w:val="kk-KZ"/>
        </w:rPr>
        <w:t xml:space="preserve">автокоррелированными ошибками, </w:t>
      </w:r>
      <w:r w:rsidR="008F488D" w:rsidRPr="003A6E5A">
        <w:rPr>
          <w:rFonts w:ascii="Times New Roman" w:hAnsi="Times New Roman" w:cs="Times New Roman"/>
          <w:sz w:val="20"/>
          <w:szCs w:val="20"/>
        </w:rPr>
        <w:t xml:space="preserve">учитывающая фиксированные эффекты, модель (21) – </w:t>
      </w:r>
      <w:r w:rsidR="008F488D" w:rsidRPr="003A6E5A">
        <w:rPr>
          <w:rFonts w:ascii="Times New Roman" w:hAnsi="Times New Roman" w:cs="Times New Roman"/>
          <w:sz w:val="20"/>
          <w:szCs w:val="20"/>
          <w:lang w:val="kk-KZ"/>
        </w:rPr>
        <w:t>модель пространственной авторегрессии с пространственно</w:t>
      </w:r>
      <w:r w:rsidR="008F488D" w:rsidRPr="003A6E5A">
        <w:rPr>
          <w:rFonts w:ascii="Times New Roman" w:hAnsi="Times New Roman" w:cs="Times New Roman"/>
          <w:sz w:val="20"/>
          <w:szCs w:val="20"/>
        </w:rPr>
        <w:t>-</w:t>
      </w:r>
      <w:r w:rsidR="008F488D" w:rsidRPr="003A6E5A">
        <w:rPr>
          <w:rFonts w:ascii="Times New Roman" w:hAnsi="Times New Roman" w:cs="Times New Roman"/>
          <w:sz w:val="20"/>
          <w:szCs w:val="20"/>
          <w:lang w:val="kk-KZ"/>
        </w:rPr>
        <w:t xml:space="preserve">автокоррелированными ошибками, </w:t>
      </w:r>
      <w:r w:rsidR="008F488D" w:rsidRPr="003A6E5A">
        <w:rPr>
          <w:rFonts w:ascii="Times New Roman" w:hAnsi="Times New Roman" w:cs="Times New Roman"/>
          <w:sz w:val="20"/>
          <w:szCs w:val="20"/>
        </w:rPr>
        <w:t>учитывающая фиксированные эффекты по методу Ли Ю (2010).</w:t>
      </w:r>
    </w:p>
    <w:p w14:paraId="55A94F4A" w14:textId="3BB9D93C" w:rsidR="00255428" w:rsidRPr="003A6E5A" w:rsidRDefault="004C4949" w:rsidP="00255428">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исследования </w:t>
      </w:r>
      <w:r w:rsidRPr="003A6E5A">
        <w:rPr>
          <w:rFonts w:ascii="Times New Roman" w:hAnsi="Times New Roman" w:cs="Times New Roman"/>
          <w:sz w:val="20"/>
          <w:szCs w:val="20"/>
          <w:lang w:val="kk-KZ"/>
        </w:rPr>
        <w:t>в</w:t>
      </w:r>
      <w:r w:rsidRPr="003A6E5A">
        <w:rPr>
          <w:rFonts w:ascii="Times New Roman" w:hAnsi="Times New Roman" w:cs="Times New Roman"/>
          <w:sz w:val="20"/>
          <w:szCs w:val="20"/>
        </w:rPr>
        <w:t xml:space="preserve"> программе </w:t>
      </w:r>
      <w:r w:rsidRPr="003A6E5A">
        <w:rPr>
          <w:rFonts w:ascii="Times New Roman" w:hAnsi="Times New Roman" w:cs="Times New Roman"/>
          <w:sz w:val="20"/>
          <w:szCs w:val="20"/>
          <w:lang w:val="en-US"/>
        </w:rPr>
        <w:t>STATA</w:t>
      </w:r>
    </w:p>
    <w:p w14:paraId="7FCC49B8" w14:textId="77777777" w:rsidR="0003217D" w:rsidRPr="003A6E5A" w:rsidRDefault="0003217D" w:rsidP="001608EA">
      <w:pPr>
        <w:spacing w:after="0" w:line="240" w:lineRule="auto"/>
        <w:jc w:val="both"/>
        <w:rPr>
          <w:rFonts w:ascii="Times New Roman" w:hAnsi="Times New Roman" w:cs="Times New Roman"/>
          <w:sz w:val="28"/>
          <w:szCs w:val="28"/>
        </w:rPr>
      </w:pPr>
    </w:p>
    <w:p w14:paraId="38D2D34E" w14:textId="5A3090BB" w:rsidR="00350C87" w:rsidRPr="003A6E5A" w:rsidRDefault="00350C87" w:rsidP="00350C8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Результаты теста Хаусмана для моделей (6)–(9) и (12)–(19) показывают наличие статистически значимых различий между оценками фиксированных и случайных эффектов. Значения </w:t>
      </w:r>
      <m:oMath>
        <m:sSup>
          <m:sSupPr>
            <m:ctrlPr>
              <w:rPr>
                <w:rFonts w:ascii="Cambria Math" w:hAnsi="Cambria Math" w:cs="Times New Roman"/>
                <w:i/>
                <w:sz w:val="28"/>
                <w:szCs w:val="28"/>
              </w:rPr>
            </m:ctrlPr>
          </m:sSupPr>
          <m:e>
            <m:r>
              <w:rPr>
                <w:rFonts w:ascii="Cambria Math" w:hAnsi="Cambria Math" w:cs="Times New Roman"/>
                <w:sz w:val="28"/>
                <w:szCs w:val="28"/>
              </w:rPr>
              <m:t>χ</m:t>
            </m:r>
          </m:e>
          <m:sup>
            <m:r>
              <w:rPr>
                <w:rFonts w:ascii="Cambria Math" w:hAnsi="Cambria Math" w:cs="Times New Roman"/>
                <w:sz w:val="28"/>
                <w:szCs w:val="28"/>
              </w:rPr>
              <m:t>2</m:t>
            </m:r>
          </m:sup>
        </m:sSup>
      </m:oMath>
      <w:r w:rsidRPr="003A6E5A">
        <w:rPr>
          <w:rFonts w:ascii="Times New Roman" w:hAnsi="Times New Roman" w:cs="Times New Roman"/>
          <w:sz w:val="28"/>
          <w:szCs w:val="28"/>
        </w:rPr>
        <w:t xml:space="preserve"> в этих моделях находятся в диапазоне от 7,74 до 279,27 при p-значениях ниже 0,05, что подтверждает необходимость использования спецификаций с фиксированными эффектами. Особенно высокое значение теста наблюдается в модели (8), где </w:t>
      </w:r>
      <m:oMath>
        <m:sSup>
          <m:sSupPr>
            <m:ctrlPr>
              <w:rPr>
                <w:rFonts w:ascii="Cambria Math" w:hAnsi="Cambria Math" w:cs="Times New Roman"/>
                <w:i/>
                <w:sz w:val="28"/>
                <w:szCs w:val="28"/>
              </w:rPr>
            </m:ctrlPr>
          </m:sSupPr>
          <m:e>
            <m:r>
              <w:rPr>
                <w:rFonts w:ascii="Cambria Math" w:hAnsi="Cambria Math" w:cs="Times New Roman"/>
                <w:sz w:val="28"/>
                <w:szCs w:val="28"/>
              </w:rPr>
              <m:t>χ</m:t>
            </m:r>
          </m:e>
          <m:sup>
            <m:r>
              <w:rPr>
                <w:rFonts w:ascii="Cambria Math" w:hAnsi="Cambria Math" w:cs="Times New Roman"/>
                <w:sz w:val="28"/>
                <w:szCs w:val="28"/>
              </w:rPr>
              <m:t>2</m:t>
            </m:r>
          </m:sup>
        </m:sSup>
        <m:r>
          <w:rPr>
            <w:rFonts w:ascii="Cambria Math" w:hAnsi="Cambria Math" w:cs="Times New Roman"/>
            <w:sz w:val="28"/>
            <w:szCs w:val="28"/>
          </w:rPr>
          <m:t>=279,27</m:t>
        </m:r>
      </m:oMath>
      <w:r w:rsidRPr="003A6E5A">
        <w:rPr>
          <w:rFonts w:ascii="Times New Roman" w:hAnsi="Times New Roman" w:cs="Times New Roman"/>
          <w:sz w:val="28"/>
          <w:szCs w:val="28"/>
        </w:rPr>
        <w:t xml:space="preserve"> </w:t>
      </w:r>
      <m:oMath>
        <m:d>
          <m:dPr>
            <m:ctrlPr>
              <w:rPr>
                <w:rFonts w:ascii="Cambria Math" w:hAnsi="Cambria Math" w:cs="Times New Roman"/>
                <w:i/>
                <w:sz w:val="28"/>
                <w:szCs w:val="28"/>
              </w:rPr>
            </m:ctrlPr>
          </m:dPr>
          <m:e>
            <m:r>
              <w:rPr>
                <w:rFonts w:ascii="Cambria Math" w:hAnsi="Cambria Math" w:cs="Times New Roman"/>
                <w:sz w:val="28"/>
                <w:szCs w:val="28"/>
                <w:lang w:val="en-US"/>
              </w:rPr>
              <m:t>p</m:t>
            </m:r>
            <m:r>
              <w:rPr>
                <w:rFonts w:ascii="Cambria Math" w:hAnsi="Cambria Math" w:cs="Times New Roman"/>
                <w:sz w:val="28"/>
                <w:szCs w:val="28"/>
              </w:rPr>
              <m:t>&lt;0,01</m:t>
            </m:r>
          </m:e>
        </m:d>
      </m:oMath>
      <w:r w:rsidRPr="003A6E5A">
        <w:rPr>
          <w:rFonts w:ascii="Times New Roman" w:hAnsi="Times New Roman" w:cs="Times New Roman"/>
          <w:sz w:val="28"/>
          <w:szCs w:val="28"/>
        </w:rPr>
        <w:t>, свидетельству</w:t>
      </w:r>
      <w:r w:rsidRPr="003A6E5A">
        <w:rPr>
          <w:rFonts w:ascii="Times New Roman" w:hAnsi="Times New Roman" w:cs="Times New Roman"/>
          <w:sz w:val="28"/>
          <w:szCs w:val="28"/>
          <w:lang w:val="kk-KZ"/>
        </w:rPr>
        <w:t>я</w:t>
      </w:r>
      <w:r w:rsidRPr="003A6E5A">
        <w:rPr>
          <w:rFonts w:ascii="Times New Roman" w:hAnsi="Times New Roman" w:cs="Times New Roman"/>
          <w:sz w:val="28"/>
          <w:szCs w:val="28"/>
        </w:rPr>
        <w:t xml:space="preserve"> о сильных расхождениях между оценками. В то же время для моделей (20) и (21) значения </w:t>
      </w:r>
      <m:oMath>
        <m:sSup>
          <m:sSupPr>
            <m:ctrlPr>
              <w:rPr>
                <w:rFonts w:ascii="Cambria Math" w:hAnsi="Cambria Math" w:cs="Times New Roman"/>
                <w:i/>
                <w:sz w:val="28"/>
                <w:szCs w:val="28"/>
              </w:rPr>
            </m:ctrlPr>
          </m:sSupPr>
          <m:e>
            <m:r>
              <w:rPr>
                <w:rFonts w:ascii="Cambria Math" w:hAnsi="Cambria Math" w:cs="Times New Roman"/>
                <w:sz w:val="28"/>
                <w:szCs w:val="28"/>
              </w:rPr>
              <m:t>χ</m:t>
            </m:r>
          </m:e>
          <m:sup>
            <m:r>
              <w:rPr>
                <w:rFonts w:ascii="Cambria Math" w:hAnsi="Cambria Math" w:cs="Times New Roman"/>
                <w:sz w:val="28"/>
                <w:szCs w:val="28"/>
              </w:rPr>
              <m:t>2</m:t>
            </m:r>
          </m:sup>
        </m:sSup>
      </m:oMath>
      <w:r w:rsidRPr="003A6E5A">
        <w:rPr>
          <w:rFonts w:ascii="Times New Roman" w:hAnsi="Times New Roman" w:cs="Times New Roman"/>
          <w:sz w:val="28"/>
          <w:szCs w:val="28"/>
        </w:rPr>
        <w:t xml:space="preserve"> оказались низкими и статистически незначимыми, что указывает на отсутствие существенных различий между подходами. </w:t>
      </w:r>
      <w:r w:rsidRPr="003A6E5A">
        <w:rPr>
          <w:rFonts w:ascii="Times New Roman" w:hAnsi="Times New Roman" w:cs="Times New Roman"/>
          <w:sz w:val="28"/>
          <w:szCs w:val="28"/>
          <w:lang w:val="kk-KZ"/>
        </w:rPr>
        <w:t>Следовательно</w:t>
      </w:r>
      <w:r w:rsidRPr="003A6E5A">
        <w:rPr>
          <w:rFonts w:ascii="Times New Roman" w:hAnsi="Times New Roman" w:cs="Times New Roman"/>
          <w:sz w:val="28"/>
          <w:szCs w:val="28"/>
        </w:rPr>
        <w:t xml:space="preserve"> для этих моделей выбор между фиксированными и случайными эффектами не оказывает решающего влияния на выводы. Таким образом, тест Хаусмана подтверждает предпочтительность использования фиксированных эффектов в большинстве рассмотренных моделей, в то время как для моделей (20) и (21) допустимо применение как фиксированных, так и случайных эффектов без риска искажения результатов.</w:t>
      </w:r>
    </w:p>
    <w:p w14:paraId="5746C184" w14:textId="2E0DF6D3" w:rsidR="00A95B94" w:rsidRPr="003A6E5A" w:rsidRDefault="008E5D2C" w:rsidP="008E66D4">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lastRenderedPageBreak/>
        <w:t xml:space="preserve">Отметим еще раз, что проверка независимых переменных в различных моделях представляется логичным и методологически оправданным подходом. Такой способ позволяет не только оценить устойчивость влияния ключевых факторов на инвестиции в основной капитал, но и выявить различия в результатах в зависимости от выбора спецификации. Если регрессоры сохраняют свою значимость при изменении структуры модели, то можно сделать вывод о усилении надежности выводов и подтверждении их научной состоятельности. </w:t>
      </w:r>
      <w:bookmarkStart w:id="37" w:name="_Toc209538983"/>
      <w:bookmarkEnd w:id="22"/>
    </w:p>
    <w:p w14:paraId="16301E70" w14:textId="745A4963" w:rsidR="007A27A7" w:rsidRPr="003A6E5A" w:rsidRDefault="007A27A7" w:rsidP="007A27A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Таким образом, проведенная оценка широкого спектра пространственно-эконометрических моделей на панельных данных регионов Казахстана за 2014-2023 гг. позволила не только верифицировать ключевые детерминанты инвестиций в основной капитал, но и впервые комплексно оценить характер пространственных взаимозависимостей. Эмпирический анализ однозначно подтвердил устойчивое положительное влияние валового регионального продукта (с эластичностью 0.31–0.59) и внутренних затрат на НИОКР (эластичность 0.07–0.14) как фундаментальных макроэкономического и инновационного драйверов инвестиционной активности. При этом сравнительный анализ моделей, подкрепленный тестами Хаусмана и сравнением информационных критериев (AIC, BIC), выявил безусловное превосходство спецификаций с фиксированными эффектами, а в качестве наилучшей была идентифицирована пространственная авторегрессионная модель с пространственными и временными фиксированными эффектами (модель 15), что доказывает необходимость одновременного учета как кросс-секционных, так и временных изменений для адекватного описания инвестиционных процессов.</w:t>
      </w:r>
    </w:p>
    <w:p w14:paraId="284CE05F" w14:textId="33CC66EE" w:rsidR="007A27A7" w:rsidRPr="003A6E5A" w:rsidRDefault="007A27A7" w:rsidP="007A27A7">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Наиболее значимым результатом стало выявление сложного дуализма пространственных эффектов. Базовые модели демонстрировали положительную пространственную автокорреляцию (ρ = 0.50–0.58), указывая на кластеризацию и синергию инвестиционной активности между соседними регионами. Однако включение в модель временных и пространственно-временных фиксированных эффектов кардинально меняло картину, выявляя отрицательную зависимость (ρ от -0.16 до -0.69), что свидетельствует о проявлении эффекта инвестиционной конкуренции за ограниченные ресурсы после контроля для общестрановых трендов и устойчивых региональных характеристик. Этот вывод имеет фундаментальное практическое значение: он указывает на необходимость разработки двойственной региональной политики, которая, с одной стороны, будет стимулировать межрегиональную кооперацию и создание кластеров для долгосрочного синергетического эффекта, а с другой – предусматривать механизмы выравнивания, смягчающие негативные последствия краткосрочной конкуренции и предотвращающие усугубление межрегиональных диспропорций.</w:t>
      </w:r>
    </w:p>
    <w:p w14:paraId="68C2BB71" w14:textId="77777777" w:rsidR="007A27A7" w:rsidRPr="003A6E5A" w:rsidRDefault="007A27A7" w:rsidP="008E66D4">
      <w:pPr>
        <w:spacing w:after="0" w:line="240" w:lineRule="auto"/>
        <w:ind w:firstLine="709"/>
        <w:jc w:val="both"/>
        <w:rPr>
          <w:rFonts w:ascii="Times New Roman" w:hAnsi="Times New Roman" w:cs="Times New Roman"/>
          <w:sz w:val="28"/>
          <w:szCs w:val="28"/>
        </w:rPr>
      </w:pPr>
    </w:p>
    <w:p w14:paraId="3E3CCD74" w14:textId="77777777" w:rsidR="00685612" w:rsidRPr="003A6E5A" w:rsidRDefault="00685612">
      <w:pPr>
        <w:spacing w:after="0" w:line="240" w:lineRule="auto"/>
        <w:rPr>
          <w:rFonts w:ascii="Times New Roman" w:hAnsi="Times New Roman" w:cs="Times New Roman"/>
          <w:sz w:val="28"/>
          <w:szCs w:val="28"/>
        </w:rPr>
      </w:pPr>
      <w:r w:rsidRPr="003A6E5A">
        <w:rPr>
          <w:rFonts w:ascii="Times New Roman" w:hAnsi="Times New Roman"/>
          <w:b/>
          <w:bCs/>
          <w:sz w:val="28"/>
          <w:szCs w:val="28"/>
        </w:rPr>
        <w:br w:type="page"/>
      </w:r>
    </w:p>
    <w:p w14:paraId="0D463EC8" w14:textId="2F392492" w:rsidR="0003217D" w:rsidRPr="003A6E5A" w:rsidRDefault="00FC275D" w:rsidP="00861A04">
      <w:pPr>
        <w:pStyle w:val="1-"/>
        <w:spacing w:beforeAutospacing="0" w:after="0" w:afterAutospacing="0" w:line="240" w:lineRule="auto"/>
        <w:ind w:firstLine="709"/>
        <w:jc w:val="both"/>
        <w:rPr>
          <w:rFonts w:ascii="Times New Roman" w:hAnsi="Times New Roman" w:hint="default"/>
          <w:bCs w:val="0"/>
          <w:sz w:val="28"/>
          <w:szCs w:val="28"/>
          <w:lang w:val="ru-RU"/>
        </w:rPr>
      </w:pPr>
      <w:bookmarkStart w:id="38" w:name="_Hlk213168077"/>
      <w:r w:rsidRPr="003A6E5A">
        <w:rPr>
          <w:rFonts w:ascii="Times New Roman" w:hAnsi="Times New Roman" w:hint="default"/>
          <w:bCs w:val="0"/>
          <w:sz w:val="28"/>
          <w:szCs w:val="28"/>
          <w:lang w:val="kk-KZ"/>
        </w:rPr>
        <w:lastRenderedPageBreak/>
        <w:t>3</w:t>
      </w:r>
      <w:r w:rsidR="00156173" w:rsidRPr="003A6E5A">
        <w:rPr>
          <w:rFonts w:ascii="Times New Roman" w:hAnsi="Times New Roman" w:hint="default"/>
          <w:bCs w:val="0"/>
          <w:sz w:val="28"/>
          <w:szCs w:val="28"/>
          <w:lang w:val="kk-KZ"/>
        </w:rPr>
        <w:t>.</w:t>
      </w:r>
      <w:r w:rsidRPr="003A6E5A">
        <w:rPr>
          <w:rFonts w:ascii="Times New Roman" w:hAnsi="Times New Roman" w:hint="default"/>
          <w:bCs w:val="0"/>
          <w:sz w:val="28"/>
          <w:szCs w:val="28"/>
          <w:lang w:val="kk-KZ"/>
        </w:rPr>
        <w:t xml:space="preserve"> </w:t>
      </w:r>
      <w:r w:rsidRPr="003A6E5A">
        <w:rPr>
          <w:rFonts w:ascii="Times New Roman" w:hAnsi="Times New Roman" w:hint="default"/>
          <w:bCs w:val="0"/>
          <w:sz w:val="28"/>
          <w:szCs w:val="28"/>
          <w:lang w:val="ru-RU"/>
        </w:rPr>
        <w:t>ПРИОРИТЕТЫ И МЕХАНИЗМЫ АКТИВИЗАЦИИ ИНВЕСТИЦИОННОГО СОТРУДНИЧЕСТВА КАЗАХСТАНА И ЕВРОПЕЙСКОГО СОЮЗА</w:t>
      </w:r>
      <w:bookmarkEnd w:id="37"/>
    </w:p>
    <w:p w14:paraId="5AE34144" w14:textId="77777777" w:rsidR="0003217D" w:rsidRPr="003A6E5A" w:rsidRDefault="0003217D" w:rsidP="00861A04">
      <w:pPr>
        <w:spacing w:after="0" w:line="240" w:lineRule="auto"/>
        <w:ind w:firstLine="709"/>
        <w:jc w:val="both"/>
        <w:rPr>
          <w:rFonts w:ascii="Times New Roman" w:hAnsi="Times New Roman" w:cs="Times New Roman"/>
          <w:b/>
          <w:sz w:val="28"/>
          <w:szCs w:val="28"/>
        </w:rPr>
      </w:pPr>
    </w:p>
    <w:p w14:paraId="7296732A" w14:textId="1EEB9F62" w:rsidR="00FC5A0E" w:rsidRPr="003A6E5A" w:rsidRDefault="00FC5A0E" w:rsidP="00FC5A0E">
      <w:pPr>
        <w:pStyle w:val="2-"/>
        <w:spacing w:before="0" w:line="240" w:lineRule="auto"/>
        <w:ind w:firstLine="709"/>
        <w:jc w:val="both"/>
        <w:rPr>
          <w:rFonts w:ascii="Times New Roman" w:hAnsi="Times New Roman" w:cs="Times New Roman"/>
          <w:b/>
          <w:color w:val="auto"/>
          <w:sz w:val="28"/>
          <w:szCs w:val="28"/>
          <w:lang w:val="kk-KZ"/>
        </w:rPr>
      </w:pPr>
      <w:bookmarkStart w:id="39" w:name="_Toc209538984"/>
      <w:r w:rsidRPr="003A6E5A">
        <w:rPr>
          <w:rFonts w:ascii="Times New Roman" w:hAnsi="Times New Roman" w:cs="Times New Roman"/>
          <w:b/>
          <w:color w:val="auto"/>
          <w:sz w:val="28"/>
          <w:szCs w:val="28"/>
          <w:lang w:val="kk-KZ"/>
        </w:rPr>
        <w:t xml:space="preserve">3.1 </w:t>
      </w:r>
      <w:r w:rsidRPr="003A6E5A">
        <w:rPr>
          <w:rFonts w:ascii="Times New Roman" w:hAnsi="Times New Roman" w:cs="Times New Roman"/>
          <w:b/>
          <w:color w:val="auto"/>
          <w:sz w:val="28"/>
          <w:szCs w:val="28"/>
        </w:rPr>
        <w:t>Прямые иностранные инвестиции из Европейского Союза: динамика, секторальная и региональная структура</w:t>
      </w:r>
    </w:p>
    <w:p w14:paraId="10CD038D" w14:textId="77777777" w:rsidR="00FC5A0E" w:rsidRPr="003A6E5A" w:rsidRDefault="00FC5A0E" w:rsidP="00FC5A0E">
      <w:pPr>
        <w:spacing w:after="0" w:line="240" w:lineRule="auto"/>
        <w:ind w:firstLine="709"/>
        <w:jc w:val="both"/>
        <w:rPr>
          <w:rFonts w:ascii="Times New Roman" w:eastAsia="SimSun" w:hAnsi="Times New Roman" w:cs="Times New Roman"/>
          <w:sz w:val="24"/>
          <w:szCs w:val="24"/>
        </w:rPr>
      </w:pPr>
    </w:p>
    <w:bookmarkEnd w:id="38"/>
    <w:p w14:paraId="347197E5" w14:textId="633153EF" w:rsidR="00C52928" w:rsidRPr="003A6E5A" w:rsidRDefault="00C52928" w:rsidP="00C52928">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В данном разделе анализируются прямые иностранные инвестиции из ЕС в Казахстан за период 2014-2024 гг. Анализ проводится по трем ключевым направлениям: динамика и баланс инвестиционных потоков, их секторальная и региональная структура, а также оценка эффективности и устойчивости инвестиций на основе кластеризации стран-инвесторов.</w:t>
      </w:r>
    </w:p>
    <w:p w14:paraId="2B2F55C2" w14:textId="77777777" w:rsidR="00C52928" w:rsidRPr="003A6E5A" w:rsidRDefault="00C52928" w:rsidP="00C52928">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Свою актуальность данный анализ подтверждает тем, что Европейский Союз с момента обретения Казахстаном независимости сохраняет за собой роль одного из главных внешнеэкономических партнёров и, что особенно важно, ключевого источника прямых иностранных инвестиций. Для наглядной оценки масштабов и динамики этого взаимодействия на следующем графике 1 представлены данные о притоке и оттоке прямых инвестиций за рассматриваемый период в разрезе стран ЕС (в ценах 2014 года). Как можно видеть из графика 1, приток ПИИ, измеряемый зелеными столбцами, достигает наивысшей величины по Нидерландам, что однозначно указывает на их доминирующую роль в направлении инвестиций в Казахстан.</w:t>
      </w:r>
    </w:p>
    <w:p w14:paraId="0F8A6F8F" w14:textId="77777777" w:rsidR="00FC5A0E" w:rsidRPr="003A6E5A" w:rsidRDefault="00FC5A0E" w:rsidP="00FC5A0E">
      <w:pPr>
        <w:spacing w:after="0" w:line="240" w:lineRule="auto"/>
        <w:ind w:firstLine="709"/>
        <w:jc w:val="both"/>
        <w:rPr>
          <w:rFonts w:ascii="Times New Roman" w:hAnsi="Times New Roman" w:cs="Times New Roman"/>
          <w:sz w:val="28"/>
          <w:szCs w:val="28"/>
        </w:rPr>
      </w:pPr>
    </w:p>
    <w:p w14:paraId="4CE6709A" w14:textId="77777777" w:rsidR="00FC5A0E" w:rsidRPr="003A6E5A" w:rsidRDefault="00FC5A0E" w:rsidP="00D476A2">
      <w:pPr>
        <w:spacing w:after="0" w:line="240" w:lineRule="auto"/>
        <w:rPr>
          <w:rFonts w:ascii="Times New Roman" w:hAnsi="Times New Roman" w:cs="Times New Roman"/>
          <w:sz w:val="28"/>
          <w:szCs w:val="28"/>
        </w:rPr>
      </w:pPr>
      <w:r w:rsidRPr="003A6E5A">
        <w:rPr>
          <w:rFonts w:ascii="Times New Roman" w:hAnsi="Times New Roman" w:cs="Times New Roman"/>
          <w:noProof/>
          <w:sz w:val="28"/>
          <w:szCs w:val="28"/>
        </w:rPr>
        <w:drawing>
          <wp:inline distT="0" distB="0" distL="0" distR="0" wp14:anchorId="1FE7972F" wp14:editId="019300B6">
            <wp:extent cx="6081395" cy="2998381"/>
            <wp:effectExtent l="0" t="0" r="0" b="0"/>
            <wp:docPr id="271449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8556" cy="3075868"/>
                    </a:xfrm>
                    <a:prstGeom prst="rect">
                      <a:avLst/>
                    </a:prstGeom>
                    <a:noFill/>
                  </pic:spPr>
                </pic:pic>
              </a:graphicData>
            </a:graphic>
          </wp:inline>
        </w:drawing>
      </w:r>
    </w:p>
    <w:p w14:paraId="3F7AB1DE" w14:textId="77777777" w:rsidR="00FC5A0E" w:rsidRPr="003A6E5A" w:rsidRDefault="00FC5A0E" w:rsidP="00FC5A0E">
      <w:pPr>
        <w:spacing w:after="0" w:line="240" w:lineRule="auto"/>
        <w:jc w:val="center"/>
        <w:rPr>
          <w:rFonts w:ascii="Times New Roman" w:hAnsi="Times New Roman" w:cs="Times New Roman"/>
          <w:sz w:val="28"/>
          <w:szCs w:val="28"/>
        </w:rPr>
      </w:pPr>
    </w:p>
    <w:p w14:paraId="61065708" w14:textId="77777777" w:rsidR="00FC5A0E" w:rsidRPr="003A6E5A" w:rsidRDefault="00FC5A0E" w:rsidP="00FC5A0E">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График 1. Динамика притока и оттока ПИИ между Казахстаном и странами Европейского Союза</w:t>
      </w:r>
    </w:p>
    <w:p w14:paraId="4B45AF63"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Примечание: пересчитано в ценах 2014 года</w:t>
      </w:r>
    </w:p>
    <w:p w14:paraId="4B664EDE" w14:textId="25C8F255"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составлена автором исследования по</w:t>
      </w:r>
      <w:r w:rsidRPr="003A6E5A">
        <w:rPr>
          <w:rFonts w:ascii="Times New Roman" w:hAnsi="Times New Roman" w:cs="Times New Roman"/>
          <w:sz w:val="20"/>
          <w:szCs w:val="20"/>
        </w:rPr>
        <w:t xml:space="preserve"> данным НБ РК</w:t>
      </w:r>
      <w:r w:rsidR="001C3BE7" w:rsidRPr="003A6E5A">
        <w:rPr>
          <w:rFonts w:ascii="Times New Roman" w:hAnsi="Times New Roman" w:cs="Times New Roman"/>
          <w:sz w:val="20"/>
          <w:szCs w:val="20"/>
        </w:rPr>
        <w:t xml:space="preserve"> [1</w:t>
      </w:r>
      <w:r w:rsidR="00C96643" w:rsidRPr="003A6E5A">
        <w:rPr>
          <w:rFonts w:ascii="Times New Roman" w:hAnsi="Times New Roman" w:cs="Times New Roman"/>
          <w:sz w:val="20"/>
          <w:szCs w:val="20"/>
        </w:rPr>
        <w:t>10</w:t>
      </w:r>
      <w:r w:rsidR="001C3BE7" w:rsidRPr="003A6E5A">
        <w:rPr>
          <w:rFonts w:ascii="Times New Roman" w:hAnsi="Times New Roman" w:cs="Times New Roman"/>
          <w:sz w:val="20"/>
          <w:szCs w:val="20"/>
        </w:rPr>
        <w:t>]</w:t>
      </w:r>
    </w:p>
    <w:p w14:paraId="434EA093" w14:textId="77777777" w:rsidR="001C3BE7" w:rsidRPr="003A6E5A" w:rsidRDefault="001C3BE7" w:rsidP="00FC5A0E">
      <w:pPr>
        <w:spacing w:after="0" w:line="240" w:lineRule="auto"/>
        <w:jc w:val="both"/>
        <w:rPr>
          <w:rFonts w:ascii="Times New Roman" w:hAnsi="Times New Roman" w:cs="Times New Roman"/>
          <w:sz w:val="28"/>
          <w:szCs w:val="20"/>
        </w:rPr>
      </w:pPr>
    </w:p>
    <w:p w14:paraId="406BAF03" w14:textId="6F5C3DEB" w:rsidR="00FC5A0E" w:rsidRPr="003A6E5A" w:rsidRDefault="00FC5A0E" w:rsidP="00FC5A0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В то же время отток ПИИ из Нидерландов представлен серыми столбцами и заметно меньше притока, что явно свидетельствует об асимметрии потоков и </w:t>
      </w:r>
      <w:r w:rsidRPr="003A6E5A">
        <w:rPr>
          <w:rFonts w:ascii="Times New Roman" w:hAnsi="Times New Roman" w:cs="Times New Roman"/>
          <w:sz w:val="28"/>
          <w:szCs w:val="28"/>
        </w:rPr>
        <w:lastRenderedPageBreak/>
        <w:t>роли Нидерландов как узла перераспределения капитала. На втором месте по объему ПИИ находится Бельгия, которая демонстрирует значимый приток, достигающий около 10,6 млрд долларов США, при отсутствии заметного оттока, что может свидетельствовать о стабильном привлечении инвестиций без обратного вывода капитала. Германия и Франция показывают умеренный приток, но практически не отмечается отток в этих две страны.</w:t>
      </w:r>
      <w:r w:rsidR="00D271B2"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Италия и Кипр также фиксируют минимальные по величине притоки и почти нулевые или очень маленькие оттоки, что отражает ограниченную роль этих стран в трансграничных ПИИ с Казахстаном. Аналогично Люксембург и Румыния отображают слабую вовлеченность с минимальными значениями притока и отсутствием значимого оттока. Сопоставление данных по притоку и оттоку ПИИ свидетельствует о том, что Казахстан остается преимущественно страной-реципиентом инвестиций из ЕС, при этом существенный дисбаланс между объемами привлеченных и направленных за рубеж инвестиций указывает на ограниченную активность казахстанских инвесторов на европейском рынке. </w:t>
      </w:r>
    </w:p>
    <w:p w14:paraId="40C065D2" w14:textId="300EF019" w:rsidR="00C52928" w:rsidRPr="003A6E5A" w:rsidRDefault="00C52928" w:rsidP="00FC5A0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Таким образом, можно заключить, что структура и масштабы ПИИ характеризуются явной концентрацией иностранных инвестиций в отдельные страны ЕС, а внутренняя международная инвестиционная активность Казахстана остается ограниченной и преимущественно направленной на сравнительно небольшое число стран. На основании представленной статистики на графике 2 можно отметить существенные изменения в географической структуре чистого притока прямых инвестиций в Казахстан из стран Европейского Союза в период с 2014-го по 2024 годы. Как было упомянуто ранее, в 2014 году наибольшие объемы ПИИ поступали из Нидерландов (2709,6 млн долларов США), Франции (748 млн долларов США), Кипра (131,3 млн долларов США), Германии (133,2 млн долларов США) и Италии (33,9 млн долларов США), что указывало на высокую концентрацию инвестиций в ограниченном числе стран. При этом ряд стран, включая Румынию (-162,8 млн долларов США), Финляндию (-16,2 млн долларов США) и Венгрию (-3,4 млн долларов США), демонстрировали отрицательные значения чистого притока, что свидетельствовало о преобладании оттока капитала над его привлечением. К 2024 году структура потоков изменилась (см. график 2б): значительными источниками инвестиций стали Кипр (813,31 млн долларов США) и Люксембург (378,36 млн долларов США), тогда как по Нидерландам, ранее являвшимся крупнейшим инвестором, наблюдается отрицательное сальдо (-203,85 млн долларов США). Аналогичная динамика характерна и для Италии (-65,79 млн долларов США) и Франции (-59,24 млн долларов США), что отражает снижение их инвестиционной активности. В то же время в 2024 году положительный чистый приток зафиксирован из Польши (54,04 млн долларов США), Чехии (27,08 млн долларов США) и Швеции (29,23 млн долларов США), которые ранее не занимали значимых позиций в структуре ПИИ в Республику Казахстан.</w:t>
      </w:r>
    </w:p>
    <w:p w14:paraId="7E25EA44" w14:textId="77777777" w:rsidR="00FC5A0E" w:rsidRPr="003A6E5A" w:rsidRDefault="00FC5A0E" w:rsidP="00FC5A0E">
      <w:pPr>
        <w:spacing w:after="0" w:line="240" w:lineRule="auto"/>
        <w:jc w:val="both"/>
        <w:rPr>
          <w:rFonts w:ascii="Times New Roman" w:hAnsi="Times New Roman" w:cs="Times New Roman"/>
          <w:sz w:val="28"/>
          <w:szCs w:val="28"/>
          <w:lang w:val="kk-KZ"/>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762"/>
      </w:tblGrid>
      <w:tr w:rsidR="00B02CF8" w:rsidRPr="003A6E5A" w14:paraId="6429C73A" w14:textId="77777777" w:rsidTr="00C17FA8">
        <w:tc>
          <w:tcPr>
            <w:tcW w:w="4789" w:type="dxa"/>
          </w:tcPr>
          <w:p w14:paraId="0F992D4A" w14:textId="77777777" w:rsidR="00FC5A0E" w:rsidRPr="003A6E5A" w:rsidRDefault="00FC5A0E" w:rsidP="00C17FA8">
            <w:pPr>
              <w:spacing w:after="0" w:line="240" w:lineRule="auto"/>
              <w:jc w:val="center"/>
              <w:rPr>
                <w:rFonts w:ascii="Times New Roman" w:hAnsi="Times New Roman" w:cs="Times New Roman"/>
                <w:sz w:val="28"/>
                <w:szCs w:val="28"/>
              </w:rPr>
            </w:pPr>
            <w:r w:rsidRPr="003A6E5A">
              <w:rPr>
                <w:rFonts w:ascii="Times New Roman" w:hAnsi="Times New Roman" w:cs="Times New Roman"/>
                <w:noProof/>
                <w:sz w:val="28"/>
                <w:szCs w:val="28"/>
              </w:rPr>
              <w:lastRenderedPageBreak/>
              <w:drawing>
                <wp:inline distT="0" distB="0" distL="0" distR="0" wp14:anchorId="106AE10B" wp14:editId="6F4821C9">
                  <wp:extent cx="3031272" cy="3009900"/>
                  <wp:effectExtent l="0" t="0" r="0" b="0"/>
                  <wp:docPr id="982060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089" b="11013"/>
                          <a:stretch>
                            <a:fillRect/>
                          </a:stretch>
                        </pic:blipFill>
                        <pic:spPr bwMode="auto">
                          <a:xfrm>
                            <a:off x="0" y="0"/>
                            <a:ext cx="3083872" cy="3062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3" w:type="dxa"/>
          </w:tcPr>
          <w:p w14:paraId="026B29A8" w14:textId="77777777" w:rsidR="00FC5A0E" w:rsidRPr="003A6E5A" w:rsidRDefault="00FC5A0E" w:rsidP="00C17FA8">
            <w:pPr>
              <w:spacing w:after="0" w:line="240" w:lineRule="auto"/>
              <w:jc w:val="center"/>
              <w:rPr>
                <w:rFonts w:ascii="Times New Roman" w:hAnsi="Times New Roman" w:cs="Times New Roman"/>
                <w:sz w:val="28"/>
                <w:szCs w:val="28"/>
              </w:rPr>
            </w:pPr>
            <w:r w:rsidRPr="003A6E5A">
              <w:rPr>
                <w:rFonts w:ascii="Times New Roman" w:hAnsi="Times New Roman" w:cs="Times New Roman"/>
                <w:noProof/>
                <w:sz w:val="28"/>
                <w:szCs w:val="28"/>
              </w:rPr>
              <w:drawing>
                <wp:inline distT="0" distB="0" distL="0" distR="0" wp14:anchorId="3D44FE1A" wp14:editId="1AD4FC72">
                  <wp:extent cx="2979939" cy="3055620"/>
                  <wp:effectExtent l="0" t="0" r="0" b="0"/>
                  <wp:docPr id="18167594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342" b="18577"/>
                          <a:stretch>
                            <a:fillRect/>
                          </a:stretch>
                        </pic:blipFill>
                        <pic:spPr bwMode="auto">
                          <a:xfrm>
                            <a:off x="0" y="0"/>
                            <a:ext cx="3001946" cy="30781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5A0E" w:rsidRPr="003A6E5A" w14:paraId="1EBF541A" w14:textId="77777777" w:rsidTr="00C17FA8">
        <w:tc>
          <w:tcPr>
            <w:tcW w:w="4789" w:type="dxa"/>
          </w:tcPr>
          <w:p w14:paraId="31CCFAED" w14:textId="77777777" w:rsidR="00FC5A0E" w:rsidRPr="003A6E5A" w:rsidRDefault="00FC5A0E" w:rsidP="00C17FA8">
            <w:pPr>
              <w:spacing w:after="0" w:line="240" w:lineRule="auto"/>
              <w:jc w:val="center"/>
              <w:rPr>
                <w:rFonts w:ascii="Times New Roman" w:hAnsi="Times New Roman" w:cs="Times New Roman"/>
                <w:sz w:val="28"/>
                <w:szCs w:val="28"/>
                <w:lang w:val="kk-KZ"/>
              </w:rPr>
            </w:pPr>
            <w:r w:rsidRPr="003A6E5A">
              <w:rPr>
                <w:rFonts w:ascii="Times New Roman" w:hAnsi="Times New Roman" w:cs="Times New Roman"/>
                <w:sz w:val="28"/>
                <w:szCs w:val="28"/>
              </w:rPr>
              <w:t xml:space="preserve">(а) </w:t>
            </w:r>
            <w:r w:rsidRPr="003A6E5A">
              <w:rPr>
                <w:rFonts w:ascii="Times New Roman" w:hAnsi="Times New Roman" w:cs="Times New Roman"/>
                <w:sz w:val="28"/>
                <w:szCs w:val="28"/>
                <w:lang w:val="en-US"/>
              </w:rPr>
              <w:t>2014</w:t>
            </w:r>
            <w:r w:rsidRPr="003A6E5A">
              <w:rPr>
                <w:rFonts w:ascii="Times New Roman" w:hAnsi="Times New Roman" w:cs="Times New Roman"/>
                <w:sz w:val="28"/>
                <w:szCs w:val="28"/>
                <w:lang w:val="kk-KZ"/>
              </w:rPr>
              <w:t xml:space="preserve"> год</w:t>
            </w:r>
          </w:p>
        </w:tc>
        <w:tc>
          <w:tcPr>
            <w:tcW w:w="4813" w:type="dxa"/>
          </w:tcPr>
          <w:p w14:paraId="1FC3346F" w14:textId="77777777" w:rsidR="00FC5A0E" w:rsidRPr="003A6E5A" w:rsidRDefault="00FC5A0E" w:rsidP="00C17FA8">
            <w:pPr>
              <w:spacing w:after="0" w:line="240" w:lineRule="auto"/>
              <w:jc w:val="center"/>
              <w:rPr>
                <w:rFonts w:ascii="Times New Roman" w:hAnsi="Times New Roman" w:cs="Times New Roman"/>
                <w:sz w:val="28"/>
                <w:szCs w:val="28"/>
                <w:lang w:val="kk-KZ"/>
              </w:rPr>
            </w:pPr>
            <w:r w:rsidRPr="003A6E5A">
              <w:rPr>
                <w:rFonts w:ascii="Times New Roman" w:hAnsi="Times New Roman" w:cs="Times New Roman"/>
                <w:sz w:val="28"/>
                <w:szCs w:val="28"/>
              </w:rPr>
              <w:t xml:space="preserve">(б) </w:t>
            </w:r>
            <w:r w:rsidRPr="003A6E5A">
              <w:rPr>
                <w:rFonts w:ascii="Times New Roman" w:hAnsi="Times New Roman" w:cs="Times New Roman"/>
                <w:sz w:val="28"/>
                <w:szCs w:val="28"/>
                <w:lang w:val="en-US"/>
              </w:rPr>
              <w:t xml:space="preserve">2024 </w:t>
            </w:r>
            <w:r w:rsidRPr="003A6E5A">
              <w:rPr>
                <w:rFonts w:ascii="Times New Roman" w:hAnsi="Times New Roman" w:cs="Times New Roman"/>
                <w:sz w:val="28"/>
                <w:szCs w:val="28"/>
                <w:lang w:val="kk-KZ"/>
              </w:rPr>
              <w:t>год</w:t>
            </w:r>
          </w:p>
        </w:tc>
      </w:tr>
    </w:tbl>
    <w:p w14:paraId="2D0A31C1" w14:textId="77777777" w:rsidR="00FC5A0E" w:rsidRPr="003A6E5A" w:rsidRDefault="00FC5A0E" w:rsidP="00FC5A0E">
      <w:pPr>
        <w:spacing w:after="0" w:line="240" w:lineRule="auto"/>
        <w:jc w:val="both"/>
        <w:rPr>
          <w:rFonts w:ascii="Times New Roman" w:hAnsi="Times New Roman" w:cs="Times New Roman"/>
          <w:sz w:val="24"/>
          <w:szCs w:val="24"/>
          <w:lang w:val="kk-KZ"/>
        </w:rPr>
      </w:pPr>
    </w:p>
    <w:p w14:paraId="7B237773" w14:textId="77777777" w:rsidR="00FC5A0E" w:rsidRPr="003A6E5A" w:rsidRDefault="00FC5A0E" w:rsidP="00FC5A0E">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lang w:val="kk-KZ"/>
        </w:rPr>
        <w:t>График 2. Чистый приток ПИИ в Республику Казахстан по странам Европейского Союза</w:t>
      </w:r>
      <w:r w:rsidRPr="003A6E5A">
        <w:rPr>
          <w:rFonts w:ascii="Times New Roman" w:hAnsi="Times New Roman" w:cs="Times New Roman"/>
          <w:sz w:val="28"/>
          <w:szCs w:val="28"/>
        </w:rPr>
        <w:t>, млн долларов США</w:t>
      </w:r>
    </w:p>
    <w:p w14:paraId="1AAA7BC7"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w:t>
      </w:r>
      <w:r w:rsidRPr="003A6E5A">
        <w:rPr>
          <w:rFonts w:ascii="Times New Roman" w:hAnsi="Times New Roman" w:cs="Times New Roman"/>
          <w:sz w:val="20"/>
          <w:szCs w:val="20"/>
        </w:rPr>
        <w:t>: пересчитано в ценах 2014 года</w:t>
      </w:r>
    </w:p>
    <w:p w14:paraId="195B44A8"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составлена автором исследования по</w:t>
      </w:r>
      <w:r w:rsidRPr="003A6E5A">
        <w:rPr>
          <w:rFonts w:ascii="Times New Roman" w:hAnsi="Times New Roman" w:cs="Times New Roman"/>
          <w:sz w:val="20"/>
          <w:szCs w:val="20"/>
        </w:rPr>
        <w:t xml:space="preserve"> данным НБ РК</w:t>
      </w:r>
    </w:p>
    <w:p w14:paraId="5D659FD2" w14:textId="77777777" w:rsidR="00FC5A0E" w:rsidRPr="003A6E5A" w:rsidRDefault="00FC5A0E" w:rsidP="00FC5A0E">
      <w:pPr>
        <w:spacing w:after="0" w:line="240" w:lineRule="auto"/>
        <w:jc w:val="both"/>
        <w:rPr>
          <w:rFonts w:ascii="Times New Roman" w:hAnsi="Times New Roman" w:cs="Times New Roman"/>
          <w:sz w:val="28"/>
          <w:szCs w:val="28"/>
        </w:rPr>
      </w:pPr>
    </w:p>
    <w:p w14:paraId="19ABB639" w14:textId="15296033" w:rsidR="005F20E2" w:rsidRPr="003A6E5A" w:rsidRDefault="00FC5A0E" w:rsidP="00FC5A0E">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Таким образом, за рассматриваемый период произошла заметная трансформация инвестиционных потоков: если в 2014 году наблюдалась высокая концентрация притока из ограниченного числа крупных инвесторов, то к 2024 году структура стала более диверсифицированной, при этом ключевыми источниками выступили офшорные и финансовые центры Европейского Союза, такие как Кипр и Люксембург. Одновременно отрицательные показатели по ряду традиционных партнеров (Нидерланды, Франция, Италия) указывают на сокращение их инвестиционного присутствия в Казахстане. В целом полученный результат свидетельствует о том, что инвестиционные связи Казахстана с Европейским Союзом характеризуются высокой изменчивостью и зависят как от макроэкономических условий, так и от стратегий транснациональных компаний по перераспределению капиталов.</w:t>
      </w:r>
    </w:p>
    <w:p w14:paraId="0BC09670" w14:textId="42322B16" w:rsidR="00FC5A0E" w:rsidRPr="003A6E5A" w:rsidRDefault="00FC5A0E" w:rsidP="005F20E2">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В 2014 году структура оттока характеризовалась высокой концентрацией на отдельных направлениях, прежде всего на Нидерландах (2482,5 млн долларов США) и Люксембурге (165,2 млн долларов США), что указывает на доминирующую роль указанных стран как ключевых финансовых и транзитных центров (см. график 3). Значительные объемы были также направлены в Германию (37,6 млн долларов США), тогда как инвестиции в другие страны Европейского Союза носили эпизодический и ограниченный характер. Особенностью 2014 года выступает также крупное отрицательное значение по Ирландии (-606,7 млн долларов США), что может свидетельствовать о возврате ранее размещённого капитала. К 2024 году структура оттока претерпела существенные изменения (см. график 3б). Если в 2014 году Нидерланды </w:t>
      </w:r>
      <w:r w:rsidRPr="003A6E5A">
        <w:rPr>
          <w:rFonts w:ascii="Times New Roman" w:hAnsi="Times New Roman" w:cs="Times New Roman"/>
          <w:sz w:val="28"/>
          <w:szCs w:val="28"/>
        </w:rPr>
        <w:lastRenderedPageBreak/>
        <w:t>являлись основным направлением инвестиций, то в 2024 году фиксируется отрицательное сальдо (-971,8 млн долларов США).</w:t>
      </w:r>
    </w:p>
    <w:p w14:paraId="765800C1" w14:textId="77777777" w:rsidR="00FC5A0E" w:rsidRPr="003A6E5A" w:rsidRDefault="00FC5A0E" w:rsidP="00FC5A0E">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4"/>
        <w:gridCol w:w="4978"/>
      </w:tblGrid>
      <w:tr w:rsidR="00B02CF8" w:rsidRPr="003A6E5A" w14:paraId="2C354002" w14:textId="77777777" w:rsidTr="00C17FA8">
        <w:tc>
          <w:tcPr>
            <w:tcW w:w="4614" w:type="dxa"/>
          </w:tcPr>
          <w:p w14:paraId="2921E38D" w14:textId="77777777" w:rsidR="00FC5A0E" w:rsidRPr="003A6E5A" w:rsidRDefault="00FC5A0E" w:rsidP="00C17FA8">
            <w:pPr>
              <w:spacing w:after="0" w:line="240" w:lineRule="auto"/>
              <w:jc w:val="center"/>
              <w:rPr>
                <w:rFonts w:ascii="Times New Roman" w:hAnsi="Times New Roman" w:cs="Times New Roman"/>
                <w:sz w:val="28"/>
                <w:szCs w:val="28"/>
              </w:rPr>
            </w:pPr>
            <w:r w:rsidRPr="003A6E5A">
              <w:rPr>
                <w:rFonts w:ascii="Times New Roman" w:hAnsi="Times New Roman" w:cs="Times New Roman"/>
                <w:noProof/>
                <w:sz w:val="28"/>
                <w:szCs w:val="28"/>
              </w:rPr>
              <w:drawing>
                <wp:inline distT="0" distB="0" distL="0" distR="0" wp14:anchorId="77E56273" wp14:editId="35FEC918">
                  <wp:extent cx="2594094" cy="2379345"/>
                  <wp:effectExtent l="0" t="0" r="0" b="1905"/>
                  <wp:docPr id="18399518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644" b="13517"/>
                          <a:stretch>
                            <a:fillRect/>
                          </a:stretch>
                        </pic:blipFill>
                        <pic:spPr bwMode="auto">
                          <a:xfrm>
                            <a:off x="0" y="0"/>
                            <a:ext cx="2611479" cy="2395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78" w:type="dxa"/>
          </w:tcPr>
          <w:p w14:paraId="14236062" w14:textId="77777777" w:rsidR="00FC5A0E" w:rsidRPr="003A6E5A" w:rsidRDefault="00FC5A0E" w:rsidP="00C17FA8">
            <w:pPr>
              <w:spacing w:after="0" w:line="240" w:lineRule="auto"/>
              <w:jc w:val="center"/>
              <w:rPr>
                <w:rFonts w:ascii="Times New Roman" w:hAnsi="Times New Roman" w:cs="Times New Roman"/>
                <w:sz w:val="28"/>
                <w:szCs w:val="28"/>
                <w:lang w:val="en-US"/>
              </w:rPr>
            </w:pPr>
            <w:r w:rsidRPr="003A6E5A">
              <w:rPr>
                <w:rFonts w:ascii="Times New Roman" w:hAnsi="Times New Roman" w:cs="Times New Roman"/>
                <w:noProof/>
                <w:sz w:val="28"/>
                <w:szCs w:val="28"/>
                <w:lang w:val="en-US"/>
              </w:rPr>
              <w:drawing>
                <wp:inline distT="0" distB="0" distL="0" distR="0" wp14:anchorId="0A75662E" wp14:editId="54DD98A0">
                  <wp:extent cx="2839842" cy="2379785"/>
                  <wp:effectExtent l="0" t="0" r="0" b="1905"/>
                  <wp:docPr id="6418888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65" b="13204"/>
                          <a:stretch>
                            <a:fillRect/>
                          </a:stretch>
                        </pic:blipFill>
                        <pic:spPr bwMode="auto">
                          <a:xfrm>
                            <a:off x="0" y="0"/>
                            <a:ext cx="2888123" cy="2420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5A0E" w:rsidRPr="003A6E5A" w14:paraId="01E252AE" w14:textId="77777777" w:rsidTr="00C17FA8">
        <w:tc>
          <w:tcPr>
            <w:tcW w:w="4614" w:type="dxa"/>
          </w:tcPr>
          <w:p w14:paraId="11E54D3E" w14:textId="77777777" w:rsidR="00FC5A0E" w:rsidRPr="003A6E5A" w:rsidRDefault="00FC5A0E" w:rsidP="00C17FA8">
            <w:pPr>
              <w:spacing w:after="0" w:line="240" w:lineRule="auto"/>
              <w:jc w:val="center"/>
              <w:rPr>
                <w:rFonts w:ascii="Times New Roman" w:hAnsi="Times New Roman" w:cs="Times New Roman"/>
                <w:sz w:val="28"/>
                <w:szCs w:val="28"/>
                <w:lang w:val="kk-KZ"/>
              </w:rPr>
            </w:pPr>
            <w:r w:rsidRPr="003A6E5A">
              <w:rPr>
                <w:rFonts w:ascii="Times New Roman" w:hAnsi="Times New Roman" w:cs="Times New Roman"/>
                <w:sz w:val="28"/>
                <w:szCs w:val="28"/>
                <w:lang w:val="en-US"/>
              </w:rPr>
              <w:t xml:space="preserve">(a) 2014 </w:t>
            </w:r>
            <w:r w:rsidRPr="003A6E5A">
              <w:rPr>
                <w:rFonts w:ascii="Times New Roman" w:hAnsi="Times New Roman" w:cs="Times New Roman"/>
                <w:sz w:val="28"/>
                <w:szCs w:val="28"/>
                <w:lang w:val="kk-KZ"/>
              </w:rPr>
              <w:t>год</w:t>
            </w:r>
          </w:p>
        </w:tc>
        <w:tc>
          <w:tcPr>
            <w:tcW w:w="4978" w:type="dxa"/>
          </w:tcPr>
          <w:p w14:paraId="24D10610" w14:textId="77777777" w:rsidR="00FC5A0E" w:rsidRPr="003A6E5A" w:rsidRDefault="00FC5A0E" w:rsidP="00C17FA8">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 xml:space="preserve">(б) </w:t>
            </w:r>
            <w:r w:rsidRPr="003A6E5A">
              <w:rPr>
                <w:rFonts w:ascii="Times New Roman" w:hAnsi="Times New Roman" w:cs="Times New Roman"/>
                <w:sz w:val="28"/>
                <w:szCs w:val="28"/>
                <w:lang w:val="en-US"/>
              </w:rPr>
              <w:t>202</w:t>
            </w:r>
            <w:r w:rsidRPr="003A6E5A">
              <w:rPr>
                <w:rFonts w:ascii="Times New Roman" w:hAnsi="Times New Roman" w:cs="Times New Roman"/>
                <w:sz w:val="28"/>
                <w:szCs w:val="28"/>
              </w:rPr>
              <w:t>4 год</w:t>
            </w:r>
          </w:p>
        </w:tc>
      </w:tr>
    </w:tbl>
    <w:p w14:paraId="628A9FE5" w14:textId="77777777" w:rsidR="00FC5A0E" w:rsidRPr="003A6E5A" w:rsidRDefault="00FC5A0E" w:rsidP="00FC5A0E">
      <w:pPr>
        <w:spacing w:after="0" w:line="240" w:lineRule="auto"/>
        <w:jc w:val="both"/>
        <w:rPr>
          <w:rFonts w:ascii="Times New Roman" w:hAnsi="Times New Roman" w:cs="Times New Roman"/>
          <w:sz w:val="28"/>
          <w:szCs w:val="28"/>
          <w:lang w:val="en-US"/>
        </w:rPr>
      </w:pPr>
    </w:p>
    <w:p w14:paraId="7B25075B" w14:textId="77777777" w:rsidR="00FC5A0E" w:rsidRPr="003A6E5A" w:rsidRDefault="00FC5A0E" w:rsidP="00FC5A0E">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lang w:val="kk-KZ"/>
        </w:rPr>
        <w:t xml:space="preserve">График </w:t>
      </w:r>
      <w:r w:rsidRPr="003A6E5A">
        <w:rPr>
          <w:rFonts w:ascii="Times New Roman" w:hAnsi="Times New Roman" w:cs="Times New Roman"/>
          <w:sz w:val="28"/>
          <w:szCs w:val="28"/>
        </w:rPr>
        <w:t>3</w:t>
      </w:r>
      <w:r w:rsidRPr="003A6E5A">
        <w:rPr>
          <w:rFonts w:ascii="Times New Roman" w:hAnsi="Times New Roman" w:cs="Times New Roman"/>
          <w:sz w:val="28"/>
          <w:szCs w:val="28"/>
          <w:lang w:val="kk-KZ"/>
        </w:rPr>
        <w:t>. Чистый отток ПИИ из Республики Казахстан по странам Европейского Союза</w:t>
      </w:r>
      <w:r w:rsidRPr="003A6E5A">
        <w:rPr>
          <w:rFonts w:ascii="Times New Roman" w:hAnsi="Times New Roman" w:cs="Times New Roman"/>
          <w:sz w:val="28"/>
          <w:szCs w:val="28"/>
        </w:rPr>
        <w:t>, млн долларов США</w:t>
      </w:r>
    </w:p>
    <w:p w14:paraId="569825DE"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w:t>
      </w:r>
      <w:r w:rsidRPr="003A6E5A">
        <w:rPr>
          <w:rFonts w:ascii="Times New Roman" w:hAnsi="Times New Roman" w:cs="Times New Roman"/>
          <w:sz w:val="20"/>
          <w:szCs w:val="20"/>
        </w:rPr>
        <w:t>: пересчитано в ценах 2014 года</w:t>
      </w:r>
    </w:p>
    <w:p w14:paraId="25F1A093"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составлена автором исследования по</w:t>
      </w:r>
      <w:r w:rsidRPr="003A6E5A">
        <w:rPr>
          <w:rFonts w:ascii="Times New Roman" w:hAnsi="Times New Roman" w:cs="Times New Roman"/>
          <w:sz w:val="20"/>
          <w:szCs w:val="20"/>
        </w:rPr>
        <w:t xml:space="preserve"> данным НБ РК</w:t>
      </w:r>
    </w:p>
    <w:p w14:paraId="41A9E299" w14:textId="77777777" w:rsidR="00FC5A0E" w:rsidRPr="003A6E5A" w:rsidRDefault="00FC5A0E" w:rsidP="00FC5A0E">
      <w:pPr>
        <w:spacing w:after="0" w:line="240" w:lineRule="auto"/>
        <w:jc w:val="both"/>
        <w:rPr>
          <w:rFonts w:ascii="Times New Roman" w:hAnsi="Times New Roman" w:cs="Times New Roman"/>
          <w:sz w:val="20"/>
          <w:szCs w:val="20"/>
          <w:lang w:val="kk-KZ"/>
        </w:rPr>
      </w:pPr>
    </w:p>
    <w:p w14:paraId="2D66CE17" w14:textId="77777777" w:rsidR="00FC5A0E" w:rsidRPr="003A6E5A" w:rsidRDefault="00FC5A0E" w:rsidP="00FC5A0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Одновременно усилилась роль Кипра (111,1 млн долларов США) и Германии (10,6 млн долларов США) как стран назначения, а также возросли инвестиции в ряд новых направлений, включая Польшу (11,2 млн долларов США), Литву (8,7 млн долларов США), Финляндию (12 млн долларов США) и Францию (7,3 млн долларов США). Примечательно, что отток в Люксембург в 2024 году сократился почти до нуля (2,8 млн долларов США), что подтверждает снижение его значимости по сравнению с предыдущим десятилетием. Таким образом, в течение исследуемого периода наблюдается трансформация структуры инвестиционных потоков: первоначальная концентрация в офшорных и финансовых центрах Европейского Союза сменилась более диверсифицированным распределением по ряду стран. Отрицательные значения по Нидерландам и Италии в 2024 году свидетельствуют о сокращении активности казахстанских инвесторов в этих юрисдикциях, тогда как положительная динамика по Кипру, Польше и Финляндии указывает на расширение географии вложений. В совокупности такой результат позволяет заключить, что инвестиционная стратегия Республики Казахстан в отношении стран Европейского Союза постепенно эволюционирует от узкой ориентации на отдельные финансовые центры к более разнообразной модели распределения капитала, что отражает как изменения во внешнеэкономических условиях, так и адаптацию отечественных инвесторов к новым возможностям европейского рынка.</w:t>
      </w:r>
    </w:p>
    <w:p w14:paraId="5BFD1F45" w14:textId="4FE36A26" w:rsidR="00FC5A0E" w:rsidRPr="003A6E5A" w:rsidRDefault="00FC5A0E" w:rsidP="00FC5A0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lang w:val="kk-KZ"/>
        </w:rPr>
        <w:t xml:space="preserve">Отметим еще раз, что изменение в притоке ПИИ в страну свидетельствует о падении её интереса к сотрудничеству с Казахстаном. Данная тенденция по мнению Балега, может быть связана с увеличением интереса инвесторов из </w:t>
      </w:r>
      <w:r w:rsidRPr="003A6E5A">
        <w:rPr>
          <w:rFonts w:ascii="Times New Roman" w:hAnsi="Times New Roman" w:cs="Times New Roman"/>
          <w:sz w:val="28"/>
          <w:szCs w:val="28"/>
          <w:lang w:val="kk-KZ"/>
        </w:rPr>
        <w:lastRenderedPageBreak/>
        <w:t>Европейского Союза к соседним регионам, как, например, Узбекистан и Туркменистан</w:t>
      </w:r>
      <w:r w:rsidRPr="003A6E5A">
        <w:rPr>
          <w:rFonts w:ascii="Times New Roman" w:hAnsi="Times New Roman" w:cs="Times New Roman"/>
          <w:sz w:val="28"/>
          <w:szCs w:val="28"/>
        </w:rPr>
        <w:t xml:space="preserve"> [2</w:t>
      </w:r>
      <w:r w:rsidR="00FD6B6F" w:rsidRPr="003A6E5A">
        <w:rPr>
          <w:rFonts w:ascii="Times New Roman" w:hAnsi="Times New Roman" w:cs="Times New Roman"/>
          <w:sz w:val="28"/>
          <w:szCs w:val="28"/>
        </w:rPr>
        <w:t>7</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 Додонов считает, что рост и снижение притока ПИИ, особенно из европейских стран, объясняются сырьевой ориентацией казахстанской экономики, где значительная доля инвестиций направляется в геологоразведку и горнодобывающую промышленность, что в свою очередь связано с колебаниями мировых цен на нефть и металлы</w:t>
      </w:r>
      <w:r w:rsidRPr="003A6E5A">
        <w:rPr>
          <w:rFonts w:ascii="Times New Roman" w:hAnsi="Times New Roman" w:cs="Times New Roman"/>
          <w:sz w:val="28"/>
          <w:szCs w:val="28"/>
        </w:rPr>
        <w:t xml:space="preserve"> [2</w:t>
      </w:r>
      <w:r w:rsidR="00914E40" w:rsidRPr="003A6E5A">
        <w:rPr>
          <w:rFonts w:ascii="Times New Roman" w:hAnsi="Times New Roman" w:cs="Times New Roman"/>
          <w:sz w:val="28"/>
          <w:szCs w:val="28"/>
        </w:rPr>
        <w:t>8</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 xml:space="preserve">. Так, согласно данным Международной инвестиционной позиции Казахстана по состоянию на конец 2022 года, объем капитала казахстанских предприятий, приходящийся на долю иностранных прямых инвесторов, составил $169,2 млрд, из которых 77% ($129,6 млрд) приходится на горнодобывающую промышленность, в том числе 71% ($120,7 млрд) – на добычу сырой нефти и природного газа </w:t>
      </w:r>
      <w:r w:rsidRPr="003A6E5A">
        <w:rPr>
          <w:rFonts w:ascii="Times New Roman" w:hAnsi="Times New Roman" w:cs="Times New Roman"/>
          <w:sz w:val="28"/>
          <w:szCs w:val="28"/>
        </w:rPr>
        <w:t>[1</w:t>
      </w:r>
      <w:r w:rsidR="001C3BE7" w:rsidRPr="003A6E5A">
        <w:rPr>
          <w:rFonts w:ascii="Times New Roman" w:hAnsi="Times New Roman" w:cs="Times New Roman"/>
          <w:sz w:val="28"/>
          <w:szCs w:val="28"/>
        </w:rPr>
        <w:t>3</w:t>
      </w:r>
      <w:r w:rsidR="00C96643" w:rsidRPr="003A6E5A">
        <w:rPr>
          <w:rFonts w:ascii="Times New Roman" w:hAnsi="Times New Roman" w:cs="Times New Roman"/>
          <w:sz w:val="28"/>
          <w:szCs w:val="28"/>
        </w:rPr>
        <w:t>6</w:t>
      </w:r>
      <w:r w:rsidRPr="003A6E5A">
        <w:rPr>
          <w:rFonts w:ascii="Times New Roman" w:hAnsi="Times New Roman" w:cs="Times New Roman"/>
          <w:sz w:val="28"/>
          <w:szCs w:val="28"/>
        </w:rPr>
        <w:t>]</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Например, у</w:t>
      </w:r>
      <w:r w:rsidRPr="003A6E5A">
        <w:rPr>
          <w:rFonts w:ascii="Times New Roman" w:hAnsi="Times New Roman" w:cs="Times New Roman"/>
          <w:sz w:val="28"/>
          <w:szCs w:val="28"/>
        </w:rPr>
        <w:t xml:space="preserve"> инвестиций из Нидерландов на геологоразведку и горнодобывающую промышленность приходится около 83%, у французских – около 93%</w:t>
      </w:r>
      <w:r w:rsidRPr="003A6E5A">
        <w:rPr>
          <w:rFonts w:ascii="Times New Roman" w:hAnsi="Times New Roman" w:cs="Times New Roman"/>
          <w:sz w:val="28"/>
          <w:szCs w:val="28"/>
          <w:lang w:val="kk-KZ"/>
        </w:rPr>
        <w:t>.</w:t>
      </w:r>
    </w:p>
    <w:p w14:paraId="18A58EE2" w14:textId="1C57AE0F"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С целью объективного и комплексного анализа инвестиционного участия ЕС в экономике РК, нами было проведено сопоставительное исследование, охватывающее данные о валовом притоке прямых иностранных инвестиций из стран ЕС за период 2014-2024 гг., а также о доходах, выплаченных казахстанскими предприятиями иностранным инвесторам за тот же период. </w:t>
      </w:r>
    </w:p>
    <w:p w14:paraId="758D2121" w14:textId="77777777" w:rsidR="00C52928" w:rsidRPr="003A6E5A" w:rsidRDefault="00C52928" w:rsidP="00C52928">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Данный подход позволил не только оценить масштаб вовлеченности стран-доноров, но и определить относительную эффективность поступивших инвестиций через показатель доходности. Анализ представленных данных на графике 4 подтверждает ключевую особенность инвестиционного взаимодействия Республики Казахстан со странами Европейского Союза - выраженную концентрацию потоков капитала. Валовый приток ПИИ в национальную экономику распределен крайне неравномерно: наибольшая доля инвестиций поступила из Нидерландов (69,8 млрд долларов США), Бельгии (10,6 млрд долларов США) и Франции (9,3 млрд долларов США). Существенными, хотя и значительно меньшими, остаются объемы инвестиций из Германии (4,2 млрд долларов США), Кипра (3,2 млрд долларов США), Италии (2,4 млрд долларов США) и Люксембурга (3,0 млрд долларов США). Вклад же большинства других государств Европейского Союза остается ограниченным, что подтверждает высокую зависимость Казахстана от узкой группы ключевых инвесторов.</w:t>
      </w:r>
    </w:p>
    <w:p w14:paraId="423CE6CC" w14:textId="77777777" w:rsidR="00C52928" w:rsidRPr="003A6E5A" w:rsidRDefault="00C52928" w:rsidP="00C52928">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Эта концентрация еще более наглядно проявляется при анализе доходов, выплачиваемых иностранным инвесторам, которые демонстрируют схожую структуру распределения. Наибольшие выплаты приходятся на тех же ключевых партнеров: Нидерланды (67,5 млрд долларов США), Францию (7,9 млрд долларов США), Италию (2,7 млрд долларов США), Кипр (3,6 млрд долларов США) и Люксембург (3,3 млрд долларов США). Таким образом, прослеживается системная концентрация как инвестиционных позиций, так и доходов в руках ограниченного числа стран.</w:t>
      </w:r>
    </w:p>
    <w:p w14:paraId="22672E66" w14:textId="77777777" w:rsidR="00FC5A0E" w:rsidRPr="003A6E5A" w:rsidRDefault="00FC5A0E" w:rsidP="00FC5A0E">
      <w:pPr>
        <w:spacing w:after="0" w:line="240" w:lineRule="auto"/>
        <w:jc w:val="both"/>
        <w:rPr>
          <w:rFonts w:ascii="Times New Roman" w:eastAsia="Times New Roman" w:hAnsi="Times New Roman" w:cs="Times New Roman"/>
          <w:sz w:val="28"/>
          <w:szCs w:val="28"/>
          <w:lang w:eastAsia="ru-RU"/>
        </w:rPr>
      </w:pPr>
    </w:p>
    <w:p w14:paraId="6B6BBEAB" w14:textId="77777777" w:rsidR="00FC5A0E" w:rsidRPr="003A6E5A" w:rsidRDefault="00FC5A0E" w:rsidP="00FC5A0E">
      <w:pPr>
        <w:spacing w:after="0" w:line="240" w:lineRule="auto"/>
        <w:jc w:val="center"/>
        <w:rPr>
          <w:rFonts w:ascii="Times New Roman" w:eastAsia="Times New Roman" w:hAnsi="Times New Roman" w:cs="Times New Roman"/>
          <w:sz w:val="28"/>
          <w:szCs w:val="28"/>
          <w:lang w:eastAsia="ru-RU"/>
        </w:rPr>
      </w:pPr>
      <w:r w:rsidRPr="003A6E5A">
        <w:rPr>
          <w:rFonts w:ascii="Times New Roman" w:eastAsia="Times New Roman" w:hAnsi="Times New Roman" w:cs="Times New Roman"/>
          <w:noProof/>
          <w:sz w:val="28"/>
          <w:szCs w:val="28"/>
          <w:lang w:eastAsia="ru-RU"/>
        </w:rPr>
        <w:lastRenderedPageBreak/>
        <w:drawing>
          <wp:inline distT="0" distB="0" distL="0" distR="0" wp14:anchorId="54350884" wp14:editId="055BAA25">
            <wp:extent cx="5980430" cy="4399984"/>
            <wp:effectExtent l="0" t="0" r="1270" b="0"/>
            <wp:docPr id="1863409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9199" cy="4421150"/>
                    </a:xfrm>
                    <a:prstGeom prst="rect">
                      <a:avLst/>
                    </a:prstGeom>
                    <a:noFill/>
                  </pic:spPr>
                </pic:pic>
              </a:graphicData>
            </a:graphic>
          </wp:inline>
        </w:drawing>
      </w:r>
    </w:p>
    <w:p w14:paraId="1F7E8821" w14:textId="77777777" w:rsidR="00FC5A0E" w:rsidRPr="003A6E5A" w:rsidRDefault="00FC5A0E" w:rsidP="00FC5A0E">
      <w:pPr>
        <w:spacing w:after="0" w:line="240" w:lineRule="auto"/>
        <w:jc w:val="center"/>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График 4. Структура притока ПИИ, доходов к выплате и коэффициента покрытия выплат новыми ПИИ по странам Европейского Союза</w:t>
      </w:r>
    </w:p>
    <w:p w14:paraId="543923F1"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w:t>
      </w:r>
      <w:r w:rsidRPr="003A6E5A">
        <w:rPr>
          <w:rFonts w:ascii="Times New Roman" w:hAnsi="Times New Roman" w:cs="Times New Roman"/>
          <w:sz w:val="20"/>
          <w:szCs w:val="20"/>
        </w:rPr>
        <w:t>: пересчитано в ценах 2014 года</w:t>
      </w:r>
    </w:p>
    <w:p w14:paraId="2F24B91B"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составлена автором исследования по</w:t>
      </w:r>
      <w:r w:rsidRPr="003A6E5A">
        <w:rPr>
          <w:rFonts w:ascii="Times New Roman" w:hAnsi="Times New Roman" w:cs="Times New Roman"/>
          <w:sz w:val="20"/>
          <w:szCs w:val="20"/>
        </w:rPr>
        <w:t xml:space="preserve"> данным НБ РК</w:t>
      </w:r>
    </w:p>
    <w:p w14:paraId="369F012A" w14:textId="77777777" w:rsidR="006D404B" w:rsidRPr="003A6E5A" w:rsidRDefault="006D404B" w:rsidP="005F20E2">
      <w:pPr>
        <w:spacing w:after="0" w:line="240" w:lineRule="auto"/>
        <w:ind w:firstLine="709"/>
        <w:jc w:val="both"/>
        <w:rPr>
          <w:rFonts w:ascii="Times New Roman" w:eastAsia="Times New Roman" w:hAnsi="Times New Roman" w:cs="Times New Roman"/>
          <w:sz w:val="28"/>
          <w:szCs w:val="28"/>
          <w:lang w:eastAsia="ru-RU"/>
        </w:rPr>
      </w:pPr>
    </w:p>
    <w:p w14:paraId="68360475" w14:textId="4142B177" w:rsidR="005F20E2" w:rsidRPr="003A6E5A" w:rsidRDefault="00FC5A0E" w:rsidP="005F20E2">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Для более глубокого понимания инвестиционной динамики существенное значение имеет рассчитанный показатель покрытия выплат новыми ПИИ, который выявляет значительные межстрановые различия. В ряде государств он превышает 100%, что фиксирует превышение объемов новых вложений над выплаченными доходами (Ирландия - 117,2%, Италия - 115,9%, Кипр - 112,4%, Люксембург - 111,3%, Чехия - 129,9%). Вместе с тем наблюдаются отрицательные значения (Австрия - -34%, Литва - -16,1%, Польша - -5,9%, Румыния - -14,8%), что указывает на доминирование репатриации доходов над поступлением новых капиталов. Для крупнейших партнёров показатель находится в пределах 80</w:t>
      </w:r>
      <w:r w:rsidR="007A55C7"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100% (Нидерланды - 96,7%, Франция - 84,9%), что демонстрирует относительный баланс между инвестиционными потоками и выплатами.</w:t>
      </w:r>
    </w:p>
    <w:p w14:paraId="1EA4A62D" w14:textId="6B4DD3BF" w:rsidR="00FC5A0E" w:rsidRPr="003A6E5A" w:rsidRDefault="001E3632" w:rsidP="005F20E2">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 xml:space="preserve">Для более точной характеристики выявленных инвестиционных моделей и определения стратегических приоритетов была проведена кластеризация стран Европейского союза в зависимости от объема ПИИ и уровня их покрытия. Применение данного подхода позволило сгруппировать государства в четыре кластера, что обеспечило систематизацию различных типов инвестиционного поведения и более глубокое понимание структурных различий между ними. Как отмечает А.Р. Акопян, кластеризация экономик отдельных стран ЕС </w:t>
      </w:r>
      <w:r w:rsidRPr="003A6E5A">
        <w:rPr>
          <w:rFonts w:ascii="Times New Roman" w:eastAsia="Times New Roman" w:hAnsi="Times New Roman" w:cs="Times New Roman"/>
          <w:sz w:val="28"/>
          <w:szCs w:val="28"/>
          <w:lang w:val="kk-KZ" w:eastAsia="ru-RU"/>
        </w:rPr>
        <w:lastRenderedPageBreak/>
        <w:t>представляет собой эффективный инструмент выявления внутренних закономерностей и формирования типологических групп на основе сходных параметров развития, что делает данный метод релевантным при анализе интеграционных и инвестиционных процессов</w:t>
      </w:r>
      <w:r w:rsidR="005F20E2" w:rsidRPr="003A6E5A">
        <w:rPr>
          <w:rFonts w:ascii="Times New Roman" w:eastAsia="Times New Roman" w:hAnsi="Times New Roman" w:cs="Times New Roman"/>
          <w:sz w:val="28"/>
          <w:szCs w:val="28"/>
          <w:lang w:eastAsia="ru-RU"/>
        </w:rPr>
        <w:t xml:space="preserve"> [1</w:t>
      </w:r>
      <w:r w:rsidR="001C3BE7" w:rsidRPr="003A6E5A">
        <w:rPr>
          <w:rFonts w:ascii="Times New Roman" w:eastAsia="Times New Roman" w:hAnsi="Times New Roman" w:cs="Times New Roman"/>
          <w:sz w:val="28"/>
          <w:szCs w:val="28"/>
          <w:lang w:eastAsia="ru-RU"/>
        </w:rPr>
        <w:t>3</w:t>
      </w:r>
      <w:r w:rsidR="00C96643" w:rsidRPr="003A6E5A">
        <w:rPr>
          <w:rFonts w:ascii="Times New Roman" w:eastAsia="Times New Roman" w:hAnsi="Times New Roman" w:cs="Times New Roman"/>
          <w:sz w:val="28"/>
          <w:szCs w:val="28"/>
          <w:lang w:eastAsia="ru-RU"/>
        </w:rPr>
        <w:t>7</w:t>
      </w:r>
      <w:r w:rsidR="005F20E2"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 xml:space="preserve">. Эмпирическую обоснованность использования кластерного анализа подтверждают также исследования Е.Н. Летягиной и </w:t>
      </w:r>
      <w:r w:rsidR="001C3BE7" w:rsidRPr="003A6E5A">
        <w:rPr>
          <w:rFonts w:ascii="Times New Roman" w:eastAsia="Times New Roman" w:hAnsi="Times New Roman" w:cs="Times New Roman"/>
          <w:sz w:val="28"/>
          <w:szCs w:val="28"/>
          <w:lang w:eastAsia="ru-RU"/>
        </w:rPr>
        <w:t>Д</w:t>
      </w:r>
      <w:r w:rsidRPr="003A6E5A">
        <w:rPr>
          <w:rFonts w:ascii="Times New Roman" w:eastAsia="Times New Roman" w:hAnsi="Times New Roman" w:cs="Times New Roman"/>
          <w:sz w:val="28"/>
          <w:szCs w:val="28"/>
          <w:lang w:val="kk-KZ" w:eastAsia="ru-RU"/>
        </w:rPr>
        <w:t xml:space="preserve">.Н. </w:t>
      </w:r>
      <w:r w:rsidR="001C3BE7" w:rsidRPr="003A6E5A">
        <w:rPr>
          <w:rFonts w:ascii="Times New Roman" w:eastAsia="Times New Roman" w:hAnsi="Times New Roman" w:cs="Times New Roman"/>
          <w:sz w:val="28"/>
          <w:szCs w:val="28"/>
          <w:lang w:val="kk-KZ" w:eastAsia="ru-RU"/>
        </w:rPr>
        <w:t>Малова</w:t>
      </w:r>
      <w:r w:rsidRPr="003A6E5A">
        <w:rPr>
          <w:rFonts w:ascii="Times New Roman" w:eastAsia="Times New Roman" w:hAnsi="Times New Roman" w:cs="Times New Roman"/>
          <w:sz w:val="28"/>
          <w:szCs w:val="28"/>
          <w:lang w:val="kk-KZ" w:eastAsia="ru-RU"/>
        </w:rPr>
        <w:t xml:space="preserve">, разработавших нейросетевую модель кластеризации для оценки инвестиционной привлекательности предприятий и мезоэкономических систем, показав, что данный подход позволяет выявлять скрытые взаимосвязи между объемами инвестиций, доходностью и рисками </w:t>
      </w:r>
      <w:r w:rsidR="005F20E2" w:rsidRPr="003A6E5A">
        <w:rPr>
          <w:rFonts w:ascii="Times New Roman" w:eastAsia="Times New Roman" w:hAnsi="Times New Roman" w:cs="Times New Roman"/>
          <w:sz w:val="28"/>
          <w:szCs w:val="28"/>
          <w:lang w:eastAsia="ru-RU"/>
        </w:rPr>
        <w:t>[1</w:t>
      </w:r>
      <w:r w:rsidR="001C3BE7" w:rsidRPr="003A6E5A">
        <w:rPr>
          <w:rFonts w:ascii="Times New Roman" w:eastAsia="Times New Roman" w:hAnsi="Times New Roman" w:cs="Times New Roman"/>
          <w:sz w:val="28"/>
          <w:szCs w:val="28"/>
          <w:lang w:eastAsia="ru-RU"/>
        </w:rPr>
        <w:t>3</w:t>
      </w:r>
      <w:r w:rsidR="00C96643" w:rsidRPr="003A6E5A">
        <w:rPr>
          <w:rFonts w:ascii="Times New Roman" w:eastAsia="Times New Roman" w:hAnsi="Times New Roman" w:cs="Times New Roman"/>
          <w:sz w:val="28"/>
          <w:szCs w:val="28"/>
          <w:lang w:eastAsia="ru-RU"/>
        </w:rPr>
        <w:t>8</w:t>
      </w:r>
      <w:r w:rsidR="005F20E2"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 xml:space="preserve">. Кроме того, на институциональном уровне кластерный подход широко применяется Европейским секретариатом по кластерному анализу </w:t>
      </w:r>
      <w:r w:rsidR="005F20E2" w:rsidRPr="003A6E5A">
        <w:rPr>
          <w:rFonts w:ascii="Times New Roman" w:eastAsia="Times New Roman" w:hAnsi="Times New Roman" w:cs="Times New Roman"/>
          <w:sz w:val="28"/>
          <w:szCs w:val="28"/>
          <w:lang w:eastAsia="ru-RU"/>
        </w:rPr>
        <w:t>[1</w:t>
      </w:r>
      <w:r w:rsidR="001C3BE7" w:rsidRPr="003A6E5A">
        <w:rPr>
          <w:rFonts w:ascii="Times New Roman" w:eastAsia="Times New Roman" w:hAnsi="Times New Roman" w:cs="Times New Roman"/>
          <w:sz w:val="28"/>
          <w:szCs w:val="28"/>
          <w:lang w:eastAsia="ru-RU"/>
        </w:rPr>
        <w:t>3</w:t>
      </w:r>
      <w:r w:rsidR="00C96643" w:rsidRPr="003A6E5A">
        <w:rPr>
          <w:rFonts w:ascii="Times New Roman" w:eastAsia="Times New Roman" w:hAnsi="Times New Roman" w:cs="Times New Roman"/>
          <w:sz w:val="28"/>
          <w:szCs w:val="28"/>
          <w:lang w:eastAsia="ru-RU"/>
        </w:rPr>
        <w:t>9</w:t>
      </w:r>
      <w:r w:rsidR="005F20E2"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 xml:space="preserve">, что свидетельствует о его признании на уровне общеевропейской инвестиционной политики. Подробные критерии классификации, перечень стран, показатели покрытия и объема, а также интерпретации инвестиционного поведения представлены в таблице </w:t>
      </w:r>
      <w:r w:rsidR="00566B59" w:rsidRPr="003A6E5A">
        <w:rPr>
          <w:rFonts w:ascii="Times New Roman" w:eastAsia="Times New Roman" w:hAnsi="Times New Roman" w:cs="Times New Roman"/>
          <w:sz w:val="28"/>
          <w:szCs w:val="28"/>
          <w:lang w:val="kk-KZ" w:eastAsia="ru-RU"/>
        </w:rPr>
        <w:t>1</w:t>
      </w:r>
      <w:r w:rsidR="00DA42F3" w:rsidRPr="003A6E5A">
        <w:rPr>
          <w:rFonts w:ascii="Times New Roman" w:eastAsia="Times New Roman" w:hAnsi="Times New Roman" w:cs="Times New Roman"/>
          <w:sz w:val="28"/>
          <w:szCs w:val="28"/>
          <w:lang w:val="kk-KZ" w:eastAsia="ru-RU"/>
        </w:rPr>
        <w:t>8</w:t>
      </w:r>
      <w:r w:rsidRPr="003A6E5A">
        <w:rPr>
          <w:rFonts w:ascii="Times New Roman" w:eastAsia="Times New Roman" w:hAnsi="Times New Roman" w:cs="Times New Roman"/>
          <w:sz w:val="28"/>
          <w:szCs w:val="28"/>
          <w:lang w:val="kk-KZ" w:eastAsia="ru-RU"/>
        </w:rPr>
        <w:t>, отражающей следующий этап углубленного анализа инвестиционного сотрудничества между Казахстаном и Европейским союзом</w:t>
      </w:r>
      <w:r w:rsidR="009F3B14" w:rsidRPr="003A6E5A">
        <w:rPr>
          <w:rFonts w:ascii="Times New Roman" w:eastAsia="Times New Roman" w:hAnsi="Times New Roman" w:cs="Times New Roman"/>
          <w:sz w:val="28"/>
          <w:szCs w:val="28"/>
          <w:lang w:val="kk-KZ" w:eastAsia="ru-RU"/>
        </w:rPr>
        <w:t>.</w:t>
      </w:r>
    </w:p>
    <w:p w14:paraId="45295FF2" w14:textId="77777777" w:rsidR="00C52928" w:rsidRPr="003A6E5A" w:rsidRDefault="00C52928" w:rsidP="00C52928">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Кластер 1 охватывает страны, одновременно выступающие крупнейшими источниками прямых иностранных инвестиций и транзитными хабами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Нидерланды, Кипр, Люксембург, Францию и Италию. Совокупный объём поступивших ПИИ от этих государств превышает 3 млрд долларов США, при этом уровень доходности варьируется от 85,5% до 114,3%. Характерной чертой данного кластера является высокая репатриация прибыли: объёмы выплат инвесторам (дивиденды, проценты) существенно превышают масштабы реинвестируемого капитала. Основная часть ПИИ из указанных стран направляется в сырьевые отрасли экономики, преимущественно в топливно-энергетический комплекс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в частности, от таких компаний, как Royal Dutch Shell и Total, которые обеспечили приток ключевых технологий в казахстанскую энергетику [30].</w:t>
      </w:r>
    </w:p>
    <w:p w14:paraId="5F52A985" w14:textId="1B9756F0" w:rsidR="00C52928" w:rsidRPr="003A6E5A" w:rsidRDefault="00C52928" w:rsidP="00C52928">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Наиболее яркий пример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Нидерланды, которые сохраняют лидирующую позицию по объёму ПИИ: накопленный объём инвестиций составляет 71,6 млрд долларов США, при доходности на уровне 97,1%, что означает возврат 97 центов на каждый вложенный доллар. Доля реинвестиций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менее 3%. Значительная часть инвестиций из Нидерландов, а также Кипра и Люксембурга осуществляется через специальные проектные компании (</w:t>
      </w:r>
      <w:r w:rsidR="00235238" w:rsidRPr="003A6E5A">
        <w:rPr>
          <w:rFonts w:ascii="Times New Roman" w:eastAsia="Times New Roman" w:hAnsi="Times New Roman" w:cs="Times New Roman"/>
          <w:sz w:val="28"/>
          <w:szCs w:val="28"/>
          <w:lang w:eastAsia="ru-RU"/>
        </w:rPr>
        <w:t xml:space="preserve">далее – </w:t>
      </w:r>
      <w:r w:rsidRPr="003A6E5A">
        <w:rPr>
          <w:rFonts w:ascii="Times New Roman" w:eastAsia="Times New Roman" w:hAnsi="Times New Roman" w:cs="Times New Roman"/>
          <w:sz w:val="28"/>
          <w:szCs w:val="28"/>
          <w:lang w:val="kk-KZ" w:eastAsia="ru-RU"/>
        </w:rPr>
        <w:t>СПК</w:t>
      </w:r>
      <w:r w:rsidRPr="003A6E5A">
        <w:rPr>
          <w:rFonts w:ascii="Times New Roman" w:eastAsia="Times New Roman" w:hAnsi="Times New Roman" w:cs="Times New Roman"/>
          <w:sz w:val="28"/>
          <w:szCs w:val="28"/>
          <w:lang w:eastAsia="ru-RU"/>
        </w:rPr>
        <w:t xml:space="preserve">), что затрудняет точную оценку их реального экономического эффекта и повышает риски, связанные с непрозрачностью и возможным уклонением от налогообложения. По данным ОЭСР, более 80% ПИИ из Нидерландов реализуются через структуры </w:t>
      </w:r>
      <w:r w:rsidRPr="003A6E5A">
        <w:rPr>
          <w:rFonts w:ascii="Times New Roman" w:eastAsia="Times New Roman" w:hAnsi="Times New Roman" w:cs="Times New Roman"/>
          <w:sz w:val="28"/>
          <w:szCs w:val="28"/>
          <w:lang w:val="kk-KZ" w:eastAsia="ru-RU"/>
        </w:rPr>
        <w:t>СПК</w:t>
      </w:r>
      <w:r w:rsidRPr="003A6E5A">
        <w:rPr>
          <w:rFonts w:ascii="Times New Roman" w:eastAsia="Times New Roman" w:hAnsi="Times New Roman" w:cs="Times New Roman"/>
          <w:sz w:val="28"/>
          <w:szCs w:val="28"/>
          <w:lang w:eastAsia="ru-RU"/>
        </w:rPr>
        <w:t xml:space="preserve"> [30]. Данное обстоятельство также подчёркивается в исследованиях Арупова [31] и Кудряшовой [1</w:t>
      </w:r>
      <w:r w:rsidR="00C96643" w:rsidRPr="003A6E5A">
        <w:rPr>
          <w:rFonts w:ascii="Times New Roman" w:eastAsia="Times New Roman" w:hAnsi="Times New Roman" w:cs="Times New Roman"/>
          <w:sz w:val="28"/>
          <w:szCs w:val="28"/>
          <w:lang w:eastAsia="ru-RU"/>
        </w:rPr>
        <w:t>40</w:t>
      </w:r>
      <w:r w:rsidRPr="003A6E5A">
        <w:rPr>
          <w:rFonts w:ascii="Times New Roman" w:eastAsia="Times New Roman" w:hAnsi="Times New Roman" w:cs="Times New Roman"/>
          <w:sz w:val="28"/>
          <w:szCs w:val="28"/>
          <w:lang w:eastAsia="ru-RU"/>
        </w:rPr>
        <w:t xml:space="preserve">], где указывается, что часть инвестиций из Нидерландов имеет казахстанское происхождение и осуществляется через дочерние компании, зарегистрированные в офшорных юрисдикциях. Аналогичная специфика характерна и для Кипра и Люксембурга. Согласно данным Национального банка </w:t>
      </w:r>
      <w:r w:rsidRPr="003A6E5A">
        <w:rPr>
          <w:rFonts w:ascii="Times New Roman" w:eastAsia="Times New Roman" w:hAnsi="Times New Roman" w:cs="Times New Roman"/>
          <w:sz w:val="28"/>
          <w:szCs w:val="28"/>
          <w:lang w:eastAsia="ru-RU"/>
        </w:rPr>
        <w:lastRenderedPageBreak/>
        <w:t>Республики Казахстан более 77% ПИИ направляется в сырьевой сектор, что ограничивает эффект от иностранных вложений и препятствует диверсификации экономического роста [1</w:t>
      </w:r>
      <w:r w:rsidR="00C96643" w:rsidRPr="003A6E5A">
        <w:rPr>
          <w:rFonts w:ascii="Times New Roman" w:eastAsia="Times New Roman" w:hAnsi="Times New Roman" w:cs="Times New Roman"/>
          <w:sz w:val="28"/>
          <w:szCs w:val="28"/>
          <w:lang w:eastAsia="ru-RU"/>
        </w:rPr>
        <w:t>41</w:t>
      </w: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Следовательно</w:t>
      </w:r>
      <w:r w:rsidRPr="003A6E5A">
        <w:rPr>
          <w:rFonts w:ascii="Times New Roman" w:eastAsia="Times New Roman" w:hAnsi="Times New Roman" w:cs="Times New Roman"/>
          <w:sz w:val="28"/>
          <w:szCs w:val="28"/>
          <w:lang w:eastAsia="ru-RU"/>
        </w:rPr>
        <w:t xml:space="preserve">, для стран данного кластера необходимо углублённое структурное исследование, направленное на идентификацию реальных источников ПИИ, степени вовлечённости </w:t>
      </w:r>
      <w:r w:rsidRPr="003A6E5A">
        <w:rPr>
          <w:rFonts w:ascii="Times New Roman" w:eastAsia="Times New Roman" w:hAnsi="Times New Roman" w:cs="Times New Roman"/>
          <w:sz w:val="28"/>
          <w:szCs w:val="28"/>
          <w:lang w:val="kk-KZ" w:eastAsia="ru-RU"/>
        </w:rPr>
        <w:t>СПК</w:t>
      </w:r>
      <w:r w:rsidRPr="003A6E5A">
        <w:rPr>
          <w:rFonts w:ascii="Times New Roman" w:eastAsia="Times New Roman" w:hAnsi="Times New Roman" w:cs="Times New Roman"/>
          <w:sz w:val="28"/>
          <w:szCs w:val="28"/>
          <w:lang w:eastAsia="ru-RU"/>
        </w:rPr>
        <w:t xml:space="preserve"> и оценки фискальных и институциональных рисков, связанных с прозрачностью, происхождением капитала и устойчивостью инвестиционного потока</w:t>
      </w:r>
      <w:r w:rsidRPr="003A6E5A">
        <w:rPr>
          <w:rFonts w:ascii="Times New Roman" w:eastAsia="Times New Roman" w:hAnsi="Times New Roman" w:cs="Times New Roman"/>
          <w:sz w:val="28"/>
          <w:szCs w:val="28"/>
          <w:lang w:val="kk-KZ" w:eastAsia="ru-RU"/>
        </w:rPr>
        <w:t>.</w:t>
      </w:r>
    </w:p>
    <w:p w14:paraId="4CE52457" w14:textId="77777777" w:rsidR="001E3632" w:rsidRPr="003A6E5A" w:rsidRDefault="001E3632" w:rsidP="001E3632">
      <w:pPr>
        <w:spacing w:after="0" w:line="240" w:lineRule="auto"/>
        <w:jc w:val="both"/>
        <w:rPr>
          <w:rFonts w:ascii="Times New Roman" w:eastAsia="Times New Roman" w:hAnsi="Times New Roman" w:cs="Times New Roman"/>
          <w:sz w:val="28"/>
          <w:szCs w:val="28"/>
          <w:lang w:eastAsia="ru-RU"/>
        </w:rPr>
      </w:pPr>
    </w:p>
    <w:p w14:paraId="2D87CF7C" w14:textId="76A9C4A2" w:rsidR="00FC5A0E" w:rsidRPr="003A6E5A" w:rsidRDefault="00FC5A0E" w:rsidP="00FC5A0E">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Таблица </w:t>
      </w:r>
      <w:r w:rsidR="00566B59" w:rsidRPr="003A6E5A">
        <w:rPr>
          <w:rFonts w:ascii="Times New Roman" w:eastAsia="Times New Roman" w:hAnsi="Times New Roman" w:cs="Times New Roman"/>
          <w:sz w:val="28"/>
          <w:szCs w:val="28"/>
          <w:lang w:eastAsia="ru-RU"/>
        </w:rPr>
        <w:t>1</w:t>
      </w:r>
      <w:r w:rsidR="00DA42F3" w:rsidRPr="003A6E5A">
        <w:rPr>
          <w:rFonts w:ascii="Times New Roman" w:eastAsia="Times New Roman" w:hAnsi="Times New Roman" w:cs="Times New Roman"/>
          <w:sz w:val="28"/>
          <w:szCs w:val="28"/>
          <w:lang w:eastAsia="ru-RU"/>
        </w:rPr>
        <w:t>8</w:t>
      </w:r>
      <w:r w:rsidRPr="003A6E5A">
        <w:rPr>
          <w:rFonts w:ascii="Times New Roman" w:eastAsia="Times New Roman" w:hAnsi="Times New Roman" w:cs="Times New Roman"/>
          <w:sz w:val="28"/>
          <w:szCs w:val="28"/>
          <w:lang w:eastAsia="ru-RU"/>
        </w:rPr>
        <w:t>. Кластеризация стран ЕС по уровню инвестиционной активности и доходности ПИИ в Казахстан (2014-2024 гг.)</w:t>
      </w:r>
    </w:p>
    <w:tbl>
      <w:tblPr>
        <w:tblStyle w:val="2-2"/>
        <w:tblW w:w="0" w:type="auto"/>
        <w:tblLook w:val="04A0" w:firstRow="1" w:lastRow="0" w:firstColumn="1" w:lastColumn="0" w:noHBand="0" w:noVBand="1"/>
      </w:tblPr>
      <w:tblGrid>
        <w:gridCol w:w="2210"/>
        <w:gridCol w:w="1642"/>
        <w:gridCol w:w="2919"/>
        <w:gridCol w:w="1516"/>
        <w:gridCol w:w="1305"/>
      </w:tblGrid>
      <w:tr w:rsidR="00B02CF8" w:rsidRPr="003A6E5A" w14:paraId="32801435" w14:textId="77777777" w:rsidTr="00C17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vAlign w:val="center"/>
          </w:tcPr>
          <w:p w14:paraId="4E2F984B" w14:textId="77777777" w:rsidR="00FC5A0E" w:rsidRPr="003A6E5A" w:rsidRDefault="00FC5A0E" w:rsidP="00C17FA8">
            <w:pPr>
              <w:spacing w:after="0" w:line="240" w:lineRule="auto"/>
              <w:jc w:val="center"/>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Кластер</w:t>
            </w:r>
          </w:p>
        </w:tc>
        <w:tc>
          <w:tcPr>
            <w:tcW w:w="1642" w:type="dxa"/>
            <w:vAlign w:val="center"/>
          </w:tcPr>
          <w:p w14:paraId="12F263B2" w14:textId="77777777" w:rsidR="00FC5A0E" w:rsidRPr="003A6E5A" w:rsidRDefault="00FC5A0E" w:rsidP="00C17F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Страны</w:t>
            </w:r>
          </w:p>
        </w:tc>
        <w:tc>
          <w:tcPr>
            <w:tcW w:w="2919" w:type="dxa"/>
            <w:vAlign w:val="center"/>
          </w:tcPr>
          <w:p w14:paraId="77E74D19" w14:textId="77777777" w:rsidR="00FC5A0E" w:rsidRPr="003A6E5A" w:rsidRDefault="00FC5A0E" w:rsidP="00C17F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Характеристика</w:t>
            </w:r>
          </w:p>
        </w:tc>
        <w:tc>
          <w:tcPr>
            <w:tcW w:w="1516" w:type="dxa"/>
            <w:vAlign w:val="center"/>
          </w:tcPr>
          <w:p w14:paraId="7F85A313" w14:textId="77777777" w:rsidR="00FC5A0E" w:rsidRPr="003A6E5A" w:rsidRDefault="00FC5A0E" w:rsidP="00C17F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Показатель покрытия выплат новыми ПИИ, %</w:t>
            </w:r>
          </w:p>
        </w:tc>
        <w:tc>
          <w:tcPr>
            <w:tcW w:w="1305" w:type="dxa"/>
            <w:vAlign w:val="center"/>
          </w:tcPr>
          <w:p w14:paraId="44CE1ECA" w14:textId="77777777" w:rsidR="00FC5A0E" w:rsidRPr="003A6E5A" w:rsidRDefault="00FC5A0E" w:rsidP="00C17FA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Объем инвестиций (млрд долларов США)</w:t>
            </w:r>
          </w:p>
        </w:tc>
      </w:tr>
      <w:tr w:rsidR="00B02CF8" w:rsidRPr="003A6E5A" w14:paraId="6CB149E7" w14:textId="77777777" w:rsidTr="00C17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vAlign w:val="center"/>
          </w:tcPr>
          <w:p w14:paraId="76941383" w14:textId="77777777" w:rsidR="00FC5A0E" w:rsidRPr="003A6E5A" w:rsidRDefault="00FC5A0E" w:rsidP="00C17FA8">
            <w:pPr>
              <w:spacing w:after="0" w:line="240" w:lineRule="auto"/>
              <w:jc w:val="center"/>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Стратегические инвесторы и транзитные хабы</w:t>
            </w:r>
          </w:p>
        </w:tc>
        <w:tc>
          <w:tcPr>
            <w:tcW w:w="1642" w:type="dxa"/>
            <w:vAlign w:val="center"/>
          </w:tcPr>
          <w:p w14:paraId="29BD75C3"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Нидерланды, Франция, Кипр, Люксембург, Италия</w:t>
            </w:r>
          </w:p>
        </w:tc>
        <w:tc>
          <w:tcPr>
            <w:tcW w:w="2919" w:type="dxa"/>
            <w:vAlign w:val="center"/>
          </w:tcPr>
          <w:p w14:paraId="645B8657"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Крупнейшие источники ПИИ; умеренная доходность; высокая доля выплат; признаки реинвестирования и масштабной репатриации прибыли; доля реинвестиций &lt;15%</w:t>
            </w:r>
          </w:p>
        </w:tc>
        <w:tc>
          <w:tcPr>
            <w:tcW w:w="1516" w:type="dxa"/>
            <w:vAlign w:val="center"/>
          </w:tcPr>
          <w:p w14:paraId="263DA2E8"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85.5–114.3</w:t>
            </w:r>
          </w:p>
        </w:tc>
        <w:tc>
          <w:tcPr>
            <w:tcW w:w="1305" w:type="dxa"/>
            <w:vAlign w:val="center"/>
          </w:tcPr>
          <w:p w14:paraId="259F55F4"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&gt;3.0</w:t>
            </w:r>
          </w:p>
        </w:tc>
      </w:tr>
      <w:tr w:rsidR="00B02CF8" w:rsidRPr="003A6E5A" w14:paraId="7F4B6B61" w14:textId="77777777" w:rsidTr="00C17FA8">
        <w:tc>
          <w:tcPr>
            <w:cnfStyle w:val="001000000000" w:firstRow="0" w:lastRow="0" w:firstColumn="1" w:lastColumn="0" w:oddVBand="0" w:evenVBand="0" w:oddHBand="0" w:evenHBand="0" w:firstRowFirstColumn="0" w:firstRowLastColumn="0" w:lastRowFirstColumn="0" w:lastRowLastColumn="0"/>
            <w:tcW w:w="2210" w:type="dxa"/>
            <w:vAlign w:val="center"/>
          </w:tcPr>
          <w:p w14:paraId="686D2212" w14:textId="77777777" w:rsidR="00FC5A0E" w:rsidRPr="003A6E5A" w:rsidRDefault="00FC5A0E" w:rsidP="00C17FA8">
            <w:pPr>
              <w:spacing w:after="0" w:line="240" w:lineRule="auto"/>
              <w:jc w:val="center"/>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Консервативные инвесторы</w:t>
            </w:r>
          </w:p>
        </w:tc>
        <w:tc>
          <w:tcPr>
            <w:tcW w:w="1642" w:type="dxa"/>
            <w:vAlign w:val="center"/>
          </w:tcPr>
          <w:p w14:paraId="3DC0EFD2"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Германия, Бельгия, Швеция, Финляндия, Чехия, Ирландия, Латвия, Испания, Дания</w:t>
            </w:r>
          </w:p>
        </w:tc>
        <w:tc>
          <w:tcPr>
            <w:tcW w:w="2919" w:type="dxa"/>
            <w:vAlign w:val="center"/>
          </w:tcPr>
          <w:p w14:paraId="2DBD189E"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Стабильные стратегии инвестирования; положительная доходность; умеренные объемы вложений; акцент на долгосрочные направления</w:t>
            </w:r>
          </w:p>
        </w:tc>
        <w:tc>
          <w:tcPr>
            <w:tcW w:w="1516" w:type="dxa"/>
            <w:vAlign w:val="center"/>
          </w:tcPr>
          <w:p w14:paraId="4A662A42"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10.5–129.3</w:t>
            </w:r>
          </w:p>
        </w:tc>
        <w:tc>
          <w:tcPr>
            <w:tcW w:w="1305" w:type="dxa"/>
            <w:vAlign w:val="center"/>
          </w:tcPr>
          <w:p w14:paraId="4C6FFD0B"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0.2–1.0</w:t>
            </w:r>
          </w:p>
        </w:tc>
      </w:tr>
      <w:tr w:rsidR="00B02CF8" w:rsidRPr="003A6E5A" w14:paraId="13DA7E2E" w14:textId="77777777" w:rsidTr="00C17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0" w:type="dxa"/>
            <w:vAlign w:val="center"/>
          </w:tcPr>
          <w:p w14:paraId="0B636705" w14:textId="77777777" w:rsidR="00FC5A0E" w:rsidRPr="003A6E5A" w:rsidRDefault="00FC5A0E" w:rsidP="00C17FA8">
            <w:pPr>
              <w:spacing w:after="0" w:line="240" w:lineRule="auto"/>
              <w:jc w:val="center"/>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Диверсифицированные малые инвесторы</w:t>
            </w:r>
          </w:p>
        </w:tc>
        <w:tc>
          <w:tcPr>
            <w:tcW w:w="1642" w:type="dxa"/>
            <w:vAlign w:val="center"/>
          </w:tcPr>
          <w:p w14:paraId="7F73EB2D"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Болгария, Мальта, Эстония, Хорватия, Словакия, Португалия, Словения</w:t>
            </w:r>
          </w:p>
        </w:tc>
        <w:tc>
          <w:tcPr>
            <w:tcW w:w="2919" w:type="dxa"/>
            <w:vAlign w:val="center"/>
          </w:tcPr>
          <w:p w14:paraId="1D121EAD"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Небольшие вложения, высокая отдача на единицу вложений</w:t>
            </w:r>
          </w:p>
        </w:tc>
        <w:tc>
          <w:tcPr>
            <w:tcW w:w="1516" w:type="dxa"/>
            <w:vAlign w:val="center"/>
          </w:tcPr>
          <w:p w14:paraId="5B2F9A1A"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1.9–88.3</w:t>
            </w:r>
          </w:p>
        </w:tc>
        <w:tc>
          <w:tcPr>
            <w:tcW w:w="1305" w:type="dxa"/>
            <w:vAlign w:val="center"/>
          </w:tcPr>
          <w:p w14:paraId="4C37CDAF" w14:textId="77777777" w:rsidR="00FC5A0E" w:rsidRPr="003A6E5A" w:rsidRDefault="00FC5A0E" w:rsidP="00C17FA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&lt;0.2</w:t>
            </w:r>
          </w:p>
        </w:tc>
      </w:tr>
      <w:tr w:rsidR="00B02CF8" w:rsidRPr="003A6E5A" w14:paraId="3FEC4140" w14:textId="77777777" w:rsidTr="00C17FA8">
        <w:tc>
          <w:tcPr>
            <w:cnfStyle w:val="001000000000" w:firstRow="0" w:lastRow="0" w:firstColumn="1" w:lastColumn="0" w:oddVBand="0" w:evenVBand="0" w:oddHBand="0" w:evenHBand="0" w:firstRowFirstColumn="0" w:firstRowLastColumn="0" w:lastRowFirstColumn="0" w:lastRowLastColumn="0"/>
            <w:tcW w:w="2210" w:type="dxa"/>
            <w:vAlign w:val="center"/>
          </w:tcPr>
          <w:p w14:paraId="402768C0" w14:textId="77777777" w:rsidR="00FC5A0E" w:rsidRPr="003A6E5A" w:rsidRDefault="00FC5A0E" w:rsidP="00C17FA8">
            <w:pPr>
              <w:spacing w:after="0" w:line="240" w:lineRule="auto"/>
              <w:jc w:val="center"/>
              <w:rPr>
                <w:rFonts w:ascii="Times New Roman" w:eastAsia="Times New Roman" w:hAnsi="Times New Roman" w:cs="Times New Roman"/>
                <w:b w:val="0"/>
                <w:bCs w:val="0"/>
                <w:sz w:val="20"/>
                <w:szCs w:val="20"/>
                <w:lang w:eastAsia="ru-RU"/>
              </w:rPr>
            </w:pPr>
            <w:r w:rsidRPr="003A6E5A">
              <w:rPr>
                <w:rFonts w:ascii="Times New Roman" w:eastAsia="Times New Roman" w:hAnsi="Times New Roman" w:cs="Times New Roman"/>
                <w:b w:val="0"/>
                <w:bCs w:val="0"/>
                <w:sz w:val="20"/>
                <w:szCs w:val="20"/>
                <w:lang w:eastAsia="ru-RU"/>
              </w:rPr>
              <w:t>Проблемные активы и неэффективные проекты</w:t>
            </w:r>
          </w:p>
        </w:tc>
        <w:tc>
          <w:tcPr>
            <w:tcW w:w="1642" w:type="dxa"/>
            <w:vAlign w:val="center"/>
          </w:tcPr>
          <w:p w14:paraId="42EA76E0"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Австрия, Литва, Румыния, Польша, Греция</w:t>
            </w:r>
          </w:p>
        </w:tc>
        <w:tc>
          <w:tcPr>
            <w:tcW w:w="2919" w:type="dxa"/>
            <w:vAlign w:val="center"/>
          </w:tcPr>
          <w:p w14:paraId="37DF4325"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Отрицательная доходность; признаки завершения инвестиционного цикла без выхода на окупаемость; возможные убытки или неэффективность проектов</w:t>
            </w:r>
          </w:p>
        </w:tc>
        <w:tc>
          <w:tcPr>
            <w:tcW w:w="1516" w:type="dxa"/>
            <w:vAlign w:val="center"/>
          </w:tcPr>
          <w:p w14:paraId="0B1FBF22"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-32.8–-5.5</w:t>
            </w:r>
          </w:p>
        </w:tc>
        <w:tc>
          <w:tcPr>
            <w:tcW w:w="1305" w:type="dxa"/>
            <w:vAlign w:val="center"/>
          </w:tcPr>
          <w:p w14:paraId="5BF422EA" w14:textId="77777777" w:rsidR="00FC5A0E" w:rsidRPr="003A6E5A" w:rsidRDefault="00FC5A0E" w:rsidP="00C17FA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&lt;0.5</w:t>
            </w:r>
          </w:p>
        </w:tc>
      </w:tr>
    </w:tbl>
    <w:p w14:paraId="659010B6"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 таблица составлена автором исследования по</w:t>
      </w:r>
      <w:r w:rsidRPr="003A6E5A">
        <w:rPr>
          <w:rFonts w:ascii="Times New Roman" w:hAnsi="Times New Roman" w:cs="Times New Roman"/>
          <w:sz w:val="20"/>
          <w:szCs w:val="20"/>
        </w:rPr>
        <w:t xml:space="preserve"> данным НБ РК</w:t>
      </w:r>
    </w:p>
    <w:p w14:paraId="62DDF580" w14:textId="77777777" w:rsidR="00FC5A0E" w:rsidRPr="003A6E5A" w:rsidRDefault="00FC5A0E" w:rsidP="00FC5A0E">
      <w:pPr>
        <w:spacing w:after="0" w:line="240" w:lineRule="auto"/>
        <w:jc w:val="both"/>
        <w:rPr>
          <w:rFonts w:ascii="Times New Roman" w:eastAsia="Times New Roman" w:hAnsi="Times New Roman" w:cs="Times New Roman"/>
          <w:sz w:val="20"/>
          <w:szCs w:val="20"/>
          <w:lang w:eastAsia="ru-RU"/>
        </w:rPr>
      </w:pPr>
    </w:p>
    <w:p w14:paraId="5EF88277" w14:textId="6D0ABD85"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Кластер 2 включает государства, инвестиционная модель которых принципиально отличается от транзитно-офшорных стратегий, характерных для стран первого кластера. Данные страны реализуют прямые инвестиции преимущественно в производственные, технологические и инфраструктурные сектора Казахстана, проявляя устойчивую инвестиционную активность при умеренных объёмах вложений – в диапазоне от 200 млн до 1 млрд долларов США.</w:t>
      </w:r>
      <w:r w:rsidRPr="003A6E5A">
        <w:rPr>
          <w:rFonts w:ascii="Times New Roman" w:eastAsia="Times New Roman" w:hAnsi="Times New Roman" w:cs="Times New Roman"/>
          <w:sz w:val="28"/>
          <w:szCs w:val="28"/>
          <w:lang w:val="kk-KZ" w:eastAsia="ru-RU"/>
        </w:rPr>
        <w:t xml:space="preserve"> </w:t>
      </w:r>
      <w:r w:rsidRPr="003A6E5A">
        <w:rPr>
          <w:rFonts w:ascii="Times New Roman" w:eastAsia="Times New Roman" w:hAnsi="Times New Roman" w:cs="Times New Roman"/>
          <w:sz w:val="28"/>
          <w:szCs w:val="28"/>
          <w:lang w:eastAsia="ru-RU"/>
        </w:rPr>
        <w:t xml:space="preserve">Отличительной чертой данного кластера является относительно низкий уровень посредничества через офшорные и транзитные юрисдикции, а также высокая степень локализации капитала. Инвестиции носят более </w:t>
      </w:r>
      <w:r w:rsidRPr="003A6E5A">
        <w:rPr>
          <w:rFonts w:ascii="Times New Roman" w:eastAsia="Times New Roman" w:hAnsi="Times New Roman" w:cs="Times New Roman"/>
          <w:sz w:val="28"/>
          <w:szCs w:val="28"/>
          <w:lang w:eastAsia="ru-RU"/>
        </w:rPr>
        <w:lastRenderedPageBreak/>
        <w:t>целенаправленный характер и сопровождаются передачей технологий, созданием новых рабочих мест и участием в совместных проектах. В группу входят такие страны, как Германия, Бельгия, Швеция, Финляндия, Чехия, Ирландия и другие. Примером может служить Франция, которая, несмотря на частичное участие в СПК-структурах, параллельно развивает устойчивое партнёрство в энергетическом и обрабатывающем секторах Казахстана через деятельность компаний Total, Orano (в атомной энергетике) и Renault (в машиностроении)</w:t>
      </w:r>
      <w:r w:rsidRPr="003A6E5A">
        <w:rPr>
          <w:rFonts w:ascii="Times New Roman" w:eastAsia="Times New Roman" w:hAnsi="Times New Roman" w:cs="Times New Roman"/>
          <w:sz w:val="28"/>
          <w:szCs w:val="28"/>
          <w:lang w:val="kk-KZ" w:eastAsia="ru-RU"/>
        </w:rPr>
        <w:t xml:space="preserve"> </w:t>
      </w:r>
      <w:r w:rsidRPr="003A6E5A">
        <w:rPr>
          <w:rFonts w:ascii="Times New Roman" w:eastAsia="Times New Roman" w:hAnsi="Times New Roman" w:cs="Times New Roman"/>
          <w:sz w:val="28"/>
          <w:szCs w:val="28"/>
          <w:lang w:eastAsia="ru-RU"/>
        </w:rPr>
        <w:t>[1</w:t>
      </w:r>
      <w:r w:rsidR="00C96643" w:rsidRPr="003A6E5A">
        <w:rPr>
          <w:rFonts w:ascii="Times New Roman" w:eastAsia="Times New Roman" w:hAnsi="Times New Roman" w:cs="Times New Roman"/>
          <w:sz w:val="28"/>
          <w:szCs w:val="28"/>
          <w:lang w:eastAsia="ru-RU"/>
        </w:rPr>
        <w:t>42</w:t>
      </w:r>
      <w:r w:rsidRPr="003A6E5A">
        <w:rPr>
          <w:rFonts w:ascii="Times New Roman" w:eastAsia="Times New Roman" w:hAnsi="Times New Roman" w:cs="Times New Roman"/>
          <w:sz w:val="28"/>
          <w:szCs w:val="28"/>
          <w:lang w:eastAsia="ru-RU"/>
        </w:rPr>
        <w:t>]. Данные инвестиции сопровождаются значительным технологическим трансфером и способствуют долгосрочной модернизации казахстанской экономики. Таким образом, государства второго кластера формируют более институционально стабильную модель инвестиционного взаимодействия, обладающую высокой степенью мультипликативного эффекта и значительным потенциалом для углубления экономического сотрудничества в несырьевых секторах.</w:t>
      </w:r>
    </w:p>
    <w:p w14:paraId="7EB1E9E4" w14:textId="77777777"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Кластер 3 включает страны с минимальными инвестициями (менее $200 млн), но с высоким покрытием выплат новыми ПИИ на единицу вложенного капитала. Болгария, Мальта, Эстония, Хорватия, Словакия, Португалия и Словения вкладываются преимущественно в специализированные и несырьевые отрасли, что характеризует их поведение как диверсифицированное и чувствительное к нишевым рыночным возможностям.</w:t>
      </w:r>
    </w:p>
    <w:p w14:paraId="0A66D342" w14:textId="77777777"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Кластер 4 охватывает страны с крайне низкой инвестиционной активностью и отрицательной доходностью, среди которых Австрия, Литва, Румыния, Польша и Греция. Такие показатели могут быть связаны с завершением инвестиционных проектов без выхода на окупаемость, убытками или неэффективностью вложений. Греция, несмотря на формальную доходность в 300,9%, классифицирована в этот кластер ввиду отрицательного притока капитала и фактического оттока средств.</w:t>
      </w:r>
    </w:p>
    <w:p w14:paraId="25C32F2B" w14:textId="77777777"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Разделение стран Европейского Союза на кластеры позволило выявить устойчивые инвестиционные стратегии: от долгосрочных и высокоэффективных вложений до краткосрочных и неустойчивых схем. Полученные результаты требуют учёта не только общего объёма инвестиций, но и их реинвестиционной составляющей, ориентации на несырьевые отрасли и технологической отдачи. Анализ показал: на каждый доллар ПИИ приходится 89 центов, выведенных из Казахстана в виде дивидендов и процентов. Для трети стран-инвесторов доходность оказалась ниже 15%, что может указывать на неэффективные активы. В Италии инвестиционный цикл завершён без нового притока капитала, в Греции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фиксируется чистый отток капитала. Такои образом, результаты свидетельствуют о слабом закреплении иностранного капитала внутри страны и его ограниченном вкладе в устойчивое развитие.</w:t>
      </w:r>
    </w:p>
    <w:p w14:paraId="4BF55432" w14:textId="77777777"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В ответ на эти вызовы, по нашему мнению, необходимо ввести следующие меры:</w:t>
      </w:r>
    </w:p>
    <w:p w14:paraId="1DABD842" w14:textId="77777777" w:rsidR="00FC5A0E" w:rsidRPr="003A6E5A" w:rsidRDefault="00FC5A0E" w:rsidP="00FC5A0E">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дл</w:t>
      </w:r>
      <w:r w:rsidRPr="003A6E5A">
        <w:rPr>
          <w:rFonts w:ascii="Times New Roman" w:eastAsia="Times New Roman" w:hAnsi="Times New Roman" w:cs="Times New Roman"/>
          <w:sz w:val="28"/>
          <w:szCs w:val="28"/>
          <w:lang w:eastAsia="ru-RU"/>
        </w:rPr>
        <w:t xml:space="preserve">я </w:t>
      </w:r>
      <w:r w:rsidRPr="003A6E5A">
        <w:rPr>
          <w:rFonts w:ascii="Times New Roman" w:eastAsia="Times New Roman" w:hAnsi="Times New Roman" w:cs="Times New Roman"/>
          <w:sz w:val="28"/>
          <w:szCs w:val="28"/>
          <w:lang w:val="kk-KZ" w:eastAsia="ru-RU"/>
        </w:rPr>
        <w:t>к</w:t>
      </w:r>
      <w:r w:rsidRPr="003A6E5A">
        <w:rPr>
          <w:rFonts w:ascii="Times New Roman" w:eastAsia="Times New Roman" w:hAnsi="Times New Roman" w:cs="Times New Roman"/>
          <w:sz w:val="28"/>
          <w:szCs w:val="28"/>
          <w:lang w:eastAsia="ru-RU"/>
        </w:rPr>
        <w:t>ластера 1: ввести обязательный аудит СПК и налог на репатриацию прибыли в случаях, когда её объём превышает 50% от общей прибыли;</w:t>
      </w:r>
    </w:p>
    <w:p w14:paraId="64942A80" w14:textId="77777777" w:rsidR="00FC5A0E" w:rsidRPr="003A6E5A" w:rsidRDefault="00FC5A0E" w:rsidP="00FC5A0E">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lastRenderedPageBreak/>
        <w:t xml:space="preserve">– </w:t>
      </w:r>
      <w:r w:rsidRPr="003A6E5A">
        <w:rPr>
          <w:rFonts w:ascii="Times New Roman" w:eastAsia="Times New Roman" w:hAnsi="Times New Roman" w:cs="Times New Roman"/>
          <w:sz w:val="28"/>
          <w:szCs w:val="28"/>
          <w:lang w:val="kk-KZ" w:eastAsia="ru-RU"/>
        </w:rPr>
        <w:t>д</w:t>
      </w:r>
      <w:r w:rsidRPr="003A6E5A">
        <w:rPr>
          <w:rFonts w:ascii="Times New Roman" w:eastAsia="Times New Roman" w:hAnsi="Times New Roman" w:cs="Times New Roman"/>
          <w:sz w:val="28"/>
          <w:szCs w:val="28"/>
          <w:lang w:eastAsia="ru-RU"/>
        </w:rPr>
        <w:t xml:space="preserve">ля </w:t>
      </w:r>
      <w:r w:rsidRPr="003A6E5A">
        <w:rPr>
          <w:rFonts w:ascii="Times New Roman" w:eastAsia="Times New Roman" w:hAnsi="Times New Roman" w:cs="Times New Roman"/>
          <w:sz w:val="28"/>
          <w:szCs w:val="28"/>
          <w:lang w:val="kk-KZ" w:eastAsia="ru-RU"/>
        </w:rPr>
        <w:t>к</w:t>
      </w:r>
      <w:r w:rsidRPr="003A6E5A">
        <w:rPr>
          <w:rFonts w:ascii="Times New Roman" w:eastAsia="Times New Roman" w:hAnsi="Times New Roman" w:cs="Times New Roman"/>
          <w:sz w:val="28"/>
          <w:szCs w:val="28"/>
          <w:lang w:eastAsia="ru-RU"/>
        </w:rPr>
        <w:t>ластера 2: установить пониженную ставку налога на прибыль (до 10%) при условии выполнения ключевых показателей эффективности (KPI) по локализации, технологическому трансферу и занятости;</w:t>
      </w:r>
    </w:p>
    <w:p w14:paraId="232F5821" w14:textId="77777777"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для кластера 3: предлагается внедрение дифференцированного регуляторного подхода, основанного на принципах адресности и эффективности. Меры государственной поддержки должны быть направлены на усиление инвестиционной активности в стратегически значимых несырьевых секторах экономики, а также учреждение специализированного фонда софинансирования инновационных проектов с долей государственного участия до 30% от общего объема инвестиций.</w:t>
      </w:r>
    </w:p>
    <w:p w14:paraId="6A54A57B" w14:textId="77777777" w:rsidR="00FC5A0E" w:rsidRPr="003A6E5A" w:rsidRDefault="00FC5A0E" w:rsidP="00FC5A0E">
      <w:pPr>
        <w:spacing w:after="0" w:line="240" w:lineRule="auto"/>
        <w:ind w:firstLine="709"/>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д</w:t>
      </w:r>
      <w:r w:rsidRPr="003A6E5A">
        <w:rPr>
          <w:rFonts w:ascii="Times New Roman" w:eastAsia="Times New Roman" w:hAnsi="Times New Roman" w:cs="Times New Roman"/>
          <w:sz w:val="28"/>
          <w:szCs w:val="28"/>
          <w:lang w:eastAsia="ru-RU"/>
        </w:rPr>
        <w:t xml:space="preserve">ля </w:t>
      </w:r>
      <w:r w:rsidRPr="003A6E5A">
        <w:rPr>
          <w:rFonts w:ascii="Times New Roman" w:eastAsia="Times New Roman" w:hAnsi="Times New Roman" w:cs="Times New Roman"/>
          <w:sz w:val="28"/>
          <w:szCs w:val="28"/>
          <w:lang w:val="kk-KZ" w:eastAsia="ru-RU"/>
        </w:rPr>
        <w:t>к</w:t>
      </w:r>
      <w:r w:rsidRPr="003A6E5A">
        <w:rPr>
          <w:rFonts w:ascii="Times New Roman" w:eastAsia="Times New Roman" w:hAnsi="Times New Roman" w:cs="Times New Roman"/>
          <w:sz w:val="28"/>
          <w:szCs w:val="28"/>
          <w:lang w:eastAsia="ru-RU"/>
        </w:rPr>
        <w:t>ластера 4: прекратить предоставление государственной поддержки для проектов с отрицательной доходностью (</w:t>
      </w:r>
      <m:oMath>
        <m:r>
          <w:rPr>
            <w:rFonts w:ascii="Cambria Math" w:eastAsia="Times New Roman" w:hAnsi="Cambria Math" w:cs="Times New Roman"/>
            <w:sz w:val="28"/>
            <w:szCs w:val="28"/>
            <w:lang w:eastAsia="ru-RU"/>
          </w:rPr>
          <m:t>R</m:t>
        </m:r>
        <m:r>
          <w:rPr>
            <w:rFonts w:ascii="Cambria Math" w:eastAsia="Times New Roman" w:hAnsi="Cambria Math" w:cs="Times New Roman"/>
            <w:sz w:val="28"/>
            <w:szCs w:val="28"/>
            <w:lang w:val="en-US" w:eastAsia="ru-RU"/>
          </w:rPr>
          <m:t>OI</m:t>
        </m:r>
        <m:r>
          <w:rPr>
            <w:rFonts w:ascii="Cambria Math" w:eastAsia="Times New Roman" w:hAnsi="Cambria Math" w:cs="Times New Roman"/>
            <w:sz w:val="28"/>
            <w:szCs w:val="28"/>
            <w:lang w:eastAsia="ru-RU"/>
          </w:rPr>
          <m:t>&lt;0</m:t>
        </m:r>
      </m:oMath>
      <w:r w:rsidRPr="003A6E5A">
        <w:rPr>
          <w:rFonts w:ascii="Times New Roman" w:eastAsia="Times New Roman" w:hAnsi="Times New Roman" w:cs="Times New Roman"/>
          <w:sz w:val="28"/>
          <w:szCs w:val="28"/>
          <w:lang w:eastAsia="ru-RU"/>
        </w:rPr>
        <w:t>).</w:t>
      </w:r>
    </w:p>
    <w:p w14:paraId="4C5D4210" w14:textId="489CDC77" w:rsidR="00FC5A0E" w:rsidRPr="003A6E5A" w:rsidRDefault="00FC5A0E" w:rsidP="00FC5A0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Стратегическая цель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увеличить долю ПИИ из кластеров 2 и 3 с текущих 17% до 45% к 2029 году. Такое возможно при условии активного стимулирования инвестиций в приоритетные направления национальной промышленной политики </w:t>
      </w:r>
      <w:r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eastAsia="ru-RU"/>
        </w:rPr>
        <w:t xml:space="preserve"> возобновляемые источники энергии, переработку лития, производство зелёного водорода. Таким образом, инвестиционная политика Казахстана нуждается в переориентации: от доминирования транзитного капитала к устойчивым стратегическим вложениям. Ключевыми критериями должны стать качество ПИИ, уровень их локализации и долгосрочная отдача для национальной экономики.</w:t>
      </w:r>
    </w:p>
    <w:p w14:paraId="44C28DBB" w14:textId="77777777" w:rsidR="00566B59" w:rsidRPr="003A6E5A" w:rsidRDefault="00566B59" w:rsidP="00FC5A0E">
      <w:pPr>
        <w:spacing w:after="0" w:line="240" w:lineRule="auto"/>
        <w:ind w:firstLine="709"/>
        <w:jc w:val="both"/>
        <w:rPr>
          <w:rFonts w:ascii="Times New Roman" w:eastAsia="Times New Roman" w:hAnsi="Times New Roman" w:cs="Times New Roman"/>
          <w:sz w:val="28"/>
          <w:szCs w:val="28"/>
          <w:lang w:eastAsia="ru-RU"/>
        </w:rPr>
      </w:pPr>
    </w:p>
    <w:p w14:paraId="525DC255" w14:textId="77777777" w:rsidR="00FC5A0E" w:rsidRPr="003A6E5A" w:rsidRDefault="00FC5A0E" w:rsidP="00FC5A0E">
      <w:pPr>
        <w:spacing w:after="0" w:line="240" w:lineRule="auto"/>
        <w:jc w:val="center"/>
        <w:rPr>
          <w:rFonts w:ascii="Times New Roman" w:hAnsi="Times New Roman" w:cs="Times New Roman"/>
          <w:sz w:val="28"/>
          <w:szCs w:val="28"/>
          <w:lang w:val="en-US"/>
        </w:rPr>
      </w:pPr>
      <w:r w:rsidRPr="003A6E5A">
        <w:rPr>
          <w:rFonts w:ascii="Times New Roman" w:hAnsi="Times New Roman" w:cs="Times New Roman"/>
          <w:noProof/>
          <w:sz w:val="28"/>
          <w:szCs w:val="28"/>
          <w:lang w:val="en-US"/>
        </w:rPr>
        <w:drawing>
          <wp:inline distT="0" distB="0" distL="0" distR="0" wp14:anchorId="0CF245D7" wp14:editId="456E0619">
            <wp:extent cx="6007336" cy="3386667"/>
            <wp:effectExtent l="0" t="0" r="0" b="4445"/>
            <wp:docPr id="12145052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8708" cy="3398716"/>
                    </a:xfrm>
                    <a:prstGeom prst="rect">
                      <a:avLst/>
                    </a:prstGeom>
                    <a:noFill/>
                  </pic:spPr>
                </pic:pic>
              </a:graphicData>
            </a:graphic>
          </wp:inline>
        </w:drawing>
      </w:r>
    </w:p>
    <w:p w14:paraId="71F51729" w14:textId="77777777" w:rsidR="00FC5A0E" w:rsidRPr="003A6E5A" w:rsidRDefault="00FC5A0E" w:rsidP="00FC5A0E">
      <w:pPr>
        <w:spacing w:after="0" w:line="240" w:lineRule="auto"/>
        <w:jc w:val="center"/>
        <w:rPr>
          <w:rFonts w:ascii="Times New Roman" w:hAnsi="Times New Roman" w:cs="Times New Roman"/>
          <w:sz w:val="28"/>
          <w:szCs w:val="28"/>
          <w:lang w:val="kk-KZ"/>
        </w:rPr>
      </w:pPr>
    </w:p>
    <w:p w14:paraId="62866964" w14:textId="77777777" w:rsidR="00FC5A0E" w:rsidRPr="003A6E5A" w:rsidRDefault="00FC5A0E" w:rsidP="00FC5A0E">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lang w:val="kk-KZ"/>
        </w:rPr>
        <w:t xml:space="preserve">График </w:t>
      </w:r>
      <w:r w:rsidRPr="003A6E5A">
        <w:rPr>
          <w:rFonts w:ascii="Times New Roman" w:hAnsi="Times New Roman" w:cs="Times New Roman"/>
          <w:sz w:val="28"/>
          <w:szCs w:val="28"/>
        </w:rPr>
        <w:t>5. Динамика валового притока прямых иностранных инвестиций в сектора экономики Республики Казахстан</w:t>
      </w:r>
    </w:p>
    <w:p w14:paraId="598617F0"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w:t>
      </w:r>
      <w:r w:rsidRPr="003A6E5A">
        <w:rPr>
          <w:rFonts w:ascii="Times New Roman" w:hAnsi="Times New Roman" w:cs="Times New Roman"/>
          <w:sz w:val="20"/>
          <w:szCs w:val="20"/>
        </w:rPr>
        <w:t>: пересчитано в ценах 2014 года</w:t>
      </w:r>
    </w:p>
    <w:p w14:paraId="085140A3"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составлена автором исследования по</w:t>
      </w:r>
      <w:r w:rsidRPr="003A6E5A">
        <w:rPr>
          <w:rFonts w:ascii="Times New Roman" w:hAnsi="Times New Roman" w:cs="Times New Roman"/>
          <w:sz w:val="20"/>
          <w:szCs w:val="20"/>
        </w:rPr>
        <w:t xml:space="preserve"> данным НБ РК</w:t>
      </w:r>
    </w:p>
    <w:p w14:paraId="302956A7" w14:textId="77777777" w:rsidR="00FC5A0E" w:rsidRPr="003A6E5A" w:rsidRDefault="00FC5A0E" w:rsidP="00FC5A0E">
      <w:pPr>
        <w:spacing w:after="0" w:line="240" w:lineRule="auto"/>
        <w:jc w:val="both"/>
        <w:rPr>
          <w:rFonts w:ascii="Times New Roman" w:hAnsi="Times New Roman"/>
          <w:sz w:val="28"/>
          <w:szCs w:val="28"/>
        </w:rPr>
      </w:pPr>
    </w:p>
    <w:p w14:paraId="76C42A3A" w14:textId="77777777" w:rsidR="00566B59" w:rsidRPr="003A6E5A" w:rsidRDefault="00566B59" w:rsidP="00566B59">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lastRenderedPageBreak/>
        <w:t>В этой связи особое значение приобретает структура отраслевого распределения ПИИ, позволяющая более точно оценить степень вовлечённости иностранных инвесторов в устойчивое развитие экономики Казахстана (см. график 5). Так, если рассмотреть секторальные данные по валовому притоку прямых иностранных инвестиций за период 2014-2024 гг., становится очевидным, что горнодобывающий сектор сохраняет абсолютное доминирование в инвестиционном профиле страны. Данный сектор стабильно привлекал наибольшие объёмы инвестиций, достигнув пикового значения в 2019 году, за которым последовало постепенное снижение. Подобная динамика отражает сохраняющуюся ресурсную зависимость и уязвимость инвестиционной модели Республики Казахстан к внешним конъюнктурным и технологическим изменениям, особенно в условиях усиливающегося экологического перехода в странах Европейского Союза.</w:t>
      </w:r>
    </w:p>
    <w:p w14:paraId="5E94F778" w14:textId="1FD399BB" w:rsidR="00566B59" w:rsidRPr="003A6E5A" w:rsidRDefault="00566B59" w:rsidP="00566B59">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В то время как график 5 демонстрирует общую секторальную динамику ПИИ, анализ на уровне компаний позволяет детализировать эти потоки и выявить различные стратегии присутствия иностранного капитала. Данные по пяти ключевым странам-партнерам, систематизированные в таблице </w:t>
      </w:r>
      <w:r w:rsidR="00DA42F3" w:rsidRPr="003A6E5A">
        <w:rPr>
          <w:rFonts w:ascii="Times New Roman" w:eastAsia="Times New Roman" w:hAnsi="Times New Roman" w:cs="Times New Roman"/>
          <w:sz w:val="28"/>
          <w:szCs w:val="28"/>
          <w:lang w:eastAsia="ru-RU"/>
        </w:rPr>
        <w:t>19</w:t>
      </w:r>
      <w:r w:rsidRPr="003A6E5A">
        <w:rPr>
          <w:rFonts w:ascii="Times New Roman" w:eastAsia="Times New Roman" w:hAnsi="Times New Roman" w:cs="Times New Roman"/>
          <w:sz w:val="28"/>
          <w:szCs w:val="28"/>
          <w:lang w:eastAsia="ru-RU"/>
        </w:rPr>
        <w:t>, показывают, как количественные показатели инвестиций трансформируются в качественно разные модели интеграции.</w:t>
      </w:r>
    </w:p>
    <w:p w14:paraId="13E68EF0" w14:textId="77777777" w:rsidR="00566B59" w:rsidRPr="003A6E5A" w:rsidRDefault="00566B59" w:rsidP="00566B59">
      <w:pPr>
        <w:spacing w:after="0" w:line="240" w:lineRule="auto"/>
        <w:ind w:firstLine="709"/>
        <w:jc w:val="both"/>
        <w:rPr>
          <w:rFonts w:ascii="Times New Roman" w:eastAsia="Times New Roman" w:hAnsi="Times New Roman" w:cs="Times New Roman"/>
          <w:sz w:val="28"/>
          <w:szCs w:val="28"/>
          <w:lang w:eastAsia="ru-RU"/>
        </w:rPr>
      </w:pPr>
    </w:p>
    <w:p w14:paraId="5E776BE3" w14:textId="7A7DCEFF" w:rsidR="00FC5A0E" w:rsidRPr="003A6E5A" w:rsidRDefault="00FC5A0E" w:rsidP="00FC5A0E">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Таблица </w:t>
      </w:r>
      <w:r w:rsidR="00DA42F3" w:rsidRPr="003A6E5A">
        <w:rPr>
          <w:rFonts w:ascii="Times New Roman" w:eastAsia="Times New Roman" w:hAnsi="Times New Roman" w:cs="Times New Roman"/>
          <w:sz w:val="28"/>
          <w:szCs w:val="28"/>
          <w:lang w:eastAsia="ru-RU"/>
        </w:rPr>
        <w:t>19</w:t>
      </w:r>
      <w:r w:rsidRPr="003A6E5A">
        <w:rPr>
          <w:rFonts w:ascii="Times New Roman" w:eastAsia="Times New Roman" w:hAnsi="Times New Roman" w:cs="Times New Roman"/>
          <w:sz w:val="28"/>
          <w:szCs w:val="28"/>
          <w:lang w:eastAsia="ru-RU"/>
        </w:rPr>
        <w:t>. Отраслевая структура присутствия компаний основных стран-инвесторов ЕС в экономике Казахстана</w:t>
      </w:r>
    </w:p>
    <w:tbl>
      <w:tblPr>
        <w:tblStyle w:val="ac"/>
        <w:tblW w:w="9776" w:type="dxa"/>
        <w:tblLayout w:type="fixed"/>
        <w:tblLook w:val="04A0" w:firstRow="1" w:lastRow="0" w:firstColumn="1" w:lastColumn="0" w:noHBand="0" w:noVBand="1"/>
      </w:tblPr>
      <w:tblGrid>
        <w:gridCol w:w="1413"/>
        <w:gridCol w:w="850"/>
        <w:gridCol w:w="1134"/>
        <w:gridCol w:w="1134"/>
        <w:gridCol w:w="851"/>
        <w:gridCol w:w="1134"/>
        <w:gridCol w:w="1146"/>
        <w:gridCol w:w="1158"/>
        <w:gridCol w:w="956"/>
      </w:tblGrid>
      <w:tr w:rsidR="00B02CF8" w:rsidRPr="003A6E5A" w14:paraId="5621132B" w14:textId="77777777" w:rsidTr="00C17FA8">
        <w:tc>
          <w:tcPr>
            <w:tcW w:w="1413" w:type="dxa"/>
            <w:vAlign w:val="center"/>
          </w:tcPr>
          <w:p w14:paraId="2672BAC2"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Страна</w:t>
            </w:r>
          </w:p>
        </w:tc>
        <w:tc>
          <w:tcPr>
            <w:tcW w:w="850" w:type="dxa"/>
            <w:vAlign w:val="center"/>
          </w:tcPr>
          <w:p w14:paraId="1A736F68"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Всего компаний</w:t>
            </w:r>
          </w:p>
        </w:tc>
        <w:tc>
          <w:tcPr>
            <w:tcW w:w="1134" w:type="dxa"/>
            <w:vAlign w:val="center"/>
          </w:tcPr>
          <w:p w14:paraId="5985B4D5"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lang w:eastAsia="ru-RU"/>
              </w:rPr>
              <w:t>Горнодобывающая промышленность и разработка карьеров</w:t>
            </w:r>
          </w:p>
        </w:tc>
        <w:tc>
          <w:tcPr>
            <w:tcW w:w="1134" w:type="dxa"/>
            <w:vAlign w:val="center"/>
          </w:tcPr>
          <w:p w14:paraId="7977373A"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Обрабатывающая промышленность</w:t>
            </w:r>
          </w:p>
        </w:tc>
        <w:tc>
          <w:tcPr>
            <w:tcW w:w="851" w:type="dxa"/>
            <w:vAlign w:val="center"/>
          </w:tcPr>
          <w:p w14:paraId="6D8EA2D4"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Строительство</w:t>
            </w:r>
          </w:p>
        </w:tc>
        <w:tc>
          <w:tcPr>
            <w:tcW w:w="1134" w:type="dxa"/>
            <w:vAlign w:val="center"/>
          </w:tcPr>
          <w:p w14:paraId="14099B79"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Торговля</w:t>
            </w:r>
          </w:p>
        </w:tc>
        <w:tc>
          <w:tcPr>
            <w:tcW w:w="1146" w:type="dxa"/>
            <w:vAlign w:val="center"/>
          </w:tcPr>
          <w:p w14:paraId="4F9E3F8E"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Транспорт</w:t>
            </w:r>
          </w:p>
        </w:tc>
        <w:tc>
          <w:tcPr>
            <w:tcW w:w="1158" w:type="dxa"/>
            <w:vAlign w:val="center"/>
          </w:tcPr>
          <w:p w14:paraId="04F9192F"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Недвижимость</w:t>
            </w:r>
          </w:p>
        </w:tc>
        <w:tc>
          <w:tcPr>
            <w:tcW w:w="956" w:type="dxa"/>
            <w:vAlign w:val="center"/>
          </w:tcPr>
          <w:p w14:paraId="6347D772"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0"/>
                <w:szCs w:val="20"/>
              </w:rPr>
              <w:t>Прочие сектора</w:t>
            </w:r>
          </w:p>
        </w:tc>
      </w:tr>
      <w:tr w:rsidR="00B02CF8" w:rsidRPr="003A6E5A" w14:paraId="5362923A" w14:textId="77777777" w:rsidTr="00C17FA8">
        <w:tc>
          <w:tcPr>
            <w:tcW w:w="1413" w:type="dxa"/>
            <w:vAlign w:val="center"/>
          </w:tcPr>
          <w:p w14:paraId="4DE941E5"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rPr>
              <w:t>Германия</w:t>
            </w:r>
          </w:p>
        </w:tc>
        <w:tc>
          <w:tcPr>
            <w:tcW w:w="850" w:type="dxa"/>
            <w:vAlign w:val="center"/>
          </w:tcPr>
          <w:p w14:paraId="0891CFE7"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4"/>
                <w:szCs w:val="24"/>
              </w:rPr>
              <w:t>741</w:t>
            </w:r>
          </w:p>
        </w:tc>
        <w:tc>
          <w:tcPr>
            <w:tcW w:w="1134" w:type="dxa"/>
            <w:vAlign w:val="center"/>
          </w:tcPr>
          <w:p w14:paraId="5CE17EFF"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6</w:t>
            </w:r>
          </w:p>
        </w:tc>
        <w:tc>
          <w:tcPr>
            <w:tcW w:w="1134" w:type="dxa"/>
            <w:vAlign w:val="center"/>
          </w:tcPr>
          <w:p w14:paraId="51D1F1AD"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78</w:t>
            </w:r>
          </w:p>
        </w:tc>
        <w:tc>
          <w:tcPr>
            <w:tcW w:w="851" w:type="dxa"/>
            <w:vAlign w:val="center"/>
          </w:tcPr>
          <w:p w14:paraId="7E31490B"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58</w:t>
            </w:r>
          </w:p>
        </w:tc>
        <w:tc>
          <w:tcPr>
            <w:tcW w:w="1134" w:type="dxa"/>
            <w:vAlign w:val="center"/>
          </w:tcPr>
          <w:p w14:paraId="43CC2AF9"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312</w:t>
            </w:r>
          </w:p>
        </w:tc>
        <w:tc>
          <w:tcPr>
            <w:tcW w:w="1146" w:type="dxa"/>
            <w:vAlign w:val="center"/>
          </w:tcPr>
          <w:p w14:paraId="0A997597"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77</w:t>
            </w:r>
          </w:p>
        </w:tc>
        <w:tc>
          <w:tcPr>
            <w:tcW w:w="1158" w:type="dxa"/>
            <w:vAlign w:val="center"/>
          </w:tcPr>
          <w:p w14:paraId="3C40E13F"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51</w:t>
            </w:r>
          </w:p>
        </w:tc>
        <w:tc>
          <w:tcPr>
            <w:tcW w:w="956" w:type="dxa"/>
            <w:vAlign w:val="center"/>
          </w:tcPr>
          <w:p w14:paraId="200DFAFD"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359</w:t>
            </w:r>
          </w:p>
        </w:tc>
      </w:tr>
      <w:tr w:rsidR="00B02CF8" w:rsidRPr="003A6E5A" w14:paraId="1BCA9F4D" w14:textId="77777777" w:rsidTr="00C17FA8">
        <w:tc>
          <w:tcPr>
            <w:tcW w:w="1413" w:type="dxa"/>
            <w:vAlign w:val="center"/>
          </w:tcPr>
          <w:p w14:paraId="07909E81"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rPr>
              <w:t>Нидерланды</w:t>
            </w:r>
          </w:p>
        </w:tc>
        <w:tc>
          <w:tcPr>
            <w:tcW w:w="850" w:type="dxa"/>
            <w:vAlign w:val="center"/>
          </w:tcPr>
          <w:p w14:paraId="521D6FC3"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4"/>
                <w:szCs w:val="24"/>
              </w:rPr>
              <w:t>481</w:t>
            </w:r>
          </w:p>
        </w:tc>
        <w:tc>
          <w:tcPr>
            <w:tcW w:w="1134" w:type="dxa"/>
            <w:vAlign w:val="center"/>
          </w:tcPr>
          <w:p w14:paraId="4E556ED2"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48</w:t>
            </w:r>
          </w:p>
        </w:tc>
        <w:tc>
          <w:tcPr>
            <w:tcW w:w="1134" w:type="dxa"/>
            <w:vAlign w:val="center"/>
          </w:tcPr>
          <w:p w14:paraId="3E89461B"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46</w:t>
            </w:r>
          </w:p>
        </w:tc>
        <w:tc>
          <w:tcPr>
            <w:tcW w:w="851" w:type="dxa"/>
            <w:vAlign w:val="center"/>
          </w:tcPr>
          <w:p w14:paraId="33534F27"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13</w:t>
            </w:r>
          </w:p>
        </w:tc>
        <w:tc>
          <w:tcPr>
            <w:tcW w:w="1134" w:type="dxa"/>
            <w:vAlign w:val="center"/>
          </w:tcPr>
          <w:p w14:paraId="1E1060BD"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134</w:t>
            </w:r>
          </w:p>
        </w:tc>
        <w:tc>
          <w:tcPr>
            <w:tcW w:w="1146" w:type="dxa"/>
            <w:vAlign w:val="center"/>
          </w:tcPr>
          <w:p w14:paraId="755BF6C4"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33</w:t>
            </w:r>
          </w:p>
        </w:tc>
        <w:tc>
          <w:tcPr>
            <w:tcW w:w="1158" w:type="dxa"/>
            <w:vAlign w:val="center"/>
          </w:tcPr>
          <w:p w14:paraId="6416C1AD"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37</w:t>
            </w:r>
          </w:p>
        </w:tc>
        <w:tc>
          <w:tcPr>
            <w:tcW w:w="956" w:type="dxa"/>
            <w:vAlign w:val="center"/>
          </w:tcPr>
          <w:p w14:paraId="5810E915"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267</w:t>
            </w:r>
          </w:p>
        </w:tc>
      </w:tr>
      <w:tr w:rsidR="00B02CF8" w:rsidRPr="003A6E5A" w14:paraId="7A5A9A55" w14:textId="77777777" w:rsidTr="00C17FA8">
        <w:tc>
          <w:tcPr>
            <w:tcW w:w="1413" w:type="dxa"/>
            <w:vAlign w:val="center"/>
          </w:tcPr>
          <w:p w14:paraId="474E0A30"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rPr>
              <w:t>Италия</w:t>
            </w:r>
          </w:p>
        </w:tc>
        <w:tc>
          <w:tcPr>
            <w:tcW w:w="850" w:type="dxa"/>
            <w:vAlign w:val="center"/>
          </w:tcPr>
          <w:p w14:paraId="17E9BCA4"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4"/>
                <w:szCs w:val="24"/>
              </w:rPr>
              <w:t>172</w:t>
            </w:r>
          </w:p>
        </w:tc>
        <w:tc>
          <w:tcPr>
            <w:tcW w:w="1134" w:type="dxa"/>
            <w:vAlign w:val="center"/>
          </w:tcPr>
          <w:p w14:paraId="7CF693F3"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w:t>
            </w:r>
          </w:p>
        </w:tc>
        <w:tc>
          <w:tcPr>
            <w:tcW w:w="1134" w:type="dxa"/>
            <w:vAlign w:val="center"/>
          </w:tcPr>
          <w:p w14:paraId="1A96D035"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19</w:t>
            </w:r>
          </w:p>
        </w:tc>
        <w:tc>
          <w:tcPr>
            <w:tcW w:w="851" w:type="dxa"/>
            <w:vAlign w:val="center"/>
          </w:tcPr>
          <w:p w14:paraId="26BE4FB5"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34</w:t>
            </w:r>
          </w:p>
        </w:tc>
        <w:tc>
          <w:tcPr>
            <w:tcW w:w="1134" w:type="dxa"/>
            <w:vAlign w:val="center"/>
          </w:tcPr>
          <w:p w14:paraId="6E048D0C"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64</w:t>
            </w:r>
          </w:p>
        </w:tc>
        <w:tc>
          <w:tcPr>
            <w:tcW w:w="1146" w:type="dxa"/>
            <w:vAlign w:val="center"/>
          </w:tcPr>
          <w:p w14:paraId="3FA3EB56"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12</w:t>
            </w:r>
          </w:p>
        </w:tc>
        <w:tc>
          <w:tcPr>
            <w:tcW w:w="1158" w:type="dxa"/>
            <w:vAlign w:val="center"/>
          </w:tcPr>
          <w:p w14:paraId="0E882454"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15</w:t>
            </w:r>
          </w:p>
        </w:tc>
        <w:tc>
          <w:tcPr>
            <w:tcW w:w="956" w:type="dxa"/>
            <w:vAlign w:val="center"/>
          </w:tcPr>
          <w:p w14:paraId="17E65514"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105</w:t>
            </w:r>
          </w:p>
        </w:tc>
      </w:tr>
      <w:tr w:rsidR="00B02CF8" w:rsidRPr="003A6E5A" w14:paraId="2C5EDAF0" w14:textId="77777777" w:rsidTr="00C17FA8">
        <w:tc>
          <w:tcPr>
            <w:tcW w:w="1413" w:type="dxa"/>
            <w:vAlign w:val="center"/>
          </w:tcPr>
          <w:p w14:paraId="00DFA652"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rPr>
              <w:t>Кипр</w:t>
            </w:r>
          </w:p>
        </w:tc>
        <w:tc>
          <w:tcPr>
            <w:tcW w:w="850" w:type="dxa"/>
            <w:vAlign w:val="center"/>
          </w:tcPr>
          <w:p w14:paraId="1EFC3996"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4"/>
                <w:szCs w:val="24"/>
              </w:rPr>
              <w:t>308</w:t>
            </w:r>
          </w:p>
        </w:tc>
        <w:tc>
          <w:tcPr>
            <w:tcW w:w="1134" w:type="dxa"/>
            <w:vAlign w:val="center"/>
          </w:tcPr>
          <w:p w14:paraId="4D39DFE6"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29</w:t>
            </w:r>
          </w:p>
        </w:tc>
        <w:tc>
          <w:tcPr>
            <w:tcW w:w="1134" w:type="dxa"/>
            <w:vAlign w:val="center"/>
          </w:tcPr>
          <w:p w14:paraId="404F4692"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10</w:t>
            </w:r>
          </w:p>
        </w:tc>
        <w:tc>
          <w:tcPr>
            <w:tcW w:w="851" w:type="dxa"/>
            <w:vAlign w:val="center"/>
          </w:tcPr>
          <w:p w14:paraId="3C532043"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15</w:t>
            </w:r>
          </w:p>
        </w:tc>
        <w:tc>
          <w:tcPr>
            <w:tcW w:w="1134" w:type="dxa"/>
            <w:vAlign w:val="center"/>
          </w:tcPr>
          <w:p w14:paraId="5C098048"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104</w:t>
            </w:r>
          </w:p>
        </w:tc>
        <w:tc>
          <w:tcPr>
            <w:tcW w:w="1146" w:type="dxa"/>
            <w:vAlign w:val="center"/>
          </w:tcPr>
          <w:p w14:paraId="738B311B"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12</w:t>
            </w:r>
          </w:p>
        </w:tc>
        <w:tc>
          <w:tcPr>
            <w:tcW w:w="1158" w:type="dxa"/>
            <w:vAlign w:val="center"/>
          </w:tcPr>
          <w:p w14:paraId="3DE7C8AD"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41</w:t>
            </w:r>
          </w:p>
        </w:tc>
        <w:tc>
          <w:tcPr>
            <w:tcW w:w="956" w:type="dxa"/>
            <w:vAlign w:val="center"/>
          </w:tcPr>
          <w:p w14:paraId="000A7609"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160</w:t>
            </w:r>
          </w:p>
        </w:tc>
      </w:tr>
      <w:tr w:rsidR="00B02CF8" w:rsidRPr="003A6E5A" w14:paraId="1585E317" w14:textId="77777777" w:rsidTr="00C17FA8">
        <w:tc>
          <w:tcPr>
            <w:tcW w:w="1413" w:type="dxa"/>
            <w:vAlign w:val="center"/>
          </w:tcPr>
          <w:p w14:paraId="4E01EE59"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0"/>
                <w:szCs w:val="20"/>
              </w:rPr>
              <w:t>Франция</w:t>
            </w:r>
          </w:p>
        </w:tc>
        <w:tc>
          <w:tcPr>
            <w:tcW w:w="850" w:type="dxa"/>
            <w:vAlign w:val="center"/>
          </w:tcPr>
          <w:p w14:paraId="3B21A68C"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bCs/>
                <w:sz w:val="24"/>
                <w:szCs w:val="24"/>
              </w:rPr>
              <w:t>131</w:t>
            </w:r>
          </w:p>
        </w:tc>
        <w:tc>
          <w:tcPr>
            <w:tcW w:w="1134" w:type="dxa"/>
            <w:vAlign w:val="center"/>
          </w:tcPr>
          <w:p w14:paraId="14FF1703"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3</w:t>
            </w:r>
          </w:p>
        </w:tc>
        <w:tc>
          <w:tcPr>
            <w:tcW w:w="1134" w:type="dxa"/>
            <w:vAlign w:val="center"/>
          </w:tcPr>
          <w:p w14:paraId="192292E0"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12</w:t>
            </w:r>
          </w:p>
        </w:tc>
        <w:tc>
          <w:tcPr>
            <w:tcW w:w="851" w:type="dxa"/>
            <w:vAlign w:val="center"/>
          </w:tcPr>
          <w:p w14:paraId="5E696B79"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5</w:t>
            </w:r>
          </w:p>
        </w:tc>
        <w:tc>
          <w:tcPr>
            <w:tcW w:w="1134" w:type="dxa"/>
            <w:vAlign w:val="center"/>
          </w:tcPr>
          <w:p w14:paraId="0D4CE178"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51</w:t>
            </w:r>
          </w:p>
        </w:tc>
        <w:tc>
          <w:tcPr>
            <w:tcW w:w="1146" w:type="dxa"/>
            <w:vAlign w:val="center"/>
          </w:tcPr>
          <w:p w14:paraId="59726A45"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9</w:t>
            </w:r>
          </w:p>
        </w:tc>
        <w:tc>
          <w:tcPr>
            <w:tcW w:w="1158" w:type="dxa"/>
            <w:vAlign w:val="center"/>
          </w:tcPr>
          <w:p w14:paraId="1563C351"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26</w:t>
            </w:r>
          </w:p>
        </w:tc>
        <w:tc>
          <w:tcPr>
            <w:tcW w:w="956" w:type="dxa"/>
            <w:vAlign w:val="center"/>
          </w:tcPr>
          <w:p w14:paraId="2F48C3A2" w14:textId="77777777" w:rsidR="00FC5A0E" w:rsidRPr="003A6E5A" w:rsidRDefault="00FC5A0E" w:rsidP="00C17FA8">
            <w:pPr>
              <w:spacing w:after="0" w:line="240" w:lineRule="auto"/>
              <w:rPr>
                <w:rFonts w:ascii="Times New Roman" w:eastAsia="Times New Roman" w:hAnsi="Times New Roman" w:cs="Times New Roman"/>
                <w:sz w:val="20"/>
                <w:szCs w:val="20"/>
                <w:lang w:eastAsia="ru-RU"/>
              </w:rPr>
            </w:pPr>
            <w:r w:rsidRPr="003A6E5A">
              <w:rPr>
                <w:rFonts w:ascii="Times New Roman" w:eastAsia="Times New Roman" w:hAnsi="Times New Roman" w:cs="Times New Roman"/>
                <w:sz w:val="24"/>
                <w:szCs w:val="24"/>
              </w:rPr>
              <w:t>82</w:t>
            </w:r>
          </w:p>
        </w:tc>
      </w:tr>
    </w:tbl>
    <w:p w14:paraId="4C659689" w14:textId="125F7DF9"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 таблица составлена автором исследования по</w:t>
      </w:r>
      <w:r w:rsidRPr="003A6E5A">
        <w:rPr>
          <w:rFonts w:ascii="Times New Roman" w:hAnsi="Times New Roman" w:cs="Times New Roman"/>
          <w:sz w:val="20"/>
          <w:szCs w:val="20"/>
        </w:rPr>
        <w:t xml:space="preserve"> данным </w:t>
      </w:r>
      <w:bookmarkStart w:id="40" w:name="_Hlk214291071"/>
      <w:r w:rsidRPr="003A6E5A">
        <w:rPr>
          <w:rFonts w:ascii="Times New Roman" w:hAnsi="Times New Roman" w:cs="Times New Roman"/>
          <w:sz w:val="20"/>
          <w:szCs w:val="20"/>
        </w:rPr>
        <w:t xml:space="preserve">Бюро национальной статистики Агентства по стратегическому планированию и реформам Республики Казахстан </w:t>
      </w:r>
      <w:bookmarkEnd w:id="40"/>
      <w:r w:rsidR="001C3BE7" w:rsidRPr="003A6E5A">
        <w:rPr>
          <w:rFonts w:ascii="Times New Roman" w:hAnsi="Times New Roman" w:cs="Times New Roman"/>
          <w:sz w:val="20"/>
          <w:szCs w:val="20"/>
        </w:rPr>
        <w:t>[1</w:t>
      </w:r>
      <w:r w:rsidR="00C96643" w:rsidRPr="003A6E5A">
        <w:rPr>
          <w:rFonts w:ascii="Times New Roman" w:hAnsi="Times New Roman" w:cs="Times New Roman"/>
          <w:sz w:val="20"/>
          <w:szCs w:val="20"/>
        </w:rPr>
        <w:t>43</w:t>
      </w:r>
      <w:r w:rsidR="001C3BE7" w:rsidRPr="003A6E5A">
        <w:rPr>
          <w:rFonts w:ascii="Times New Roman" w:hAnsi="Times New Roman" w:cs="Times New Roman"/>
          <w:sz w:val="20"/>
          <w:szCs w:val="20"/>
        </w:rPr>
        <w:t>].</w:t>
      </w:r>
    </w:p>
    <w:p w14:paraId="704CF3E9" w14:textId="77777777" w:rsidR="00FC5A0E" w:rsidRPr="003A6E5A" w:rsidRDefault="00FC5A0E" w:rsidP="00FC5A0E">
      <w:pPr>
        <w:spacing w:after="0" w:line="240" w:lineRule="auto"/>
        <w:jc w:val="both"/>
        <w:rPr>
          <w:rFonts w:ascii="Times New Roman" w:hAnsi="Times New Roman" w:cs="Times New Roman"/>
          <w:sz w:val="20"/>
          <w:szCs w:val="20"/>
        </w:rPr>
      </w:pPr>
    </w:p>
    <w:p w14:paraId="0380DE8A" w14:textId="77777777"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Анализ данных таблицы 8 позволяет идентифицировать четыре различные модели инвестиционного присутствия стран ЕС в Казахстане, каждая из которых имеет специфические экономические последствия для развития страны.</w:t>
      </w:r>
    </w:p>
    <w:p w14:paraId="7345803E" w14:textId="3A7025E1"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Диверсифицированная модель Германии характеризуется широким отраслевым охватом и опорой на малый и средний бизнес. Из 741 немецкой компании 419 работают в не торговых секторах, формируя разветвленную сеть кооперационных связей [1</w:t>
      </w:r>
      <w:r w:rsidR="00C96643" w:rsidRPr="003A6E5A">
        <w:rPr>
          <w:rFonts w:ascii="Times New Roman" w:eastAsia="Times New Roman" w:hAnsi="Times New Roman" w:cs="Times New Roman"/>
          <w:sz w:val="28"/>
          <w:szCs w:val="28"/>
          <w:lang w:eastAsia="ru-RU"/>
        </w:rPr>
        <w:t>43</w:t>
      </w:r>
      <w:r w:rsidRPr="003A6E5A">
        <w:rPr>
          <w:rFonts w:ascii="Times New Roman" w:eastAsia="Times New Roman" w:hAnsi="Times New Roman" w:cs="Times New Roman"/>
          <w:sz w:val="28"/>
          <w:szCs w:val="28"/>
          <w:lang w:val="kk-KZ" w:eastAsia="ru-RU"/>
        </w:rPr>
        <w:t>]. Значимым вектором сотрудничества становится реализация экологических проектов с участием компаний SMA Solar Technology и Enercon, способствуя развитию альтернативной энергетики [1</w:t>
      </w:r>
      <w:r w:rsidR="00C96643" w:rsidRPr="003A6E5A">
        <w:rPr>
          <w:rFonts w:ascii="Times New Roman" w:eastAsia="Times New Roman" w:hAnsi="Times New Roman" w:cs="Times New Roman"/>
          <w:sz w:val="28"/>
          <w:szCs w:val="28"/>
          <w:lang w:eastAsia="ru-RU"/>
        </w:rPr>
        <w:t>44</w:t>
      </w:r>
      <w:r w:rsidRPr="003A6E5A">
        <w:rPr>
          <w:rFonts w:ascii="Times New Roman" w:eastAsia="Times New Roman" w:hAnsi="Times New Roman" w:cs="Times New Roman"/>
          <w:sz w:val="28"/>
          <w:szCs w:val="28"/>
          <w:lang w:val="kk-KZ" w:eastAsia="ru-RU"/>
        </w:rPr>
        <w:t>]. Трансформация инвестиционной повестки проявляется в реализации крупных проектов, включая строительство завода гипсокартона «Кнауф» и золотоперерабатывающего завода Monterra Qasaqstan [1</w:t>
      </w:r>
      <w:r w:rsidR="001C3BE7" w:rsidRPr="003A6E5A">
        <w:rPr>
          <w:rFonts w:ascii="Times New Roman" w:eastAsia="Times New Roman" w:hAnsi="Times New Roman" w:cs="Times New Roman"/>
          <w:sz w:val="28"/>
          <w:szCs w:val="28"/>
          <w:lang w:val="kk-KZ" w:eastAsia="ru-RU"/>
        </w:rPr>
        <w:t>4</w:t>
      </w:r>
      <w:r w:rsidR="00C96643" w:rsidRPr="003A6E5A">
        <w:rPr>
          <w:rFonts w:ascii="Times New Roman" w:eastAsia="Times New Roman" w:hAnsi="Times New Roman" w:cs="Times New Roman"/>
          <w:sz w:val="28"/>
          <w:szCs w:val="28"/>
          <w:lang w:eastAsia="ru-RU"/>
        </w:rPr>
        <w:t>5</w:t>
      </w:r>
      <w:r w:rsidRPr="003A6E5A">
        <w:rPr>
          <w:rFonts w:ascii="Times New Roman" w:eastAsia="Times New Roman" w:hAnsi="Times New Roman" w:cs="Times New Roman"/>
          <w:sz w:val="28"/>
          <w:szCs w:val="28"/>
          <w:lang w:val="kk-KZ" w:eastAsia="ru-RU"/>
        </w:rPr>
        <w:t xml:space="preserve">]. Таким образом, </w:t>
      </w:r>
      <w:r w:rsidRPr="003A6E5A">
        <w:rPr>
          <w:rFonts w:ascii="Times New Roman" w:eastAsia="Times New Roman" w:hAnsi="Times New Roman" w:cs="Times New Roman"/>
          <w:sz w:val="28"/>
          <w:szCs w:val="28"/>
          <w:lang w:val="kk-KZ" w:eastAsia="ru-RU"/>
        </w:rPr>
        <w:lastRenderedPageBreak/>
        <w:t>немецкая модель создает комплексные предпосылки для структурной модернизации экономики Казахстана.</w:t>
      </w:r>
    </w:p>
    <w:p w14:paraId="1143D65A" w14:textId="77777777"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В противоположность немецкому подходу, Нидерланды демонстрируют модель концентрации капитала в стратегических отраслях. Присутствие 48 компаний в горнодобывающей промышленности и деятельность корпораций Royal Dutch Shell создают прочные связи в ресурсном секторе. Однако данная модель порождает существенные риски, учитывая, что на сырьевой сектор приходится 83% всех голландских инвестиций.</w:t>
      </w:r>
    </w:p>
    <w:p w14:paraId="2387C4B4" w14:textId="2EB45695"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Аналогичную сырьевую ориентацию, но с определенными нюансами, демонстрируют итальянские и французские инвестиции. Италия представляет пример сфокусированного на энергетике сотрудничества через компанию ENI [1</w:t>
      </w:r>
      <w:r w:rsidR="00F30397" w:rsidRPr="003A6E5A">
        <w:rPr>
          <w:rFonts w:ascii="Times New Roman" w:eastAsia="Times New Roman" w:hAnsi="Times New Roman" w:cs="Times New Roman"/>
          <w:sz w:val="28"/>
          <w:szCs w:val="28"/>
          <w:lang w:val="kk-KZ" w:eastAsia="ru-RU"/>
        </w:rPr>
        <w:t>4</w:t>
      </w:r>
      <w:r w:rsidR="00C96643" w:rsidRPr="003A6E5A">
        <w:rPr>
          <w:rFonts w:ascii="Times New Roman" w:eastAsia="Times New Roman" w:hAnsi="Times New Roman" w:cs="Times New Roman"/>
          <w:sz w:val="28"/>
          <w:szCs w:val="28"/>
          <w:lang w:eastAsia="ru-RU"/>
        </w:rPr>
        <w:t>6</w:t>
      </w:r>
      <w:r w:rsidRPr="003A6E5A">
        <w:rPr>
          <w:rFonts w:ascii="Times New Roman" w:eastAsia="Times New Roman" w:hAnsi="Times New Roman" w:cs="Times New Roman"/>
          <w:sz w:val="28"/>
          <w:szCs w:val="28"/>
          <w:lang w:val="kk-KZ" w:eastAsia="ru-RU"/>
        </w:rPr>
        <w:t>], в то время как Франция концентрируется на высокотехнологичных сегментах ТЭК через проекты с Orano S.A. и TotalEnergies [1</w:t>
      </w:r>
      <w:r w:rsidR="00F30397" w:rsidRPr="003A6E5A">
        <w:rPr>
          <w:rFonts w:ascii="Times New Roman" w:eastAsia="Times New Roman" w:hAnsi="Times New Roman" w:cs="Times New Roman"/>
          <w:sz w:val="28"/>
          <w:szCs w:val="28"/>
          <w:lang w:val="kk-KZ" w:eastAsia="ru-RU"/>
        </w:rPr>
        <w:t>4</w:t>
      </w:r>
      <w:r w:rsidR="00C96643" w:rsidRPr="003A6E5A">
        <w:rPr>
          <w:rFonts w:ascii="Times New Roman" w:eastAsia="Times New Roman" w:hAnsi="Times New Roman" w:cs="Times New Roman"/>
          <w:sz w:val="28"/>
          <w:szCs w:val="28"/>
          <w:lang w:eastAsia="ru-RU"/>
        </w:rPr>
        <w:t>7</w:t>
      </w:r>
      <w:r w:rsidRPr="003A6E5A">
        <w:rPr>
          <w:rFonts w:ascii="Times New Roman" w:eastAsia="Times New Roman" w:hAnsi="Times New Roman" w:cs="Times New Roman"/>
          <w:sz w:val="28"/>
          <w:szCs w:val="28"/>
          <w:lang w:val="kk-KZ" w:eastAsia="ru-RU"/>
        </w:rPr>
        <w:t>]. Примечательно, что порядка 93% прямых инвестиций французских компаний направлено именно в добывающую промышленность, что формирует высокую зависимость от конъюнктуры мирового рынка сырья</w:t>
      </w:r>
      <w:r w:rsidR="00F30397" w:rsidRPr="003A6E5A">
        <w:rPr>
          <w:rFonts w:ascii="Times New Roman" w:eastAsia="Times New Roman" w:hAnsi="Times New Roman" w:cs="Times New Roman"/>
          <w:sz w:val="28"/>
          <w:szCs w:val="28"/>
          <w:lang w:val="kk-KZ" w:eastAsia="ru-RU"/>
        </w:rPr>
        <w:t xml:space="preserve"> </w:t>
      </w:r>
      <w:r w:rsidR="00F30397" w:rsidRPr="003A6E5A">
        <w:rPr>
          <w:rFonts w:ascii="Times New Roman" w:eastAsia="Times New Roman" w:hAnsi="Times New Roman" w:cs="Times New Roman"/>
          <w:sz w:val="28"/>
          <w:szCs w:val="28"/>
          <w:lang w:eastAsia="ru-RU"/>
        </w:rPr>
        <w:t>[14</w:t>
      </w:r>
      <w:r w:rsidR="00C96643" w:rsidRPr="003A6E5A">
        <w:rPr>
          <w:rFonts w:ascii="Times New Roman" w:eastAsia="Times New Roman" w:hAnsi="Times New Roman" w:cs="Times New Roman"/>
          <w:sz w:val="28"/>
          <w:szCs w:val="28"/>
          <w:lang w:eastAsia="ru-RU"/>
        </w:rPr>
        <w:t>8</w:t>
      </w:r>
      <w:r w:rsidR="00F30397"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w:t>
      </w:r>
    </w:p>
    <w:p w14:paraId="3A74EA6C" w14:textId="244A8DFB"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 xml:space="preserve">Особый случай представляет Кипр, функционирующий преимущественно как юрисдикция для реинвестирования капитала. Из 308 кипрских компаний 160 функционируют в </w:t>
      </w:r>
      <w:r w:rsidR="00F30397"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val="kk-KZ" w:eastAsia="ru-RU"/>
        </w:rPr>
        <w:t>прочих секторах</w:t>
      </w:r>
      <w:r w:rsidR="00F30397" w:rsidRPr="003A6E5A">
        <w:rPr>
          <w:rFonts w:ascii="Times New Roman" w:eastAsia="Times New Roman" w:hAnsi="Times New Roman" w:cs="Times New Roman"/>
          <w:sz w:val="28"/>
          <w:szCs w:val="28"/>
          <w:lang w:val="kk-KZ" w:eastAsia="ru-RU"/>
        </w:rPr>
        <w:t>»</w:t>
      </w:r>
      <w:r w:rsidRPr="003A6E5A">
        <w:rPr>
          <w:rFonts w:ascii="Times New Roman" w:eastAsia="Times New Roman" w:hAnsi="Times New Roman" w:cs="Times New Roman"/>
          <w:sz w:val="28"/>
          <w:szCs w:val="28"/>
          <w:lang w:val="kk-KZ" w:eastAsia="ru-RU"/>
        </w:rPr>
        <w:t>, что свидетельствует об оптимизации корпоративных структур. Присутствие 7 крупных компаний в горнодобывающей сфере, включая голландско-кипрскую Lucent Oil&amp;Gas Limited [1</w:t>
      </w:r>
      <w:r w:rsidR="00F30397" w:rsidRPr="003A6E5A">
        <w:rPr>
          <w:rFonts w:ascii="Times New Roman" w:eastAsia="Times New Roman" w:hAnsi="Times New Roman" w:cs="Times New Roman"/>
          <w:sz w:val="28"/>
          <w:szCs w:val="28"/>
          <w:lang w:val="kk-KZ" w:eastAsia="ru-RU"/>
        </w:rPr>
        <w:t>4</w:t>
      </w:r>
      <w:r w:rsidR="00C96643" w:rsidRPr="003A6E5A">
        <w:rPr>
          <w:rFonts w:ascii="Times New Roman" w:eastAsia="Times New Roman" w:hAnsi="Times New Roman" w:cs="Times New Roman"/>
          <w:sz w:val="28"/>
          <w:szCs w:val="28"/>
          <w:lang w:eastAsia="ru-RU"/>
        </w:rPr>
        <w:t>9</w:t>
      </w:r>
      <w:r w:rsidRPr="003A6E5A">
        <w:rPr>
          <w:rFonts w:ascii="Times New Roman" w:eastAsia="Times New Roman" w:hAnsi="Times New Roman" w:cs="Times New Roman"/>
          <w:sz w:val="28"/>
          <w:szCs w:val="28"/>
          <w:lang w:val="kk-KZ" w:eastAsia="ru-RU"/>
        </w:rPr>
        <w:t>], подтверждает гипотезу о том, что кипрские инвестиции преимущественно обслуживают интересы сырьевого сектора.</w:t>
      </w:r>
    </w:p>
    <w:p w14:paraId="111AE298" w14:textId="77777777"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Проведенный анализ выявляет системную проблему: несмотря на декларируемые цели диверсификации, сложившиеся схемы инвестирования воспроизводят сырьевую зависимость экономики. Эта тенденция усугубляется системными барьерами на микроуровне, где, по сообщениям представителей бизнеса, непредсказуемые фискальные изменения и структурный дефицит квалифицированных кадров препятствуют реализации качественных инвестиционных проектов.</w:t>
      </w:r>
    </w:p>
    <w:p w14:paraId="52EE468B" w14:textId="77777777" w:rsidR="00394D58" w:rsidRPr="003A6E5A" w:rsidRDefault="00394D58"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Таким образом, выявленные модели инвестирования формируют самоподдерживающуюся систему: транзитные схемы (Кипр), отраслевая концентрация (Нидерланды, Франция) и институциональные барьеры взаимно усиливают сырьевую ориентацию экономики. Это объясняет устойчивость макротренда - несмотря на отдельные исключения в виде немецких средних компаний, доминирующая часть инвестиций продолжает концентрироваться в горнодобывающем секторе. Перспективы развития видятся в целенаправленной переориентации инвестиций в высокие технологии и обрабатывающие отрасли, а также в создании условий для технологического партнерства между транснациональными корпорациями и казахстанскими предприятиями.</w:t>
      </w:r>
    </w:p>
    <w:p w14:paraId="75DD459B" w14:textId="49DA160B" w:rsidR="00FC5A0E" w:rsidRPr="003A6E5A" w:rsidRDefault="00FC5A0E" w:rsidP="00394D58">
      <w:pPr>
        <w:spacing w:after="0" w:line="240" w:lineRule="auto"/>
        <w:ind w:firstLine="709"/>
        <w:jc w:val="both"/>
        <w:rPr>
          <w:rFonts w:ascii="Times New Roman" w:eastAsia="Times New Roman" w:hAnsi="Times New Roman" w:cs="Times New Roman"/>
          <w:sz w:val="28"/>
          <w:szCs w:val="28"/>
          <w:lang w:val="kk-KZ" w:eastAsia="ru-RU"/>
        </w:rPr>
      </w:pPr>
      <w:r w:rsidRPr="003A6E5A">
        <w:rPr>
          <w:rFonts w:ascii="Times New Roman" w:hAnsi="Times New Roman" w:cs="Times New Roman"/>
          <w:sz w:val="28"/>
          <w:szCs w:val="28"/>
        </w:rPr>
        <w:t xml:space="preserve">Описанные системные риски, в первую очередь сырьевая ориентация потоков, находят наглядное подтверждение в региональном разрезе. «Инвестиционная карта» Казахстана представляет собой мозаику из моделей, чья устойчивость и динамика напрямую зависят от их отраслевой </w:t>
      </w:r>
      <w:r w:rsidRPr="003A6E5A">
        <w:rPr>
          <w:rFonts w:ascii="Times New Roman" w:hAnsi="Times New Roman" w:cs="Times New Roman"/>
          <w:sz w:val="28"/>
          <w:szCs w:val="28"/>
        </w:rPr>
        <w:lastRenderedPageBreak/>
        <w:t xml:space="preserve">специализации. Анализ региональной структуры ПИИ позволяет перейти от общих констатаций к конкретным примерам уязвимости и, наоборот, относительной устойчивости. Яркой иллюстрацией уязвимости сырьевой модели является Абайская область, которая демонстрирует, образец высокой волатильности: если в 2015 году объем притока оказался отрицательным (-116,5 млн долларов США), то уже к 2020 году был зафиксирован максимум в 438,9 млн долларов США. Ключевую роль в формировании динамики играет горнодобывающая промышленность, на которую в 2024 году пришлось 707,2 млн долларов США. Данный результат свидетельствует о выраженной сырьевой зависимости региона и указывает на потенциальные риски инвестиционной нестабильности. В частности, в Акмолинской области наблюдается иной сценарий. Здесь значительную долю инвестиций аккумулируют обрабатывающая промышленность и торговля. Особого внимания заслуживает 2016 год, когда объем поступлений достиг 253,4 млн долларов США. Данный факт отражает реакцию инвесторов на институциональные и инфраструктурные преобразования. К сожалению, в последующие годы динамика оставалась неравномерной, однако приток в 2024 году достиг 501 млн долларов США, что подтверждает относительную устойчивость интереса иностранных инвесторов, несмотря на сохранение секторальной концентрации. Как известно, Актюбинская область выступает крупнейшим центром притяжения иностранного капитала. Наличие богатой минерально-сырьевой базы и развитого индустриального комплекса обеспечили региону максимальные показатели в 2017 году (1935,4 млн долларов США). Однако инвестиционная динамика носит циклический характер: после спада в 2018 году последовал новый рост, и к 2021 году объем вновь достиг 1361,5 млн долларов США. С учетом того, что секторальная структура подтверждает доминирование добывающих и обрабатывающих отраслей, необходимо признать, что данный факт все еще оставляет регион зависимым от мировой конъюнктуры сырьевых рынков. Для наглядности, Алматинская область демонстрирует более диверсифицированный профиль. Значимые инвестиционные потоки приходятся на обрабатывающую промышленность, торговлю и сектор недвижимости. В 2022 году объем составил 686,6 млн долларов США, а в 2023 году достиг пикового значения в 875,4 млн долларов США. Однако уже в 2024 году произошло резкое сокращение до 243,5 млн долларов США, что, по всей видимости, связано с завершением отдельных крупных проектов и снижением активности в строительстве. При этом г. Алматы все еще занимает особое место, выполняя функции финансово-торгового центра страны. В течение всего периода г. Алматы демонстрировал стабильно высокий уровень притока капитала: от 2,8 млрд долларов США в 2015 году до рекордных 7,7 млрд долларов США в 2023 году. Основным направлением вложений оставалась торговля, где в 2022 году объем достиг 4,8 млрд долларов США, а также финансовый сектор, поступления в который превысили 1,5 млрд долларов США в 2021 году. В то же время обрабатывающая промышленность оставалась относительно слабым направлением, что говорит о низкой привлекательности </w:t>
      </w:r>
      <w:r w:rsidRPr="003A6E5A">
        <w:rPr>
          <w:rFonts w:ascii="Times New Roman" w:hAnsi="Times New Roman" w:cs="Times New Roman"/>
          <w:sz w:val="28"/>
          <w:szCs w:val="28"/>
        </w:rPr>
        <w:lastRenderedPageBreak/>
        <w:t>индустриального производства по сравнению с торговлей и услугами. Столица страны г. Астана демонстрирует противоположный сценарий: абсолютные значения здесь ниже, чем в г. Алматы, однако темпы роста заметно выше. В 2022 году объем притока составил 2,25 млрд долларов США, при этом ключевыми направлениями остаются строительство (274 млн долларов США в 2023 году) и торговля (511 млн долларов США в 2024 году). Также динамично развивается сектор информации и связи: с 199 млн долларов США в 2021 году до 369 млн долларов США в 2024 году, что отражает становление столицы в качестве технологического центра. Вместе с тем стоит отметить, что по операциям с недвижимостью и в обрабатывающей промышленности фиксировались отрицательные значения, что указывает на высокую волатильность отдельных отраслей</w:t>
      </w:r>
      <w:r w:rsidR="00980461" w:rsidRPr="003A6E5A">
        <w:rPr>
          <w:rFonts w:ascii="Times New Roman" w:hAnsi="Times New Roman" w:cs="Times New Roman"/>
          <w:sz w:val="28"/>
          <w:szCs w:val="28"/>
        </w:rPr>
        <w:t xml:space="preserve"> [1</w:t>
      </w:r>
      <w:r w:rsidR="00C96643" w:rsidRPr="003A6E5A">
        <w:rPr>
          <w:rFonts w:ascii="Times New Roman" w:hAnsi="Times New Roman" w:cs="Times New Roman"/>
          <w:sz w:val="28"/>
          <w:szCs w:val="28"/>
        </w:rPr>
        <w:t>50</w:t>
      </w:r>
      <w:r w:rsidR="00980461" w:rsidRPr="003A6E5A">
        <w:rPr>
          <w:rFonts w:ascii="Times New Roman" w:hAnsi="Times New Roman" w:cs="Times New Roman"/>
          <w:sz w:val="28"/>
          <w:szCs w:val="28"/>
        </w:rPr>
        <w:t>]</w:t>
      </w:r>
      <w:r w:rsidRPr="003A6E5A">
        <w:rPr>
          <w:rFonts w:ascii="Times New Roman" w:hAnsi="Times New Roman" w:cs="Times New Roman"/>
          <w:sz w:val="28"/>
          <w:szCs w:val="28"/>
        </w:rPr>
        <w:t>.</w:t>
      </w:r>
    </w:p>
    <w:p w14:paraId="44C43448" w14:textId="74BD1333" w:rsidR="00FC5A0E" w:rsidRPr="003A6E5A" w:rsidRDefault="00FC5A0E" w:rsidP="00FC5A0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Атырауская область традиционно сохраняет позиции крупнейшего сырьевого региона</w:t>
      </w:r>
      <w:r w:rsidR="00980461" w:rsidRPr="003A6E5A">
        <w:rPr>
          <w:rFonts w:ascii="Times New Roman" w:hAnsi="Times New Roman" w:cs="Times New Roman"/>
          <w:sz w:val="28"/>
          <w:szCs w:val="28"/>
        </w:rPr>
        <w:t xml:space="preserve"> [1</w:t>
      </w:r>
      <w:r w:rsidR="00C96643" w:rsidRPr="003A6E5A">
        <w:rPr>
          <w:rFonts w:ascii="Times New Roman" w:hAnsi="Times New Roman" w:cs="Times New Roman"/>
          <w:sz w:val="28"/>
          <w:szCs w:val="28"/>
        </w:rPr>
        <w:t>51</w:t>
      </w:r>
      <w:r w:rsidR="00980461" w:rsidRPr="003A6E5A">
        <w:rPr>
          <w:rFonts w:ascii="Times New Roman" w:hAnsi="Times New Roman" w:cs="Times New Roman"/>
          <w:sz w:val="28"/>
          <w:szCs w:val="28"/>
        </w:rPr>
        <w:t>]</w:t>
      </w:r>
      <w:r w:rsidRPr="003A6E5A">
        <w:rPr>
          <w:rFonts w:ascii="Times New Roman" w:hAnsi="Times New Roman" w:cs="Times New Roman"/>
          <w:sz w:val="28"/>
          <w:szCs w:val="28"/>
        </w:rPr>
        <w:t>. В 2019 году общий приток составил 10,5 млрд долларов США, из которых более 9,7 млрд пришлось на добывающую промышленность. Однако в 2024 году совокупный объем сократился до 1,9 млрд долл. США, что почти в пять раз меньше уровня 2022 года. При этом структура вложений остается монопрофильной, а умеренный рост в строительстве (118 млн долларов США в 2024 году) не меняет общей картины. Восточно-Казахстанская область в 2014 году привлекла 2601 млн долларов США, однако к 2024 году показатель снизился до 571,8 млн долларов США. Такие результаты главным образом произошли за счет сокращения инвестиций в обрабатывающую промышленность. Жамбылская область демонстрирует низкие объемы при высокой амплитуде колебаний: от 41,1 млн долларов США в 2014 году до кратковременного роста в 2016 году (146,4 млн долларов США), за которым последовали спады. Как известно, Западно-Казахстанская область тесно связана с сырьевым сектором: при снижении притока до 1044,6 млн долларов США в 2021 году, уже к 2024 году объем восстановился до 1907,6 млн долларов США.</w:t>
      </w:r>
    </w:p>
    <w:p w14:paraId="36169A6E" w14:textId="20C5D05C" w:rsidR="00FC5A0E" w:rsidRPr="003A6E5A" w:rsidRDefault="00FC5A0E" w:rsidP="00FC5A0E">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Карагандинская область демонстрирует поступательный рост: с 94 млн долларов США в 2014 году до 433,9 млн долларов США в 2018 году, после чего стабилизировалась на уровне 387,6 млн долларов США в 2024 году. Наконец, Костанайская область отличается выраженной волатильностью: от 335,2 млн долларов США в 2014 году до 14,4 млн долларов США в 2015 году и 499 млн долларов США в 2024 году. Таким образом, пространственное распределение иностранных инвестиций в Казахстане определяется не только масштабами ресурсной базы, но и степенью диверсификации региональных экономик. Регионы с сырьевой ориентацией привлекают значительные объемы капитала, но оказываются наиболее подверженными внешним колебаниям. Напротив, города-региональные центры и территории с более сбалансированной отраслевой структурой демонстрируют устойчивую динамику, хотя и уступают в абсолютных величинах. Выявленные закономерности подчеркивают необходимость диверсификации структуры прямых иностранных инвестиций. Отметим, что без расширения спектра приоритетных отраслей сохраняется риск чрезмерной зависимости от сырьевых секторов, что делает национальную </w:t>
      </w:r>
      <w:r w:rsidRPr="003A6E5A">
        <w:rPr>
          <w:rFonts w:ascii="Times New Roman" w:hAnsi="Times New Roman" w:cs="Times New Roman"/>
          <w:sz w:val="28"/>
          <w:szCs w:val="28"/>
        </w:rPr>
        <w:lastRenderedPageBreak/>
        <w:t>экономику уязвимой к внешним шокам. В этой связи ключевым направлением инвестиционной политики должно стать стимулирование вложений в обрабатывающую промышленность, сферу услуг и высокотехнологичные сектора, что позволит обеспечить более сбалансированное и устойчивое развитие регионов Казахстана.</w:t>
      </w:r>
    </w:p>
    <w:p w14:paraId="1C2F337F" w14:textId="67C6751D" w:rsidR="00FC5A0E" w:rsidRPr="003A6E5A" w:rsidRDefault="00FC5A0E" w:rsidP="00FC5A0E">
      <w:pPr>
        <w:spacing w:after="0" w:line="240" w:lineRule="auto"/>
        <w:ind w:firstLine="709"/>
        <w:jc w:val="both"/>
        <w:rPr>
          <w:rFonts w:ascii="Times New Roman" w:hAnsi="Times New Roman"/>
          <w:sz w:val="28"/>
          <w:szCs w:val="28"/>
        </w:rPr>
      </w:pPr>
      <w:r w:rsidRPr="003A6E5A">
        <w:rPr>
          <w:rFonts w:ascii="Times New Roman" w:hAnsi="Times New Roman"/>
          <w:sz w:val="28"/>
          <w:szCs w:val="28"/>
          <w:lang w:val="kk-KZ"/>
        </w:rPr>
        <w:t xml:space="preserve">По мнению Н. Демеуова и Есдаулетова А. инвестиционные потоки в Казахстан имеют довольно узкую направленность, обусловленную стремлением инвесторов к получению быстрой прибыли за счёт продажи сырьевых товаров </w:t>
      </w:r>
      <w:r w:rsidR="00863179" w:rsidRPr="003A6E5A">
        <w:rPr>
          <w:rFonts w:ascii="Times New Roman" w:hAnsi="Times New Roman"/>
          <w:sz w:val="28"/>
          <w:szCs w:val="28"/>
        </w:rPr>
        <w:t>[30]</w:t>
      </w:r>
      <w:r w:rsidRPr="003A6E5A">
        <w:rPr>
          <w:rFonts w:ascii="Times New Roman" w:hAnsi="Times New Roman"/>
          <w:sz w:val="28"/>
          <w:szCs w:val="28"/>
          <w:lang w:val="kk-KZ"/>
        </w:rPr>
        <w:t xml:space="preserve">. </w:t>
      </w:r>
      <w:r w:rsidRPr="003A6E5A">
        <w:rPr>
          <w:rFonts w:ascii="Times New Roman" w:hAnsi="Times New Roman"/>
          <w:sz w:val="28"/>
          <w:szCs w:val="28"/>
        </w:rPr>
        <w:t xml:space="preserve">В этой связи особое значение приобретает стимулирование притока инвестиций в высокотехнологичные и наукоёмкие сектора, развитие человеческого капитала, образовательной инфраструктуры, медицины и сферы зелёных технологий. В </w:t>
      </w:r>
      <w:bookmarkStart w:id="41" w:name="_Hlk210407016"/>
      <w:r w:rsidRPr="003A6E5A">
        <w:rPr>
          <w:rFonts w:ascii="Times New Roman" w:hAnsi="Times New Roman"/>
          <w:sz w:val="28"/>
          <w:szCs w:val="28"/>
        </w:rPr>
        <w:t>«Концепции инвестиционной политики Республики Казахстан до 2029 года», утверждённой Постановлением Правительства №868 от 18 октября 2024 года</w:t>
      </w:r>
      <w:r w:rsidRPr="003A6E5A">
        <w:rPr>
          <w:rFonts w:ascii="Times New Roman" w:hAnsi="Times New Roman"/>
          <w:sz w:val="28"/>
          <w:szCs w:val="28"/>
          <w:lang w:val="kk-KZ"/>
        </w:rPr>
        <w:t xml:space="preserve"> </w:t>
      </w:r>
      <w:bookmarkEnd w:id="41"/>
      <w:r w:rsidRPr="003A6E5A">
        <w:rPr>
          <w:rFonts w:ascii="Times New Roman" w:hAnsi="Times New Roman"/>
          <w:sz w:val="28"/>
          <w:szCs w:val="28"/>
        </w:rPr>
        <w:t>[</w:t>
      </w:r>
      <w:r w:rsidR="00F30397" w:rsidRPr="003A6E5A">
        <w:rPr>
          <w:rFonts w:ascii="Times New Roman" w:hAnsi="Times New Roman"/>
          <w:sz w:val="28"/>
          <w:szCs w:val="28"/>
        </w:rPr>
        <w:t>41</w:t>
      </w:r>
      <w:r w:rsidRPr="003A6E5A">
        <w:rPr>
          <w:rFonts w:ascii="Times New Roman" w:hAnsi="Times New Roman"/>
          <w:sz w:val="28"/>
          <w:szCs w:val="28"/>
        </w:rPr>
        <w:t xml:space="preserve">], подчёркивается необходимость отхода от сырьевой модели и усиления роли несырьевого сектора как основного драйвера производительности труда, роста экспорта и технологической локализации </w:t>
      </w:r>
      <w:r w:rsidR="00863179" w:rsidRPr="003A6E5A">
        <w:rPr>
          <w:rFonts w:ascii="Times New Roman" w:hAnsi="Times New Roman"/>
          <w:sz w:val="28"/>
          <w:szCs w:val="28"/>
        </w:rPr>
        <w:t>[31]</w:t>
      </w:r>
      <w:r w:rsidRPr="003A6E5A">
        <w:rPr>
          <w:rFonts w:ascii="Times New Roman" w:hAnsi="Times New Roman"/>
          <w:sz w:val="28"/>
          <w:szCs w:val="28"/>
        </w:rPr>
        <w:t xml:space="preserve">. </w:t>
      </w:r>
    </w:p>
    <w:p w14:paraId="572DBB8A" w14:textId="77777777" w:rsidR="00F81CE1" w:rsidRPr="003A6E5A" w:rsidRDefault="00F81CE1" w:rsidP="00FC5A0E">
      <w:pPr>
        <w:spacing w:after="0" w:line="240" w:lineRule="auto"/>
        <w:ind w:firstLine="709"/>
        <w:jc w:val="both"/>
        <w:rPr>
          <w:rFonts w:ascii="Times New Roman" w:hAnsi="Times New Roman"/>
          <w:sz w:val="28"/>
          <w:szCs w:val="28"/>
        </w:rPr>
      </w:pPr>
    </w:p>
    <w:tbl>
      <w:tblPr>
        <w:tblStyle w:val="ac"/>
        <w:tblW w:w="98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4868"/>
      </w:tblGrid>
      <w:tr w:rsidR="00B02CF8" w:rsidRPr="003A6E5A" w14:paraId="1F5FE3A8" w14:textId="77777777" w:rsidTr="00C17FA8">
        <w:trPr>
          <w:jc w:val="center"/>
        </w:trPr>
        <w:tc>
          <w:tcPr>
            <w:tcW w:w="4950" w:type="dxa"/>
          </w:tcPr>
          <w:p w14:paraId="59D75831" w14:textId="77777777" w:rsidR="00FC5A0E" w:rsidRPr="003A6E5A" w:rsidRDefault="00FC5A0E" w:rsidP="00C17FA8">
            <w:pPr>
              <w:spacing w:after="0" w:line="240" w:lineRule="auto"/>
              <w:rPr>
                <w:rFonts w:ascii="Times New Roman" w:hAnsi="Times New Roman" w:cs="Times New Roman"/>
                <w:sz w:val="28"/>
                <w:szCs w:val="28"/>
                <w:lang w:val="kk-KZ"/>
              </w:rPr>
            </w:pPr>
            <w:r w:rsidRPr="003A6E5A">
              <w:rPr>
                <w:rFonts w:ascii="Times New Roman" w:hAnsi="Times New Roman" w:cs="Times New Roman"/>
                <w:noProof/>
              </w:rPr>
              <w:drawing>
                <wp:inline distT="0" distB="0" distL="114300" distR="114300" wp14:anchorId="28ECC161" wp14:editId="1DC366FB">
                  <wp:extent cx="3017520" cy="2301875"/>
                  <wp:effectExtent l="0" t="0" r="0" b="14605"/>
                  <wp:docPr id="2" name="Picture 1"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Изображение выглядит как текст, карта, атлас&#10;&#10;Автоматически созданное описание"/>
                          <pic:cNvPicPr>
                            <a:picLocks noChangeAspect="1"/>
                          </pic:cNvPicPr>
                        </pic:nvPicPr>
                        <pic:blipFill>
                          <a:blip r:embed="rId25"/>
                          <a:stretch>
                            <a:fillRect/>
                          </a:stretch>
                        </pic:blipFill>
                        <pic:spPr>
                          <a:xfrm>
                            <a:off x="0" y="0"/>
                            <a:ext cx="3017520" cy="2301875"/>
                          </a:xfrm>
                          <a:prstGeom prst="rect">
                            <a:avLst/>
                          </a:prstGeom>
                          <a:noFill/>
                          <a:ln>
                            <a:noFill/>
                          </a:ln>
                        </pic:spPr>
                      </pic:pic>
                    </a:graphicData>
                  </a:graphic>
                </wp:inline>
              </w:drawing>
            </w:r>
          </w:p>
        </w:tc>
        <w:tc>
          <w:tcPr>
            <w:tcW w:w="4868" w:type="dxa"/>
          </w:tcPr>
          <w:p w14:paraId="355F2D76" w14:textId="77777777" w:rsidR="00FC5A0E" w:rsidRPr="003A6E5A" w:rsidRDefault="00FC5A0E" w:rsidP="00C17FA8">
            <w:pPr>
              <w:spacing w:after="0" w:line="240" w:lineRule="auto"/>
              <w:rPr>
                <w:rFonts w:ascii="Times New Roman" w:hAnsi="Times New Roman" w:cs="Times New Roman"/>
                <w:sz w:val="28"/>
                <w:szCs w:val="28"/>
                <w:lang w:val="kk-KZ"/>
              </w:rPr>
            </w:pPr>
            <w:r w:rsidRPr="003A6E5A">
              <w:rPr>
                <w:rFonts w:ascii="Times New Roman" w:hAnsi="Times New Roman" w:cs="Times New Roman"/>
                <w:noProof/>
              </w:rPr>
              <w:drawing>
                <wp:inline distT="0" distB="0" distL="114300" distR="114300" wp14:anchorId="6C525C42" wp14:editId="2EAA4F35">
                  <wp:extent cx="2955925" cy="2242457"/>
                  <wp:effectExtent l="0" t="0" r="0" b="5715"/>
                  <wp:docPr id="5" name="Picture 2" descr="Изображение выглядит как текст, карта,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Изображение выглядит как текст, карта, атлас&#10;&#10;Автоматически созданное описание"/>
                          <pic:cNvPicPr>
                            <a:picLocks noChangeAspect="1"/>
                          </pic:cNvPicPr>
                        </pic:nvPicPr>
                        <pic:blipFill>
                          <a:blip r:embed="rId26"/>
                          <a:stretch>
                            <a:fillRect/>
                          </a:stretch>
                        </pic:blipFill>
                        <pic:spPr>
                          <a:xfrm>
                            <a:off x="0" y="0"/>
                            <a:ext cx="2956757" cy="2243088"/>
                          </a:xfrm>
                          <a:prstGeom prst="rect">
                            <a:avLst/>
                          </a:prstGeom>
                          <a:noFill/>
                          <a:ln>
                            <a:noFill/>
                          </a:ln>
                        </pic:spPr>
                      </pic:pic>
                    </a:graphicData>
                  </a:graphic>
                </wp:inline>
              </w:drawing>
            </w:r>
          </w:p>
        </w:tc>
      </w:tr>
      <w:tr w:rsidR="00FC5A0E" w:rsidRPr="003A6E5A" w14:paraId="35513168" w14:textId="77777777" w:rsidTr="00C17FA8">
        <w:trPr>
          <w:jc w:val="center"/>
        </w:trPr>
        <w:tc>
          <w:tcPr>
            <w:tcW w:w="4950" w:type="dxa"/>
          </w:tcPr>
          <w:p w14:paraId="3CAD6B10" w14:textId="77777777" w:rsidR="00FC5A0E" w:rsidRPr="003A6E5A" w:rsidRDefault="00FC5A0E" w:rsidP="00C17FA8">
            <w:pPr>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kk-KZ"/>
              </w:rPr>
              <w:t>(а) 2014 год</w:t>
            </w:r>
          </w:p>
        </w:tc>
        <w:tc>
          <w:tcPr>
            <w:tcW w:w="4868" w:type="dxa"/>
          </w:tcPr>
          <w:p w14:paraId="63F12624" w14:textId="77777777" w:rsidR="00FC5A0E" w:rsidRPr="003A6E5A" w:rsidRDefault="00FC5A0E" w:rsidP="00C17FA8">
            <w:pPr>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kk-KZ"/>
              </w:rPr>
              <w:t>(б) 2024 год</w:t>
            </w:r>
          </w:p>
        </w:tc>
      </w:tr>
    </w:tbl>
    <w:p w14:paraId="06E14611" w14:textId="77777777" w:rsidR="00FC5A0E" w:rsidRPr="003A6E5A" w:rsidRDefault="00FC5A0E" w:rsidP="00FC5A0E">
      <w:pPr>
        <w:spacing w:after="0" w:line="240" w:lineRule="auto"/>
        <w:jc w:val="center"/>
        <w:rPr>
          <w:rFonts w:ascii="Times New Roman" w:hAnsi="Times New Roman" w:cs="Times New Roman"/>
          <w:sz w:val="28"/>
          <w:szCs w:val="28"/>
          <w:lang w:val="kk-KZ"/>
        </w:rPr>
      </w:pPr>
    </w:p>
    <w:p w14:paraId="0B49A124" w14:textId="77777777" w:rsidR="00FC5A0E" w:rsidRPr="003A6E5A" w:rsidRDefault="00FC5A0E" w:rsidP="00FC5A0E">
      <w:pPr>
        <w:spacing w:after="0" w:line="240" w:lineRule="auto"/>
        <w:jc w:val="center"/>
        <w:rPr>
          <w:rFonts w:ascii="Times New Roman" w:hAnsi="Times New Roman" w:cs="Times New Roman"/>
          <w:sz w:val="28"/>
          <w:szCs w:val="28"/>
          <w:lang w:val="kk-KZ"/>
        </w:rPr>
      </w:pPr>
      <w:r w:rsidRPr="003A6E5A">
        <w:rPr>
          <w:rFonts w:ascii="Times New Roman" w:hAnsi="Times New Roman" w:cs="Times New Roman"/>
          <w:sz w:val="28"/>
          <w:szCs w:val="28"/>
          <w:lang w:val="kk-KZ"/>
        </w:rPr>
        <w:t>График 6. Валовый приток прямых инвестиций в Казахстан от иностранных прямых инвесторов в разрезе регионов Казахстана, млн. долларов США</w:t>
      </w:r>
    </w:p>
    <w:p w14:paraId="22B7A6F0" w14:textId="77777777" w:rsidR="00FC5A0E" w:rsidRPr="003A6E5A" w:rsidRDefault="00FC5A0E" w:rsidP="00FC5A0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составлена автором исследования по</w:t>
      </w:r>
      <w:r w:rsidRPr="003A6E5A">
        <w:rPr>
          <w:rFonts w:ascii="Times New Roman" w:hAnsi="Times New Roman" w:cs="Times New Roman"/>
          <w:sz w:val="20"/>
          <w:szCs w:val="20"/>
        </w:rPr>
        <w:t xml:space="preserve"> данным НБ РК</w:t>
      </w:r>
    </w:p>
    <w:p w14:paraId="7A8C1C40" w14:textId="77777777" w:rsidR="00FC5A0E" w:rsidRPr="003A6E5A" w:rsidRDefault="00FC5A0E" w:rsidP="00FC5A0E">
      <w:pPr>
        <w:spacing w:after="0" w:line="240" w:lineRule="auto"/>
        <w:jc w:val="both"/>
        <w:rPr>
          <w:rFonts w:ascii="Times New Roman" w:hAnsi="Times New Roman" w:cs="Times New Roman"/>
          <w:sz w:val="20"/>
          <w:szCs w:val="20"/>
        </w:rPr>
      </w:pPr>
    </w:p>
    <w:p w14:paraId="580B81B6" w14:textId="7D55D913" w:rsidR="00566B59" w:rsidRPr="003A6E5A" w:rsidRDefault="00FC5A0E" w:rsidP="000D70BD">
      <w:pPr>
        <w:spacing w:after="0" w:line="240" w:lineRule="auto"/>
        <w:ind w:firstLine="709"/>
        <w:jc w:val="both"/>
        <w:rPr>
          <w:rFonts w:ascii="Times New Roman" w:hAnsi="Times New Roman"/>
          <w:sz w:val="28"/>
          <w:szCs w:val="28"/>
        </w:rPr>
      </w:pPr>
      <w:r w:rsidRPr="003A6E5A">
        <w:rPr>
          <w:rFonts w:ascii="Times New Roman" w:hAnsi="Times New Roman"/>
          <w:sz w:val="28"/>
          <w:szCs w:val="28"/>
        </w:rPr>
        <w:t>Одним из приоритетов обозначено формирование экономики замкнутого цикла, основанной на принципах устойчивого развития, декарбонизации и внедрении передовых экологически чистых технологий, включая использование «зелёного» водорода [1</w:t>
      </w:r>
      <w:r w:rsidR="00C96643" w:rsidRPr="003A6E5A">
        <w:rPr>
          <w:rFonts w:ascii="Times New Roman" w:hAnsi="Times New Roman"/>
          <w:sz w:val="28"/>
          <w:szCs w:val="28"/>
        </w:rPr>
        <w:t>52</w:t>
      </w:r>
      <w:r w:rsidRPr="003A6E5A">
        <w:rPr>
          <w:rFonts w:ascii="Times New Roman" w:hAnsi="Times New Roman"/>
          <w:sz w:val="28"/>
          <w:szCs w:val="28"/>
        </w:rPr>
        <w:t xml:space="preserve">]. Тем самым формируется новая парадигма инвестиционного развития, ориентированная на структурную трансформацию экономики и интеграцию в глобальные цепочки создания стоимости. </w:t>
      </w:r>
    </w:p>
    <w:p w14:paraId="0D6A901F" w14:textId="77777777" w:rsidR="000D70BD" w:rsidRPr="003A6E5A" w:rsidRDefault="000D70BD" w:rsidP="000D70BD">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Проведенный анализ инвестиционного взаимодействия Казахстана с Европейским союзом в период 2014-2024 гг. выявляет устойчивую структурную асимметрию, характеризующуюся доминированием сырьевой ориентации при ограниченном мультипликативном эффекте для национальной экономики. Ключевой проблемой остается гипертрофированная концентрация </w:t>
      </w:r>
      <w:r w:rsidRPr="003A6E5A">
        <w:rPr>
          <w:rFonts w:ascii="Times New Roman" w:eastAsia="Times New Roman" w:hAnsi="Times New Roman" w:cs="Times New Roman"/>
          <w:sz w:val="28"/>
          <w:szCs w:val="28"/>
          <w:lang w:eastAsia="ru-RU"/>
        </w:rPr>
        <w:lastRenderedPageBreak/>
        <w:t>капиталовложений в горнодобывающем секторе, где сфокусировано 77% общего объема накопленных инвестиций, что воспроизводит ресурсную зависимость и усиливает уязвимость экономики к внешним конъюнктурным шокам. При этом кластерный анализ подтверждает доминирование транзитных юрисдикций (Нидерланды, Кипр, Люксембург) с высокой долей репатриации прибыли и низким уровнем реинвестирования, что ограничивает позитивный спилловер-эффект для смежных отраслей.</w:t>
      </w:r>
    </w:p>
    <w:p w14:paraId="279B36AE" w14:textId="77777777" w:rsidR="000D70BD" w:rsidRPr="003A6E5A" w:rsidRDefault="000D70BD" w:rsidP="000D70BD">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Географическая и секторальная структура инвестиций демонстрирует системную фрагментарность, выражающуюся в резкой дифференциации регионов по уровню привлекаемого капитала. Ресурсно-ориентированные регионы (Атырауская, Актюбинская, Мангистауская области) аккумулируют свыше 60% общего объема ПИИ, однако демонстрируют высокую волатильность потоков, коррелирующую с динамикой мировых цен на сырье. В противоположность этому, диверсифицированные регионы (г. Алматы, Акмолинская, Карагандинская области) характеризуются более стабильной, но существенно меньшей по объему инвестиционной активностью, сконцентрированной в торговле, финансовом секторе и обрабатывающей промышленности. Такая пространственная поляризация усиливает межрегиональные диспропорции и затрудняет формирование интегрированных производственных кластеров.</w:t>
      </w:r>
    </w:p>
    <w:p w14:paraId="36B51F12" w14:textId="77777777" w:rsidR="000D70BD" w:rsidRPr="003A6E5A" w:rsidRDefault="000D70BD" w:rsidP="000D70BD">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Институциональные барьеры и структурные ограничения продолжают сдерживать переход к качественно новой модели инвестиционного сотрудничества. Несмотря на декларируемые цели диверсификации, сохраняются системные проблемы: непредсказуемость фискальной политики, дефицит квалифицированных кадров, высокие бюрократические издержки и коррупционные риски. Эти факторы создают отрицательную селекцию, отсекая именно те компании, которые способны обеспечить технологический трансфер и развитие несырьевых секторов. Немецкие компании, демонстрирующие наиболее диверсифицированную и устойчивую модель взаимодействия, особенно чувствительны к данным ограничениям, что подтверждается их жалобами на трехкратное увеличение налоговой нагрузки и сложности с долгосрочным планированием.</w:t>
      </w:r>
    </w:p>
    <w:p w14:paraId="277D2C66" w14:textId="1DF22001" w:rsidR="00FC5A0E" w:rsidRPr="003A6E5A" w:rsidRDefault="000D70BD" w:rsidP="000D70BD">
      <w:pPr>
        <w:spacing w:after="0" w:line="240" w:lineRule="auto"/>
        <w:ind w:firstLine="709"/>
        <w:jc w:val="both"/>
        <w:rPr>
          <w:rFonts w:ascii="Times New Roman" w:hAnsi="Times New Roman" w:cs="Times New Roman"/>
          <w:sz w:val="28"/>
          <w:lang w:eastAsia="ru-RU"/>
        </w:rPr>
      </w:pPr>
      <w:r w:rsidRPr="003A6E5A">
        <w:rPr>
          <w:rFonts w:ascii="Times New Roman" w:eastAsia="Times New Roman" w:hAnsi="Times New Roman" w:cs="Times New Roman"/>
          <w:sz w:val="28"/>
          <w:szCs w:val="28"/>
          <w:lang w:eastAsia="ru-RU"/>
        </w:rPr>
        <w:t xml:space="preserve">В стратегической перспективе необходима целенаправленная переориентация инвестиционной политики на стимулирование «качественных» инвестиций, обеспечивающих структурную трансформацию экономики. Ключевыми приоритетами должны стать: развитие производственной кооперации в высокотехнологичных отраслях (возобновляемая энергетика, переработка критических металлов, цифровые технологии), внедрение дифференцированных режимов регулирования для различных кластеров инвесторов и реализация мер по усилению локализации и технологического трансфера. Достижение целевого показателя увеличения доли диверсифицированных инвестиций до 45% к 2029 году потребует не только совершенствования инвестиционного климата, но и активного использования </w:t>
      </w:r>
      <w:r w:rsidRPr="003A6E5A">
        <w:rPr>
          <w:rFonts w:ascii="Times New Roman" w:eastAsia="Times New Roman" w:hAnsi="Times New Roman" w:cs="Times New Roman"/>
          <w:sz w:val="28"/>
          <w:szCs w:val="28"/>
          <w:lang w:eastAsia="ru-RU"/>
        </w:rPr>
        <w:lastRenderedPageBreak/>
        <w:t>инструментов промышленной политики для формирования новых точек роста вне традиционного сырьевого сектора.</w:t>
      </w:r>
    </w:p>
    <w:p w14:paraId="5BE17AC8" w14:textId="0D8E6575" w:rsidR="00FC5A0E" w:rsidRPr="003A6E5A" w:rsidRDefault="00FC5A0E" w:rsidP="00FC5A0E">
      <w:pPr>
        <w:spacing w:after="0" w:line="240" w:lineRule="auto"/>
        <w:ind w:firstLine="709"/>
        <w:rPr>
          <w:rFonts w:ascii="Times New Roman" w:hAnsi="Times New Roman" w:cs="Times New Roman"/>
          <w:sz w:val="28"/>
          <w:lang w:eastAsia="ru-RU"/>
        </w:rPr>
      </w:pPr>
    </w:p>
    <w:p w14:paraId="2AD6F573" w14:textId="77777777" w:rsidR="00F9557F" w:rsidRPr="003A6E5A" w:rsidRDefault="00F9557F" w:rsidP="00FC5A0E">
      <w:pPr>
        <w:spacing w:after="0" w:line="240" w:lineRule="auto"/>
        <w:ind w:firstLine="709"/>
        <w:rPr>
          <w:rFonts w:ascii="Times New Roman" w:hAnsi="Times New Roman" w:cs="Times New Roman"/>
          <w:sz w:val="28"/>
          <w:lang w:eastAsia="ru-RU"/>
        </w:rPr>
      </w:pPr>
    </w:p>
    <w:p w14:paraId="5B4BB9E6" w14:textId="7AB41DC9" w:rsidR="0003217D" w:rsidRPr="003A6E5A" w:rsidRDefault="00FC275D" w:rsidP="00FC5A0E">
      <w:pPr>
        <w:pStyle w:val="2-"/>
        <w:spacing w:before="0" w:line="240" w:lineRule="auto"/>
        <w:ind w:firstLine="709"/>
        <w:jc w:val="both"/>
        <w:rPr>
          <w:rFonts w:ascii="Times New Roman" w:hAnsi="Times New Roman" w:cs="Times New Roman"/>
          <w:color w:val="auto"/>
          <w:sz w:val="28"/>
          <w:szCs w:val="28"/>
        </w:rPr>
      </w:pPr>
      <w:bookmarkStart w:id="42" w:name="_Hlk213168142"/>
      <w:r w:rsidRPr="003A6E5A">
        <w:rPr>
          <w:rFonts w:ascii="Times New Roman" w:hAnsi="Times New Roman" w:cs="Times New Roman"/>
          <w:b/>
          <w:color w:val="auto"/>
          <w:sz w:val="28"/>
          <w:szCs w:val="28"/>
          <w:lang w:val="kk-KZ"/>
        </w:rPr>
        <w:t>3</w:t>
      </w:r>
      <w:r w:rsidRPr="003A6E5A">
        <w:rPr>
          <w:rFonts w:ascii="Times New Roman" w:hAnsi="Times New Roman" w:cs="Times New Roman"/>
          <w:b/>
          <w:color w:val="auto"/>
          <w:sz w:val="28"/>
          <w:szCs w:val="28"/>
        </w:rPr>
        <w:t>.</w:t>
      </w:r>
      <w:r w:rsidR="00FC5A0E" w:rsidRPr="003A6E5A">
        <w:rPr>
          <w:rFonts w:ascii="Times New Roman" w:hAnsi="Times New Roman" w:cs="Times New Roman"/>
          <w:b/>
          <w:color w:val="auto"/>
          <w:sz w:val="28"/>
          <w:szCs w:val="28"/>
          <w:lang w:val="kk-KZ"/>
        </w:rPr>
        <w:t>2</w:t>
      </w:r>
      <w:r w:rsidRPr="003A6E5A">
        <w:rPr>
          <w:rFonts w:ascii="Times New Roman" w:hAnsi="Times New Roman" w:cs="Times New Roman"/>
          <w:b/>
          <w:color w:val="auto"/>
          <w:sz w:val="28"/>
          <w:szCs w:val="28"/>
        </w:rPr>
        <w:t xml:space="preserve"> </w:t>
      </w:r>
      <w:r w:rsidRPr="003A6E5A">
        <w:rPr>
          <w:rFonts w:ascii="Times New Roman" w:hAnsi="Times New Roman" w:cs="Times New Roman"/>
          <w:b/>
          <w:color w:val="auto"/>
          <w:sz w:val="28"/>
          <w:szCs w:val="28"/>
          <w:lang w:val="kk-KZ"/>
        </w:rPr>
        <w:t>Формирование интегрального показателя “Индекс инвестиционного потенциала” регионов Казахстана</w:t>
      </w:r>
      <w:bookmarkEnd w:id="39"/>
    </w:p>
    <w:bookmarkEnd w:id="42"/>
    <w:p w14:paraId="0327917D" w14:textId="77777777" w:rsidR="0003217D" w:rsidRPr="003A6E5A" w:rsidRDefault="0003217D" w:rsidP="00861A04">
      <w:pPr>
        <w:spacing w:after="0" w:line="240" w:lineRule="auto"/>
        <w:ind w:firstLine="709"/>
        <w:jc w:val="both"/>
        <w:rPr>
          <w:rFonts w:ascii="Times New Roman" w:hAnsi="Times New Roman" w:cs="Times New Roman"/>
          <w:sz w:val="28"/>
          <w:szCs w:val="28"/>
        </w:rPr>
      </w:pPr>
    </w:p>
    <w:p w14:paraId="6D015FF7" w14:textId="058176F1" w:rsidR="004E6879" w:rsidRPr="003A6E5A" w:rsidRDefault="004E6879" w:rsidP="00861A04">
      <w:pPr>
        <w:spacing w:after="0" w:line="240" w:lineRule="auto"/>
        <w:ind w:firstLine="709"/>
        <w:jc w:val="both"/>
        <w:rPr>
          <w:rFonts w:ascii="Times New Roman" w:hAnsi="Times New Roman" w:cs="Times New Roman"/>
          <w:sz w:val="28"/>
          <w:szCs w:val="28"/>
          <w:lang w:val="kk-KZ"/>
        </w:rPr>
      </w:pPr>
      <w:r w:rsidRPr="003A6E5A">
        <w:rPr>
          <w:rFonts w:ascii="Times New Roman" w:hAnsi="Times New Roman" w:cs="Times New Roman"/>
          <w:sz w:val="28"/>
          <w:szCs w:val="28"/>
        </w:rPr>
        <w:t>Одним из ключевых направлений оценки социально-экономического развития областей является исследование их инвестиционного потенциала, отражающего совокупную способность территории привлекать и эффективно использовать инвестиционные ресурсы. В условиях пространственной неоднородности экономики Республики Казахстан особое значение приобретает выявление различий в уровне инвестиционной активности между областями, а также определение факторов, формирующих эти различия. С целью комплексной оценки инвестиционной привлекательности областей в данном исследовании проведён расчёт интегральных индексов инвестиционного потенциала по двум методологическим подходам. Первый индекс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Pr="003A6E5A">
        <w:rPr>
          <w:rFonts w:ascii="Times New Roman" w:hAnsi="Times New Roman" w:cs="Times New Roman"/>
          <w:sz w:val="28"/>
          <w:szCs w:val="28"/>
        </w:rPr>
        <w:t>) основан на равновесовом распределении факторов, что обеспечивает сопоставимость их влияния на итоговый показатель. Второй индекс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hAnsi="Times New Roman" w:cs="Times New Roman"/>
          <w:sz w:val="28"/>
          <w:szCs w:val="28"/>
        </w:rPr>
        <w:t xml:space="preserve">) построен с использованием метода главных компонент, </w:t>
      </w:r>
      <w:r w:rsidRPr="003A6E5A">
        <w:rPr>
          <w:rFonts w:ascii="Times New Roman" w:hAnsi="Times New Roman" w:cs="Times New Roman"/>
          <w:sz w:val="28"/>
          <w:szCs w:val="28"/>
          <w:lang w:val="kk-KZ"/>
        </w:rPr>
        <w:t>который</w:t>
      </w:r>
      <w:r w:rsidRPr="003A6E5A">
        <w:rPr>
          <w:rFonts w:ascii="Times New Roman" w:hAnsi="Times New Roman" w:cs="Times New Roman"/>
          <w:sz w:val="28"/>
          <w:szCs w:val="28"/>
        </w:rPr>
        <w:t xml:space="preserve"> позволил учесть реальную структуру взаимосвязей между показателями и повысить объективность полученных результатов.</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Для дополнительной проверки обоснованности различий в уровне инвестиционного развития была сформулирована и статистически проверена гипотеза о равенстве средних объёмов инвестиций в основной капитал областей со средним уровнем</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по стране. </w:t>
      </w:r>
      <w:r w:rsidRPr="003A6E5A">
        <w:rPr>
          <w:rFonts w:ascii="Times New Roman" w:hAnsi="Times New Roman" w:cs="Times New Roman"/>
          <w:sz w:val="28"/>
          <w:szCs w:val="28"/>
          <w:lang w:val="kk-KZ"/>
        </w:rPr>
        <w:t>Дополнительное п</w:t>
      </w:r>
      <w:r w:rsidRPr="003A6E5A">
        <w:rPr>
          <w:rFonts w:ascii="Times New Roman" w:hAnsi="Times New Roman" w:cs="Times New Roman"/>
          <w:sz w:val="28"/>
          <w:szCs w:val="28"/>
        </w:rPr>
        <w:t xml:space="preserve">роведение </w:t>
      </w:r>
      <m:oMath>
        <m:r>
          <w:rPr>
            <w:rFonts w:ascii="Cambria Math" w:hAnsi="Cambria Math" w:cs="Times New Roman"/>
            <w:sz w:val="28"/>
            <w:szCs w:val="28"/>
          </w:rPr>
          <m:t>t-</m:t>
        </m:r>
      </m:oMath>
      <w:r w:rsidRPr="003A6E5A">
        <w:rPr>
          <w:rFonts w:ascii="Times New Roman" w:hAnsi="Times New Roman" w:cs="Times New Roman"/>
          <w:sz w:val="28"/>
          <w:szCs w:val="28"/>
        </w:rPr>
        <w:t>теста позволило определить, в каких областях наблюдаются статистически значимые отклонения, а также выявить степень территориальной асимметрии инвестиционной активности.</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Таким образом, расчёт индексов инвестиционного потенциала и последующий статистический анализ обеспечили комплексное представление о пространственных различиях в инвестиционной сфере Казахстана, став эмпирической основой для дальнейших выводов о закономерностях формирования и распределения инвестиционных ресурсов по областям страны.</w:t>
      </w:r>
    </w:p>
    <w:p w14:paraId="20050F3A" w14:textId="2DA35C17" w:rsidR="0003217D" w:rsidRPr="003A6E5A" w:rsidRDefault="00FC275D" w:rsidP="0019395D">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В качестве примера далее представлена формула (</w:t>
      </w:r>
      <w:r w:rsidR="0019395D" w:rsidRPr="003A6E5A">
        <w:rPr>
          <w:rFonts w:ascii="Times New Roman" w:hAnsi="Times New Roman" w:cs="Times New Roman"/>
          <w:sz w:val="28"/>
          <w:szCs w:val="28"/>
        </w:rPr>
        <w:t>5</w:t>
      </w:r>
      <w:r w:rsidRPr="003A6E5A">
        <w:rPr>
          <w:rFonts w:ascii="Times New Roman" w:hAnsi="Times New Roman" w:cs="Times New Roman"/>
          <w:sz w:val="28"/>
          <w:szCs w:val="28"/>
        </w:rPr>
        <w:t>), которая представляет собой динамику индекса инвестиционного потенциала Акмолинской области за 2014-2015 годы:</w:t>
      </w:r>
    </w:p>
    <w:p w14:paraId="3C8E6B12" w14:textId="77777777" w:rsidR="002252F6" w:rsidRPr="003A6E5A" w:rsidRDefault="002252F6" w:rsidP="001608EA">
      <w:pPr>
        <w:spacing w:after="0" w:line="240" w:lineRule="auto"/>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gridCol w:w="597"/>
      </w:tblGrid>
      <w:tr w:rsidR="00B02CF8" w:rsidRPr="003A6E5A" w14:paraId="26606FAC" w14:textId="77777777" w:rsidTr="002252F6">
        <w:tc>
          <w:tcPr>
            <w:tcW w:w="8995" w:type="dxa"/>
            <w:vAlign w:val="center"/>
          </w:tcPr>
          <w:p w14:paraId="6A3AA523" w14:textId="20E09642" w:rsidR="0003217D" w:rsidRPr="003A6E5A" w:rsidRDefault="00790CB1" w:rsidP="002252F6">
            <w:pPr>
              <w:spacing w:after="0" w:line="240" w:lineRule="auto"/>
              <w:jc w:val="center"/>
              <w:rPr>
                <w:rFonts w:ascii="Times New Roman" w:hAnsi="Times New Roman" w:cs="Times New Roman"/>
                <w:i/>
                <w:sz w:val="24"/>
                <w:szCs w:val="20"/>
              </w:rPr>
            </w:pPr>
            <m:oMathPara>
              <m:oMath>
                <m:sSub>
                  <m:sSubPr>
                    <m:ctrlPr>
                      <w:rPr>
                        <w:rFonts w:ascii="Cambria Math" w:hAnsi="Cambria Math" w:cs="Times New Roman"/>
                        <w:i/>
                        <w:sz w:val="24"/>
                        <w:szCs w:val="20"/>
                      </w:rPr>
                    </m:ctrlPr>
                  </m:sSubPr>
                  <m:e>
                    <m:r>
                      <w:rPr>
                        <w:rFonts w:ascii="Cambria Math" w:hAnsi="Cambria Math" w:cs="Times New Roman"/>
                        <w:sz w:val="24"/>
                        <w:szCs w:val="20"/>
                      </w:rPr>
                      <m:t>ИИП</m:t>
                    </m:r>
                  </m:e>
                  <m:sub>
                    <m:sSub>
                      <m:sSubPr>
                        <m:ctrlPr>
                          <w:rPr>
                            <w:rFonts w:ascii="Cambria Math" w:hAnsi="Cambria Math" w:cs="Times New Roman"/>
                            <w:i/>
                            <w:sz w:val="24"/>
                            <w:szCs w:val="20"/>
                          </w:rPr>
                        </m:ctrlPr>
                      </m:sSubPr>
                      <m:e>
                        <m:r>
                          <w:rPr>
                            <w:rFonts w:ascii="Cambria Math" w:hAnsi="Cambria Math" w:cs="Times New Roman"/>
                            <w:sz w:val="24"/>
                            <w:szCs w:val="20"/>
                          </w:rPr>
                          <m:t>Акмол</m:t>
                        </m:r>
                      </m:e>
                      <m:sub>
                        <m:r>
                          <w:rPr>
                            <w:rFonts w:ascii="Cambria Math" w:hAnsi="Cambria Math" w:cs="Times New Roman"/>
                            <w:sz w:val="24"/>
                            <w:szCs w:val="20"/>
                          </w:rPr>
                          <m:t>1</m:t>
                        </m:r>
                      </m:sub>
                    </m:sSub>
                  </m:sub>
                </m:sSub>
                <m:r>
                  <w:rPr>
                    <w:rFonts w:ascii="Cambria Math" w:hAnsi="Cambria Math" w:cs="Times New Roman"/>
                    <w:sz w:val="24"/>
                    <w:szCs w:val="20"/>
                  </w:rPr>
                  <m:t>=</m:t>
                </m:r>
                <m:f>
                  <m:fPr>
                    <m:ctrlPr>
                      <w:rPr>
                        <w:rFonts w:ascii="Cambria Math" w:hAnsi="Cambria Math" w:cs="Times New Roman"/>
                        <w:i/>
                        <w:sz w:val="24"/>
                        <w:szCs w:val="20"/>
                      </w:rPr>
                    </m:ctrlPr>
                  </m:fPr>
                  <m:num>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3</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IRDC</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IRDC</m:t>
                            </m:r>
                          </m:e>
                          <m:sub>
                            <m:r>
                              <w:rPr>
                                <w:rFonts w:ascii="Cambria Math" w:hAnsi="Cambria Math" w:cs="Times New Roman"/>
                                <w:sz w:val="24"/>
                                <w:szCs w:val="20"/>
                              </w:rPr>
                              <m:t>t-1</m:t>
                            </m:r>
                          </m:sub>
                        </m:sSub>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3</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NECORD</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NECORD</m:t>
                            </m:r>
                          </m:e>
                          <m:sub>
                            <m:r>
                              <w:rPr>
                                <w:rFonts w:ascii="Cambria Math" w:hAnsi="Cambria Math" w:cs="Times New Roman"/>
                                <w:sz w:val="24"/>
                                <w:szCs w:val="20"/>
                              </w:rPr>
                              <m:t>t-1</m:t>
                            </m:r>
                          </m:sub>
                        </m:sSub>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3</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GRPPC</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GRPPC</m:t>
                            </m:r>
                          </m:e>
                          <m:sub>
                            <m:r>
                              <w:rPr>
                                <w:rFonts w:ascii="Cambria Math" w:hAnsi="Cambria Math" w:cs="Times New Roman"/>
                                <w:sz w:val="24"/>
                                <w:szCs w:val="20"/>
                              </w:rPr>
                              <m:t>t-1</m:t>
                            </m:r>
                          </m:sub>
                        </m:sSub>
                      </m:den>
                    </m:f>
                  </m:num>
                  <m:den>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5</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PERD</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PERD</m:t>
                            </m:r>
                          </m:e>
                          <m:sub>
                            <m:r>
                              <w:rPr>
                                <w:rFonts w:ascii="Cambria Math" w:hAnsi="Cambria Math" w:cs="Times New Roman"/>
                                <w:sz w:val="24"/>
                                <w:szCs w:val="20"/>
                              </w:rPr>
                              <m:t>t-1</m:t>
                            </m:r>
                          </m:sub>
                        </m:sSub>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5</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AVIP</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AVIP</m:t>
                            </m:r>
                          </m:e>
                          <m:sub>
                            <m:r>
                              <w:rPr>
                                <w:rFonts w:ascii="Cambria Math" w:hAnsi="Cambria Math" w:cs="Times New Roman"/>
                                <w:sz w:val="24"/>
                                <w:szCs w:val="20"/>
                              </w:rPr>
                              <m:t>t-1</m:t>
                            </m:r>
                          </m:sub>
                        </m:sSub>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5</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AMNV</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AMNV</m:t>
                            </m:r>
                          </m:e>
                          <m:sub>
                            <m:r>
                              <w:rPr>
                                <w:rFonts w:ascii="Cambria Math" w:hAnsi="Cambria Math" w:cs="Times New Roman"/>
                                <w:sz w:val="24"/>
                                <w:szCs w:val="20"/>
                              </w:rPr>
                              <m:t>t-1</m:t>
                            </m:r>
                          </m:sub>
                        </m:sSub>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5</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IAE</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IAE</m:t>
                            </m:r>
                          </m:e>
                          <m:sub>
                            <m:r>
                              <w:rPr>
                                <w:rFonts w:ascii="Cambria Math" w:hAnsi="Cambria Math" w:cs="Times New Roman"/>
                                <w:sz w:val="24"/>
                                <w:szCs w:val="20"/>
                              </w:rPr>
                              <m:t>t-1</m:t>
                            </m:r>
                          </m:sub>
                        </m:sSub>
                      </m:den>
                    </m:f>
                    <m:r>
                      <w:rPr>
                        <w:rFonts w:ascii="Cambria Math" w:hAnsi="Cambria Math" w:cs="Times New Roman"/>
                        <w:sz w:val="24"/>
                        <w:szCs w:val="20"/>
                      </w:rPr>
                      <m:t>+</m:t>
                    </m:r>
                    <m:f>
                      <m:fPr>
                        <m:ctrlPr>
                          <w:rPr>
                            <w:rFonts w:ascii="Cambria Math" w:hAnsi="Cambria Math" w:cs="Times New Roman"/>
                            <w:i/>
                            <w:sz w:val="24"/>
                            <w:szCs w:val="20"/>
                          </w:rPr>
                        </m:ctrlPr>
                      </m:fPr>
                      <m:num>
                        <m:r>
                          <w:rPr>
                            <w:rFonts w:ascii="Cambria Math" w:hAnsi="Cambria Math" w:cs="Times New Roman"/>
                            <w:sz w:val="24"/>
                            <w:szCs w:val="20"/>
                          </w:rPr>
                          <m:t>1</m:t>
                        </m:r>
                      </m:num>
                      <m:den>
                        <m:r>
                          <w:rPr>
                            <w:rFonts w:ascii="Cambria Math" w:hAnsi="Cambria Math" w:cs="Times New Roman"/>
                            <w:sz w:val="24"/>
                            <w:szCs w:val="20"/>
                          </w:rPr>
                          <m:t>5</m:t>
                        </m:r>
                      </m:den>
                    </m:f>
                    <m:r>
                      <w:rPr>
                        <w:rFonts w:ascii="Cambria Math" w:hAnsi="Cambria Math" w:cs="Times New Roman"/>
                        <w:sz w:val="24"/>
                        <w:szCs w:val="20"/>
                      </w:rPr>
                      <m:t>∙</m:t>
                    </m:r>
                    <m:f>
                      <m:fPr>
                        <m:ctrlPr>
                          <w:rPr>
                            <w:rFonts w:ascii="Cambria Math" w:hAnsi="Cambria Math" w:cs="Times New Roman"/>
                            <w:i/>
                            <w:sz w:val="24"/>
                            <w:szCs w:val="20"/>
                          </w:rPr>
                        </m:ctrlPr>
                      </m:fPr>
                      <m:num>
                        <m:sSub>
                          <m:sSubPr>
                            <m:ctrlPr>
                              <w:rPr>
                                <w:rFonts w:ascii="Cambria Math" w:hAnsi="Cambria Math" w:cs="Times New Roman"/>
                                <w:i/>
                                <w:sz w:val="24"/>
                                <w:szCs w:val="20"/>
                              </w:rPr>
                            </m:ctrlPr>
                          </m:sSubPr>
                          <m:e>
                            <m:r>
                              <w:rPr>
                                <w:rFonts w:ascii="Cambria Math" w:hAnsi="Cambria Math" w:cs="Times New Roman"/>
                                <w:sz w:val="24"/>
                                <w:szCs w:val="20"/>
                                <w:lang w:val="en-US"/>
                              </w:rPr>
                              <m:t>NS</m:t>
                            </m:r>
                          </m:e>
                          <m:sub>
                            <m:r>
                              <w:rPr>
                                <w:rFonts w:ascii="Cambria Math" w:hAnsi="Cambria Math" w:cs="Times New Roman"/>
                                <w:sz w:val="24"/>
                                <w:szCs w:val="20"/>
                              </w:rPr>
                              <m:t>t</m:t>
                            </m:r>
                          </m:sub>
                        </m:sSub>
                      </m:num>
                      <m:den>
                        <m:sSub>
                          <m:sSubPr>
                            <m:ctrlPr>
                              <w:rPr>
                                <w:rFonts w:ascii="Cambria Math" w:hAnsi="Cambria Math" w:cs="Times New Roman"/>
                                <w:i/>
                                <w:sz w:val="24"/>
                                <w:szCs w:val="20"/>
                              </w:rPr>
                            </m:ctrlPr>
                          </m:sSubPr>
                          <m:e>
                            <m:r>
                              <w:rPr>
                                <w:rFonts w:ascii="Cambria Math" w:hAnsi="Cambria Math" w:cs="Times New Roman"/>
                                <w:sz w:val="24"/>
                                <w:szCs w:val="20"/>
                              </w:rPr>
                              <m:t>NS</m:t>
                            </m:r>
                          </m:e>
                          <m:sub>
                            <m:r>
                              <w:rPr>
                                <w:rFonts w:ascii="Cambria Math" w:hAnsi="Cambria Math" w:cs="Times New Roman"/>
                                <w:sz w:val="24"/>
                                <w:szCs w:val="20"/>
                              </w:rPr>
                              <m:t>t-1</m:t>
                            </m:r>
                          </m:sub>
                        </m:sSub>
                      </m:den>
                    </m:f>
                  </m:den>
                </m:f>
              </m:oMath>
            </m:oMathPara>
          </w:p>
        </w:tc>
        <w:tc>
          <w:tcPr>
            <w:tcW w:w="597" w:type="dxa"/>
            <w:vAlign w:val="center"/>
          </w:tcPr>
          <w:p w14:paraId="0965EDCC" w14:textId="77777777" w:rsidR="0003217D" w:rsidRPr="003A6E5A" w:rsidRDefault="00FC275D" w:rsidP="002252F6">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(5)</w:t>
            </w:r>
          </w:p>
        </w:tc>
      </w:tr>
      <w:tr w:rsidR="00B02CF8" w:rsidRPr="003A6E5A" w14:paraId="135516EB" w14:textId="77777777" w:rsidTr="002252F6">
        <w:tc>
          <w:tcPr>
            <w:tcW w:w="8995" w:type="dxa"/>
            <w:vAlign w:val="center"/>
          </w:tcPr>
          <w:p w14:paraId="08BE955A" w14:textId="77777777" w:rsidR="002065B1" w:rsidRPr="003A6E5A" w:rsidRDefault="002065B1" w:rsidP="002252F6">
            <w:pPr>
              <w:spacing w:after="0" w:line="240" w:lineRule="auto"/>
              <w:jc w:val="center"/>
              <w:rPr>
                <w:rFonts w:ascii="Times New Roman" w:eastAsia="Calibri" w:hAnsi="Times New Roman" w:cs="Times New Roman"/>
                <w:sz w:val="24"/>
                <w:szCs w:val="20"/>
              </w:rPr>
            </w:pPr>
          </w:p>
        </w:tc>
        <w:tc>
          <w:tcPr>
            <w:tcW w:w="597" w:type="dxa"/>
            <w:vAlign w:val="center"/>
          </w:tcPr>
          <w:p w14:paraId="12745106" w14:textId="77777777" w:rsidR="002065B1" w:rsidRPr="003A6E5A" w:rsidRDefault="002065B1" w:rsidP="002252F6">
            <w:pPr>
              <w:spacing w:after="0" w:line="240" w:lineRule="auto"/>
              <w:jc w:val="center"/>
              <w:rPr>
                <w:rFonts w:ascii="Times New Roman" w:hAnsi="Times New Roman" w:cs="Times New Roman"/>
                <w:sz w:val="28"/>
                <w:szCs w:val="28"/>
              </w:rPr>
            </w:pPr>
          </w:p>
        </w:tc>
      </w:tr>
    </w:tbl>
    <w:p w14:paraId="14BD55E8" w14:textId="196F8F9B" w:rsidR="002252F6" w:rsidRPr="003A6E5A" w:rsidRDefault="002252F6"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где </w:t>
      </w:r>
      <w:r w:rsidRPr="003A6E5A">
        <w:rPr>
          <w:rFonts w:ascii="Times New Roman" w:hAnsi="Times New Roman" w:cs="Times New Roman"/>
          <w:i/>
          <w:iCs/>
          <w:sz w:val="28"/>
          <w:szCs w:val="28"/>
        </w:rPr>
        <w:t>IRDC</w:t>
      </w:r>
      <w:r w:rsidRPr="003A6E5A">
        <w:rPr>
          <w:rFonts w:ascii="Times New Roman" w:hAnsi="Times New Roman" w:cs="Times New Roman"/>
          <w:sz w:val="28"/>
          <w:szCs w:val="28"/>
        </w:rPr>
        <w:t xml:space="preserve"> – внутренние затраты на НИОКР, </w:t>
      </w:r>
      <w:r w:rsidRPr="003A6E5A">
        <w:rPr>
          <w:rFonts w:ascii="Times New Roman" w:hAnsi="Times New Roman" w:cs="Times New Roman"/>
          <w:i/>
          <w:iCs/>
          <w:sz w:val="28"/>
          <w:szCs w:val="28"/>
        </w:rPr>
        <w:t>NECORD</w:t>
      </w:r>
      <w:r w:rsidRPr="003A6E5A">
        <w:rPr>
          <w:rFonts w:ascii="Times New Roman" w:hAnsi="Times New Roman" w:cs="Times New Roman"/>
          <w:sz w:val="28"/>
          <w:szCs w:val="28"/>
        </w:rPr>
        <w:t xml:space="preserve"> – количество предприятий, осуществлявших НИОКР, </w:t>
      </w:r>
      <w:r w:rsidRPr="003A6E5A">
        <w:rPr>
          <w:rFonts w:ascii="Times New Roman" w:hAnsi="Times New Roman" w:cs="Times New Roman"/>
          <w:i/>
          <w:iCs/>
          <w:sz w:val="28"/>
          <w:szCs w:val="28"/>
        </w:rPr>
        <w:t>GRPPC</w:t>
      </w:r>
      <w:r w:rsidRPr="003A6E5A">
        <w:rPr>
          <w:rFonts w:ascii="Times New Roman" w:hAnsi="Times New Roman" w:cs="Times New Roman"/>
          <w:sz w:val="28"/>
          <w:szCs w:val="28"/>
        </w:rPr>
        <w:t xml:space="preserve"> – валовый региональный продукт на душу населения, </w:t>
      </w:r>
      <w:r w:rsidR="0019395D" w:rsidRPr="003A6E5A">
        <w:rPr>
          <w:rFonts w:ascii="Times New Roman" w:hAnsi="Times New Roman" w:cs="Times New Roman"/>
          <w:i/>
          <w:iCs/>
          <w:sz w:val="28"/>
          <w:szCs w:val="28"/>
        </w:rPr>
        <w:t>PERD</w:t>
      </w:r>
      <w:r w:rsidR="0019395D" w:rsidRPr="003A6E5A">
        <w:rPr>
          <w:rFonts w:ascii="Times New Roman" w:hAnsi="Times New Roman" w:cs="Times New Roman"/>
          <w:sz w:val="28"/>
          <w:szCs w:val="28"/>
        </w:rPr>
        <w:t xml:space="preserve"> – численность персонала занятого НИОКР, </w:t>
      </w:r>
      <w:r w:rsidR="0019395D" w:rsidRPr="003A6E5A">
        <w:rPr>
          <w:rFonts w:ascii="Times New Roman" w:hAnsi="Times New Roman" w:cs="Times New Roman"/>
          <w:i/>
          <w:iCs/>
          <w:sz w:val="28"/>
          <w:szCs w:val="28"/>
        </w:rPr>
        <w:t>AVIP</w:t>
      </w:r>
      <w:r w:rsidR="0019395D" w:rsidRPr="003A6E5A">
        <w:rPr>
          <w:rFonts w:ascii="Times New Roman" w:hAnsi="Times New Roman" w:cs="Times New Roman"/>
          <w:sz w:val="28"/>
          <w:szCs w:val="28"/>
        </w:rPr>
        <w:t xml:space="preserve"> – объем </w:t>
      </w:r>
      <w:r w:rsidR="0019395D" w:rsidRPr="003A6E5A">
        <w:rPr>
          <w:rFonts w:ascii="Times New Roman" w:hAnsi="Times New Roman" w:cs="Times New Roman"/>
          <w:sz w:val="28"/>
          <w:szCs w:val="28"/>
        </w:rPr>
        <w:lastRenderedPageBreak/>
        <w:t xml:space="preserve">инновационной продукции, </w:t>
      </w:r>
      <w:r w:rsidRPr="003A6E5A">
        <w:rPr>
          <w:rFonts w:ascii="Times New Roman" w:hAnsi="Times New Roman" w:cs="Times New Roman"/>
          <w:i/>
          <w:iCs/>
          <w:sz w:val="28"/>
          <w:szCs w:val="28"/>
        </w:rPr>
        <w:t>AMNW</w:t>
      </w:r>
      <w:r w:rsidRPr="003A6E5A">
        <w:rPr>
          <w:rFonts w:ascii="Times New Roman" w:hAnsi="Times New Roman" w:cs="Times New Roman"/>
          <w:sz w:val="28"/>
          <w:szCs w:val="28"/>
        </w:rPr>
        <w:t xml:space="preserve"> – среднемесячная заработная плата, </w:t>
      </w:r>
      <w:r w:rsidRPr="003A6E5A">
        <w:rPr>
          <w:rFonts w:ascii="Times New Roman" w:hAnsi="Times New Roman" w:cs="Times New Roman"/>
          <w:i/>
          <w:iCs/>
          <w:sz w:val="28"/>
          <w:szCs w:val="28"/>
        </w:rPr>
        <w:t>IAE</w:t>
      </w:r>
      <w:r w:rsidRPr="003A6E5A">
        <w:rPr>
          <w:rFonts w:ascii="Times New Roman" w:hAnsi="Times New Roman" w:cs="Times New Roman"/>
          <w:sz w:val="28"/>
          <w:szCs w:val="28"/>
        </w:rPr>
        <w:t xml:space="preserve"> – инновационную активность предприятий, </w:t>
      </w:r>
      <w:r w:rsidRPr="003A6E5A">
        <w:rPr>
          <w:rFonts w:ascii="Times New Roman" w:hAnsi="Times New Roman" w:cs="Times New Roman"/>
          <w:i/>
          <w:iCs/>
          <w:sz w:val="28"/>
          <w:szCs w:val="28"/>
        </w:rPr>
        <w:t>NS</w:t>
      </w:r>
      <w:r w:rsidRPr="003A6E5A">
        <w:rPr>
          <w:rFonts w:ascii="Times New Roman" w:hAnsi="Times New Roman" w:cs="Times New Roman"/>
          <w:sz w:val="28"/>
          <w:szCs w:val="28"/>
        </w:rPr>
        <w:t xml:space="preserve"> – численность студентов</w:t>
      </w:r>
      <w:r w:rsidR="00F81CE1" w:rsidRPr="003A6E5A">
        <w:rPr>
          <w:rFonts w:ascii="Times New Roman" w:hAnsi="Times New Roman" w:cs="Times New Roman"/>
          <w:sz w:val="28"/>
          <w:szCs w:val="28"/>
          <w:lang w:val="kk-KZ"/>
        </w:rPr>
        <w:t xml:space="preserve"> </w:t>
      </w:r>
      <w:r w:rsidR="00F81CE1" w:rsidRPr="003A6E5A">
        <w:rPr>
          <w:rFonts w:ascii="Times New Roman" w:eastAsiaTheme="minorEastAsia" w:hAnsi="Times New Roman" w:cs="Times New Roman"/>
          <w:sz w:val="28"/>
          <w:szCs w:val="28"/>
        </w:rPr>
        <w:t>(характеристика переменных представлена в приложении Д)</w:t>
      </w:r>
      <w:r w:rsidR="0019395D" w:rsidRPr="003A6E5A">
        <w:rPr>
          <w:rFonts w:ascii="Times New Roman" w:hAnsi="Times New Roman" w:cs="Times New Roman"/>
          <w:sz w:val="28"/>
          <w:szCs w:val="28"/>
        </w:rPr>
        <w:t>.</w:t>
      </w:r>
    </w:p>
    <w:p w14:paraId="4D8DB2C3" w14:textId="0332CB18" w:rsidR="0003217D" w:rsidRPr="003A6E5A" w:rsidRDefault="00FC275D" w:rsidP="004E6879">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Представленная формула (</w:t>
      </w:r>
      <w:r w:rsidR="0019395D" w:rsidRPr="003A6E5A">
        <w:rPr>
          <w:rFonts w:ascii="Times New Roman" w:hAnsi="Times New Roman" w:cs="Times New Roman"/>
          <w:sz w:val="28"/>
          <w:szCs w:val="28"/>
        </w:rPr>
        <w:t>5</w:t>
      </w:r>
      <w:r w:rsidRPr="003A6E5A">
        <w:rPr>
          <w:rFonts w:ascii="Times New Roman" w:hAnsi="Times New Roman" w:cs="Times New Roman"/>
          <w:sz w:val="28"/>
          <w:szCs w:val="28"/>
        </w:rPr>
        <w:t>) разработана для построения интегрального показателя</w:t>
      </w:r>
      <w:r w:rsidR="004E6879" w:rsidRPr="003A6E5A">
        <w:rPr>
          <w:rFonts w:ascii="Times New Roman" w:hAnsi="Times New Roman" w:cs="Times New Roman"/>
          <w:sz w:val="28"/>
          <w:szCs w:val="28"/>
          <w:lang w:val="kk-KZ"/>
        </w:rPr>
        <w:t xml:space="preserve"> </w:t>
      </w:r>
      <w:r w:rsidR="004E6879" w:rsidRPr="003A6E5A">
        <w:rPr>
          <w:rFonts w:ascii="Times New Roman" w:hAnsi="Times New Roman" w:cs="Times New Roman"/>
          <w:sz w:val="28"/>
          <w:szCs w:val="28"/>
        </w:rPr>
        <w:t>(</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004E6879" w:rsidRPr="003A6E5A">
        <w:rPr>
          <w:rFonts w:ascii="Times New Roman" w:hAnsi="Times New Roman" w:cs="Times New Roman"/>
          <w:sz w:val="28"/>
          <w:szCs w:val="28"/>
        </w:rPr>
        <w:t>)</w:t>
      </w:r>
      <w:r w:rsidRPr="003A6E5A">
        <w:rPr>
          <w:rFonts w:ascii="Times New Roman" w:hAnsi="Times New Roman" w:cs="Times New Roman"/>
          <w:sz w:val="28"/>
          <w:szCs w:val="28"/>
        </w:rPr>
        <w:t>, учитывающего как стимулирующие, так и сдерживающие факторы, влияющие на инвестиционную привлекательность Акмолинской области, основанная на сравнении значений за два последовательных года (</w:t>
      </w:r>
      <m:oMath>
        <m:r>
          <w:rPr>
            <w:rFonts w:ascii="Cambria Math" w:hAnsi="Cambria Math" w:cs="Times New Roman"/>
            <w:sz w:val="28"/>
            <w:szCs w:val="28"/>
          </w:rPr>
          <m:t>t=2015</m:t>
        </m:r>
      </m:oMath>
      <w:r w:rsidRPr="003A6E5A">
        <w:rPr>
          <w:rFonts w:ascii="Times New Roman" w:hAnsi="Times New Roman" w:cs="Times New Roman"/>
          <w:sz w:val="28"/>
          <w:szCs w:val="28"/>
        </w:rPr>
        <w:t xml:space="preserve">, </w:t>
      </w:r>
      <m:oMath>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-1)=2014</m:t>
        </m:r>
      </m:oMath>
      <w:r w:rsidR="007C1331" w:rsidRPr="003A6E5A">
        <w:rPr>
          <w:rFonts w:ascii="Times New Roman" w:eastAsiaTheme="minorEastAsia" w:hAnsi="Times New Roman" w:cs="Times New Roman"/>
          <w:sz w:val="28"/>
          <w:szCs w:val="28"/>
        </w:rPr>
        <w:t xml:space="preserve"> и т.д.</w:t>
      </w:r>
      <w:r w:rsidRPr="003A6E5A">
        <w:rPr>
          <w:rFonts w:ascii="Times New Roman" w:hAnsi="Times New Roman" w:cs="Times New Roman"/>
          <w:sz w:val="28"/>
          <w:szCs w:val="28"/>
        </w:rPr>
        <w:t>). Методика позволяет оценить изменение ключевых показателей, важных для инвестиционной среды. Интегральный показатель рассчитыва</w:t>
      </w:r>
      <w:r w:rsidR="007C1331" w:rsidRPr="003A6E5A">
        <w:rPr>
          <w:rFonts w:ascii="Times New Roman" w:hAnsi="Times New Roman" w:cs="Times New Roman"/>
          <w:sz w:val="28"/>
          <w:szCs w:val="28"/>
        </w:rPr>
        <w:t>лся</w:t>
      </w:r>
      <w:r w:rsidRPr="003A6E5A">
        <w:rPr>
          <w:rFonts w:ascii="Times New Roman" w:hAnsi="Times New Roman" w:cs="Times New Roman"/>
          <w:sz w:val="28"/>
          <w:szCs w:val="28"/>
        </w:rPr>
        <w:t xml:space="preserve"> как средне</w:t>
      </w:r>
      <w:r w:rsidR="007C1331" w:rsidRPr="003A6E5A">
        <w:rPr>
          <w:rFonts w:ascii="Times New Roman" w:hAnsi="Times New Roman" w:cs="Times New Roman"/>
          <w:sz w:val="28"/>
          <w:szCs w:val="28"/>
        </w:rPr>
        <w:t>арифметическая</w:t>
      </w:r>
      <w:r w:rsidRPr="003A6E5A">
        <w:rPr>
          <w:rFonts w:ascii="Times New Roman" w:hAnsi="Times New Roman" w:cs="Times New Roman"/>
          <w:sz w:val="28"/>
          <w:szCs w:val="28"/>
        </w:rPr>
        <w:t xml:space="preserve"> величина темпов роста отдельных индикаторов, которые предварительно группир</w:t>
      </w:r>
      <w:r w:rsidR="00A0101C" w:rsidRPr="003A6E5A">
        <w:rPr>
          <w:rFonts w:ascii="Times New Roman" w:hAnsi="Times New Roman" w:cs="Times New Roman"/>
          <w:sz w:val="28"/>
          <w:szCs w:val="28"/>
        </w:rPr>
        <w:t>овались</w:t>
      </w:r>
      <w:r w:rsidRPr="003A6E5A">
        <w:rPr>
          <w:rFonts w:ascii="Times New Roman" w:hAnsi="Times New Roman" w:cs="Times New Roman"/>
          <w:sz w:val="28"/>
          <w:szCs w:val="28"/>
        </w:rPr>
        <w:t xml:space="preserve"> на две категории</w:t>
      </w:r>
      <w:r w:rsidR="00A0101C" w:rsidRPr="003A6E5A">
        <w:rPr>
          <w:rFonts w:ascii="Times New Roman" w:hAnsi="Times New Roman" w:cs="Times New Roman"/>
          <w:sz w:val="28"/>
          <w:szCs w:val="28"/>
        </w:rPr>
        <w:t>:</w:t>
      </w:r>
      <w:r w:rsidRPr="003A6E5A">
        <w:rPr>
          <w:rFonts w:ascii="Times New Roman" w:hAnsi="Times New Roman" w:cs="Times New Roman"/>
          <w:sz w:val="28"/>
          <w:szCs w:val="28"/>
        </w:rPr>
        <w:t xml:space="preserve"> стимулирующие и сдерживающие. </w:t>
      </w:r>
      <w:r w:rsidR="00A0101C" w:rsidRPr="003A6E5A">
        <w:rPr>
          <w:rFonts w:ascii="Times New Roman" w:hAnsi="Times New Roman" w:cs="Times New Roman"/>
          <w:sz w:val="28"/>
          <w:szCs w:val="28"/>
        </w:rPr>
        <w:t xml:space="preserve">К примеру, в формуле (5) к </w:t>
      </w:r>
      <w:r w:rsidRPr="003A6E5A">
        <w:rPr>
          <w:rFonts w:ascii="Times New Roman" w:hAnsi="Times New Roman" w:cs="Times New Roman"/>
          <w:sz w:val="28"/>
          <w:szCs w:val="28"/>
        </w:rPr>
        <w:t xml:space="preserve">числу </w:t>
      </w:r>
      <w:r w:rsidR="00A0101C" w:rsidRPr="003A6E5A">
        <w:rPr>
          <w:rFonts w:ascii="Times New Roman" w:hAnsi="Times New Roman" w:cs="Times New Roman"/>
          <w:sz w:val="28"/>
          <w:szCs w:val="28"/>
        </w:rPr>
        <w:t>сдерживающих</w:t>
      </w:r>
      <w:r w:rsidRPr="003A6E5A">
        <w:rPr>
          <w:rFonts w:ascii="Times New Roman" w:hAnsi="Times New Roman" w:cs="Times New Roman"/>
          <w:sz w:val="28"/>
          <w:szCs w:val="28"/>
        </w:rPr>
        <w:t xml:space="preserve"> </w:t>
      </w:r>
      <w:r w:rsidR="00A0101C" w:rsidRPr="003A6E5A">
        <w:rPr>
          <w:rFonts w:ascii="Times New Roman" w:hAnsi="Times New Roman" w:cs="Times New Roman"/>
          <w:sz w:val="28"/>
          <w:szCs w:val="28"/>
        </w:rPr>
        <w:t>факторов</w:t>
      </w:r>
      <w:r w:rsidRPr="003A6E5A">
        <w:rPr>
          <w:rFonts w:ascii="Times New Roman" w:hAnsi="Times New Roman" w:cs="Times New Roman"/>
          <w:sz w:val="28"/>
          <w:szCs w:val="28"/>
        </w:rPr>
        <w:t xml:space="preserve"> относятся: численность персонала, занятого в НИОКР, объем инновационной продукции, среднемесячная заработная плата, инновационная активность предприятий и численность студентов. Каждо</w:t>
      </w:r>
      <w:r w:rsidR="0019395D" w:rsidRPr="003A6E5A">
        <w:rPr>
          <w:rFonts w:ascii="Times New Roman" w:hAnsi="Times New Roman" w:cs="Times New Roman"/>
          <w:sz w:val="28"/>
          <w:szCs w:val="28"/>
        </w:rPr>
        <w:t>му коэффициенту</w:t>
      </w:r>
      <w:r w:rsidRPr="003A6E5A">
        <w:rPr>
          <w:rFonts w:ascii="Times New Roman" w:hAnsi="Times New Roman" w:cs="Times New Roman"/>
          <w:sz w:val="28"/>
          <w:szCs w:val="28"/>
        </w:rPr>
        <w:t xml:space="preserve"> </w:t>
      </w:r>
      <w:r w:rsidR="0019395D" w:rsidRPr="003A6E5A">
        <w:rPr>
          <w:rFonts w:ascii="Times New Roman" w:hAnsi="Times New Roman" w:cs="Times New Roman"/>
          <w:sz w:val="28"/>
          <w:szCs w:val="28"/>
        </w:rPr>
        <w:t>при</w:t>
      </w:r>
      <w:r w:rsidRPr="003A6E5A">
        <w:rPr>
          <w:rFonts w:ascii="Times New Roman" w:hAnsi="Times New Roman" w:cs="Times New Roman"/>
          <w:sz w:val="28"/>
          <w:szCs w:val="28"/>
        </w:rPr>
        <w:t xml:space="preserve"> </w:t>
      </w:r>
      <w:r w:rsidR="0019395D" w:rsidRPr="003A6E5A">
        <w:rPr>
          <w:rFonts w:ascii="Times New Roman" w:hAnsi="Times New Roman" w:cs="Times New Roman"/>
          <w:sz w:val="28"/>
          <w:szCs w:val="28"/>
        </w:rPr>
        <w:t>указанных</w:t>
      </w:r>
      <w:r w:rsidRPr="003A6E5A">
        <w:rPr>
          <w:rFonts w:ascii="Times New Roman" w:hAnsi="Times New Roman" w:cs="Times New Roman"/>
          <w:sz w:val="28"/>
          <w:szCs w:val="28"/>
        </w:rPr>
        <w:t xml:space="preserve"> переменных </w:t>
      </w:r>
      <w:r w:rsidR="0019395D" w:rsidRPr="003A6E5A">
        <w:rPr>
          <w:rFonts w:ascii="Times New Roman" w:hAnsi="Times New Roman" w:cs="Times New Roman"/>
          <w:sz w:val="28"/>
          <w:szCs w:val="28"/>
        </w:rPr>
        <w:t xml:space="preserve">был </w:t>
      </w:r>
      <w:r w:rsidRPr="003A6E5A">
        <w:rPr>
          <w:rFonts w:ascii="Times New Roman" w:hAnsi="Times New Roman" w:cs="Times New Roman"/>
          <w:sz w:val="28"/>
          <w:szCs w:val="28"/>
        </w:rPr>
        <w:t>присвоен равный вес (1/5)</w:t>
      </w:r>
      <w:r w:rsidR="00ED5D97" w:rsidRPr="003A6E5A">
        <w:rPr>
          <w:rFonts w:ascii="Times New Roman" w:hAnsi="Times New Roman" w:cs="Times New Roman"/>
          <w:sz w:val="28"/>
          <w:szCs w:val="28"/>
        </w:rPr>
        <w:t>, который в сумме дал единицу</w:t>
      </w:r>
      <w:r w:rsidRPr="003A6E5A">
        <w:rPr>
          <w:rFonts w:ascii="Times New Roman" w:hAnsi="Times New Roman" w:cs="Times New Roman"/>
          <w:sz w:val="28"/>
          <w:szCs w:val="28"/>
        </w:rPr>
        <w:t>.</w:t>
      </w:r>
      <w:r w:rsidR="004E6879" w:rsidRPr="003A6E5A">
        <w:rPr>
          <w:rFonts w:ascii="Times New Roman" w:hAnsi="Times New Roman" w:cs="Times New Roman"/>
          <w:sz w:val="28"/>
          <w:szCs w:val="28"/>
        </w:rPr>
        <w:t xml:space="preserve"> </w:t>
      </w:r>
      <w:r w:rsidRPr="003A6E5A">
        <w:rPr>
          <w:rFonts w:ascii="Times New Roman" w:hAnsi="Times New Roman" w:cs="Times New Roman"/>
          <w:sz w:val="28"/>
          <w:szCs w:val="28"/>
        </w:rPr>
        <w:t>В свою очередь с</w:t>
      </w:r>
      <w:r w:rsidR="009F63F8" w:rsidRPr="003A6E5A">
        <w:rPr>
          <w:rFonts w:ascii="Times New Roman" w:hAnsi="Times New Roman" w:cs="Times New Roman"/>
          <w:sz w:val="28"/>
          <w:szCs w:val="28"/>
        </w:rPr>
        <w:t>тимулирующие</w:t>
      </w:r>
      <w:r w:rsidRPr="003A6E5A">
        <w:rPr>
          <w:rFonts w:ascii="Times New Roman" w:hAnsi="Times New Roman" w:cs="Times New Roman"/>
          <w:sz w:val="28"/>
          <w:szCs w:val="28"/>
        </w:rPr>
        <w:t xml:space="preserve"> факторы представлены внутренними затратами на НИОКР, количеством предприятий, осуществляющих НИОКР, а также валовым региональным продуктом на душу населения. </w:t>
      </w:r>
      <w:r w:rsidR="009F63F8" w:rsidRPr="003A6E5A">
        <w:rPr>
          <w:rFonts w:ascii="Times New Roman" w:hAnsi="Times New Roman" w:cs="Times New Roman"/>
          <w:sz w:val="28"/>
          <w:szCs w:val="28"/>
        </w:rPr>
        <w:t>Коэффициенты при указанных переменных</w:t>
      </w:r>
      <w:r w:rsidRPr="003A6E5A">
        <w:rPr>
          <w:rFonts w:ascii="Times New Roman" w:hAnsi="Times New Roman" w:cs="Times New Roman"/>
          <w:sz w:val="28"/>
          <w:szCs w:val="28"/>
        </w:rPr>
        <w:t xml:space="preserve"> также входят в расчет с равными весами (1/3)</w:t>
      </w:r>
      <w:r w:rsidR="009F63F8" w:rsidRPr="003A6E5A">
        <w:rPr>
          <w:rFonts w:ascii="Times New Roman" w:hAnsi="Times New Roman" w:cs="Times New Roman"/>
          <w:sz w:val="28"/>
          <w:szCs w:val="28"/>
        </w:rPr>
        <w:t xml:space="preserve"> и</w:t>
      </w:r>
      <w:r w:rsidRPr="003A6E5A">
        <w:rPr>
          <w:rFonts w:ascii="Times New Roman" w:hAnsi="Times New Roman" w:cs="Times New Roman"/>
          <w:sz w:val="28"/>
          <w:szCs w:val="28"/>
        </w:rPr>
        <w:t xml:space="preserve"> отража</w:t>
      </w:r>
      <w:r w:rsidR="009F63F8" w:rsidRPr="003A6E5A">
        <w:rPr>
          <w:rFonts w:ascii="Times New Roman" w:hAnsi="Times New Roman" w:cs="Times New Roman"/>
          <w:sz w:val="28"/>
          <w:szCs w:val="28"/>
        </w:rPr>
        <w:t>ю</w:t>
      </w:r>
      <w:r w:rsidRPr="003A6E5A">
        <w:rPr>
          <w:rFonts w:ascii="Times New Roman" w:hAnsi="Times New Roman" w:cs="Times New Roman"/>
          <w:sz w:val="28"/>
          <w:szCs w:val="28"/>
        </w:rPr>
        <w:t xml:space="preserve">т их потенциальное </w:t>
      </w:r>
      <w:r w:rsidR="009F63F8" w:rsidRPr="003A6E5A">
        <w:rPr>
          <w:rFonts w:ascii="Times New Roman" w:hAnsi="Times New Roman" w:cs="Times New Roman"/>
          <w:sz w:val="28"/>
          <w:szCs w:val="28"/>
        </w:rPr>
        <w:t xml:space="preserve">положительное </w:t>
      </w:r>
      <w:r w:rsidRPr="003A6E5A">
        <w:rPr>
          <w:rFonts w:ascii="Times New Roman" w:hAnsi="Times New Roman" w:cs="Times New Roman"/>
          <w:sz w:val="28"/>
          <w:szCs w:val="28"/>
        </w:rPr>
        <w:t xml:space="preserve">влияние: чем выше эти значения, тем выше </w:t>
      </w:r>
      <w:r w:rsidR="009F63F8" w:rsidRPr="003A6E5A">
        <w:rPr>
          <w:rFonts w:ascii="Times New Roman" w:hAnsi="Times New Roman" w:cs="Times New Roman"/>
          <w:sz w:val="28"/>
          <w:szCs w:val="28"/>
        </w:rPr>
        <w:t>стимулы</w:t>
      </w:r>
      <w:r w:rsidRPr="003A6E5A">
        <w:rPr>
          <w:rFonts w:ascii="Times New Roman" w:hAnsi="Times New Roman" w:cs="Times New Roman"/>
          <w:sz w:val="28"/>
          <w:szCs w:val="28"/>
        </w:rPr>
        <w:t xml:space="preserve"> для инвесторов. Таким образом, рост интегрального показателя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009F63F8"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свидетельствует об улучшении инвестиционного климата </w:t>
      </w:r>
      <w:r w:rsidR="00FF2AD8" w:rsidRPr="003A6E5A">
        <w:rPr>
          <w:rFonts w:ascii="Times New Roman" w:hAnsi="Times New Roman" w:cs="Times New Roman"/>
          <w:sz w:val="28"/>
          <w:szCs w:val="28"/>
        </w:rPr>
        <w:t>в области,</w:t>
      </w:r>
      <w:r w:rsidRPr="003A6E5A">
        <w:rPr>
          <w:rFonts w:ascii="Times New Roman" w:hAnsi="Times New Roman" w:cs="Times New Roman"/>
          <w:sz w:val="28"/>
          <w:szCs w:val="28"/>
        </w:rPr>
        <w:t xml:space="preserve"> обусловленном ростом научного, трудового и образовательного потенциала, а также активностью предприятий. В то же время снижение значения индекса может указывать на рост </w:t>
      </w:r>
      <w:r w:rsidR="009F63F8" w:rsidRPr="003A6E5A">
        <w:rPr>
          <w:rFonts w:ascii="Times New Roman" w:hAnsi="Times New Roman" w:cs="Times New Roman"/>
          <w:sz w:val="28"/>
          <w:szCs w:val="28"/>
        </w:rPr>
        <w:t>затрат</w:t>
      </w:r>
      <w:r w:rsidRPr="003A6E5A">
        <w:rPr>
          <w:rFonts w:ascii="Times New Roman" w:hAnsi="Times New Roman" w:cs="Times New Roman"/>
          <w:sz w:val="28"/>
          <w:szCs w:val="28"/>
        </w:rPr>
        <w:t>, снижени</w:t>
      </w:r>
      <w:r w:rsidR="009F63F8" w:rsidRPr="003A6E5A">
        <w:rPr>
          <w:rFonts w:ascii="Times New Roman" w:hAnsi="Times New Roman" w:cs="Times New Roman"/>
          <w:sz w:val="28"/>
          <w:szCs w:val="28"/>
        </w:rPr>
        <w:t>е</w:t>
      </w:r>
      <w:r w:rsidRPr="003A6E5A">
        <w:rPr>
          <w:rFonts w:ascii="Times New Roman" w:hAnsi="Times New Roman" w:cs="Times New Roman"/>
          <w:sz w:val="28"/>
          <w:szCs w:val="28"/>
        </w:rPr>
        <w:t xml:space="preserve"> инновационной активности или ухудшения социально-экономических условий. Такой подход позволяет проводить сравнительный анализ между областями и отслеживать динамику инвестиционной привлекательности на протяжении времени (2014-2023 гг.).</w:t>
      </w:r>
    </w:p>
    <w:p w14:paraId="2469EE9E" w14:textId="71D007A1" w:rsidR="00A0101C" w:rsidRPr="003A6E5A" w:rsidRDefault="00A0101C" w:rsidP="00A0101C">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Динамика инвестиций в основной капитал по некоторым областям Республики Казахстан в таблице </w:t>
      </w:r>
      <w:r w:rsidR="00566B59" w:rsidRPr="003A6E5A">
        <w:rPr>
          <w:rFonts w:ascii="Times New Roman" w:eastAsia="Times New Roman" w:hAnsi="Times New Roman" w:cs="Times New Roman"/>
          <w:sz w:val="28"/>
          <w:szCs w:val="28"/>
          <w:lang w:eastAsia="ru-RU"/>
        </w:rPr>
        <w:t>2</w:t>
      </w:r>
      <w:r w:rsidR="00DA42F3" w:rsidRPr="003A6E5A">
        <w:rPr>
          <w:rFonts w:ascii="Times New Roman" w:eastAsia="Times New Roman" w:hAnsi="Times New Roman" w:cs="Times New Roman"/>
          <w:sz w:val="28"/>
          <w:szCs w:val="28"/>
          <w:lang w:eastAsia="ru-RU"/>
        </w:rPr>
        <w:t>0</w:t>
      </w:r>
      <w:r w:rsidRPr="003A6E5A">
        <w:rPr>
          <w:rFonts w:ascii="Times New Roman" w:eastAsia="Times New Roman" w:hAnsi="Times New Roman" w:cs="Times New Roman"/>
          <w:sz w:val="28"/>
          <w:szCs w:val="28"/>
          <w:lang w:eastAsia="ru-RU"/>
        </w:rPr>
        <w:t xml:space="preserve"> в целом отражает закономерности, выявленные при расчёте индексов инвестиционного потенциала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Pr="003A6E5A">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eastAsia="Times New Roman" w:hAnsi="Times New Roman" w:cs="Times New Roman"/>
          <w:sz w:val="28"/>
          <w:szCs w:val="28"/>
          <w:lang w:eastAsia="ru-RU"/>
        </w:rPr>
        <w:t xml:space="preserve">), однако степень их согласованности варьирует по годам и между областями. В Акмолинской области в 2015 году наблюдается расхождение между снижением объёма инвестиций и ростом индексов инвестиционного потенциала, указывающее на инерционность влияния отдельных факторов, формирующих инвестиционную привлекательность </w:t>
      </w:r>
      <w:r w:rsidR="00F24700" w:rsidRPr="003A6E5A">
        <w:rPr>
          <w:rFonts w:ascii="Times New Roman" w:eastAsia="Times New Roman" w:hAnsi="Times New Roman" w:cs="Times New Roman"/>
          <w:sz w:val="28"/>
          <w:szCs w:val="28"/>
          <w:lang w:eastAsia="ru-RU"/>
        </w:rPr>
        <w:t>рассматриваемой области</w:t>
      </w:r>
      <w:r w:rsidRPr="003A6E5A">
        <w:rPr>
          <w:rFonts w:ascii="Times New Roman" w:eastAsia="Times New Roman" w:hAnsi="Times New Roman" w:cs="Times New Roman"/>
          <w:sz w:val="28"/>
          <w:szCs w:val="28"/>
          <w:lang w:eastAsia="ru-RU"/>
        </w:rPr>
        <w:t>. В последующие годы (2016</w:t>
      </w:r>
      <w:r w:rsidR="007673B4"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2021</w:t>
      </w:r>
      <w:r w:rsidR="00F24700" w:rsidRPr="003A6E5A">
        <w:rPr>
          <w:rFonts w:ascii="Times New Roman" w:eastAsia="Times New Roman" w:hAnsi="Times New Roman" w:cs="Times New Roman"/>
          <w:sz w:val="28"/>
          <w:szCs w:val="28"/>
          <w:lang w:eastAsia="ru-RU"/>
        </w:rPr>
        <w:t xml:space="preserve"> гг.</w:t>
      </w:r>
      <w:r w:rsidRPr="003A6E5A">
        <w:rPr>
          <w:rFonts w:ascii="Times New Roman" w:eastAsia="Times New Roman" w:hAnsi="Times New Roman" w:cs="Times New Roman"/>
          <w:sz w:val="28"/>
          <w:szCs w:val="28"/>
          <w:lang w:eastAsia="ru-RU"/>
        </w:rPr>
        <w:t xml:space="preserve">) значения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00F24700" w:rsidRPr="003A6E5A">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eastAsia="Times New Roman" w:hAnsi="Times New Roman" w:cs="Times New Roman"/>
          <w:sz w:val="28"/>
          <w:szCs w:val="28"/>
          <w:lang w:eastAsia="ru-RU"/>
        </w:rPr>
        <w:t xml:space="preserve"> последовательно согласуются с динамикой инвестиций, при этом прослеживается устойчивая взаимосвязь между реальными вложениями в основной капитал и совокупным воздействием стимулирующих факторов, включая рост заработной платы, инновационной активности и ВРП на душу населения. </w:t>
      </w:r>
    </w:p>
    <w:p w14:paraId="7E9D99D5" w14:textId="77777777" w:rsidR="00071EAE" w:rsidRPr="003A6E5A" w:rsidRDefault="00071EAE" w:rsidP="00071EAE">
      <w:pPr>
        <w:spacing w:after="0" w:line="240" w:lineRule="auto"/>
        <w:jc w:val="both"/>
        <w:rPr>
          <w:rFonts w:ascii="Times New Roman" w:eastAsia="Times New Roman" w:hAnsi="Times New Roman" w:cs="Times New Roman"/>
          <w:sz w:val="28"/>
          <w:szCs w:val="28"/>
          <w:lang w:eastAsia="ru-RU"/>
        </w:rPr>
      </w:pPr>
    </w:p>
    <w:p w14:paraId="0FE12C04" w14:textId="620291F8" w:rsidR="00071EAE" w:rsidRPr="003A6E5A" w:rsidRDefault="00071EAE" w:rsidP="00071EAE">
      <w:pPr>
        <w:spacing w:after="0" w:line="240" w:lineRule="auto"/>
        <w:jc w:val="both"/>
        <w:rPr>
          <w:rFonts w:ascii="Times New Roman" w:hAnsi="Times New Roman" w:cs="Times New Roman"/>
          <w:sz w:val="28"/>
          <w:szCs w:val="28"/>
          <w:lang w:val="kk-KZ"/>
        </w:rPr>
      </w:pPr>
      <w:r w:rsidRPr="003A6E5A">
        <w:rPr>
          <w:rFonts w:ascii="Times New Roman" w:hAnsi="Times New Roman" w:cs="Times New Roman"/>
          <w:sz w:val="28"/>
          <w:szCs w:val="28"/>
        </w:rPr>
        <w:lastRenderedPageBreak/>
        <w:t xml:space="preserve">Таблица </w:t>
      </w:r>
      <w:r w:rsidR="00566B59" w:rsidRPr="003A6E5A">
        <w:rPr>
          <w:rFonts w:ascii="Times New Roman" w:hAnsi="Times New Roman" w:cs="Times New Roman"/>
          <w:sz w:val="28"/>
          <w:szCs w:val="28"/>
        </w:rPr>
        <w:t>2</w:t>
      </w:r>
      <w:r w:rsidR="00DA42F3" w:rsidRPr="003A6E5A">
        <w:rPr>
          <w:rFonts w:ascii="Times New Roman" w:hAnsi="Times New Roman" w:cs="Times New Roman"/>
          <w:sz w:val="28"/>
          <w:szCs w:val="28"/>
        </w:rPr>
        <w:t>0</w:t>
      </w:r>
      <w:r w:rsidRPr="003A6E5A">
        <w:rPr>
          <w:rFonts w:ascii="Times New Roman" w:hAnsi="Times New Roman" w:cs="Times New Roman"/>
          <w:sz w:val="28"/>
          <w:szCs w:val="28"/>
        </w:rPr>
        <w:t>. Динамика индекса инвестиционного потенциала и инвестиций в основной капитал Акмолинской</w:t>
      </w:r>
      <w:r w:rsidR="00C41201" w:rsidRPr="003A6E5A">
        <w:rPr>
          <w:rFonts w:ascii="Times New Roman" w:hAnsi="Times New Roman" w:cs="Times New Roman"/>
          <w:sz w:val="28"/>
          <w:szCs w:val="28"/>
        </w:rPr>
        <w:t>,</w:t>
      </w:r>
      <w:r w:rsidRPr="003A6E5A">
        <w:rPr>
          <w:rFonts w:ascii="Times New Roman" w:hAnsi="Times New Roman" w:cs="Times New Roman"/>
          <w:sz w:val="28"/>
          <w:szCs w:val="28"/>
        </w:rPr>
        <w:t xml:space="preserve"> Актюбинской</w:t>
      </w:r>
      <w:r w:rsidR="00C41201" w:rsidRPr="003A6E5A">
        <w:rPr>
          <w:rFonts w:ascii="Times New Roman" w:hAnsi="Times New Roman" w:cs="Times New Roman"/>
          <w:sz w:val="28"/>
          <w:szCs w:val="28"/>
        </w:rPr>
        <w:t xml:space="preserve"> и Атырауской</w:t>
      </w:r>
      <w:r w:rsidRPr="003A6E5A">
        <w:rPr>
          <w:rFonts w:ascii="Times New Roman" w:hAnsi="Times New Roman" w:cs="Times New Roman"/>
          <w:sz w:val="28"/>
          <w:szCs w:val="28"/>
        </w:rPr>
        <w:t xml:space="preserve"> област</w:t>
      </w:r>
      <w:r w:rsidRPr="003A6E5A">
        <w:rPr>
          <w:rFonts w:ascii="Times New Roman" w:hAnsi="Times New Roman" w:cs="Times New Roman"/>
          <w:sz w:val="28"/>
          <w:szCs w:val="28"/>
          <w:lang w:val="kk-KZ"/>
        </w:rPr>
        <w:t>ей</w:t>
      </w:r>
    </w:p>
    <w:tbl>
      <w:tblPr>
        <w:tblStyle w:val="ac"/>
        <w:tblW w:w="9539" w:type="dxa"/>
        <w:jc w:val="center"/>
        <w:tblLook w:val="04A0" w:firstRow="1" w:lastRow="0" w:firstColumn="1" w:lastColumn="0" w:noHBand="0" w:noVBand="1"/>
      </w:tblPr>
      <w:tblGrid>
        <w:gridCol w:w="1240"/>
        <w:gridCol w:w="1985"/>
        <w:gridCol w:w="1446"/>
        <w:gridCol w:w="1703"/>
        <w:gridCol w:w="1639"/>
        <w:gridCol w:w="1526"/>
      </w:tblGrid>
      <w:tr w:rsidR="00B02CF8" w:rsidRPr="003A6E5A" w14:paraId="51F91AEB" w14:textId="77777777" w:rsidTr="00861A04">
        <w:trPr>
          <w:jc w:val="center"/>
        </w:trPr>
        <w:tc>
          <w:tcPr>
            <w:tcW w:w="1240" w:type="dxa"/>
          </w:tcPr>
          <w:p w14:paraId="4C6259DD" w14:textId="77777777" w:rsidR="00071EAE" w:rsidRPr="003A6E5A" w:rsidRDefault="00790CB1" w:rsidP="00861A04">
            <w:pPr>
              <w:spacing w:after="0" w:line="240" w:lineRule="auto"/>
              <w:jc w:val="center"/>
              <w:rPr>
                <w:rFonts w:ascii="Times New Roman" w:hAnsi="Times New Roman" w:cs="Times New Roman"/>
                <w:sz w:val="20"/>
                <w:szCs w:val="20"/>
              </w:rPr>
            </w:pPr>
            <m:oMathPara>
              <m:oMath>
                <m:f>
                  <m:fPr>
                    <m:type m:val="lin"/>
                    <m:ctrlPr>
                      <w:rPr>
                        <w:rFonts w:ascii="Cambria Math" w:hAnsi="Cambria Math" w:cs="Times New Roman"/>
                        <w:i/>
                        <w:sz w:val="20"/>
                        <w:szCs w:val="20"/>
                      </w:rPr>
                    </m:ctrlPr>
                  </m:fPr>
                  <m:num>
                    <m:r>
                      <w:rPr>
                        <w:rFonts w:ascii="Cambria Math" w:hAnsi="Cambria Math" w:cs="Times New Roman"/>
                        <w:sz w:val="20"/>
                        <w:szCs w:val="20"/>
                        <w:lang w:val="en-US"/>
                      </w:rPr>
                      <m:t>t</m:t>
                    </m:r>
                  </m:num>
                  <m:den>
                    <m:r>
                      <w:rPr>
                        <w:rFonts w:ascii="Cambria Math" w:hAnsi="Cambria Math" w:cs="Times New Roman"/>
                        <w:sz w:val="20"/>
                        <w:szCs w:val="20"/>
                        <w:lang w:val="en-US"/>
                      </w:rPr>
                      <m:t>(t-1)</m:t>
                    </m:r>
                  </m:den>
                </m:f>
              </m:oMath>
            </m:oMathPara>
          </w:p>
        </w:tc>
        <w:tc>
          <w:tcPr>
            <w:tcW w:w="1985" w:type="dxa"/>
          </w:tcPr>
          <w:p w14:paraId="741E46E7" w14:textId="77777777" w:rsidR="00071EAE" w:rsidRPr="003A6E5A" w:rsidRDefault="00071EAE" w:rsidP="00861A04">
            <w:pPr>
              <w:spacing w:after="0" w:line="240" w:lineRule="auto"/>
              <w:jc w:val="center"/>
              <w:rPr>
                <w:rFonts w:ascii="Times New Roman" w:eastAsiaTheme="minorEastAsia" w:hAnsi="Times New Roman" w:cs="Times New Roman"/>
                <w:sz w:val="20"/>
                <w:szCs w:val="20"/>
                <w:lang w:val="kk-KZ"/>
              </w:rPr>
            </w:pPr>
            <w:r w:rsidRPr="003A6E5A">
              <w:rPr>
                <w:rFonts w:ascii="Times New Roman" w:hAnsi="Times New Roman" w:cs="Times New Roman"/>
                <w:sz w:val="20"/>
                <w:szCs w:val="20"/>
              </w:rPr>
              <w:t>И</w:t>
            </w:r>
            <w:r w:rsidRPr="003A6E5A">
              <w:rPr>
                <w:rFonts w:ascii="Times New Roman" w:hAnsi="Times New Roman" w:cs="Times New Roman"/>
                <w:sz w:val="20"/>
                <w:szCs w:val="20"/>
                <w:lang w:val="kk-KZ"/>
              </w:rPr>
              <w:t>нвестиции в основной капитал</w:t>
            </w:r>
          </w:p>
          <w:p w14:paraId="48930108" w14:textId="77777777" w:rsidR="00071EAE" w:rsidRPr="003A6E5A" w:rsidRDefault="00071EAE" w:rsidP="00861A04">
            <w:pPr>
              <w:spacing w:after="0" w:line="240" w:lineRule="auto"/>
              <w:jc w:val="center"/>
              <w:rPr>
                <w:rFonts w:ascii="Times New Roman" w:hAnsi="Times New Roman" w:cs="Times New Roman"/>
                <w:sz w:val="20"/>
                <w:szCs w:val="20"/>
              </w:rPr>
            </w:pPr>
            <m:oMathPara>
              <m:oMath>
                <m:r>
                  <m:rPr>
                    <m:sty m:val="p"/>
                  </m:rPr>
                  <w:rPr>
                    <w:rFonts w:ascii="Cambria Math" w:hAnsi="Cambria Math" w:cs="Times New Roman"/>
                    <w:sz w:val="20"/>
                    <w:szCs w:val="20"/>
                    <w:lang w:val="kk-KZ"/>
                  </w:rPr>
                  <m:t>(</m:t>
                </m:r>
                <m:r>
                  <m:rPr>
                    <m:sty m:val="p"/>
                  </m:rPr>
                  <w:rPr>
                    <w:rFonts w:ascii="Cambria Math" w:hAnsi="Cambria Math" w:cs="Times New Roman"/>
                    <w:sz w:val="20"/>
                    <w:szCs w:val="20"/>
                    <w:lang w:val="en-US"/>
                  </w:rPr>
                  <m:t>t</m:t>
                </m:r>
                <m:r>
                  <m:rPr>
                    <m:sty m:val="p"/>
                  </m:rPr>
                  <w:rPr>
                    <w:rFonts w:ascii="Cambria Math" w:hAnsi="Cambria Math" w:cs="Times New Roman"/>
                    <w:sz w:val="20"/>
                    <w:szCs w:val="20"/>
                  </w:rPr>
                  <m:t>-1)→</m:t>
                </m:r>
                <m:r>
                  <m:rPr>
                    <m:sty m:val="p"/>
                  </m:rPr>
                  <w:rPr>
                    <w:rFonts w:ascii="Cambria Math" w:hAnsi="Cambria Math" w:cs="Times New Roman"/>
                    <w:sz w:val="20"/>
                    <w:szCs w:val="20"/>
                    <w:lang w:val="en-US"/>
                  </w:rPr>
                  <m:t>t</m:t>
                </m:r>
              </m:oMath>
            </m:oMathPara>
          </w:p>
        </w:tc>
        <w:tc>
          <w:tcPr>
            <w:tcW w:w="1446" w:type="dxa"/>
          </w:tcPr>
          <w:p w14:paraId="4A9B6626" w14:textId="77777777" w:rsidR="00071EAE" w:rsidRPr="003A6E5A" w:rsidRDefault="00790CB1" w:rsidP="00861A04">
            <w:pPr>
              <w:spacing w:after="0" w:line="240" w:lineRule="auto"/>
              <w:jc w:val="center"/>
              <w:rPr>
                <w:rFonts w:ascii="Times New Roman" w:hAnsi="Times New Roman" w:cs="Times New Roman"/>
                <w:sz w:val="20"/>
                <w:szCs w:val="20"/>
                <w:lang w:val="kk-KZ"/>
              </w:rPr>
            </w:pP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1</m:t>
                  </m:r>
                </m:sub>
              </m:sSub>
            </m:oMath>
            <w:r w:rsidR="00071EAE" w:rsidRPr="003A6E5A">
              <w:rPr>
                <w:rFonts w:ascii="Times New Roman" w:hAnsi="Times New Roman" w:cs="Times New Roman"/>
                <w:sz w:val="20"/>
                <w:szCs w:val="20"/>
                <w:lang w:val="kk-KZ"/>
              </w:rPr>
              <w:t xml:space="preserve"> Акмолинской области</w:t>
            </w:r>
          </w:p>
        </w:tc>
        <w:tc>
          <w:tcPr>
            <w:tcW w:w="1703" w:type="dxa"/>
          </w:tcPr>
          <w:p w14:paraId="46AA9C44" w14:textId="77777777" w:rsidR="00071EAE" w:rsidRPr="003A6E5A" w:rsidRDefault="00071EAE" w:rsidP="00861A04">
            <w:pPr>
              <w:spacing w:after="0" w:line="240" w:lineRule="auto"/>
              <w:jc w:val="center"/>
              <w:rPr>
                <w:rFonts w:ascii="Times New Roman" w:eastAsia="Calibri" w:hAnsi="Times New Roman" w:cs="Times New Roman"/>
                <w:sz w:val="20"/>
                <w:szCs w:val="20"/>
              </w:rPr>
            </w:pPr>
            <w:r w:rsidRPr="003A6E5A">
              <w:rPr>
                <w:rFonts w:ascii="Times New Roman" w:hAnsi="Times New Roman" w:cs="Times New Roman"/>
                <w:sz w:val="20"/>
                <w:szCs w:val="20"/>
                <w:lang w:val="kk-KZ"/>
              </w:rPr>
              <w:t>Заключение</w:t>
            </w:r>
          </w:p>
        </w:tc>
        <w:tc>
          <w:tcPr>
            <w:tcW w:w="1639" w:type="dxa"/>
          </w:tcPr>
          <w:p w14:paraId="1A39BC17" w14:textId="77777777" w:rsidR="00071EAE" w:rsidRPr="003A6E5A" w:rsidRDefault="00790CB1" w:rsidP="00861A04">
            <w:pPr>
              <w:spacing w:after="0" w:line="240" w:lineRule="auto"/>
              <w:jc w:val="center"/>
              <w:rPr>
                <w:rFonts w:ascii="Times New Roman" w:hAnsi="Times New Roman" w:cs="Times New Roman"/>
                <w:sz w:val="20"/>
                <w:szCs w:val="20"/>
                <w:lang w:val="kk-KZ"/>
              </w:rPr>
            </w:pP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2</m:t>
                  </m:r>
                </m:sub>
              </m:sSub>
            </m:oMath>
            <w:r w:rsidR="00071EAE" w:rsidRPr="003A6E5A">
              <w:rPr>
                <w:rFonts w:ascii="Times New Roman" w:hAnsi="Times New Roman" w:cs="Times New Roman"/>
                <w:sz w:val="20"/>
                <w:szCs w:val="20"/>
                <w:lang w:val="kk-KZ"/>
              </w:rPr>
              <w:t xml:space="preserve"> Акмолинской области</w:t>
            </w:r>
          </w:p>
        </w:tc>
        <w:tc>
          <w:tcPr>
            <w:tcW w:w="1526" w:type="dxa"/>
          </w:tcPr>
          <w:p w14:paraId="33F17A99" w14:textId="77777777" w:rsidR="00071EAE" w:rsidRPr="003A6E5A" w:rsidRDefault="00071EAE" w:rsidP="00861A04">
            <w:pPr>
              <w:spacing w:after="0" w:line="240" w:lineRule="auto"/>
              <w:jc w:val="center"/>
              <w:rPr>
                <w:rFonts w:ascii="Times New Roman" w:eastAsia="Calibri" w:hAnsi="Times New Roman" w:cs="Times New Roman"/>
                <w:sz w:val="20"/>
                <w:szCs w:val="20"/>
              </w:rPr>
            </w:pPr>
            <w:r w:rsidRPr="003A6E5A">
              <w:rPr>
                <w:rFonts w:ascii="Times New Roman" w:hAnsi="Times New Roman" w:cs="Times New Roman"/>
                <w:sz w:val="20"/>
                <w:szCs w:val="20"/>
                <w:lang w:val="kk-KZ"/>
              </w:rPr>
              <w:t>Заключение</w:t>
            </w:r>
          </w:p>
        </w:tc>
      </w:tr>
      <w:tr w:rsidR="00B02CF8" w:rsidRPr="003A6E5A" w14:paraId="517119BA" w14:textId="77777777" w:rsidTr="00861A04">
        <w:trPr>
          <w:jc w:val="center"/>
        </w:trPr>
        <w:tc>
          <w:tcPr>
            <w:tcW w:w="1240" w:type="dxa"/>
            <w:vAlign w:val="center"/>
          </w:tcPr>
          <w:p w14:paraId="5C8A9351"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2015/2014</w:t>
            </w:r>
          </w:p>
        </w:tc>
        <w:tc>
          <w:tcPr>
            <w:tcW w:w="1985" w:type="dxa"/>
            <w:vAlign w:val="center"/>
          </w:tcPr>
          <w:p w14:paraId="4B42847C"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170903</w:t>
            </w:r>
            <m:oMath>
              <m:r>
                <m:rPr>
                  <m:sty m:val="p"/>
                </m:rPr>
                <w:rPr>
                  <w:rFonts w:ascii="Cambria Math" w:hAnsi="Cambria Math" w:cs="Times New Roman"/>
                  <w:sz w:val="20"/>
                  <w:szCs w:val="20"/>
                  <w:lang w:val="kk-KZ"/>
                </w:rPr>
                <m:t xml:space="preserve"> </m:t>
              </m:r>
              <m:r>
                <m:rPr>
                  <m:sty m:val="p"/>
                </m:rPr>
                <w:rPr>
                  <w:rFonts w:ascii="Cambria Math" w:hAnsi="Cambria Math" w:cs="Times New Roman"/>
                  <w:sz w:val="20"/>
                  <w:szCs w:val="20"/>
                  <w:lang w:val="en-US"/>
                </w:rPr>
                <m:t>→</m:t>
              </m:r>
              <m:r>
                <m:rPr>
                  <m:sty m:val="p"/>
                </m:rPr>
                <w:rPr>
                  <w:rFonts w:ascii="Cambria Math" w:hAnsi="Cambria Math" w:cs="Times New Roman"/>
                  <w:sz w:val="20"/>
                  <w:szCs w:val="20"/>
                  <w:lang w:val="kk-KZ"/>
                </w:rPr>
                <m:t xml:space="preserve"> </m:t>
              </m:r>
            </m:oMath>
            <w:r w:rsidRPr="003A6E5A">
              <w:rPr>
                <w:rFonts w:ascii="Times New Roman" w:hAnsi="Times New Roman" w:cs="Times New Roman"/>
                <w:sz w:val="20"/>
                <w:szCs w:val="20"/>
                <w:lang w:val="kk-KZ"/>
              </w:rPr>
              <w:t>165999</w:t>
            </w:r>
          </w:p>
        </w:tc>
        <w:tc>
          <w:tcPr>
            <w:tcW w:w="1446" w:type="dxa"/>
            <w:vAlign w:val="center"/>
          </w:tcPr>
          <w:p w14:paraId="51E15EC4" w14:textId="77777777" w:rsidR="00071EAE" w:rsidRPr="003A6E5A" w:rsidRDefault="00071EAE" w:rsidP="00861A04">
            <w:pPr>
              <w:widowControl/>
              <w:spacing w:after="0" w:line="240" w:lineRule="auto"/>
              <w:jc w:val="center"/>
              <w:textAlignment w:val="bottom"/>
              <w:rPr>
                <w:rFonts w:ascii="Times New Roman" w:hAnsi="Times New Roman" w:cs="Times New Roman"/>
                <w:sz w:val="20"/>
                <w:szCs w:val="20"/>
                <w:lang w:val="kk-KZ"/>
              </w:rPr>
            </w:pPr>
            <w:r w:rsidRPr="003A6E5A">
              <w:rPr>
                <w:rFonts w:ascii="Times New Roman" w:eastAsia="SimSun" w:hAnsi="Times New Roman" w:cs="Times New Roman"/>
                <w:sz w:val="20"/>
                <w:szCs w:val="20"/>
                <w:lang w:val="en-US" w:eastAsia="zh-CN" w:bidi="ar"/>
              </w:rPr>
              <w:t>1</w:t>
            </w:r>
            <w:r w:rsidRPr="003A6E5A">
              <w:rPr>
                <w:rFonts w:ascii="Times New Roman" w:eastAsia="SimSun" w:hAnsi="Times New Roman" w:cs="Times New Roman"/>
                <w:sz w:val="20"/>
                <w:szCs w:val="20"/>
                <w:lang w:val="kk-KZ" w:eastAsia="zh-CN" w:bidi="ar"/>
              </w:rPr>
              <w:t>,</w:t>
            </w:r>
            <w:r w:rsidRPr="003A6E5A">
              <w:rPr>
                <w:rFonts w:ascii="Times New Roman" w:eastAsia="SimSun" w:hAnsi="Times New Roman" w:cs="Times New Roman"/>
                <w:sz w:val="20"/>
                <w:szCs w:val="20"/>
                <w:lang w:val="en-US" w:eastAsia="zh-CN" w:bidi="ar"/>
              </w:rPr>
              <w:t>38</w:t>
            </w:r>
          </w:p>
        </w:tc>
        <w:tc>
          <w:tcPr>
            <w:tcW w:w="1703" w:type="dxa"/>
            <w:vAlign w:val="center"/>
          </w:tcPr>
          <w:p w14:paraId="4DFD5740"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не согласуется</w:t>
            </w:r>
          </w:p>
        </w:tc>
        <w:tc>
          <w:tcPr>
            <w:tcW w:w="1639" w:type="dxa"/>
            <w:vAlign w:val="center"/>
          </w:tcPr>
          <w:p w14:paraId="0B09081F"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39</w:t>
            </w:r>
          </w:p>
        </w:tc>
        <w:tc>
          <w:tcPr>
            <w:tcW w:w="1526" w:type="dxa"/>
            <w:vAlign w:val="center"/>
          </w:tcPr>
          <w:p w14:paraId="748946E1"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r>
      <w:tr w:rsidR="00B02CF8" w:rsidRPr="003A6E5A" w14:paraId="46B43D73" w14:textId="77777777" w:rsidTr="00861A04">
        <w:trPr>
          <w:jc w:val="center"/>
        </w:trPr>
        <w:tc>
          <w:tcPr>
            <w:tcW w:w="1240" w:type="dxa"/>
            <w:vAlign w:val="center"/>
          </w:tcPr>
          <w:p w14:paraId="7AF4D54D"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2016/2015</w:t>
            </w:r>
          </w:p>
        </w:tc>
        <w:tc>
          <w:tcPr>
            <w:tcW w:w="1985" w:type="dxa"/>
            <w:vAlign w:val="center"/>
          </w:tcPr>
          <w:p w14:paraId="1DA7D7EC"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en-US"/>
              </w:rPr>
              <w:t>165999</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172097</w:t>
            </w:r>
          </w:p>
        </w:tc>
        <w:tc>
          <w:tcPr>
            <w:tcW w:w="1446" w:type="dxa"/>
            <w:vAlign w:val="center"/>
          </w:tcPr>
          <w:p w14:paraId="4B133068"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1,49</w:t>
            </w:r>
          </w:p>
        </w:tc>
        <w:tc>
          <w:tcPr>
            <w:tcW w:w="1703" w:type="dxa"/>
            <w:vAlign w:val="center"/>
          </w:tcPr>
          <w:p w14:paraId="3A34DE0C"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19374B27"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1,74</w:t>
            </w:r>
          </w:p>
        </w:tc>
        <w:tc>
          <w:tcPr>
            <w:tcW w:w="1526" w:type="dxa"/>
            <w:vAlign w:val="center"/>
          </w:tcPr>
          <w:p w14:paraId="794AD402" w14:textId="625A58B6"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3F15E14B" w14:textId="77777777" w:rsidTr="00861A04">
        <w:trPr>
          <w:jc w:val="center"/>
        </w:trPr>
        <w:tc>
          <w:tcPr>
            <w:tcW w:w="1240" w:type="dxa"/>
            <w:vAlign w:val="center"/>
          </w:tcPr>
          <w:p w14:paraId="0BA62DD6"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2017/2016</w:t>
            </w:r>
          </w:p>
        </w:tc>
        <w:tc>
          <w:tcPr>
            <w:tcW w:w="1985" w:type="dxa"/>
            <w:vAlign w:val="center"/>
          </w:tcPr>
          <w:p w14:paraId="0139220B"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172097</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190836</w:t>
            </w:r>
          </w:p>
        </w:tc>
        <w:tc>
          <w:tcPr>
            <w:tcW w:w="1446" w:type="dxa"/>
            <w:vAlign w:val="center"/>
          </w:tcPr>
          <w:p w14:paraId="07DBB56C"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1,15</w:t>
            </w:r>
          </w:p>
        </w:tc>
        <w:tc>
          <w:tcPr>
            <w:tcW w:w="1703" w:type="dxa"/>
            <w:vAlign w:val="center"/>
          </w:tcPr>
          <w:p w14:paraId="12CBB745"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2C42988A"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1,93</w:t>
            </w:r>
          </w:p>
        </w:tc>
        <w:tc>
          <w:tcPr>
            <w:tcW w:w="1526" w:type="dxa"/>
            <w:vAlign w:val="center"/>
          </w:tcPr>
          <w:p w14:paraId="11E2A663" w14:textId="01686221"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1C9DBE65" w14:textId="77777777" w:rsidTr="00861A04">
        <w:trPr>
          <w:jc w:val="center"/>
        </w:trPr>
        <w:tc>
          <w:tcPr>
            <w:tcW w:w="1240" w:type="dxa"/>
            <w:vAlign w:val="center"/>
          </w:tcPr>
          <w:p w14:paraId="4570DAB7"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8</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7</w:t>
            </w:r>
          </w:p>
        </w:tc>
        <w:tc>
          <w:tcPr>
            <w:tcW w:w="1985" w:type="dxa"/>
            <w:vAlign w:val="center"/>
          </w:tcPr>
          <w:p w14:paraId="1583862F"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190836</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191045</w:t>
            </w:r>
          </w:p>
        </w:tc>
        <w:tc>
          <w:tcPr>
            <w:tcW w:w="1446" w:type="dxa"/>
            <w:vAlign w:val="center"/>
          </w:tcPr>
          <w:p w14:paraId="71BF7B88"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1,30</w:t>
            </w:r>
          </w:p>
        </w:tc>
        <w:tc>
          <w:tcPr>
            <w:tcW w:w="1703" w:type="dxa"/>
            <w:vAlign w:val="center"/>
          </w:tcPr>
          <w:p w14:paraId="59F31507"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5D7A9ADD"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31</w:t>
            </w:r>
          </w:p>
        </w:tc>
        <w:tc>
          <w:tcPr>
            <w:tcW w:w="1526" w:type="dxa"/>
            <w:vAlign w:val="center"/>
          </w:tcPr>
          <w:p w14:paraId="4393EAA6" w14:textId="5699DDD2"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2B464B36" w14:textId="77777777" w:rsidTr="00861A04">
        <w:trPr>
          <w:jc w:val="center"/>
        </w:trPr>
        <w:tc>
          <w:tcPr>
            <w:tcW w:w="1240" w:type="dxa"/>
            <w:vAlign w:val="center"/>
          </w:tcPr>
          <w:p w14:paraId="6A9DE53B"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9</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8</w:t>
            </w:r>
          </w:p>
        </w:tc>
        <w:tc>
          <w:tcPr>
            <w:tcW w:w="1985" w:type="dxa"/>
            <w:vAlign w:val="center"/>
          </w:tcPr>
          <w:p w14:paraId="466FFFA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191045</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219324</w:t>
            </w:r>
          </w:p>
        </w:tc>
        <w:tc>
          <w:tcPr>
            <w:tcW w:w="1446" w:type="dxa"/>
            <w:vAlign w:val="center"/>
          </w:tcPr>
          <w:p w14:paraId="51AF3668"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1,35</w:t>
            </w:r>
          </w:p>
        </w:tc>
        <w:tc>
          <w:tcPr>
            <w:tcW w:w="1703" w:type="dxa"/>
            <w:vAlign w:val="center"/>
          </w:tcPr>
          <w:p w14:paraId="49C708F9"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73B02673"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w:t>
            </w:r>
            <w:r w:rsidRPr="003A6E5A">
              <w:rPr>
                <w:rFonts w:ascii="Times New Roman" w:hAnsi="Times New Roman" w:cs="Times New Roman"/>
                <w:sz w:val="20"/>
                <w:szCs w:val="20"/>
                <w:lang w:val="en-US"/>
              </w:rPr>
              <w:t>38</w:t>
            </w:r>
          </w:p>
        </w:tc>
        <w:tc>
          <w:tcPr>
            <w:tcW w:w="1526" w:type="dxa"/>
            <w:vAlign w:val="center"/>
          </w:tcPr>
          <w:p w14:paraId="47BFFC7E" w14:textId="07566DE3"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1D43AC56" w14:textId="77777777" w:rsidTr="00861A04">
        <w:trPr>
          <w:jc w:val="center"/>
        </w:trPr>
        <w:tc>
          <w:tcPr>
            <w:tcW w:w="1240" w:type="dxa"/>
            <w:vAlign w:val="center"/>
          </w:tcPr>
          <w:p w14:paraId="42C01D80"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20</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9</w:t>
            </w:r>
          </w:p>
        </w:tc>
        <w:tc>
          <w:tcPr>
            <w:tcW w:w="1985" w:type="dxa"/>
            <w:vAlign w:val="center"/>
          </w:tcPr>
          <w:p w14:paraId="5F388AE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219324</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267185</w:t>
            </w:r>
          </w:p>
        </w:tc>
        <w:tc>
          <w:tcPr>
            <w:tcW w:w="1446" w:type="dxa"/>
            <w:vAlign w:val="center"/>
          </w:tcPr>
          <w:p w14:paraId="17355367"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1,65</w:t>
            </w:r>
          </w:p>
        </w:tc>
        <w:tc>
          <w:tcPr>
            <w:tcW w:w="1703" w:type="dxa"/>
            <w:vAlign w:val="center"/>
          </w:tcPr>
          <w:p w14:paraId="73CD5295"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26E618DD"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w:t>
            </w:r>
            <w:r w:rsidRPr="003A6E5A">
              <w:rPr>
                <w:rFonts w:ascii="Times New Roman" w:hAnsi="Times New Roman" w:cs="Times New Roman"/>
                <w:sz w:val="20"/>
                <w:szCs w:val="20"/>
                <w:lang w:val="en-US"/>
              </w:rPr>
              <w:t>65</w:t>
            </w:r>
          </w:p>
        </w:tc>
        <w:tc>
          <w:tcPr>
            <w:tcW w:w="1526" w:type="dxa"/>
            <w:vAlign w:val="center"/>
          </w:tcPr>
          <w:p w14:paraId="64549E24" w14:textId="50CA26A6"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1C7DECDB" w14:textId="77777777" w:rsidTr="00861A04">
        <w:trPr>
          <w:jc w:val="center"/>
        </w:trPr>
        <w:tc>
          <w:tcPr>
            <w:tcW w:w="1240" w:type="dxa"/>
            <w:vAlign w:val="center"/>
          </w:tcPr>
          <w:p w14:paraId="4837303D"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21</w:t>
            </w: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20</w:t>
            </w:r>
          </w:p>
        </w:tc>
        <w:tc>
          <w:tcPr>
            <w:tcW w:w="1985" w:type="dxa"/>
            <w:vAlign w:val="center"/>
          </w:tcPr>
          <w:p w14:paraId="08427B91"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267185</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289206</w:t>
            </w:r>
          </w:p>
        </w:tc>
        <w:tc>
          <w:tcPr>
            <w:tcW w:w="1446" w:type="dxa"/>
            <w:vAlign w:val="center"/>
          </w:tcPr>
          <w:p w14:paraId="798B1043"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1,46</w:t>
            </w:r>
          </w:p>
        </w:tc>
        <w:tc>
          <w:tcPr>
            <w:tcW w:w="1703" w:type="dxa"/>
            <w:vAlign w:val="center"/>
          </w:tcPr>
          <w:p w14:paraId="66FBC915"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645E1673"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43</w:t>
            </w:r>
          </w:p>
        </w:tc>
        <w:tc>
          <w:tcPr>
            <w:tcW w:w="1526" w:type="dxa"/>
            <w:vAlign w:val="center"/>
          </w:tcPr>
          <w:p w14:paraId="0890223B" w14:textId="1B7B9ED6"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63E57571" w14:textId="77777777" w:rsidTr="00861A04">
        <w:trPr>
          <w:jc w:val="center"/>
        </w:trPr>
        <w:tc>
          <w:tcPr>
            <w:tcW w:w="1240" w:type="dxa"/>
            <w:vAlign w:val="center"/>
          </w:tcPr>
          <w:p w14:paraId="25F4429C"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22</w:t>
            </w: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21</w:t>
            </w:r>
          </w:p>
        </w:tc>
        <w:tc>
          <w:tcPr>
            <w:tcW w:w="1985" w:type="dxa"/>
            <w:vAlign w:val="center"/>
          </w:tcPr>
          <w:p w14:paraId="26AC253A"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289206</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233253</w:t>
            </w:r>
          </w:p>
        </w:tc>
        <w:tc>
          <w:tcPr>
            <w:tcW w:w="1446" w:type="dxa"/>
            <w:vAlign w:val="center"/>
          </w:tcPr>
          <w:p w14:paraId="351CF1A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1,36</w:t>
            </w:r>
          </w:p>
        </w:tc>
        <w:tc>
          <w:tcPr>
            <w:tcW w:w="1703" w:type="dxa"/>
            <w:vAlign w:val="center"/>
          </w:tcPr>
          <w:p w14:paraId="326F1D09"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c>
          <w:tcPr>
            <w:tcW w:w="1639" w:type="dxa"/>
            <w:vAlign w:val="center"/>
          </w:tcPr>
          <w:p w14:paraId="6BB9B0CB"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44</w:t>
            </w:r>
          </w:p>
        </w:tc>
        <w:tc>
          <w:tcPr>
            <w:tcW w:w="1526" w:type="dxa"/>
            <w:vAlign w:val="center"/>
          </w:tcPr>
          <w:p w14:paraId="4DC0435F"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r>
      <w:tr w:rsidR="00B02CF8" w:rsidRPr="003A6E5A" w14:paraId="20BEB701" w14:textId="77777777" w:rsidTr="00861A04">
        <w:trPr>
          <w:jc w:val="center"/>
        </w:trPr>
        <w:tc>
          <w:tcPr>
            <w:tcW w:w="1240" w:type="dxa"/>
            <w:vAlign w:val="center"/>
          </w:tcPr>
          <w:p w14:paraId="74D75966"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23</w:t>
            </w:r>
            <w:r w:rsidRPr="003A6E5A">
              <w:rPr>
                <w:rFonts w:ascii="Times New Roman" w:hAnsi="Times New Roman" w:cs="Times New Roman"/>
                <w:sz w:val="20"/>
                <w:szCs w:val="20"/>
                <w:lang w:val="kk-KZ"/>
              </w:rPr>
              <w:t>/20</w:t>
            </w:r>
            <w:r w:rsidRPr="003A6E5A">
              <w:rPr>
                <w:rFonts w:ascii="Times New Roman" w:hAnsi="Times New Roman" w:cs="Times New Roman"/>
                <w:sz w:val="20"/>
                <w:szCs w:val="20"/>
              </w:rPr>
              <w:t>2</w:t>
            </w:r>
            <w:r w:rsidRPr="003A6E5A">
              <w:rPr>
                <w:rFonts w:ascii="Times New Roman" w:hAnsi="Times New Roman" w:cs="Times New Roman"/>
                <w:sz w:val="20"/>
                <w:szCs w:val="20"/>
                <w:lang w:val="en-US"/>
              </w:rPr>
              <w:t>2</w:t>
            </w:r>
          </w:p>
        </w:tc>
        <w:tc>
          <w:tcPr>
            <w:tcW w:w="1985" w:type="dxa"/>
            <w:vAlign w:val="center"/>
          </w:tcPr>
          <w:p w14:paraId="048D86BC"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233253</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257163</w:t>
            </w:r>
          </w:p>
        </w:tc>
        <w:tc>
          <w:tcPr>
            <w:tcW w:w="1446" w:type="dxa"/>
            <w:vAlign w:val="center"/>
          </w:tcPr>
          <w:p w14:paraId="4476845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1,32</w:t>
            </w:r>
          </w:p>
        </w:tc>
        <w:tc>
          <w:tcPr>
            <w:tcW w:w="1703" w:type="dxa"/>
            <w:vAlign w:val="center"/>
          </w:tcPr>
          <w:p w14:paraId="11BF86E6"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7BA6ED1C"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34</w:t>
            </w:r>
          </w:p>
        </w:tc>
        <w:tc>
          <w:tcPr>
            <w:tcW w:w="1526" w:type="dxa"/>
            <w:vAlign w:val="center"/>
          </w:tcPr>
          <w:p w14:paraId="4DE336EB" w14:textId="5A6B4815"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4352C03B" w14:textId="77777777" w:rsidTr="00861A04">
        <w:trPr>
          <w:jc w:val="center"/>
        </w:trPr>
        <w:tc>
          <w:tcPr>
            <w:tcW w:w="1240" w:type="dxa"/>
          </w:tcPr>
          <w:p w14:paraId="4F7F6ED7" w14:textId="77777777" w:rsidR="00071EAE" w:rsidRPr="003A6E5A" w:rsidRDefault="00790CB1" w:rsidP="00861A04">
            <w:pPr>
              <w:spacing w:after="0" w:line="240" w:lineRule="auto"/>
              <w:jc w:val="center"/>
              <w:rPr>
                <w:rFonts w:ascii="Times New Roman" w:hAnsi="Times New Roman" w:cs="Times New Roman"/>
                <w:sz w:val="20"/>
                <w:szCs w:val="20"/>
                <w:lang w:val="kk-KZ"/>
              </w:rPr>
            </w:pPr>
            <m:oMathPara>
              <m:oMath>
                <m:f>
                  <m:fPr>
                    <m:type m:val="lin"/>
                    <m:ctrlPr>
                      <w:rPr>
                        <w:rFonts w:ascii="Cambria Math" w:hAnsi="Cambria Math" w:cs="Times New Roman"/>
                        <w:i/>
                        <w:sz w:val="20"/>
                        <w:szCs w:val="20"/>
                      </w:rPr>
                    </m:ctrlPr>
                  </m:fPr>
                  <m:num>
                    <m:r>
                      <w:rPr>
                        <w:rFonts w:ascii="Cambria Math" w:hAnsi="Cambria Math" w:cs="Times New Roman"/>
                        <w:sz w:val="20"/>
                        <w:szCs w:val="20"/>
                        <w:lang w:val="en-US"/>
                      </w:rPr>
                      <m:t>t</m:t>
                    </m:r>
                  </m:num>
                  <m:den>
                    <m:r>
                      <w:rPr>
                        <w:rFonts w:ascii="Cambria Math" w:hAnsi="Cambria Math" w:cs="Times New Roman"/>
                        <w:sz w:val="20"/>
                        <w:szCs w:val="20"/>
                        <w:lang w:val="en-US"/>
                      </w:rPr>
                      <m:t>(t-1)</m:t>
                    </m:r>
                  </m:den>
                </m:f>
              </m:oMath>
            </m:oMathPara>
          </w:p>
        </w:tc>
        <w:tc>
          <w:tcPr>
            <w:tcW w:w="1985" w:type="dxa"/>
          </w:tcPr>
          <w:p w14:paraId="66CC00E6"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И</w:t>
            </w:r>
            <w:r w:rsidRPr="003A6E5A">
              <w:rPr>
                <w:rFonts w:ascii="Times New Roman" w:hAnsi="Times New Roman" w:cs="Times New Roman"/>
                <w:sz w:val="20"/>
                <w:szCs w:val="20"/>
                <w:lang w:val="kk-KZ"/>
              </w:rPr>
              <w:t>нвестиции в основной капитал</w:t>
            </w:r>
          </w:p>
          <w:p w14:paraId="3B4B6CBE" w14:textId="77777777" w:rsidR="00071EAE" w:rsidRPr="003A6E5A" w:rsidRDefault="00071EAE" w:rsidP="00861A04">
            <w:pPr>
              <w:spacing w:after="0" w:line="240" w:lineRule="auto"/>
              <w:jc w:val="center"/>
              <w:rPr>
                <w:rFonts w:ascii="Times New Roman" w:hAnsi="Times New Roman" w:cs="Times New Roman"/>
                <w:sz w:val="20"/>
                <w:szCs w:val="20"/>
              </w:rPr>
            </w:pPr>
            <m:oMathPara>
              <m:oMath>
                <m:r>
                  <m:rPr>
                    <m:sty m:val="p"/>
                  </m:rPr>
                  <w:rPr>
                    <w:rFonts w:ascii="Cambria Math" w:hAnsi="Cambria Math" w:cs="Times New Roman"/>
                    <w:sz w:val="20"/>
                    <w:szCs w:val="20"/>
                    <w:lang w:val="kk-KZ"/>
                  </w:rPr>
                  <m:t>(</m:t>
                </m:r>
                <m:r>
                  <m:rPr>
                    <m:sty m:val="p"/>
                  </m:rPr>
                  <w:rPr>
                    <w:rFonts w:ascii="Cambria Math" w:hAnsi="Cambria Math" w:cs="Times New Roman"/>
                    <w:sz w:val="20"/>
                    <w:szCs w:val="20"/>
                    <w:lang w:val="en-US"/>
                  </w:rPr>
                  <m:t>t</m:t>
                </m:r>
                <m:r>
                  <m:rPr>
                    <m:sty m:val="p"/>
                  </m:rPr>
                  <w:rPr>
                    <w:rFonts w:ascii="Cambria Math" w:hAnsi="Cambria Math" w:cs="Times New Roman"/>
                    <w:sz w:val="20"/>
                    <w:szCs w:val="20"/>
                  </w:rPr>
                  <m:t>-1)→</m:t>
                </m:r>
                <m:r>
                  <m:rPr>
                    <m:sty m:val="p"/>
                  </m:rPr>
                  <w:rPr>
                    <w:rFonts w:ascii="Cambria Math" w:hAnsi="Cambria Math" w:cs="Times New Roman"/>
                    <w:sz w:val="20"/>
                    <w:szCs w:val="20"/>
                    <w:lang w:val="en-US"/>
                  </w:rPr>
                  <m:t>t</m:t>
                </m:r>
              </m:oMath>
            </m:oMathPara>
          </w:p>
        </w:tc>
        <w:tc>
          <w:tcPr>
            <w:tcW w:w="1446" w:type="dxa"/>
          </w:tcPr>
          <w:p w14:paraId="57979228" w14:textId="77777777" w:rsidR="00071EAE" w:rsidRPr="003A6E5A" w:rsidRDefault="00790CB1" w:rsidP="00861A04">
            <w:pPr>
              <w:spacing w:after="0" w:line="24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1</m:t>
                  </m:r>
                </m:sub>
              </m:sSub>
            </m:oMath>
            <w:r w:rsidR="00071EAE" w:rsidRPr="003A6E5A">
              <w:rPr>
                <w:rFonts w:ascii="Times New Roman" w:hAnsi="Times New Roman" w:cs="Times New Roman"/>
                <w:sz w:val="20"/>
                <w:szCs w:val="20"/>
                <w:lang w:val="kk-KZ"/>
              </w:rPr>
              <w:t xml:space="preserve"> Актюбинской области</w:t>
            </w:r>
          </w:p>
        </w:tc>
        <w:tc>
          <w:tcPr>
            <w:tcW w:w="1703" w:type="dxa"/>
          </w:tcPr>
          <w:p w14:paraId="6CCF0044" w14:textId="77777777" w:rsidR="00071EAE" w:rsidRPr="003A6E5A" w:rsidRDefault="00071EAE" w:rsidP="00861A04">
            <w:pPr>
              <w:spacing w:after="0" w:line="240" w:lineRule="auto"/>
              <w:jc w:val="center"/>
              <w:rPr>
                <w:rFonts w:ascii="Times New Roman" w:eastAsia="Calibri" w:hAnsi="Times New Roman" w:cs="Times New Roman"/>
                <w:sz w:val="20"/>
                <w:szCs w:val="20"/>
              </w:rPr>
            </w:pPr>
            <w:r w:rsidRPr="003A6E5A">
              <w:rPr>
                <w:rFonts w:ascii="Times New Roman" w:hAnsi="Times New Roman" w:cs="Times New Roman"/>
                <w:sz w:val="20"/>
                <w:szCs w:val="20"/>
                <w:lang w:val="kk-KZ"/>
              </w:rPr>
              <w:t>Заключение</w:t>
            </w:r>
          </w:p>
        </w:tc>
        <w:tc>
          <w:tcPr>
            <w:tcW w:w="1639" w:type="dxa"/>
          </w:tcPr>
          <w:p w14:paraId="5C4A1495" w14:textId="77777777" w:rsidR="00071EAE" w:rsidRPr="003A6E5A" w:rsidRDefault="00790CB1" w:rsidP="00861A04">
            <w:pPr>
              <w:spacing w:after="0" w:line="240" w:lineRule="auto"/>
              <w:jc w:val="center"/>
              <w:rPr>
                <w:rFonts w:ascii="Times New Roman" w:hAnsi="Times New Roman" w:cs="Times New Roman"/>
                <w:sz w:val="20"/>
                <w:szCs w:val="20"/>
                <w:lang w:val="kk-KZ"/>
              </w:rPr>
            </w:pP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2</m:t>
                  </m:r>
                </m:sub>
              </m:sSub>
            </m:oMath>
            <w:r w:rsidR="00071EAE" w:rsidRPr="003A6E5A">
              <w:rPr>
                <w:rFonts w:ascii="Times New Roman" w:hAnsi="Times New Roman" w:cs="Times New Roman"/>
                <w:sz w:val="20"/>
                <w:szCs w:val="20"/>
                <w:lang w:val="kk-KZ"/>
              </w:rPr>
              <w:t xml:space="preserve"> Актюбинской области</w:t>
            </w:r>
          </w:p>
        </w:tc>
        <w:tc>
          <w:tcPr>
            <w:tcW w:w="1526" w:type="dxa"/>
          </w:tcPr>
          <w:p w14:paraId="210476EA" w14:textId="77777777" w:rsidR="00071EAE" w:rsidRPr="003A6E5A" w:rsidRDefault="00071EAE" w:rsidP="00861A04">
            <w:pPr>
              <w:spacing w:after="0" w:line="240" w:lineRule="auto"/>
              <w:jc w:val="center"/>
              <w:rPr>
                <w:rFonts w:ascii="Times New Roman" w:eastAsia="Calibri" w:hAnsi="Times New Roman" w:cs="Times New Roman"/>
                <w:sz w:val="20"/>
                <w:szCs w:val="20"/>
              </w:rPr>
            </w:pPr>
            <w:r w:rsidRPr="003A6E5A">
              <w:rPr>
                <w:rFonts w:ascii="Times New Roman" w:hAnsi="Times New Roman" w:cs="Times New Roman"/>
                <w:sz w:val="20"/>
                <w:szCs w:val="20"/>
                <w:lang w:val="kk-KZ"/>
              </w:rPr>
              <w:t>Заключение</w:t>
            </w:r>
          </w:p>
        </w:tc>
      </w:tr>
      <w:tr w:rsidR="00B02CF8" w:rsidRPr="003A6E5A" w14:paraId="612AF00C" w14:textId="77777777" w:rsidTr="00861A04">
        <w:trPr>
          <w:jc w:val="center"/>
        </w:trPr>
        <w:tc>
          <w:tcPr>
            <w:tcW w:w="1240" w:type="dxa"/>
            <w:vAlign w:val="center"/>
          </w:tcPr>
          <w:p w14:paraId="58A56D60"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2015/2014</w:t>
            </w:r>
          </w:p>
        </w:tc>
        <w:tc>
          <w:tcPr>
            <w:tcW w:w="1985" w:type="dxa"/>
            <w:vAlign w:val="center"/>
          </w:tcPr>
          <w:p w14:paraId="5D61E2D3"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iCs/>
                <w:sz w:val="20"/>
                <w:szCs w:val="20"/>
                <w:lang w:val="kk-KZ"/>
              </w:rPr>
              <w:t>493204</w:t>
            </w:r>
            <m:oMath>
              <m:r>
                <m:rPr>
                  <m:sty m:val="p"/>
                </m:rPr>
                <w:rPr>
                  <w:rFonts w:ascii="Cambria Math" w:hAnsi="Cambria Math" w:cs="Times New Roman"/>
                  <w:sz w:val="20"/>
                  <w:szCs w:val="20"/>
                  <w:lang w:val="kk-KZ"/>
                </w:rPr>
                <m:t xml:space="preserve"> </m:t>
              </m:r>
              <m:r>
                <m:rPr>
                  <m:sty m:val="p"/>
                </m:rPr>
                <w:rPr>
                  <w:rFonts w:ascii="Cambria Math" w:hAnsi="Cambria Math" w:cs="Times New Roman"/>
                  <w:sz w:val="20"/>
                  <w:szCs w:val="20"/>
                  <w:lang w:val="en-US"/>
                </w:rPr>
                <m:t>→</m:t>
              </m:r>
              <m:r>
                <m:rPr>
                  <m:sty m:val="p"/>
                </m:rPr>
                <w:rPr>
                  <w:rFonts w:ascii="Cambria Math" w:hAnsi="Cambria Math" w:cs="Times New Roman"/>
                  <w:sz w:val="20"/>
                  <w:szCs w:val="20"/>
                  <w:lang w:val="kk-KZ"/>
                </w:rPr>
                <m:t xml:space="preserve"> </m:t>
              </m:r>
            </m:oMath>
            <w:r w:rsidRPr="003A6E5A">
              <w:rPr>
                <w:rFonts w:ascii="Times New Roman" w:hAnsi="Times New Roman" w:cs="Times New Roman"/>
                <w:sz w:val="20"/>
                <w:szCs w:val="20"/>
                <w:lang w:val="kk-KZ"/>
              </w:rPr>
              <w:t>292282</w:t>
            </w:r>
          </w:p>
        </w:tc>
        <w:tc>
          <w:tcPr>
            <w:tcW w:w="1446" w:type="dxa"/>
            <w:vAlign w:val="center"/>
          </w:tcPr>
          <w:p w14:paraId="0F47A886" w14:textId="77777777" w:rsidR="00071EAE" w:rsidRPr="003A6E5A" w:rsidRDefault="00071EAE" w:rsidP="00861A04">
            <w:pPr>
              <w:widowControl/>
              <w:spacing w:after="0" w:line="240" w:lineRule="auto"/>
              <w:jc w:val="center"/>
              <w:textAlignment w:val="bottom"/>
              <w:rPr>
                <w:rFonts w:ascii="Times New Roman" w:hAnsi="Times New Roman" w:cs="Times New Roman"/>
                <w:sz w:val="20"/>
                <w:szCs w:val="20"/>
                <w:lang w:val="kk-KZ"/>
              </w:rPr>
            </w:pPr>
            <w:r w:rsidRPr="003A6E5A">
              <w:rPr>
                <w:rFonts w:ascii="Times New Roman" w:eastAsia="SimSun" w:hAnsi="Times New Roman" w:cs="Times New Roman"/>
                <w:sz w:val="20"/>
                <w:szCs w:val="20"/>
                <w:lang w:val="en-US" w:eastAsia="zh-CN" w:bidi="ar"/>
              </w:rPr>
              <w:t>1</w:t>
            </w:r>
            <w:r w:rsidRPr="003A6E5A">
              <w:rPr>
                <w:rFonts w:ascii="Times New Roman" w:eastAsia="SimSun" w:hAnsi="Times New Roman" w:cs="Times New Roman"/>
                <w:sz w:val="20"/>
                <w:szCs w:val="20"/>
                <w:lang w:val="kk-KZ" w:eastAsia="zh-CN" w:bidi="ar"/>
              </w:rPr>
              <w:t>,22</w:t>
            </w:r>
          </w:p>
        </w:tc>
        <w:tc>
          <w:tcPr>
            <w:tcW w:w="1703" w:type="dxa"/>
            <w:vAlign w:val="center"/>
          </w:tcPr>
          <w:p w14:paraId="4B18D76C"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не согласуется</w:t>
            </w:r>
          </w:p>
        </w:tc>
        <w:tc>
          <w:tcPr>
            <w:tcW w:w="1639" w:type="dxa"/>
            <w:vAlign w:val="center"/>
          </w:tcPr>
          <w:p w14:paraId="130D33A9"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26</w:t>
            </w:r>
          </w:p>
        </w:tc>
        <w:tc>
          <w:tcPr>
            <w:tcW w:w="1526" w:type="dxa"/>
            <w:vAlign w:val="center"/>
          </w:tcPr>
          <w:p w14:paraId="7C83A3AC"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r>
      <w:tr w:rsidR="00B02CF8" w:rsidRPr="003A6E5A" w14:paraId="3CB01CFE" w14:textId="77777777" w:rsidTr="00861A04">
        <w:trPr>
          <w:jc w:val="center"/>
        </w:trPr>
        <w:tc>
          <w:tcPr>
            <w:tcW w:w="1240" w:type="dxa"/>
            <w:vAlign w:val="center"/>
          </w:tcPr>
          <w:p w14:paraId="4747F239"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2016/2015</w:t>
            </w:r>
          </w:p>
        </w:tc>
        <w:tc>
          <w:tcPr>
            <w:tcW w:w="1985" w:type="dxa"/>
            <w:vAlign w:val="center"/>
          </w:tcPr>
          <w:p w14:paraId="2E2443D5"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kk-KZ"/>
              </w:rPr>
              <w:t>292282</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288476</w:t>
            </w:r>
          </w:p>
        </w:tc>
        <w:tc>
          <w:tcPr>
            <w:tcW w:w="1446" w:type="dxa"/>
            <w:vAlign w:val="center"/>
          </w:tcPr>
          <w:p w14:paraId="404B1506"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2,20</w:t>
            </w:r>
          </w:p>
        </w:tc>
        <w:tc>
          <w:tcPr>
            <w:tcW w:w="1703" w:type="dxa"/>
            <w:vAlign w:val="center"/>
          </w:tcPr>
          <w:p w14:paraId="1B726E6F"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не</w:t>
            </w:r>
            <w:r w:rsidRPr="003A6E5A">
              <w:rPr>
                <w:rFonts w:ascii="Times New Roman" w:hAnsi="Times New Roman" w:cs="Times New Roman"/>
                <w:sz w:val="20"/>
                <w:szCs w:val="20"/>
                <w:lang w:val="en-US"/>
              </w:rPr>
              <w:t xml:space="preserve"> </w:t>
            </w:r>
            <w:r w:rsidRPr="003A6E5A">
              <w:rPr>
                <w:rFonts w:ascii="Times New Roman" w:hAnsi="Times New Roman" w:cs="Times New Roman"/>
                <w:sz w:val="20"/>
                <w:szCs w:val="20"/>
              </w:rPr>
              <w:t>согласуется</w:t>
            </w:r>
          </w:p>
        </w:tc>
        <w:tc>
          <w:tcPr>
            <w:tcW w:w="1639" w:type="dxa"/>
            <w:vAlign w:val="center"/>
          </w:tcPr>
          <w:p w14:paraId="10035758"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2,</w:t>
            </w:r>
            <w:r w:rsidRPr="003A6E5A">
              <w:rPr>
                <w:rFonts w:ascii="Times New Roman" w:hAnsi="Times New Roman" w:cs="Times New Roman"/>
                <w:sz w:val="20"/>
                <w:szCs w:val="20"/>
                <w:lang w:val="en-US"/>
              </w:rPr>
              <w:t>39</w:t>
            </w:r>
          </w:p>
        </w:tc>
        <w:tc>
          <w:tcPr>
            <w:tcW w:w="1526" w:type="dxa"/>
            <w:vAlign w:val="center"/>
          </w:tcPr>
          <w:p w14:paraId="6B3A753A"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не</w:t>
            </w:r>
            <w:r w:rsidRPr="003A6E5A">
              <w:rPr>
                <w:rFonts w:ascii="Times New Roman" w:hAnsi="Times New Roman" w:cs="Times New Roman"/>
                <w:sz w:val="20"/>
                <w:szCs w:val="20"/>
                <w:lang w:val="en-US"/>
              </w:rPr>
              <w:t xml:space="preserve"> </w:t>
            </w:r>
            <w:r w:rsidRPr="003A6E5A">
              <w:rPr>
                <w:rFonts w:ascii="Times New Roman" w:hAnsi="Times New Roman" w:cs="Times New Roman"/>
                <w:sz w:val="20"/>
                <w:szCs w:val="20"/>
              </w:rPr>
              <w:t>согласуется</w:t>
            </w:r>
          </w:p>
        </w:tc>
      </w:tr>
      <w:tr w:rsidR="00B02CF8" w:rsidRPr="003A6E5A" w14:paraId="4298D124" w14:textId="77777777" w:rsidTr="00861A04">
        <w:trPr>
          <w:jc w:val="center"/>
        </w:trPr>
        <w:tc>
          <w:tcPr>
            <w:tcW w:w="1240" w:type="dxa"/>
            <w:vAlign w:val="center"/>
          </w:tcPr>
          <w:p w14:paraId="4B551DE8"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2017/2016</w:t>
            </w:r>
          </w:p>
        </w:tc>
        <w:tc>
          <w:tcPr>
            <w:tcW w:w="1985" w:type="dxa"/>
            <w:vAlign w:val="center"/>
          </w:tcPr>
          <w:p w14:paraId="1B691AC2"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288476</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317538</w:t>
            </w:r>
          </w:p>
        </w:tc>
        <w:tc>
          <w:tcPr>
            <w:tcW w:w="1446" w:type="dxa"/>
            <w:vAlign w:val="center"/>
          </w:tcPr>
          <w:p w14:paraId="2A345746"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1,21</w:t>
            </w:r>
          </w:p>
        </w:tc>
        <w:tc>
          <w:tcPr>
            <w:tcW w:w="1703" w:type="dxa"/>
            <w:vAlign w:val="center"/>
          </w:tcPr>
          <w:p w14:paraId="3504E741"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182885C0"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w:t>
            </w:r>
            <w:r w:rsidRPr="003A6E5A">
              <w:rPr>
                <w:rFonts w:ascii="Times New Roman" w:hAnsi="Times New Roman" w:cs="Times New Roman"/>
                <w:sz w:val="20"/>
                <w:szCs w:val="20"/>
                <w:lang w:val="en-US"/>
              </w:rPr>
              <w:t>46</w:t>
            </w:r>
          </w:p>
        </w:tc>
        <w:tc>
          <w:tcPr>
            <w:tcW w:w="1526" w:type="dxa"/>
            <w:vAlign w:val="center"/>
          </w:tcPr>
          <w:p w14:paraId="659FE81F" w14:textId="3B9BE7B6"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7DBEE39A" w14:textId="77777777" w:rsidTr="00861A04">
        <w:trPr>
          <w:jc w:val="center"/>
        </w:trPr>
        <w:tc>
          <w:tcPr>
            <w:tcW w:w="1240" w:type="dxa"/>
            <w:vAlign w:val="center"/>
          </w:tcPr>
          <w:p w14:paraId="7B9C30C9"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8</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7</w:t>
            </w:r>
          </w:p>
        </w:tc>
        <w:tc>
          <w:tcPr>
            <w:tcW w:w="1985" w:type="dxa"/>
            <w:vAlign w:val="center"/>
          </w:tcPr>
          <w:p w14:paraId="32087FA3"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317538</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356170</w:t>
            </w:r>
          </w:p>
        </w:tc>
        <w:tc>
          <w:tcPr>
            <w:tcW w:w="1446" w:type="dxa"/>
            <w:vAlign w:val="center"/>
          </w:tcPr>
          <w:p w14:paraId="0B156A5B"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1,11</w:t>
            </w:r>
          </w:p>
        </w:tc>
        <w:tc>
          <w:tcPr>
            <w:tcW w:w="1703" w:type="dxa"/>
            <w:vAlign w:val="center"/>
          </w:tcPr>
          <w:p w14:paraId="4F9DEC3D"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787CCF6D"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w:t>
            </w:r>
            <w:r w:rsidRPr="003A6E5A">
              <w:rPr>
                <w:rFonts w:ascii="Times New Roman" w:hAnsi="Times New Roman" w:cs="Times New Roman"/>
                <w:sz w:val="20"/>
                <w:szCs w:val="20"/>
                <w:lang w:val="en-US"/>
              </w:rPr>
              <w:t>11</w:t>
            </w:r>
          </w:p>
        </w:tc>
        <w:tc>
          <w:tcPr>
            <w:tcW w:w="1526" w:type="dxa"/>
            <w:vAlign w:val="center"/>
          </w:tcPr>
          <w:p w14:paraId="672E7EAF" w14:textId="2EB0DAE6"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2FD01C75" w14:textId="77777777" w:rsidTr="00861A04">
        <w:trPr>
          <w:jc w:val="center"/>
        </w:trPr>
        <w:tc>
          <w:tcPr>
            <w:tcW w:w="1240" w:type="dxa"/>
            <w:vAlign w:val="center"/>
          </w:tcPr>
          <w:p w14:paraId="1F2E7798"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9</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8</w:t>
            </w:r>
          </w:p>
        </w:tc>
        <w:tc>
          <w:tcPr>
            <w:tcW w:w="1985" w:type="dxa"/>
            <w:vAlign w:val="center"/>
          </w:tcPr>
          <w:p w14:paraId="54AEC461"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356170</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391140</w:t>
            </w:r>
          </w:p>
        </w:tc>
        <w:tc>
          <w:tcPr>
            <w:tcW w:w="1446" w:type="dxa"/>
            <w:vAlign w:val="center"/>
          </w:tcPr>
          <w:p w14:paraId="4FB0A5FD"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1,15</w:t>
            </w:r>
          </w:p>
        </w:tc>
        <w:tc>
          <w:tcPr>
            <w:tcW w:w="1703" w:type="dxa"/>
            <w:vAlign w:val="center"/>
          </w:tcPr>
          <w:p w14:paraId="46DCB234"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1BAD3FD2"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,1</w:t>
            </w:r>
            <w:r w:rsidRPr="003A6E5A">
              <w:rPr>
                <w:rFonts w:ascii="Times New Roman" w:hAnsi="Times New Roman" w:cs="Times New Roman"/>
                <w:sz w:val="20"/>
                <w:szCs w:val="20"/>
                <w:lang w:val="en-US"/>
              </w:rPr>
              <w:t>4</w:t>
            </w:r>
          </w:p>
        </w:tc>
        <w:tc>
          <w:tcPr>
            <w:tcW w:w="1526" w:type="dxa"/>
            <w:vAlign w:val="center"/>
          </w:tcPr>
          <w:p w14:paraId="60762757" w14:textId="6073131F"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26798F08" w14:textId="77777777" w:rsidTr="00861A04">
        <w:trPr>
          <w:jc w:val="center"/>
        </w:trPr>
        <w:tc>
          <w:tcPr>
            <w:tcW w:w="1240" w:type="dxa"/>
            <w:vAlign w:val="center"/>
          </w:tcPr>
          <w:p w14:paraId="5DE084E7"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20</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9</w:t>
            </w:r>
          </w:p>
        </w:tc>
        <w:tc>
          <w:tcPr>
            <w:tcW w:w="1985" w:type="dxa"/>
            <w:vAlign w:val="center"/>
          </w:tcPr>
          <w:p w14:paraId="095767F0"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391140</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393727</w:t>
            </w:r>
          </w:p>
        </w:tc>
        <w:tc>
          <w:tcPr>
            <w:tcW w:w="1446" w:type="dxa"/>
            <w:vAlign w:val="center"/>
          </w:tcPr>
          <w:p w14:paraId="793B29BE"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1,06</w:t>
            </w:r>
          </w:p>
        </w:tc>
        <w:tc>
          <w:tcPr>
            <w:tcW w:w="1703" w:type="dxa"/>
            <w:vAlign w:val="center"/>
          </w:tcPr>
          <w:p w14:paraId="6DBD49C5"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11C3EC33"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06</w:t>
            </w:r>
          </w:p>
        </w:tc>
        <w:tc>
          <w:tcPr>
            <w:tcW w:w="1526" w:type="dxa"/>
            <w:vAlign w:val="center"/>
          </w:tcPr>
          <w:p w14:paraId="24492E15" w14:textId="6824E868"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1A8292B3" w14:textId="77777777" w:rsidTr="00861A04">
        <w:trPr>
          <w:jc w:val="center"/>
        </w:trPr>
        <w:tc>
          <w:tcPr>
            <w:tcW w:w="1240" w:type="dxa"/>
            <w:vAlign w:val="center"/>
          </w:tcPr>
          <w:p w14:paraId="2070F09D"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21</w:t>
            </w: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20</w:t>
            </w:r>
          </w:p>
        </w:tc>
        <w:tc>
          <w:tcPr>
            <w:tcW w:w="1985" w:type="dxa"/>
            <w:vAlign w:val="center"/>
          </w:tcPr>
          <w:p w14:paraId="27CB6E2F"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393727</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456731</w:t>
            </w:r>
          </w:p>
        </w:tc>
        <w:tc>
          <w:tcPr>
            <w:tcW w:w="1446" w:type="dxa"/>
            <w:vAlign w:val="center"/>
          </w:tcPr>
          <w:p w14:paraId="424ECEED"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1,40</w:t>
            </w:r>
          </w:p>
        </w:tc>
        <w:tc>
          <w:tcPr>
            <w:tcW w:w="1703" w:type="dxa"/>
            <w:vAlign w:val="center"/>
          </w:tcPr>
          <w:p w14:paraId="6465295F"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17F10219"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rPr>
              <w:t>,</w:t>
            </w:r>
            <w:r w:rsidRPr="003A6E5A">
              <w:rPr>
                <w:rFonts w:ascii="Times New Roman" w:hAnsi="Times New Roman" w:cs="Times New Roman"/>
                <w:sz w:val="20"/>
                <w:szCs w:val="20"/>
                <w:lang w:val="en-US"/>
              </w:rPr>
              <w:t>42</w:t>
            </w:r>
          </w:p>
        </w:tc>
        <w:tc>
          <w:tcPr>
            <w:tcW w:w="1526" w:type="dxa"/>
            <w:vAlign w:val="center"/>
          </w:tcPr>
          <w:p w14:paraId="13EA31BB" w14:textId="4A04171F"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69AA6268" w14:textId="77777777" w:rsidTr="00861A04">
        <w:trPr>
          <w:jc w:val="center"/>
        </w:trPr>
        <w:tc>
          <w:tcPr>
            <w:tcW w:w="1240" w:type="dxa"/>
            <w:vAlign w:val="center"/>
          </w:tcPr>
          <w:p w14:paraId="1E42A69C"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22</w:t>
            </w: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21</w:t>
            </w:r>
          </w:p>
        </w:tc>
        <w:tc>
          <w:tcPr>
            <w:tcW w:w="1985" w:type="dxa"/>
            <w:vAlign w:val="center"/>
          </w:tcPr>
          <w:p w14:paraId="7DFE7061"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456731</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194368</w:t>
            </w:r>
          </w:p>
        </w:tc>
        <w:tc>
          <w:tcPr>
            <w:tcW w:w="1446" w:type="dxa"/>
            <w:vAlign w:val="center"/>
          </w:tcPr>
          <w:p w14:paraId="252A44E8"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1,38</w:t>
            </w:r>
          </w:p>
        </w:tc>
        <w:tc>
          <w:tcPr>
            <w:tcW w:w="1703" w:type="dxa"/>
            <w:vAlign w:val="center"/>
          </w:tcPr>
          <w:p w14:paraId="61A241EF"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c>
          <w:tcPr>
            <w:tcW w:w="1639" w:type="dxa"/>
            <w:vAlign w:val="center"/>
          </w:tcPr>
          <w:p w14:paraId="28C85CDF"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w:t>
            </w:r>
            <w:r w:rsidRPr="003A6E5A">
              <w:rPr>
                <w:rFonts w:ascii="Times New Roman" w:hAnsi="Times New Roman" w:cs="Times New Roman"/>
                <w:sz w:val="20"/>
                <w:szCs w:val="20"/>
                <w:lang w:val="kk-KZ"/>
              </w:rPr>
              <w:t>,</w:t>
            </w:r>
            <w:r w:rsidRPr="003A6E5A">
              <w:rPr>
                <w:rFonts w:ascii="Times New Roman" w:hAnsi="Times New Roman" w:cs="Times New Roman"/>
                <w:sz w:val="20"/>
                <w:szCs w:val="20"/>
                <w:lang w:val="en-US"/>
              </w:rPr>
              <w:t>37</w:t>
            </w:r>
          </w:p>
        </w:tc>
        <w:tc>
          <w:tcPr>
            <w:tcW w:w="1526" w:type="dxa"/>
            <w:vAlign w:val="center"/>
          </w:tcPr>
          <w:p w14:paraId="299F91D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r>
      <w:tr w:rsidR="00B02CF8" w:rsidRPr="003A6E5A" w14:paraId="543F4D39" w14:textId="77777777" w:rsidTr="00861A04">
        <w:trPr>
          <w:jc w:val="center"/>
        </w:trPr>
        <w:tc>
          <w:tcPr>
            <w:tcW w:w="1240" w:type="dxa"/>
            <w:vAlign w:val="center"/>
          </w:tcPr>
          <w:p w14:paraId="488E1B4E" w14:textId="77777777" w:rsidR="00071EAE" w:rsidRPr="003A6E5A" w:rsidRDefault="00071EAE" w:rsidP="00861A04">
            <w:pPr>
              <w:spacing w:after="0" w:line="240" w:lineRule="auto"/>
              <w:jc w:val="center"/>
              <w:rPr>
                <w:rFonts w:ascii="Cambria Math" w:hAnsi="Cambria Math" w:cs="Times New Roman"/>
                <w:sz w:val="20"/>
                <w:szCs w:val="20"/>
                <w:oMath/>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23</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2</w:t>
            </w:r>
          </w:p>
        </w:tc>
        <w:tc>
          <w:tcPr>
            <w:tcW w:w="1985" w:type="dxa"/>
            <w:vAlign w:val="center"/>
          </w:tcPr>
          <w:p w14:paraId="0EBA4BEA"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lang w:val="en-US"/>
              </w:rPr>
              <w:t>194368</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437860</w:t>
            </w:r>
          </w:p>
        </w:tc>
        <w:tc>
          <w:tcPr>
            <w:tcW w:w="1446" w:type="dxa"/>
            <w:vAlign w:val="center"/>
          </w:tcPr>
          <w:p w14:paraId="1BFF1BEA"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1,18</w:t>
            </w:r>
          </w:p>
        </w:tc>
        <w:tc>
          <w:tcPr>
            <w:tcW w:w="1703" w:type="dxa"/>
            <w:vAlign w:val="center"/>
          </w:tcPr>
          <w:p w14:paraId="24DE938F" w14:textId="77777777" w:rsidR="00071EAE" w:rsidRPr="003A6E5A" w:rsidRDefault="00071EAE"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согласуется</w:t>
            </w:r>
          </w:p>
        </w:tc>
        <w:tc>
          <w:tcPr>
            <w:tcW w:w="1639" w:type="dxa"/>
            <w:vAlign w:val="center"/>
          </w:tcPr>
          <w:p w14:paraId="09CFAD98"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w:t>
            </w:r>
            <w:r w:rsidRPr="003A6E5A">
              <w:rPr>
                <w:rFonts w:ascii="Times New Roman" w:hAnsi="Times New Roman" w:cs="Times New Roman"/>
                <w:sz w:val="20"/>
                <w:szCs w:val="20"/>
                <w:lang w:val="en-US"/>
              </w:rPr>
              <w:t>15</w:t>
            </w:r>
          </w:p>
        </w:tc>
        <w:tc>
          <w:tcPr>
            <w:tcW w:w="1526" w:type="dxa"/>
            <w:vAlign w:val="center"/>
          </w:tcPr>
          <w:p w14:paraId="7F434F1F" w14:textId="55F2580C" w:rsidR="00071EAE" w:rsidRPr="003A6E5A" w:rsidRDefault="003D2323" w:rsidP="00861A04">
            <w:pPr>
              <w:spacing w:after="0" w:line="240" w:lineRule="auto"/>
              <w:jc w:val="center"/>
              <w:rPr>
                <w:rFonts w:ascii="Times New Roman" w:hAnsi="Times New Roman" w:cs="Times New Roman"/>
                <w:sz w:val="20"/>
                <w:szCs w:val="20"/>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03B967FB" w14:textId="77777777" w:rsidTr="00861A04">
        <w:trPr>
          <w:jc w:val="center"/>
        </w:trPr>
        <w:tc>
          <w:tcPr>
            <w:tcW w:w="1240" w:type="dxa"/>
          </w:tcPr>
          <w:p w14:paraId="1B827261" w14:textId="77777777" w:rsidR="00071EAE" w:rsidRPr="003A6E5A" w:rsidRDefault="00790CB1" w:rsidP="00861A04">
            <w:pPr>
              <w:spacing w:after="0" w:line="240" w:lineRule="auto"/>
              <w:jc w:val="center"/>
              <w:rPr>
                <w:rFonts w:ascii="Times New Roman" w:eastAsia="Calibri" w:hAnsi="Times New Roman" w:cs="Times New Roman"/>
                <w:b/>
                <w:bCs/>
                <w:sz w:val="20"/>
                <w:szCs w:val="20"/>
                <w:lang w:val="kk-KZ"/>
              </w:rPr>
            </w:pPr>
            <m:oMathPara>
              <m:oMath>
                <m:f>
                  <m:fPr>
                    <m:type m:val="lin"/>
                    <m:ctrlPr>
                      <w:rPr>
                        <w:rFonts w:ascii="Cambria Math" w:hAnsi="Cambria Math" w:cs="Times New Roman"/>
                        <w:i/>
                        <w:sz w:val="20"/>
                        <w:szCs w:val="20"/>
                      </w:rPr>
                    </m:ctrlPr>
                  </m:fPr>
                  <m:num>
                    <m:r>
                      <w:rPr>
                        <w:rFonts w:ascii="Cambria Math" w:hAnsi="Cambria Math" w:cs="Times New Roman"/>
                        <w:sz w:val="20"/>
                        <w:szCs w:val="20"/>
                        <w:lang w:val="en-US"/>
                      </w:rPr>
                      <m:t>t</m:t>
                    </m:r>
                  </m:num>
                  <m:den>
                    <m:r>
                      <w:rPr>
                        <w:rFonts w:ascii="Cambria Math" w:hAnsi="Cambria Math" w:cs="Times New Roman"/>
                        <w:sz w:val="20"/>
                        <w:szCs w:val="20"/>
                        <w:lang w:val="en-US"/>
                      </w:rPr>
                      <m:t>(t-1)</m:t>
                    </m:r>
                  </m:den>
                </m:f>
              </m:oMath>
            </m:oMathPara>
          </w:p>
        </w:tc>
        <w:tc>
          <w:tcPr>
            <w:tcW w:w="1985" w:type="dxa"/>
          </w:tcPr>
          <w:p w14:paraId="766AB193" w14:textId="77777777" w:rsidR="00071EAE" w:rsidRPr="003A6E5A" w:rsidRDefault="00071EAE" w:rsidP="00861A04">
            <w:pPr>
              <w:spacing w:after="0" w:line="240" w:lineRule="auto"/>
              <w:jc w:val="center"/>
              <w:rPr>
                <w:rFonts w:ascii="Times New Roman" w:eastAsiaTheme="minorEastAsia" w:hAnsi="Times New Roman" w:cs="Times New Roman"/>
                <w:sz w:val="20"/>
                <w:szCs w:val="20"/>
                <w:lang w:val="kk-KZ"/>
              </w:rPr>
            </w:pPr>
            <w:r w:rsidRPr="003A6E5A">
              <w:rPr>
                <w:rFonts w:ascii="Times New Roman" w:hAnsi="Times New Roman" w:cs="Times New Roman"/>
                <w:sz w:val="20"/>
                <w:szCs w:val="20"/>
              </w:rPr>
              <w:t>И</w:t>
            </w:r>
            <w:r w:rsidRPr="003A6E5A">
              <w:rPr>
                <w:rFonts w:ascii="Times New Roman" w:hAnsi="Times New Roman" w:cs="Times New Roman"/>
                <w:sz w:val="20"/>
                <w:szCs w:val="20"/>
                <w:lang w:val="kk-KZ"/>
              </w:rPr>
              <w:t>нвестиции в основной капитал</w:t>
            </w:r>
          </w:p>
          <w:p w14:paraId="762B5966" w14:textId="77777777" w:rsidR="00071EAE" w:rsidRPr="003A6E5A" w:rsidRDefault="00071EAE" w:rsidP="00861A04">
            <w:pPr>
              <w:spacing w:after="0" w:line="240" w:lineRule="auto"/>
              <w:jc w:val="center"/>
              <w:rPr>
                <w:rFonts w:ascii="Times New Roman" w:hAnsi="Times New Roman" w:cs="Times New Roman"/>
                <w:sz w:val="20"/>
                <w:szCs w:val="20"/>
                <w:lang w:val="en-US"/>
              </w:rPr>
            </w:pPr>
            <m:oMathPara>
              <m:oMath>
                <m:r>
                  <m:rPr>
                    <m:sty m:val="p"/>
                  </m:rPr>
                  <w:rPr>
                    <w:rFonts w:ascii="Cambria Math" w:hAnsi="Cambria Math" w:cs="Times New Roman"/>
                    <w:sz w:val="20"/>
                    <w:szCs w:val="20"/>
                    <w:lang w:val="kk-KZ"/>
                  </w:rPr>
                  <m:t>(</m:t>
                </m:r>
                <m:r>
                  <m:rPr>
                    <m:sty m:val="p"/>
                  </m:rPr>
                  <w:rPr>
                    <w:rFonts w:ascii="Cambria Math" w:hAnsi="Cambria Math" w:cs="Times New Roman"/>
                    <w:sz w:val="20"/>
                    <w:szCs w:val="20"/>
                    <w:lang w:val="en-US"/>
                  </w:rPr>
                  <m:t>t</m:t>
                </m:r>
                <m:r>
                  <m:rPr>
                    <m:sty m:val="p"/>
                  </m:rPr>
                  <w:rPr>
                    <w:rFonts w:ascii="Cambria Math" w:hAnsi="Cambria Math" w:cs="Times New Roman"/>
                    <w:sz w:val="20"/>
                    <w:szCs w:val="20"/>
                  </w:rPr>
                  <m:t>-1)→</m:t>
                </m:r>
                <m:r>
                  <m:rPr>
                    <m:sty m:val="p"/>
                  </m:rPr>
                  <w:rPr>
                    <w:rFonts w:ascii="Cambria Math" w:hAnsi="Cambria Math" w:cs="Times New Roman"/>
                    <w:sz w:val="20"/>
                    <w:szCs w:val="20"/>
                    <w:lang w:val="en-US"/>
                  </w:rPr>
                  <m:t>t</m:t>
                </m:r>
              </m:oMath>
            </m:oMathPara>
          </w:p>
        </w:tc>
        <w:tc>
          <w:tcPr>
            <w:tcW w:w="1446" w:type="dxa"/>
          </w:tcPr>
          <w:p w14:paraId="781187C7" w14:textId="77777777" w:rsidR="00071EAE" w:rsidRPr="003A6E5A" w:rsidRDefault="00790CB1" w:rsidP="00861A04">
            <w:pPr>
              <w:spacing w:after="0" w:line="240" w:lineRule="auto"/>
              <w:jc w:val="center"/>
              <w:rPr>
                <w:rFonts w:ascii="Times New Roman" w:eastAsia="Calibri" w:hAnsi="Times New Roman" w:cs="Times New Roman"/>
                <w:sz w:val="20"/>
                <w:szCs w:val="20"/>
                <w:lang w:val="kk-KZ"/>
              </w:rPr>
            </w:pP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1</m:t>
                  </m:r>
                </m:sub>
              </m:sSub>
            </m:oMath>
            <w:r w:rsidR="00071EAE" w:rsidRPr="003A6E5A">
              <w:rPr>
                <w:rFonts w:ascii="Times New Roman" w:hAnsi="Times New Roman" w:cs="Times New Roman"/>
                <w:sz w:val="20"/>
                <w:szCs w:val="20"/>
                <w:lang w:val="kk-KZ"/>
              </w:rPr>
              <w:t xml:space="preserve"> Атырауской области</w:t>
            </w:r>
          </w:p>
        </w:tc>
        <w:tc>
          <w:tcPr>
            <w:tcW w:w="1703" w:type="dxa"/>
          </w:tcPr>
          <w:p w14:paraId="5392C28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Заключение</w:t>
            </w:r>
          </w:p>
        </w:tc>
        <w:tc>
          <w:tcPr>
            <w:tcW w:w="1639" w:type="dxa"/>
          </w:tcPr>
          <w:p w14:paraId="403D5171" w14:textId="77777777" w:rsidR="00071EAE" w:rsidRPr="003A6E5A" w:rsidRDefault="00790CB1" w:rsidP="00861A04">
            <w:pPr>
              <w:spacing w:after="0" w:line="240" w:lineRule="auto"/>
              <w:jc w:val="center"/>
              <w:rPr>
                <w:rFonts w:ascii="Times New Roman" w:eastAsia="Calibri"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2</m:t>
                  </m:r>
                </m:sub>
              </m:sSub>
            </m:oMath>
            <w:r w:rsidR="00071EAE" w:rsidRPr="003A6E5A">
              <w:rPr>
                <w:rFonts w:ascii="Times New Roman" w:hAnsi="Times New Roman" w:cs="Times New Roman"/>
                <w:sz w:val="20"/>
                <w:szCs w:val="20"/>
                <w:lang w:val="kk-KZ"/>
              </w:rPr>
              <w:t xml:space="preserve"> Атырауской области</w:t>
            </w:r>
          </w:p>
        </w:tc>
        <w:tc>
          <w:tcPr>
            <w:tcW w:w="1526" w:type="dxa"/>
          </w:tcPr>
          <w:p w14:paraId="0B6A2FD3"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Заключение</w:t>
            </w:r>
          </w:p>
        </w:tc>
      </w:tr>
      <w:tr w:rsidR="00B02CF8" w:rsidRPr="003A6E5A" w14:paraId="62CF2A8F" w14:textId="77777777" w:rsidTr="00861A04">
        <w:trPr>
          <w:jc w:val="center"/>
        </w:trPr>
        <w:tc>
          <w:tcPr>
            <w:tcW w:w="0" w:type="auto"/>
            <w:vAlign w:val="center"/>
          </w:tcPr>
          <w:p w14:paraId="7AD6AFBE"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2015/2014</w:t>
            </w:r>
          </w:p>
        </w:tc>
        <w:tc>
          <w:tcPr>
            <w:tcW w:w="0" w:type="auto"/>
            <w:vAlign w:val="center"/>
          </w:tcPr>
          <w:p w14:paraId="192108A2"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iCs/>
                <w:sz w:val="20"/>
                <w:szCs w:val="20"/>
              </w:rPr>
              <w:t>1055726</w:t>
            </w:r>
            <m:oMath>
              <m:r>
                <m:rPr>
                  <m:sty m:val="p"/>
                </m:rPr>
                <w:rPr>
                  <w:rFonts w:ascii="Cambria Math" w:hAnsi="Cambria Math" w:cs="Times New Roman"/>
                  <w:sz w:val="20"/>
                  <w:szCs w:val="20"/>
                  <w:lang w:val="kk-KZ"/>
                </w:rPr>
                <m:t xml:space="preserve"> </m:t>
              </m:r>
              <m:r>
                <m:rPr>
                  <m:sty m:val="p"/>
                </m:rPr>
                <w:rPr>
                  <w:rFonts w:ascii="Cambria Math" w:hAnsi="Cambria Math" w:cs="Times New Roman"/>
                  <w:sz w:val="20"/>
                  <w:szCs w:val="20"/>
                  <w:lang w:val="en-US"/>
                </w:rPr>
                <m:t>→</m:t>
              </m:r>
              <m:r>
                <m:rPr>
                  <m:sty m:val="p"/>
                </m:rPr>
                <w:rPr>
                  <w:rFonts w:ascii="Cambria Math" w:hAnsi="Cambria Math" w:cs="Times New Roman"/>
                  <w:sz w:val="20"/>
                  <w:szCs w:val="20"/>
                  <w:lang w:val="kk-KZ"/>
                </w:rPr>
                <m:t xml:space="preserve"> </m:t>
              </m:r>
            </m:oMath>
            <w:r w:rsidRPr="003A6E5A">
              <w:rPr>
                <w:rFonts w:ascii="Times New Roman" w:hAnsi="Times New Roman" w:cs="Times New Roman"/>
                <w:sz w:val="20"/>
                <w:szCs w:val="20"/>
              </w:rPr>
              <w:t>1214922</w:t>
            </w:r>
          </w:p>
        </w:tc>
        <w:tc>
          <w:tcPr>
            <w:tcW w:w="1446" w:type="dxa"/>
            <w:vAlign w:val="center"/>
          </w:tcPr>
          <w:p w14:paraId="2354E507"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1,47</w:t>
            </w:r>
          </w:p>
        </w:tc>
        <w:tc>
          <w:tcPr>
            <w:tcW w:w="1703" w:type="dxa"/>
            <w:vAlign w:val="center"/>
          </w:tcPr>
          <w:p w14:paraId="0AE2FD89"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согласуется</w:t>
            </w:r>
          </w:p>
        </w:tc>
        <w:tc>
          <w:tcPr>
            <w:tcW w:w="0" w:type="auto"/>
            <w:vAlign w:val="center"/>
          </w:tcPr>
          <w:p w14:paraId="412528E4"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rPr>
              <w:t>1,3</w:t>
            </w:r>
            <w:r w:rsidRPr="003A6E5A">
              <w:rPr>
                <w:rFonts w:ascii="Times New Roman" w:eastAsia="Calibri" w:hAnsi="Times New Roman" w:cs="Times New Roman"/>
                <w:sz w:val="20"/>
                <w:szCs w:val="20"/>
                <w:lang w:val="en-US"/>
              </w:rPr>
              <w:t>0</w:t>
            </w:r>
          </w:p>
        </w:tc>
        <w:tc>
          <w:tcPr>
            <w:tcW w:w="0" w:type="auto"/>
            <w:vAlign w:val="center"/>
          </w:tcPr>
          <w:p w14:paraId="499E8E8A" w14:textId="293028E0" w:rsidR="00071EAE" w:rsidRPr="003A6E5A" w:rsidRDefault="003D2323"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7EF6F4E9" w14:textId="77777777" w:rsidTr="00861A04">
        <w:trPr>
          <w:jc w:val="center"/>
        </w:trPr>
        <w:tc>
          <w:tcPr>
            <w:tcW w:w="0" w:type="auto"/>
            <w:vAlign w:val="center"/>
          </w:tcPr>
          <w:p w14:paraId="40A09567"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2016/2015</w:t>
            </w:r>
          </w:p>
        </w:tc>
        <w:tc>
          <w:tcPr>
            <w:tcW w:w="0" w:type="auto"/>
            <w:vAlign w:val="center"/>
          </w:tcPr>
          <w:p w14:paraId="6B906802"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1214922</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1538494</w:t>
            </w:r>
          </w:p>
        </w:tc>
        <w:tc>
          <w:tcPr>
            <w:tcW w:w="1446" w:type="dxa"/>
            <w:vAlign w:val="center"/>
          </w:tcPr>
          <w:p w14:paraId="1DF2FB88"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1,18</w:t>
            </w:r>
          </w:p>
        </w:tc>
        <w:tc>
          <w:tcPr>
            <w:tcW w:w="1703" w:type="dxa"/>
            <w:vAlign w:val="center"/>
          </w:tcPr>
          <w:p w14:paraId="0DA84BFA"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согласуется</w:t>
            </w:r>
          </w:p>
        </w:tc>
        <w:tc>
          <w:tcPr>
            <w:tcW w:w="0" w:type="auto"/>
            <w:vAlign w:val="center"/>
          </w:tcPr>
          <w:p w14:paraId="0C7778CF"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lang w:val="en-US"/>
              </w:rPr>
              <w:t>1</w:t>
            </w:r>
            <w:r w:rsidRPr="003A6E5A">
              <w:rPr>
                <w:rFonts w:ascii="Times New Roman" w:eastAsia="Calibri" w:hAnsi="Times New Roman" w:cs="Times New Roman"/>
                <w:sz w:val="20"/>
                <w:szCs w:val="20"/>
              </w:rPr>
              <w:t>,</w:t>
            </w:r>
            <w:r w:rsidRPr="003A6E5A">
              <w:rPr>
                <w:rFonts w:ascii="Times New Roman" w:eastAsia="Calibri" w:hAnsi="Times New Roman" w:cs="Times New Roman"/>
                <w:sz w:val="20"/>
                <w:szCs w:val="20"/>
                <w:lang w:val="en-US"/>
              </w:rPr>
              <w:t>18</w:t>
            </w:r>
          </w:p>
        </w:tc>
        <w:tc>
          <w:tcPr>
            <w:tcW w:w="0" w:type="auto"/>
            <w:vAlign w:val="center"/>
          </w:tcPr>
          <w:p w14:paraId="5E625F82" w14:textId="186276BA" w:rsidR="00071EAE" w:rsidRPr="003A6E5A" w:rsidRDefault="003D2323"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5F0FB449" w14:textId="77777777" w:rsidTr="00861A04">
        <w:trPr>
          <w:jc w:val="center"/>
        </w:trPr>
        <w:tc>
          <w:tcPr>
            <w:tcW w:w="0" w:type="auto"/>
            <w:vAlign w:val="center"/>
          </w:tcPr>
          <w:p w14:paraId="631E840E"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2017/2016</w:t>
            </w:r>
          </w:p>
        </w:tc>
        <w:tc>
          <w:tcPr>
            <w:tcW w:w="0" w:type="auto"/>
            <w:vAlign w:val="center"/>
          </w:tcPr>
          <w:p w14:paraId="24BCFF34"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1538494</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1739350</w:t>
            </w:r>
          </w:p>
        </w:tc>
        <w:tc>
          <w:tcPr>
            <w:tcW w:w="1446" w:type="dxa"/>
            <w:vAlign w:val="center"/>
          </w:tcPr>
          <w:p w14:paraId="019739DF"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1,29</w:t>
            </w:r>
          </w:p>
        </w:tc>
        <w:tc>
          <w:tcPr>
            <w:tcW w:w="1703" w:type="dxa"/>
            <w:vAlign w:val="center"/>
          </w:tcPr>
          <w:p w14:paraId="2193DA88"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согласуется</w:t>
            </w:r>
          </w:p>
        </w:tc>
        <w:tc>
          <w:tcPr>
            <w:tcW w:w="0" w:type="auto"/>
            <w:vAlign w:val="center"/>
          </w:tcPr>
          <w:p w14:paraId="403367ED" w14:textId="77777777" w:rsidR="00071EAE" w:rsidRPr="003A6E5A" w:rsidRDefault="00071EAE" w:rsidP="00861A04">
            <w:pPr>
              <w:spacing w:after="0" w:line="240" w:lineRule="auto"/>
              <w:jc w:val="center"/>
              <w:rPr>
                <w:rFonts w:ascii="Times New Roman" w:eastAsia="Calibri" w:hAnsi="Times New Roman" w:cs="Times New Roman"/>
                <w:sz w:val="20"/>
                <w:szCs w:val="20"/>
              </w:rPr>
            </w:pPr>
            <w:r w:rsidRPr="003A6E5A">
              <w:rPr>
                <w:rFonts w:ascii="Times New Roman" w:eastAsia="Calibri" w:hAnsi="Times New Roman" w:cs="Times New Roman"/>
                <w:sz w:val="20"/>
                <w:szCs w:val="20"/>
                <w:lang w:val="en-US"/>
              </w:rPr>
              <w:t>1</w:t>
            </w:r>
            <w:r w:rsidRPr="003A6E5A">
              <w:rPr>
                <w:rFonts w:ascii="Times New Roman" w:eastAsia="Calibri" w:hAnsi="Times New Roman" w:cs="Times New Roman"/>
                <w:sz w:val="20"/>
                <w:szCs w:val="20"/>
              </w:rPr>
              <w:t>,</w:t>
            </w:r>
            <w:r w:rsidRPr="003A6E5A">
              <w:rPr>
                <w:rFonts w:ascii="Times New Roman" w:eastAsia="Calibri" w:hAnsi="Times New Roman" w:cs="Times New Roman"/>
                <w:sz w:val="20"/>
                <w:szCs w:val="20"/>
                <w:lang w:val="en-US"/>
              </w:rPr>
              <w:t>2</w:t>
            </w:r>
            <w:r w:rsidRPr="003A6E5A">
              <w:rPr>
                <w:rFonts w:ascii="Times New Roman" w:eastAsia="Calibri" w:hAnsi="Times New Roman" w:cs="Times New Roman"/>
                <w:sz w:val="20"/>
                <w:szCs w:val="20"/>
              </w:rPr>
              <w:t>6</w:t>
            </w:r>
          </w:p>
        </w:tc>
        <w:tc>
          <w:tcPr>
            <w:tcW w:w="0" w:type="auto"/>
            <w:vAlign w:val="center"/>
          </w:tcPr>
          <w:p w14:paraId="0F26D03F" w14:textId="62A84163" w:rsidR="00071EAE" w:rsidRPr="003A6E5A" w:rsidRDefault="003D2323"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23E2B2C4" w14:textId="77777777" w:rsidTr="00861A04">
        <w:trPr>
          <w:jc w:val="center"/>
        </w:trPr>
        <w:tc>
          <w:tcPr>
            <w:tcW w:w="0" w:type="auto"/>
            <w:vAlign w:val="center"/>
          </w:tcPr>
          <w:p w14:paraId="78844595"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8</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7</w:t>
            </w:r>
          </w:p>
        </w:tc>
        <w:tc>
          <w:tcPr>
            <w:tcW w:w="0" w:type="auto"/>
            <w:vAlign w:val="center"/>
          </w:tcPr>
          <w:p w14:paraId="056E6902"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1739350</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2456048</w:t>
            </w:r>
          </w:p>
        </w:tc>
        <w:tc>
          <w:tcPr>
            <w:tcW w:w="1446" w:type="dxa"/>
            <w:vAlign w:val="center"/>
          </w:tcPr>
          <w:p w14:paraId="77BF1936"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1,14</w:t>
            </w:r>
          </w:p>
        </w:tc>
        <w:tc>
          <w:tcPr>
            <w:tcW w:w="1703" w:type="dxa"/>
            <w:vAlign w:val="center"/>
          </w:tcPr>
          <w:p w14:paraId="79372240"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согласуется</w:t>
            </w:r>
          </w:p>
        </w:tc>
        <w:tc>
          <w:tcPr>
            <w:tcW w:w="0" w:type="auto"/>
            <w:vAlign w:val="center"/>
          </w:tcPr>
          <w:p w14:paraId="5329F858"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rPr>
              <w:t>1,</w:t>
            </w:r>
            <w:r w:rsidRPr="003A6E5A">
              <w:rPr>
                <w:rFonts w:ascii="Times New Roman" w:eastAsia="Calibri" w:hAnsi="Times New Roman" w:cs="Times New Roman"/>
                <w:sz w:val="20"/>
                <w:szCs w:val="20"/>
                <w:lang w:val="en-US"/>
              </w:rPr>
              <w:t>80</w:t>
            </w:r>
          </w:p>
        </w:tc>
        <w:tc>
          <w:tcPr>
            <w:tcW w:w="0" w:type="auto"/>
            <w:vAlign w:val="center"/>
          </w:tcPr>
          <w:p w14:paraId="0C2934FE" w14:textId="3F96B220" w:rsidR="00071EAE" w:rsidRPr="003A6E5A" w:rsidRDefault="003D2323"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774C7BD9" w14:textId="77777777" w:rsidTr="00861A04">
        <w:trPr>
          <w:jc w:val="center"/>
        </w:trPr>
        <w:tc>
          <w:tcPr>
            <w:tcW w:w="0" w:type="auto"/>
            <w:vAlign w:val="center"/>
          </w:tcPr>
          <w:p w14:paraId="4AF0CF69"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9</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8</w:t>
            </w:r>
          </w:p>
        </w:tc>
        <w:tc>
          <w:tcPr>
            <w:tcW w:w="0" w:type="auto"/>
            <w:vAlign w:val="center"/>
          </w:tcPr>
          <w:p w14:paraId="1351D08E"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2456048</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2706543</w:t>
            </w:r>
          </w:p>
        </w:tc>
        <w:tc>
          <w:tcPr>
            <w:tcW w:w="1446" w:type="dxa"/>
            <w:vAlign w:val="center"/>
          </w:tcPr>
          <w:p w14:paraId="44BA9028"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1,31</w:t>
            </w:r>
          </w:p>
        </w:tc>
        <w:tc>
          <w:tcPr>
            <w:tcW w:w="1703" w:type="dxa"/>
            <w:vAlign w:val="center"/>
          </w:tcPr>
          <w:p w14:paraId="44392DB1"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согласуется</w:t>
            </w:r>
          </w:p>
        </w:tc>
        <w:tc>
          <w:tcPr>
            <w:tcW w:w="0" w:type="auto"/>
            <w:vAlign w:val="center"/>
          </w:tcPr>
          <w:p w14:paraId="609AAD00"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lang w:val="en-US"/>
              </w:rPr>
              <w:t>1</w:t>
            </w:r>
            <w:r w:rsidRPr="003A6E5A">
              <w:rPr>
                <w:rFonts w:ascii="Times New Roman" w:eastAsia="Calibri" w:hAnsi="Times New Roman" w:cs="Times New Roman"/>
                <w:sz w:val="20"/>
                <w:szCs w:val="20"/>
              </w:rPr>
              <w:t>,</w:t>
            </w:r>
            <w:r w:rsidRPr="003A6E5A">
              <w:rPr>
                <w:rFonts w:ascii="Times New Roman" w:eastAsia="Calibri" w:hAnsi="Times New Roman" w:cs="Times New Roman"/>
                <w:sz w:val="20"/>
                <w:szCs w:val="20"/>
                <w:lang w:val="en-US"/>
              </w:rPr>
              <w:t>31</w:t>
            </w:r>
          </w:p>
        </w:tc>
        <w:tc>
          <w:tcPr>
            <w:tcW w:w="0" w:type="auto"/>
            <w:vAlign w:val="center"/>
          </w:tcPr>
          <w:p w14:paraId="28EBC0B4" w14:textId="0C3454BC" w:rsidR="00071EAE" w:rsidRPr="003A6E5A" w:rsidRDefault="003D2323"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w:t>
            </w:r>
            <w:r w:rsidR="00071EAE" w:rsidRPr="003A6E5A">
              <w:rPr>
                <w:rFonts w:ascii="Times New Roman" w:hAnsi="Times New Roman" w:cs="Times New Roman"/>
                <w:sz w:val="20"/>
                <w:szCs w:val="20"/>
              </w:rPr>
              <w:t>огласуется</w:t>
            </w:r>
          </w:p>
        </w:tc>
      </w:tr>
      <w:tr w:rsidR="00B02CF8" w:rsidRPr="003A6E5A" w14:paraId="6AD93C0C" w14:textId="77777777" w:rsidTr="00861A04">
        <w:trPr>
          <w:jc w:val="center"/>
        </w:trPr>
        <w:tc>
          <w:tcPr>
            <w:tcW w:w="0" w:type="auto"/>
            <w:vAlign w:val="center"/>
          </w:tcPr>
          <w:p w14:paraId="4C383874"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20</w:t>
            </w:r>
            <w:r w:rsidRPr="003A6E5A">
              <w:rPr>
                <w:rFonts w:ascii="Times New Roman" w:hAnsi="Times New Roman" w:cs="Times New Roman"/>
                <w:sz w:val="20"/>
                <w:szCs w:val="20"/>
                <w:lang w:val="kk-KZ"/>
              </w:rPr>
              <w:t>/201</w:t>
            </w:r>
            <w:r w:rsidRPr="003A6E5A">
              <w:rPr>
                <w:rFonts w:ascii="Times New Roman" w:hAnsi="Times New Roman" w:cs="Times New Roman"/>
                <w:sz w:val="20"/>
                <w:szCs w:val="20"/>
                <w:lang w:val="en-US"/>
              </w:rPr>
              <w:t>9</w:t>
            </w:r>
          </w:p>
        </w:tc>
        <w:tc>
          <w:tcPr>
            <w:tcW w:w="0" w:type="auto"/>
            <w:vAlign w:val="center"/>
          </w:tcPr>
          <w:p w14:paraId="23DAA777"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2706543</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1844040</w:t>
            </w:r>
          </w:p>
        </w:tc>
        <w:tc>
          <w:tcPr>
            <w:tcW w:w="1446" w:type="dxa"/>
            <w:vAlign w:val="center"/>
          </w:tcPr>
          <w:p w14:paraId="1657343C"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14,55</w:t>
            </w:r>
          </w:p>
        </w:tc>
        <w:tc>
          <w:tcPr>
            <w:tcW w:w="1703" w:type="dxa"/>
            <w:vAlign w:val="center"/>
          </w:tcPr>
          <w:p w14:paraId="2A7B9786"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не согласуется</w:t>
            </w:r>
          </w:p>
        </w:tc>
        <w:tc>
          <w:tcPr>
            <w:tcW w:w="0" w:type="auto"/>
            <w:vAlign w:val="center"/>
          </w:tcPr>
          <w:p w14:paraId="6270AC38"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lang w:val="en-US"/>
              </w:rPr>
              <w:t>3</w:t>
            </w:r>
            <w:r w:rsidRPr="003A6E5A">
              <w:rPr>
                <w:rFonts w:ascii="Times New Roman" w:eastAsia="Calibri" w:hAnsi="Times New Roman" w:cs="Times New Roman"/>
                <w:sz w:val="20"/>
                <w:szCs w:val="20"/>
              </w:rPr>
              <w:t>,</w:t>
            </w:r>
            <w:r w:rsidRPr="003A6E5A">
              <w:rPr>
                <w:rFonts w:ascii="Times New Roman" w:eastAsia="Calibri" w:hAnsi="Times New Roman" w:cs="Times New Roman"/>
                <w:sz w:val="20"/>
                <w:szCs w:val="20"/>
                <w:lang w:val="en-US"/>
              </w:rPr>
              <w:t>51</w:t>
            </w:r>
          </w:p>
        </w:tc>
        <w:tc>
          <w:tcPr>
            <w:tcW w:w="0" w:type="auto"/>
            <w:vAlign w:val="center"/>
          </w:tcPr>
          <w:p w14:paraId="178BD78F"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не согласуется</w:t>
            </w:r>
          </w:p>
        </w:tc>
      </w:tr>
      <w:tr w:rsidR="00B02CF8" w:rsidRPr="003A6E5A" w14:paraId="12461188" w14:textId="77777777" w:rsidTr="00861A04">
        <w:trPr>
          <w:jc w:val="center"/>
        </w:trPr>
        <w:tc>
          <w:tcPr>
            <w:tcW w:w="0" w:type="auto"/>
            <w:vAlign w:val="center"/>
          </w:tcPr>
          <w:p w14:paraId="2AE193EB"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21</w:t>
            </w: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20</w:t>
            </w:r>
          </w:p>
        </w:tc>
        <w:tc>
          <w:tcPr>
            <w:tcW w:w="0" w:type="auto"/>
            <w:vAlign w:val="center"/>
          </w:tcPr>
          <w:p w14:paraId="2AF46614"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1844040</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1558715</w:t>
            </w:r>
          </w:p>
        </w:tc>
        <w:tc>
          <w:tcPr>
            <w:tcW w:w="1446" w:type="dxa"/>
            <w:vAlign w:val="center"/>
          </w:tcPr>
          <w:p w14:paraId="7CFCE095"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1,48</w:t>
            </w:r>
          </w:p>
        </w:tc>
        <w:tc>
          <w:tcPr>
            <w:tcW w:w="1703" w:type="dxa"/>
            <w:vAlign w:val="center"/>
          </w:tcPr>
          <w:p w14:paraId="0C40B3BC"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c>
          <w:tcPr>
            <w:tcW w:w="0" w:type="auto"/>
            <w:vAlign w:val="center"/>
          </w:tcPr>
          <w:p w14:paraId="293BF3A9"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rPr>
              <w:t>1,</w:t>
            </w:r>
            <w:r w:rsidRPr="003A6E5A">
              <w:rPr>
                <w:rFonts w:ascii="Times New Roman" w:eastAsia="Calibri" w:hAnsi="Times New Roman" w:cs="Times New Roman"/>
                <w:sz w:val="20"/>
                <w:szCs w:val="20"/>
                <w:lang w:val="en-US"/>
              </w:rPr>
              <w:t>20</w:t>
            </w:r>
          </w:p>
        </w:tc>
        <w:tc>
          <w:tcPr>
            <w:tcW w:w="0" w:type="auto"/>
            <w:vAlign w:val="center"/>
          </w:tcPr>
          <w:p w14:paraId="7BFF755B"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не </w:t>
            </w:r>
            <w:r w:rsidRPr="003A6E5A">
              <w:rPr>
                <w:rFonts w:ascii="Times New Roman" w:hAnsi="Times New Roman" w:cs="Times New Roman"/>
                <w:sz w:val="20"/>
                <w:szCs w:val="20"/>
              </w:rPr>
              <w:t>согласуется</w:t>
            </w:r>
          </w:p>
        </w:tc>
      </w:tr>
      <w:tr w:rsidR="00B02CF8" w:rsidRPr="003A6E5A" w14:paraId="0927B549" w14:textId="77777777" w:rsidTr="00861A04">
        <w:trPr>
          <w:jc w:val="center"/>
        </w:trPr>
        <w:tc>
          <w:tcPr>
            <w:tcW w:w="0" w:type="auto"/>
            <w:vAlign w:val="center"/>
          </w:tcPr>
          <w:p w14:paraId="251B506C"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22</w:t>
            </w: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21</w:t>
            </w:r>
          </w:p>
        </w:tc>
        <w:tc>
          <w:tcPr>
            <w:tcW w:w="0" w:type="auto"/>
            <w:vAlign w:val="center"/>
          </w:tcPr>
          <w:p w14:paraId="23E8F3B0"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1558715</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721697</w:t>
            </w:r>
          </w:p>
        </w:tc>
        <w:tc>
          <w:tcPr>
            <w:tcW w:w="1446" w:type="dxa"/>
            <w:vAlign w:val="center"/>
          </w:tcPr>
          <w:p w14:paraId="3AD9601C"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2,28</w:t>
            </w:r>
          </w:p>
        </w:tc>
        <w:tc>
          <w:tcPr>
            <w:tcW w:w="1703" w:type="dxa"/>
            <w:vAlign w:val="center"/>
          </w:tcPr>
          <w:p w14:paraId="4048DC5A"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не согласуется</w:t>
            </w:r>
          </w:p>
        </w:tc>
        <w:tc>
          <w:tcPr>
            <w:tcW w:w="0" w:type="auto"/>
            <w:vAlign w:val="center"/>
          </w:tcPr>
          <w:p w14:paraId="463A3BCA" w14:textId="77777777" w:rsidR="00071EAE" w:rsidRPr="003A6E5A" w:rsidRDefault="00071EAE" w:rsidP="00861A04">
            <w:pPr>
              <w:spacing w:after="0" w:line="240" w:lineRule="auto"/>
              <w:jc w:val="center"/>
              <w:rPr>
                <w:rFonts w:ascii="Times New Roman" w:eastAsia="Calibri" w:hAnsi="Times New Roman" w:cs="Times New Roman"/>
                <w:sz w:val="20"/>
                <w:szCs w:val="20"/>
                <w:lang w:val="en-US"/>
              </w:rPr>
            </w:pPr>
            <w:r w:rsidRPr="003A6E5A">
              <w:rPr>
                <w:rFonts w:ascii="Times New Roman" w:eastAsia="Calibri" w:hAnsi="Times New Roman" w:cs="Times New Roman"/>
                <w:sz w:val="20"/>
                <w:szCs w:val="20"/>
                <w:lang w:val="en-US"/>
              </w:rPr>
              <w:t>2</w:t>
            </w:r>
            <w:r w:rsidRPr="003A6E5A">
              <w:rPr>
                <w:rFonts w:ascii="Times New Roman" w:eastAsia="Calibri" w:hAnsi="Times New Roman" w:cs="Times New Roman"/>
                <w:sz w:val="20"/>
                <w:szCs w:val="20"/>
              </w:rPr>
              <w:t>,</w:t>
            </w:r>
            <w:r w:rsidRPr="003A6E5A">
              <w:rPr>
                <w:rFonts w:ascii="Times New Roman" w:eastAsia="Calibri" w:hAnsi="Times New Roman" w:cs="Times New Roman"/>
                <w:sz w:val="20"/>
                <w:szCs w:val="20"/>
                <w:lang w:val="en-US"/>
              </w:rPr>
              <w:t>33</w:t>
            </w:r>
          </w:p>
        </w:tc>
        <w:tc>
          <w:tcPr>
            <w:tcW w:w="0" w:type="auto"/>
            <w:vAlign w:val="center"/>
          </w:tcPr>
          <w:p w14:paraId="43149F15"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не</w:t>
            </w:r>
            <w:r w:rsidRPr="003A6E5A">
              <w:rPr>
                <w:rFonts w:ascii="Times New Roman" w:hAnsi="Times New Roman" w:cs="Times New Roman"/>
                <w:sz w:val="20"/>
                <w:szCs w:val="20"/>
                <w:lang w:val="en-US"/>
              </w:rPr>
              <w:t xml:space="preserve"> </w:t>
            </w:r>
            <w:r w:rsidRPr="003A6E5A">
              <w:rPr>
                <w:rFonts w:ascii="Times New Roman" w:hAnsi="Times New Roman" w:cs="Times New Roman"/>
                <w:sz w:val="20"/>
                <w:szCs w:val="20"/>
              </w:rPr>
              <w:t>согласуется</w:t>
            </w:r>
          </w:p>
        </w:tc>
      </w:tr>
      <w:tr w:rsidR="00B02CF8" w:rsidRPr="003A6E5A" w14:paraId="386F46C9" w14:textId="77777777" w:rsidTr="00861A04">
        <w:trPr>
          <w:jc w:val="center"/>
        </w:trPr>
        <w:tc>
          <w:tcPr>
            <w:tcW w:w="0" w:type="auto"/>
            <w:vAlign w:val="center"/>
          </w:tcPr>
          <w:p w14:paraId="53625E07"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lang w:val="kk-KZ"/>
              </w:rPr>
              <w:t>20</w:t>
            </w:r>
            <w:r w:rsidRPr="003A6E5A">
              <w:rPr>
                <w:rFonts w:ascii="Times New Roman" w:hAnsi="Times New Roman" w:cs="Times New Roman"/>
                <w:sz w:val="20"/>
                <w:szCs w:val="20"/>
                <w:lang w:val="en-US"/>
              </w:rPr>
              <w:t>23</w:t>
            </w:r>
            <w:r w:rsidRPr="003A6E5A">
              <w:rPr>
                <w:rFonts w:ascii="Times New Roman" w:hAnsi="Times New Roman" w:cs="Times New Roman"/>
                <w:sz w:val="20"/>
                <w:szCs w:val="20"/>
                <w:lang w:val="kk-KZ"/>
              </w:rPr>
              <w:t>/20</w:t>
            </w:r>
            <w:r w:rsidRPr="003A6E5A">
              <w:rPr>
                <w:rFonts w:ascii="Times New Roman" w:hAnsi="Times New Roman" w:cs="Times New Roman"/>
                <w:sz w:val="20"/>
                <w:szCs w:val="20"/>
              </w:rPr>
              <w:t>2</w:t>
            </w:r>
            <w:r w:rsidRPr="003A6E5A">
              <w:rPr>
                <w:rFonts w:ascii="Times New Roman" w:hAnsi="Times New Roman" w:cs="Times New Roman"/>
                <w:sz w:val="20"/>
                <w:szCs w:val="20"/>
                <w:lang w:val="en-US"/>
              </w:rPr>
              <w:t>2</w:t>
            </w:r>
          </w:p>
        </w:tc>
        <w:tc>
          <w:tcPr>
            <w:tcW w:w="0" w:type="auto"/>
            <w:vAlign w:val="center"/>
          </w:tcPr>
          <w:p w14:paraId="7FBE0855" w14:textId="77777777" w:rsidR="00071EAE" w:rsidRPr="003A6E5A" w:rsidRDefault="00071EAE" w:rsidP="00861A04">
            <w:pPr>
              <w:spacing w:after="0" w:line="240" w:lineRule="auto"/>
              <w:jc w:val="center"/>
              <w:rPr>
                <w:rFonts w:ascii="Times New Roman" w:hAnsi="Times New Roman" w:cs="Times New Roman"/>
                <w:sz w:val="20"/>
                <w:szCs w:val="20"/>
                <w:lang w:val="en-US"/>
              </w:rPr>
            </w:pPr>
            <w:r w:rsidRPr="003A6E5A">
              <w:rPr>
                <w:rFonts w:ascii="Times New Roman" w:hAnsi="Times New Roman" w:cs="Times New Roman"/>
                <w:sz w:val="20"/>
                <w:szCs w:val="20"/>
              </w:rPr>
              <w:t>721697</w:t>
            </w:r>
            <m:oMath>
              <m:r>
                <m:rPr>
                  <m:sty m:val="p"/>
                </m:rPr>
                <w:rPr>
                  <w:rFonts w:ascii="Cambria Math" w:hAnsi="Cambria Math" w:cs="Times New Roman"/>
                  <w:sz w:val="20"/>
                  <w:szCs w:val="20"/>
                </w:rPr>
                <m:t xml:space="preserve"> </m:t>
              </m:r>
              <m:r>
                <m:rPr>
                  <m:sty m:val="p"/>
                </m:rPr>
                <w:rPr>
                  <w:rFonts w:ascii="Cambria Math" w:hAnsi="Cambria Math" w:cs="Times New Roman"/>
                  <w:sz w:val="20"/>
                  <w:szCs w:val="20"/>
                  <w:lang w:val="en-US"/>
                </w:rPr>
                <m:t>→</m:t>
              </m:r>
            </m:oMath>
            <w:r w:rsidRPr="003A6E5A">
              <w:rPr>
                <w:rFonts w:ascii="Times New Roman" w:hAnsi="Times New Roman" w:cs="Times New Roman"/>
                <w:sz w:val="20"/>
                <w:szCs w:val="20"/>
              </w:rPr>
              <w:t xml:space="preserve"> 1198217</w:t>
            </w:r>
          </w:p>
        </w:tc>
        <w:tc>
          <w:tcPr>
            <w:tcW w:w="1446" w:type="dxa"/>
            <w:vAlign w:val="center"/>
          </w:tcPr>
          <w:p w14:paraId="3852A442" w14:textId="77777777" w:rsidR="00071EAE" w:rsidRPr="003A6E5A" w:rsidRDefault="00071EAE" w:rsidP="00861A04">
            <w:pPr>
              <w:spacing w:after="0" w:line="240" w:lineRule="auto"/>
              <w:jc w:val="center"/>
              <w:rPr>
                <w:rFonts w:ascii="Times New Roman" w:eastAsia="Calibri" w:hAnsi="Times New Roman" w:cs="Times New Roman"/>
                <w:sz w:val="20"/>
                <w:szCs w:val="20"/>
                <w:lang w:val="kk-KZ"/>
              </w:rPr>
            </w:pPr>
            <w:r w:rsidRPr="003A6E5A">
              <w:rPr>
                <w:rFonts w:ascii="Times New Roman" w:hAnsi="Times New Roman" w:cs="Times New Roman"/>
                <w:sz w:val="20"/>
                <w:szCs w:val="20"/>
              </w:rPr>
              <w:t>1,98</w:t>
            </w:r>
          </w:p>
        </w:tc>
        <w:tc>
          <w:tcPr>
            <w:tcW w:w="1703" w:type="dxa"/>
            <w:vAlign w:val="center"/>
          </w:tcPr>
          <w:p w14:paraId="557449B9" w14:textId="77777777" w:rsidR="00071EAE" w:rsidRPr="003A6E5A" w:rsidRDefault="00071EAE"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rPr>
              <w:t>согласуется</w:t>
            </w:r>
          </w:p>
        </w:tc>
        <w:tc>
          <w:tcPr>
            <w:tcW w:w="0" w:type="auto"/>
            <w:vAlign w:val="center"/>
          </w:tcPr>
          <w:p w14:paraId="693D1E90" w14:textId="77777777" w:rsidR="00071EAE" w:rsidRPr="003A6E5A" w:rsidRDefault="00071EAE" w:rsidP="00861A04">
            <w:pPr>
              <w:spacing w:after="0" w:line="240" w:lineRule="auto"/>
              <w:jc w:val="center"/>
              <w:rPr>
                <w:rFonts w:ascii="Times New Roman" w:eastAsia="Calibri" w:hAnsi="Times New Roman" w:cs="Times New Roman"/>
                <w:sz w:val="20"/>
                <w:szCs w:val="20"/>
              </w:rPr>
            </w:pPr>
            <w:r w:rsidRPr="003A6E5A">
              <w:rPr>
                <w:rFonts w:ascii="Times New Roman" w:eastAsia="Calibri" w:hAnsi="Times New Roman" w:cs="Times New Roman"/>
                <w:sz w:val="20"/>
                <w:szCs w:val="20"/>
                <w:lang w:val="en-US"/>
              </w:rPr>
              <w:t>1</w:t>
            </w:r>
            <w:r w:rsidRPr="003A6E5A">
              <w:rPr>
                <w:rFonts w:ascii="Times New Roman" w:eastAsia="Calibri" w:hAnsi="Times New Roman" w:cs="Times New Roman"/>
                <w:sz w:val="20"/>
                <w:szCs w:val="20"/>
              </w:rPr>
              <w:t>,</w:t>
            </w:r>
            <w:r w:rsidRPr="003A6E5A">
              <w:rPr>
                <w:rFonts w:ascii="Times New Roman" w:eastAsia="Calibri" w:hAnsi="Times New Roman" w:cs="Times New Roman"/>
                <w:sz w:val="20"/>
                <w:szCs w:val="20"/>
                <w:lang w:val="en-US"/>
              </w:rPr>
              <w:t>5</w:t>
            </w:r>
            <w:r w:rsidRPr="003A6E5A">
              <w:rPr>
                <w:rFonts w:ascii="Times New Roman" w:eastAsia="Calibri" w:hAnsi="Times New Roman" w:cs="Times New Roman"/>
                <w:sz w:val="20"/>
                <w:szCs w:val="20"/>
              </w:rPr>
              <w:t>3</w:t>
            </w:r>
          </w:p>
        </w:tc>
        <w:tc>
          <w:tcPr>
            <w:tcW w:w="0" w:type="auto"/>
            <w:vAlign w:val="center"/>
          </w:tcPr>
          <w:p w14:paraId="68CA6AC7" w14:textId="6B714908" w:rsidR="00071EAE" w:rsidRPr="003A6E5A" w:rsidRDefault="003D2323" w:rsidP="00861A04">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С</w:t>
            </w:r>
            <w:r w:rsidR="00071EAE" w:rsidRPr="003A6E5A">
              <w:rPr>
                <w:rFonts w:ascii="Times New Roman" w:hAnsi="Times New Roman" w:cs="Times New Roman"/>
                <w:sz w:val="20"/>
                <w:szCs w:val="20"/>
              </w:rPr>
              <w:t>огласуется</w:t>
            </w:r>
          </w:p>
        </w:tc>
      </w:tr>
    </w:tbl>
    <w:p w14:paraId="1FFB557A" w14:textId="77777777" w:rsidR="00071EAE" w:rsidRPr="003A6E5A" w:rsidRDefault="00071EAE" w:rsidP="00071EAE">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w:r w:rsidRPr="003A6E5A">
        <w:rPr>
          <w:rFonts w:ascii="Times New Roman" w:hAnsi="Times New Roman" w:cs="Times New Roman"/>
          <w:sz w:val="20"/>
          <w:szCs w:val="20"/>
          <w:lang w:val="kk-KZ"/>
        </w:rPr>
        <w:t>и</w:t>
      </w:r>
      <w:r w:rsidRPr="003A6E5A">
        <w:rPr>
          <w:rFonts w:ascii="Times New Roman" w:hAnsi="Times New Roman" w:cs="Times New Roman"/>
          <w:sz w:val="20"/>
          <w:szCs w:val="20"/>
        </w:rPr>
        <w:t xml:space="preserve">ндекс инвестиционного потенциала (далее – </w:t>
      </w: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1</m:t>
            </m:r>
          </m:sub>
        </m:sSub>
      </m:oMath>
      <w:r w:rsidRPr="003A6E5A">
        <w:rPr>
          <w:rFonts w:ascii="Times New Roman" w:eastAsiaTheme="minorEastAsia"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2</m:t>
            </m:r>
          </m:sub>
        </m:sSub>
      </m:oMath>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kk-KZ"/>
        </w:rPr>
        <w:t xml:space="preserve">все </w:t>
      </w:r>
      <w:r w:rsidRPr="003A6E5A">
        <w:rPr>
          <w:rFonts w:ascii="Times New Roman" w:hAnsi="Times New Roman" w:cs="Times New Roman"/>
          <w:sz w:val="20"/>
          <w:szCs w:val="20"/>
        </w:rPr>
        <w:t xml:space="preserve">стоимостные </w:t>
      </w:r>
      <w:r w:rsidRPr="003A6E5A">
        <w:rPr>
          <w:rFonts w:ascii="Times New Roman" w:hAnsi="Times New Roman" w:cs="Times New Roman"/>
          <w:sz w:val="20"/>
          <w:szCs w:val="20"/>
          <w:lang w:val="kk-KZ"/>
        </w:rPr>
        <w:t>переменные</w:t>
      </w:r>
      <w:r w:rsidRPr="003A6E5A">
        <w:rPr>
          <w:rFonts w:ascii="Times New Roman" w:hAnsi="Times New Roman" w:cs="Times New Roman"/>
          <w:sz w:val="20"/>
          <w:szCs w:val="20"/>
        </w:rPr>
        <w:t xml:space="preserve"> представлены в ценах 2014 года. В расчётах индекса инвестиционного потенциала </w:t>
      </w: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1</m:t>
            </m:r>
          </m:sub>
        </m:sSub>
      </m:oMath>
      <w:r w:rsidRPr="003A6E5A">
        <w:rPr>
          <w:rFonts w:ascii="Times New Roman" w:hAnsi="Times New Roman" w:cs="Times New Roman"/>
          <w:sz w:val="20"/>
          <w:szCs w:val="20"/>
        </w:rPr>
        <w:t xml:space="preserve"> весовые коэффициенты в числителе имели равные значения, их совокупная сумма составляла единицу; аналогичный принцип применялся и к коэффициентам в знаменателе. В формуле </w:t>
      </w:r>
      <m:oMath>
        <m:sSub>
          <m:sSubPr>
            <m:ctrlPr>
              <w:rPr>
                <w:rFonts w:ascii="Cambria Math" w:hAnsi="Cambria Math" w:cs="Times New Roman"/>
                <w:i/>
                <w:sz w:val="20"/>
                <w:szCs w:val="20"/>
              </w:rPr>
            </m:ctrlPr>
          </m:sSubPr>
          <m:e>
            <m:r>
              <w:rPr>
                <w:rFonts w:ascii="Cambria Math" w:hAnsi="Cambria Math" w:cs="Times New Roman"/>
                <w:sz w:val="20"/>
                <w:szCs w:val="20"/>
                <w:lang w:val="kk-KZ"/>
              </w:rPr>
              <m:t>ИИП</m:t>
            </m:r>
          </m:e>
          <m:sub>
            <m:r>
              <w:rPr>
                <w:rFonts w:ascii="Cambria Math" w:hAnsi="Cambria Math" w:cs="Times New Roman"/>
                <w:sz w:val="20"/>
                <w:szCs w:val="20"/>
              </w:rPr>
              <m:t>2</m:t>
            </m:r>
          </m:sub>
        </m:sSub>
      </m:oMath>
      <w:r w:rsidRPr="003A6E5A">
        <w:rPr>
          <w:rFonts w:ascii="Times New Roman" w:hAnsi="Times New Roman" w:cs="Times New Roman"/>
          <w:sz w:val="20"/>
          <w:szCs w:val="20"/>
        </w:rPr>
        <w:t xml:space="preserve"> весовые коэффициенты определялись на основе метода главных компонент, что обеспечивало их дифференцированное распределение в зависимости от вклада каждой переменной.</w:t>
      </w:r>
    </w:p>
    <w:p w14:paraId="080AF59A" w14:textId="34FA6DF9" w:rsidR="00071EAE" w:rsidRPr="003A6E5A" w:rsidRDefault="004C4949" w:rsidP="00071EAE">
      <w:pPr>
        <w:spacing w:after="0" w:line="240" w:lineRule="auto"/>
        <w:rPr>
          <w:rFonts w:ascii="Times New Roman" w:hAnsi="Times New Roman" w:cs="Times New Roman"/>
          <w:lang w:val="kk-KZ"/>
        </w:rPr>
      </w:pPr>
      <w:r w:rsidRPr="003A6E5A">
        <w:rPr>
          <w:rFonts w:ascii="Times New Roman" w:hAnsi="Times New Roman" w:cs="Times New Roman"/>
          <w:sz w:val="20"/>
          <w:szCs w:val="20"/>
        </w:rPr>
        <w:t>Источник: собственные расчеты автора исследования</w:t>
      </w:r>
    </w:p>
    <w:p w14:paraId="4169A2E3" w14:textId="77777777" w:rsidR="00C41201" w:rsidRPr="003A6E5A" w:rsidRDefault="00C41201" w:rsidP="00566B59">
      <w:pPr>
        <w:spacing w:after="0" w:line="240" w:lineRule="auto"/>
        <w:jc w:val="both"/>
        <w:rPr>
          <w:rFonts w:ascii="Times New Roman" w:eastAsia="Times New Roman" w:hAnsi="Times New Roman" w:cs="Times New Roman"/>
          <w:sz w:val="28"/>
          <w:szCs w:val="28"/>
          <w:lang w:eastAsia="ru-RU"/>
        </w:rPr>
      </w:pPr>
    </w:p>
    <w:p w14:paraId="277CC4FA" w14:textId="500A97AD" w:rsidR="00071EAE" w:rsidRPr="003A6E5A" w:rsidRDefault="00566B59" w:rsidP="00566B59">
      <w:pPr>
        <w:spacing w:after="0" w:line="240" w:lineRule="auto"/>
        <w:jc w:val="both"/>
        <w:rPr>
          <w:rFonts w:ascii="Times New Roman" w:hAnsi="Times New Roman" w:cs="Times New Roman"/>
          <w:sz w:val="28"/>
          <w:szCs w:val="28"/>
        </w:rPr>
      </w:pPr>
      <w:r w:rsidRPr="003A6E5A">
        <w:rPr>
          <w:rFonts w:ascii="Times New Roman" w:eastAsia="Times New Roman" w:hAnsi="Times New Roman" w:cs="Times New Roman"/>
          <w:sz w:val="28"/>
          <w:szCs w:val="28"/>
          <w:lang w:eastAsia="ru-RU"/>
        </w:rPr>
        <w:t>В 2022 году вновь проявляется несоответствие, вызванное снижением инвестиций при сохранении относительной устойчивости инвестиционного потенциала, что может объясняться временным ослаблением инвестиционного спроса на фоне сохраняющегося потенциала региона. В 2023 году показатели возвращаются к согласованной динамике, одновременно свидетельствуя о восстановлении связи между инвестиционной активностью и факторами её стимулирования.</w:t>
      </w:r>
    </w:p>
    <w:p w14:paraId="0EF3E33E" w14:textId="79F89B50" w:rsidR="00A0101C" w:rsidRPr="003A6E5A" w:rsidRDefault="00A0101C" w:rsidP="00A0101C">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В Актюбинской области картина имеет более выраженные колебания. В 2015</w:t>
      </w:r>
      <w:r w:rsidR="00C96643"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2016 годах фиксируется снижение инвестиций при завышенных значениях </w:t>
      </w:r>
      <w:r w:rsidRPr="003A6E5A">
        <w:rPr>
          <w:rFonts w:ascii="Times New Roman" w:eastAsia="Times New Roman" w:hAnsi="Times New Roman" w:cs="Times New Roman"/>
          <w:sz w:val="28"/>
          <w:szCs w:val="28"/>
          <w:lang w:eastAsia="ru-RU"/>
        </w:rPr>
        <w:lastRenderedPageBreak/>
        <w:t xml:space="preserve">индексов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00F24700" w:rsidRPr="003A6E5A">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eastAsia="Times New Roman" w:hAnsi="Times New Roman" w:cs="Times New Roman"/>
          <w:sz w:val="28"/>
          <w:szCs w:val="28"/>
          <w:lang w:eastAsia="ru-RU"/>
        </w:rPr>
        <w:t>, отражающее неустойчивость структуры факторов инвестиционного потенциала, вероятно связанную с внешнеэкономическими шоками. Начиная с 2017 года и до 2021 года наблюдается устойчивая положительная согласованность между ростом инвестиций и индексами ИИП, что в свою очередь указывает на синхронное воздействие ключевых стимулирующих переменных, особенно инновационной активности и увеличения числа предприятий, вовлечённых в НИОКР. В 2022 году несоответствие проявляется вновь, когда при резком снижении инвестиций значения ИИП сохраняют высокие уровни, отражая разрыв между потенциалом и его фактической реализацией. В 2023 году показатели выравниваются, одновременно демонстрируя восстановление связи между инвестиционным потенциалом и инвестиционными потоками.</w:t>
      </w:r>
    </w:p>
    <w:p w14:paraId="4B5943D3" w14:textId="685BF2FF" w:rsidR="00A0101C" w:rsidRPr="003A6E5A" w:rsidRDefault="00A0101C" w:rsidP="00071EA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Для Атырауской области характерна наиболее контрастная динамика. В 2015 году рост инвестиций сопровождается полной согласованностью с индексами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00F24700" w:rsidRPr="003A6E5A">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eastAsia="Times New Roman" w:hAnsi="Times New Roman" w:cs="Times New Roman"/>
          <w:sz w:val="28"/>
          <w:szCs w:val="28"/>
          <w:lang w:eastAsia="ru-RU"/>
        </w:rPr>
        <w:t>, указывающей на совпадение направлений изменения инвестиционной активности и факторов, определяющих её потенциал. В период 2016</w:t>
      </w:r>
      <w:r w:rsidR="007673B4"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2019 годов показатели инвестиций и ИИП </w:t>
      </w:r>
      <w:r w:rsidR="00F24700" w:rsidRPr="003A6E5A">
        <w:rPr>
          <w:rFonts w:ascii="Times New Roman" w:eastAsia="Times New Roman" w:hAnsi="Times New Roman" w:cs="Times New Roman"/>
          <w:sz w:val="28"/>
          <w:szCs w:val="28"/>
          <w:lang w:eastAsia="ru-RU"/>
        </w:rPr>
        <w:t xml:space="preserve">также </w:t>
      </w:r>
      <w:r w:rsidRPr="003A6E5A">
        <w:rPr>
          <w:rFonts w:ascii="Times New Roman" w:eastAsia="Times New Roman" w:hAnsi="Times New Roman" w:cs="Times New Roman"/>
          <w:sz w:val="28"/>
          <w:szCs w:val="28"/>
          <w:lang w:eastAsia="ru-RU"/>
        </w:rPr>
        <w:t>движутся согласованно, при этом наблюдается синергетический эффект между ростом инновационного потенциала, повышением заработной платы и активизацией предприятий, осуществляющих НИОКР. В 2020</w:t>
      </w:r>
      <w:r w:rsidR="007673B4"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2022 годах наблюдается глубокое расхождение, вызванное резким сокращением инвестиций при сохранении относительной устойчивости отдельных стимулирующих факторов, что указывает на воздействие макроэкономических и отраслевых ограничений. В 2023 году вновь прослеживается согласованность между восстановлением инвестиционной активности и ростом индексов инвестиционного потенциала, одновременно отражающая адаптацию региональной экономики к изменившимся условиям.</w:t>
      </w:r>
      <w:r w:rsidR="00144874" w:rsidRPr="003A6E5A">
        <w:rPr>
          <w:rFonts w:ascii="Times New Roman" w:eastAsia="Times New Roman" w:hAnsi="Times New Roman" w:cs="Times New Roman"/>
          <w:sz w:val="28"/>
          <w:szCs w:val="28"/>
          <w:lang w:eastAsia="ru-RU"/>
        </w:rPr>
        <w:t xml:space="preserve"> Таким образом, с</w:t>
      </w:r>
      <w:r w:rsidRPr="003A6E5A">
        <w:rPr>
          <w:rFonts w:ascii="Times New Roman" w:eastAsia="Times New Roman" w:hAnsi="Times New Roman" w:cs="Times New Roman"/>
          <w:sz w:val="28"/>
          <w:szCs w:val="28"/>
          <w:lang w:eastAsia="ru-RU"/>
        </w:rPr>
        <w:t xml:space="preserve">опоставление региональных результатов позволяет заключить, что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00144874" w:rsidRPr="003A6E5A">
        <w:rPr>
          <w:rFonts w:ascii="Times New Roman" w:eastAsia="Times New Roman" w:hAnsi="Times New Roman" w:cs="Times New Roman"/>
          <w:sz w:val="28"/>
          <w:szCs w:val="28"/>
          <w:lang w:eastAsia="ru-RU"/>
        </w:rPr>
        <w:t xml:space="preserve"> 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eastAsia="Times New Roman" w:hAnsi="Times New Roman" w:cs="Times New Roman"/>
          <w:sz w:val="28"/>
          <w:szCs w:val="28"/>
          <w:lang w:eastAsia="ru-RU"/>
        </w:rPr>
        <w:t xml:space="preserve"> достаточно точно отражают годовую динамику инвестиционного развития </w:t>
      </w:r>
      <w:r w:rsidR="00144874" w:rsidRPr="003A6E5A">
        <w:rPr>
          <w:rFonts w:ascii="Times New Roman" w:eastAsia="Times New Roman" w:hAnsi="Times New Roman" w:cs="Times New Roman"/>
          <w:sz w:val="28"/>
          <w:szCs w:val="28"/>
          <w:lang w:eastAsia="ru-RU"/>
        </w:rPr>
        <w:t>рассматриваемых областей Республики Казахстан</w:t>
      </w:r>
      <w:r w:rsidRPr="003A6E5A">
        <w:rPr>
          <w:rFonts w:ascii="Times New Roman" w:eastAsia="Times New Roman" w:hAnsi="Times New Roman" w:cs="Times New Roman"/>
          <w:sz w:val="28"/>
          <w:szCs w:val="28"/>
          <w:lang w:eastAsia="ru-RU"/>
        </w:rPr>
        <w:t xml:space="preserve">, хотя в отдельные периоды направление движения инвестиций и индексов расходится. Применение равновесных весов 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Pr="003A6E5A">
        <w:rPr>
          <w:rFonts w:ascii="Times New Roman" w:eastAsia="Times New Roman" w:hAnsi="Times New Roman" w:cs="Times New Roman"/>
          <w:sz w:val="28"/>
          <w:szCs w:val="28"/>
          <w:lang w:eastAsia="ru-RU"/>
        </w:rPr>
        <w:t xml:space="preserve"> демонстрирует более стабильную чувствительность к изменениям отдельных факторов, тогда как использование метода главных компонент в</w:t>
      </w:r>
      <w:r w:rsidR="00144874" w:rsidRPr="003A6E5A">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oMath>
      <w:r w:rsidRPr="003A6E5A">
        <w:rPr>
          <w:rFonts w:ascii="Times New Roman" w:eastAsia="Times New Roman" w:hAnsi="Times New Roman" w:cs="Times New Roman"/>
          <w:sz w:val="28"/>
          <w:szCs w:val="28"/>
          <w:lang w:eastAsia="ru-RU"/>
        </w:rPr>
        <w:t xml:space="preserve">, в свою очередь, позволяет точнее выявлять периоды структурных сдвигов в формировании инвестиционного потенциала. В целом, согласованность годовых изменений инвестиций с индексами инвестиционного потенциала подтверждает результативность применения интегральных показателей для анализа устойчивости инвестиционного развития </w:t>
      </w:r>
      <w:r w:rsidR="00144874" w:rsidRPr="003A6E5A">
        <w:rPr>
          <w:rFonts w:ascii="Times New Roman" w:eastAsia="Times New Roman" w:hAnsi="Times New Roman" w:cs="Times New Roman"/>
          <w:sz w:val="28"/>
          <w:szCs w:val="28"/>
          <w:lang w:eastAsia="ru-RU"/>
        </w:rPr>
        <w:t>областей Республики Казахстан</w:t>
      </w:r>
      <w:r w:rsidRPr="003A6E5A">
        <w:rPr>
          <w:rFonts w:ascii="Times New Roman" w:eastAsia="Times New Roman" w:hAnsi="Times New Roman" w:cs="Times New Roman"/>
          <w:sz w:val="28"/>
          <w:szCs w:val="28"/>
          <w:lang w:eastAsia="ru-RU"/>
        </w:rPr>
        <w:t>.</w:t>
      </w:r>
    </w:p>
    <w:p w14:paraId="42AD6371" w14:textId="2EA0F084"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На </w:t>
      </w:r>
      <w:r w:rsidR="00A8512A" w:rsidRPr="003A6E5A">
        <w:rPr>
          <w:rFonts w:ascii="Times New Roman" w:hAnsi="Times New Roman" w:cs="Times New Roman"/>
          <w:sz w:val="28"/>
          <w:szCs w:val="28"/>
        </w:rPr>
        <w:t xml:space="preserve">следующем </w:t>
      </w:r>
      <w:r w:rsidRPr="003A6E5A">
        <w:rPr>
          <w:rFonts w:ascii="Times New Roman" w:hAnsi="Times New Roman" w:cs="Times New Roman"/>
          <w:sz w:val="28"/>
          <w:szCs w:val="28"/>
        </w:rPr>
        <w:t xml:space="preserve">графике </w:t>
      </w:r>
      <w:r w:rsidR="00254D9C" w:rsidRPr="003A6E5A">
        <w:rPr>
          <w:rFonts w:ascii="Times New Roman" w:hAnsi="Times New Roman" w:cs="Times New Roman"/>
          <w:sz w:val="28"/>
          <w:szCs w:val="28"/>
        </w:rPr>
        <w:t>13</w:t>
      </w:r>
      <w:r w:rsidRPr="003A6E5A">
        <w:rPr>
          <w:rFonts w:ascii="Times New Roman" w:hAnsi="Times New Roman" w:cs="Times New Roman"/>
          <w:sz w:val="28"/>
          <w:szCs w:val="28"/>
        </w:rPr>
        <w:t xml:space="preserve"> представлена информация о инвестициях в основной капитал и ПИИ в разных </w:t>
      </w:r>
      <w:r w:rsidR="00A8512A" w:rsidRPr="003A6E5A">
        <w:rPr>
          <w:rFonts w:ascii="Times New Roman" w:hAnsi="Times New Roman" w:cs="Times New Roman"/>
          <w:sz w:val="28"/>
          <w:szCs w:val="28"/>
        </w:rPr>
        <w:t>областях</w:t>
      </w:r>
      <w:r w:rsidRPr="003A6E5A">
        <w:rPr>
          <w:rFonts w:ascii="Times New Roman" w:hAnsi="Times New Roman" w:cs="Times New Roman"/>
          <w:sz w:val="28"/>
          <w:szCs w:val="28"/>
        </w:rPr>
        <w:t xml:space="preserve"> </w:t>
      </w:r>
      <w:r w:rsidR="00A8512A" w:rsidRPr="003A6E5A">
        <w:rPr>
          <w:rFonts w:ascii="Times New Roman" w:hAnsi="Times New Roman" w:cs="Times New Roman"/>
          <w:sz w:val="28"/>
          <w:szCs w:val="28"/>
        </w:rPr>
        <w:t xml:space="preserve">Республики </w:t>
      </w:r>
      <w:r w:rsidRPr="003A6E5A">
        <w:rPr>
          <w:rFonts w:ascii="Times New Roman" w:hAnsi="Times New Roman" w:cs="Times New Roman"/>
          <w:sz w:val="28"/>
          <w:szCs w:val="28"/>
        </w:rPr>
        <w:t>Казахстан. Атырауская область выделяется на графике максимальным уровнем инвестици</w:t>
      </w:r>
      <w:r w:rsidR="00903535" w:rsidRPr="003A6E5A">
        <w:rPr>
          <w:rFonts w:ascii="Times New Roman" w:hAnsi="Times New Roman" w:cs="Times New Roman"/>
          <w:sz w:val="28"/>
          <w:szCs w:val="28"/>
        </w:rPr>
        <w:t>й</w:t>
      </w:r>
      <w:r w:rsidRPr="003A6E5A">
        <w:rPr>
          <w:rFonts w:ascii="Times New Roman" w:hAnsi="Times New Roman" w:cs="Times New Roman"/>
          <w:sz w:val="28"/>
          <w:szCs w:val="28"/>
        </w:rPr>
        <w:t xml:space="preserve"> в основной капитал, достигая 1600 мл</w:t>
      </w:r>
      <w:r w:rsidR="00B327EC" w:rsidRPr="003A6E5A">
        <w:rPr>
          <w:rFonts w:ascii="Times New Roman" w:hAnsi="Times New Roman" w:cs="Times New Roman"/>
          <w:sz w:val="28"/>
          <w:szCs w:val="28"/>
        </w:rPr>
        <w:t>н</w:t>
      </w:r>
      <w:r w:rsidRPr="003A6E5A">
        <w:rPr>
          <w:rFonts w:ascii="Times New Roman" w:hAnsi="Times New Roman" w:cs="Times New Roman"/>
          <w:sz w:val="28"/>
          <w:szCs w:val="28"/>
        </w:rPr>
        <w:t xml:space="preserve"> тенге, тем самым обеспе</w:t>
      </w:r>
      <w:r w:rsidRPr="003A6E5A">
        <w:rPr>
          <w:rFonts w:ascii="Times New Roman" w:hAnsi="Times New Roman" w:cs="Times New Roman"/>
          <w:sz w:val="28"/>
          <w:szCs w:val="28"/>
          <w:lang w:val="kk-KZ"/>
        </w:rPr>
        <w:t>ч</w:t>
      </w:r>
      <w:r w:rsidRPr="003A6E5A">
        <w:rPr>
          <w:rFonts w:ascii="Times New Roman" w:hAnsi="Times New Roman" w:cs="Times New Roman"/>
          <w:sz w:val="28"/>
          <w:szCs w:val="28"/>
        </w:rPr>
        <w:t xml:space="preserve">ив 28% всех инвестиций в основной капитал </w:t>
      </w:r>
      <w:r w:rsidR="00903535" w:rsidRPr="003A6E5A">
        <w:rPr>
          <w:rFonts w:ascii="Times New Roman" w:hAnsi="Times New Roman" w:cs="Times New Roman"/>
          <w:sz w:val="28"/>
          <w:szCs w:val="28"/>
        </w:rPr>
        <w:t>страны</w:t>
      </w:r>
      <w:r w:rsidRPr="003A6E5A">
        <w:rPr>
          <w:rFonts w:ascii="Times New Roman" w:hAnsi="Times New Roman" w:cs="Times New Roman"/>
          <w:sz w:val="28"/>
          <w:szCs w:val="28"/>
        </w:rPr>
        <w:t xml:space="preserve">. В области созданы и работают свыше 1000 </w:t>
      </w:r>
      <w:r w:rsidRPr="003A6E5A">
        <w:rPr>
          <w:rFonts w:ascii="Times New Roman" w:hAnsi="Times New Roman" w:cs="Times New Roman"/>
          <w:sz w:val="28"/>
          <w:szCs w:val="28"/>
        </w:rPr>
        <w:lastRenderedPageBreak/>
        <w:t>совместных и иностранных предприятий, в том числе такие крупные мировые транснациональные компании, как «Шеврон, Эни, Эксон Мобил» и другие</w:t>
      </w:r>
      <w:r w:rsidR="007673B4" w:rsidRPr="003A6E5A">
        <w:rPr>
          <w:rFonts w:ascii="Times New Roman" w:hAnsi="Times New Roman" w:cs="Times New Roman"/>
          <w:sz w:val="28"/>
          <w:szCs w:val="28"/>
        </w:rPr>
        <w:t xml:space="preserve"> </w:t>
      </w:r>
      <w:r w:rsidR="00827160" w:rsidRPr="003A6E5A">
        <w:rPr>
          <w:rFonts w:ascii="Times New Roman" w:hAnsi="Times New Roman" w:cs="Times New Roman"/>
          <w:sz w:val="28"/>
          <w:szCs w:val="28"/>
        </w:rPr>
        <w:t>[41]</w:t>
      </w:r>
      <w:r w:rsidRPr="003A6E5A">
        <w:rPr>
          <w:rFonts w:ascii="Times New Roman" w:hAnsi="Times New Roman" w:cs="Times New Roman"/>
          <w:sz w:val="28"/>
          <w:szCs w:val="28"/>
        </w:rPr>
        <w:t>. Город Астана показывает более умеренную динамику инвестици</w:t>
      </w:r>
      <w:r w:rsidR="00A01B27" w:rsidRPr="003A6E5A">
        <w:rPr>
          <w:rFonts w:ascii="Times New Roman" w:hAnsi="Times New Roman" w:cs="Times New Roman"/>
          <w:sz w:val="28"/>
          <w:szCs w:val="28"/>
        </w:rPr>
        <w:t>й</w:t>
      </w:r>
      <w:r w:rsidRPr="003A6E5A">
        <w:rPr>
          <w:rFonts w:ascii="Times New Roman" w:hAnsi="Times New Roman" w:cs="Times New Roman"/>
          <w:sz w:val="28"/>
          <w:szCs w:val="28"/>
        </w:rPr>
        <w:t>, в переделах 600 мл</w:t>
      </w:r>
      <w:r w:rsidR="00B327EC" w:rsidRPr="003A6E5A">
        <w:rPr>
          <w:rFonts w:ascii="Times New Roman" w:hAnsi="Times New Roman" w:cs="Times New Roman"/>
          <w:sz w:val="28"/>
          <w:szCs w:val="28"/>
        </w:rPr>
        <w:t>н</w:t>
      </w:r>
      <w:r w:rsidRPr="003A6E5A">
        <w:rPr>
          <w:rFonts w:ascii="Times New Roman" w:hAnsi="Times New Roman" w:cs="Times New Roman"/>
          <w:sz w:val="28"/>
          <w:szCs w:val="28"/>
        </w:rPr>
        <w:t xml:space="preserve"> тенге. </w:t>
      </w:r>
      <w:r w:rsidR="001E6BBB" w:rsidRPr="003A6E5A">
        <w:rPr>
          <w:rFonts w:ascii="Times New Roman" w:hAnsi="Times New Roman" w:cs="Times New Roman"/>
          <w:sz w:val="28"/>
          <w:szCs w:val="28"/>
        </w:rPr>
        <w:t>Данный результат</w:t>
      </w:r>
      <w:r w:rsidRPr="003A6E5A">
        <w:rPr>
          <w:rFonts w:ascii="Times New Roman" w:hAnsi="Times New Roman" w:cs="Times New Roman"/>
          <w:sz w:val="28"/>
          <w:szCs w:val="28"/>
        </w:rPr>
        <w:t xml:space="preserve"> может указывать на более диверсифицированную экономику, где инвестиции распределены по различным секторам. Например,</w:t>
      </w:r>
    </w:p>
    <w:p w14:paraId="10CCBE18" w14:textId="77777777" w:rsidR="0003217D" w:rsidRPr="003A6E5A" w:rsidRDefault="0003217D" w:rsidP="001608EA">
      <w:pPr>
        <w:spacing w:after="0" w:line="240" w:lineRule="auto"/>
        <w:ind w:firstLine="708"/>
        <w:jc w:val="both"/>
        <w:rPr>
          <w:rFonts w:ascii="Times New Roman" w:hAnsi="Times New Roman" w:cs="Times New Roman"/>
          <w:sz w:val="28"/>
          <w:szCs w:val="28"/>
        </w:rPr>
      </w:pPr>
    </w:p>
    <w:p w14:paraId="19A5629B" w14:textId="77777777" w:rsidR="0003217D" w:rsidRPr="003A6E5A" w:rsidRDefault="00FC275D" w:rsidP="006475D1">
      <w:pPr>
        <w:spacing w:after="0" w:line="240" w:lineRule="auto"/>
        <w:rPr>
          <w:rFonts w:ascii="Times New Roman" w:hAnsi="Times New Roman" w:cs="Times New Roman"/>
        </w:rPr>
      </w:pPr>
      <w:r w:rsidRPr="003A6E5A">
        <w:rPr>
          <w:rFonts w:ascii="Times New Roman" w:hAnsi="Times New Roman" w:cs="Times New Roman"/>
          <w:noProof/>
        </w:rPr>
        <w:drawing>
          <wp:inline distT="0" distB="0" distL="114300" distR="114300" wp14:anchorId="3BD52565" wp14:editId="407CA323">
            <wp:extent cx="5839486" cy="3121660"/>
            <wp:effectExtent l="0" t="0" r="8890" b="2540"/>
            <wp:docPr id="1" name="Picture 1" descr="Изображение выглядит как текст, снимок экрана, диаграмма, башн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Изображение выглядит как текст, снимок экрана, диаграмма, башня&#10;&#10;Автоматически созданное описание"/>
                    <pic:cNvPicPr>
                      <a:picLocks noChangeAspect="1"/>
                    </pic:cNvPicPr>
                  </pic:nvPicPr>
                  <pic:blipFill>
                    <a:blip r:embed="rId27"/>
                    <a:stretch>
                      <a:fillRect/>
                    </a:stretch>
                  </pic:blipFill>
                  <pic:spPr>
                    <a:xfrm>
                      <a:off x="0" y="0"/>
                      <a:ext cx="5851169" cy="3127906"/>
                    </a:xfrm>
                    <a:prstGeom prst="rect">
                      <a:avLst/>
                    </a:prstGeom>
                    <a:noFill/>
                    <a:ln>
                      <a:noFill/>
                    </a:ln>
                  </pic:spPr>
                </pic:pic>
              </a:graphicData>
            </a:graphic>
          </wp:inline>
        </w:drawing>
      </w:r>
    </w:p>
    <w:p w14:paraId="78C49D83" w14:textId="5F43BF30" w:rsidR="0003217D" w:rsidRPr="003A6E5A" w:rsidRDefault="00FC275D" w:rsidP="001608EA">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 xml:space="preserve">График </w:t>
      </w:r>
      <w:r w:rsidR="00541762" w:rsidRPr="003A6E5A">
        <w:rPr>
          <w:rFonts w:ascii="Times New Roman" w:hAnsi="Times New Roman" w:cs="Times New Roman"/>
          <w:sz w:val="28"/>
          <w:szCs w:val="28"/>
        </w:rPr>
        <w:t>13</w:t>
      </w:r>
      <w:r w:rsidRPr="003A6E5A">
        <w:rPr>
          <w:rFonts w:ascii="Times New Roman" w:hAnsi="Times New Roman" w:cs="Times New Roman"/>
          <w:sz w:val="28"/>
          <w:szCs w:val="28"/>
        </w:rPr>
        <w:t>. Динамика среднегодовых инвестиции в основной капитал и прямых иностранных инвестиции за 2014-2023 гг. в Республике Казахстан</w:t>
      </w:r>
    </w:p>
    <w:p w14:paraId="681D82FB" w14:textId="338E57E1"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Примечение: стоимостные показатели представлены в ценах 2014 года</w:t>
      </w:r>
      <w:r w:rsidR="001E6BBB" w:rsidRPr="003A6E5A">
        <w:rPr>
          <w:rFonts w:ascii="Times New Roman" w:hAnsi="Times New Roman" w:cs="Times New Roman"/>
          <w:sz w:val="20"/>
          <w:szCs w:val="20"/>
        </w:rPr>
        <w:t>.</w:t>
      </w:r>
    </w:p>
    <w:p w14:paraId="4F36C554" w14:textId="2ED9F6F4"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Источник: рассчитано автор</w:t>
      </w:r>
      <w:r w:rsidR="004C4949" w:rsidRPr="003A6E5A">
        <w:rPr>
          <w:rFonts w:ascii="Times New Roman" w:hAnsi="Times New Roman" w:cs="Times New Roman"/>
          <w:sz w:val="20"/>
          <w:szCs w:val="20"/>
        </w:rPr>
        <w:t>а исследования</w:t>
      </w:r>
      <w:r w:rsidRPr="003A6E5A">
        <w:rPr>
          <w:rFonts w:ascii="Times New Roman" w:hAnsi="Times New Roman" w:cs="Times New Roman"/>
          <w:sz w:val="20"/>
          <w:szCs w:val="20"/>
        </w:rPr>
        <w:t xml:space="preserve"> на основе данных БНС АСПиР РК и Н</w:t>
      </w:r>
      <w:r w:rsidR="001E6BBB" w:rsidRPr="003A6E5A">
        <w:rPr>
          <w:rFonts w:ascii="Times New Roman" w:hAnsi="Times New Roman" w:cs="Times New Roman"/>
          <w:sz w:val="20"/>
          <w:szCs w:val="20"/>
        </w:rPr>
        <w:t>Б</w:t>
      </w:r>
      <w:r w:rsidRPr="003A6E5A">
        <w:rPr>
          <w:rFonts w:ascii="Times New Roman" w:hAnsi="Times New Roman" w:cs="Times New Roman"/>
          <w:sz w:val="20"/>
          <w:szCs w:val="20"/>
        </w:rPr>
        <w:t xml:space="preserve"> РК</w:t>
      </w:r>
    </w:p>
    <w:p w14:paraId="0D2794D1" w14:textId="77777777" w:rsidR="00A65053" w:rsidRPr="003A6E5A" w:rsidRDefault="00A65053" w:rsidP="00A65053">
      <w:pPr>
        <w:spacing w:after="0" w:line="240" w:lineRule="auto"/>
        <w:jc w:val="both"/>
        <w:rPr>
          <w:rFonts w:ascii="Times New Roman" w:hAnsi="Times New Roman" w:cs="Times New Roman"/>
          <w:sz w:val="28"/>
          <w:szCs w:val="28"/>
        </w:rPr>
      </w:pPr>
    </w:p>
    <w:p w14:paraId="567B10F4" w14:textId="217C06EC" w:rsidR="0003217D" w:rsidRPr="003A6E5A" w:rsidRDefault="00FC275D"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Такие же выводы можно сделать для города Алматы. Другие регионы, такие как Жамбылская, Северо-Казахстанская, Кызылординская и Костанайская области, имеют заметно меньшие объемы инвестиций, что может быть связана с отсутствием крупных инвестиционных проектов или проблемами в привлечении инвестици</w:t>
      </w:r>
      <w:r w:rsidR="002251F1" w:rsidRPr="003A6E5A">
        <w:rPr>
          <w:rFonts w:ascii="Times New Roman" w:hAnsi="Times New Roman" w:cs="Times New Roman"/>
          <w:sz w:val="28"/>
          <w:szCs w:val="28"/>
        </w:rPr>
        <w:t>й</w:t>
      </w:r>
      <w:r w:rsidRPr="003A6E5A">
        <w:rPr>
          <w:rFonts w:ascii="Times New Roman" w:hAnsi="Times New Roman" w:cs="Times New Roman"/>
          <w:sz w:val="28"/>
          <w:szCs w:val="28"/>
        </w:rPr>
        <w:t>. ПИИ, представл</w:t>
      </w:r>
      <w:r w:rsidR="002251F1" w:rsidRPr="003A6E5A">
        <w:rPr>
          <w:rFonts w:ascii="Times New Roman" w:hAnsi="Times New Roman" w:cs="Times New Roman"/>
          <w:sz w:val="28"/>
          <w:szCs w:val="28"/>
        </w:rPr>
        <w:t>ены</w:t>
      </w:r>
      <w:r w:rsidRPr="003A6E5A">
        <w:rPr>
          <w:rFonts w:ascii="Times New Roman" w:hAnsi="Times New Roman" w:cs="Times New Roman"/>
          <w:sz w:val="28"/>
          <w:szCs w:val="28"/>
        </w:rPr>
        <w:t xml:space="preserve"> пунктирной линией. </w:t>
      </w:r>
      <w:r w:rsidR="002251F1" w:rsidRPr="003A6E5A">
        <w:rPr>
          <w:rFonts w:ascii="Times New Roman" w:hAnsi="Times New Roman" w:cs="Times New Roman"/>
          <w:sz w:val="28"/>
          <w:szCs w:val="28"/>
        </w:rPr>
        <w:t xml:space="preserve">К </w:t>
      </w:r>
      <w:r w:rsidRPr="003A6E5A">
        <w:rPr>
          <w:rFonts w:ascii="Times New Roman" w:hAnsi="Times New Roman" w:cs="Times New Roman"/>
          <w:sz w:val="28"/>
          <w:szCs w:val="28"/>
        </w:rPr>
        <w:t>пример</w:t>
      </w:r>
      <w:r w:rsidR="002251F1" w:rsidRPr="003A6E5A">
        <w:rPr>
          <w:rFonts w:ascii="Times New Roman" w:hAnsi="Times New Roman" w:cs="Times New Roman"/>
          <w:sz w:val="28"/>
          <w:szCs w:val="28"/>
        </w:rPr>
        <w:t>у</w:t>
      </w:r>
      <w:r w:rsidRPr="003A6E5A">
        <w:rPr>
          <w:rFonts w:ascii="Times New Roman" w:hAnsi="Times New Roman" w:cs="Times New Roman"/>
          <w:sz w:val="28"/>
          <w:szCs w:val="28"/>
        </w:rPr>
        <w:t>, в Атырауской области и городе Алматы наблюдается рост ПИИ, связан</w:t>
      </w:r>
      <w:r w:rsidR="003F6007" w:rsidRPr="003A6E5A">
        <w:rPr>
          <w:rFonts w:ascii="Times New Roman" w:hAnsi="Times New Roman" w:cs="Times New Roman"/>
          <w:sz w:val="28"/>
          <w:szCs w:val="28"/>
        </w:rPr>
        <w:t>ный</w:t>
      </w:r>
      <w:r w:rsidRPr="003A6E5A">
        <w:rPr>
          <w:rFonts w:ascii="Times New Roman" w:hAnsi="Times New Roman" w:cs="Times New Roman"/>
          <w:sz w:val="28"/>
          <w:szCs w:val="28"/>
        </w:rPr>
        <w:t xml:space="preserve"> с улучшениями экономической ситуации и новыми инвестициями. В целом, динамика на графике </w:t>
      </w:r>
      <w:r w:rsidR="00541762" w:rsidRPr="003A6E5A">
        <w:rPr>
          <w:rFonts w:ascii="Times New Roman" w:hAnsi="Times New Roman" w:cs="Times New Roman"/>
          <w:sz w:val="28"/>
          <w:szCs w:val="28"/>
        </w:rPr>
        <w:t>13</w:t>
      </w:r>
      <w:r w:rsidRPr="003A6E5A">
        <w:rPr>
          <w:rFonts w:ascii="Times New Roman" w:hAnsi="Times New Roman" w:cs="Times New Roman"/>
          <w:sz w:val="28"/>
          <w:szCs w:val="28"/>
        </w:rPr>
        <w:t xml:space="preserve"> свидетельствует о наличии значительных различий в уровне инвестици</w:t>
      </w:r>
      <w:r w:rsidR="00CD25EF" w:rsidRPr="003A6E5A">
        <w:rPr>
          <w:rFonts w:ascii="Times New Roman" w:hAnsi="Times New Roman" w:cs="Times New Roman"/>
          <w:sz w:val="28"/>
          <w:szCs w:val="28"/>
        </w:rPr>
        <w:t>й</w:t>
      </w:r>
      <w:r w:rsidRPr="003A6E5A">
        <w:rPr>
          <w:rFonts w:ascii="Times New Roman" w:hAnsi="Times New Roman" w:cs="Times New Roman"/>
          <w:sz w:val="28"/>
          <w:szCs w:val="28"/>
        </w:rPr>
        <w:t xml:space="preserve"> между </w:t>
      </w:r>
      <w:r w:rsidR="00CD25EF" w:rsidRPr="003A6E5A">
        <w:rPr>
          <w:rFonts w:ascii="Times New Roman" w:hAnsi="Times New Roman" w:cs="Times New Roman"/>
          <w:sz w:val="28"/>
          <w:szCs w:val="28"/>
        </w:rPr>
        <w:t>областями Казахстана</w:t>
      </w:r>
      <w:r w:rsidRPr="003A6E5A">
        <w:rPr>
          <w:rFonts w:ascii="Times New Roman" w:hAnsi="Times New Roman" w:cs="Times New Roman"/>
          <w:sz w:val="28"/>
          <w:szCs w:val="28"/>
        </w:rPr>
        <w:t xml:space="preserve">, </w:t>
      </w:r>
      <w:r w:rsidR="00CD25EF" w:rsidRPr="003A6E5A">
        <w:rPr>
          <w:rFonts w:ascii="Times New Roman" w:hAnsi="Times New Roman" w:cs="Times New Roman"/>
          <w:sz w:val="28"/>
          <w:szCs w:val="28"/>
        </w:rPr>
        <w:t>являясь</w:t>
      </w:r>
      <w:r w:rsidRPr="003A6E5A">
        <w:rPr>
          <w:rFonts w:ascii="Times New Roman" w:hAnsi="Times New Roman" w:cs="Times New Roman"/>
          <w:sz w:val="28"/>
          <w:szCs w:val="28"/>
        </w:rPr>
        <w:t xml:space="preserve"> следствием экономических, географических и структурных факторов. Как и предполагалось, Атырауская область занимает ведущую позицию, тогда как другие </w:t>
      </w:r>
      <w:r w:rsidR="00CD25EF" w:rsidRPr="003A6E5A">
        <w:rPr>
          <w:rFonts w:ascii="Times New Roman" w:hAnsi="Times New Roman" w:cs="Times New Roman"/>
          <w:sz w:val="28"/>
          <w:szCs w:val="28"/>
        </w:rPr>
        <w:t>области</w:t>
      </w:r>
      <w:r w:rsidRPr="003A6E5A">
        <w:rPr>
          <w:rFonts w:ascii="Times New Roman" w:hAnsi="Times New Roman" w:cs="Times New Roman"/>
          <w:sz w:val="28"/>
          <w:szCs w:val="28"/>
        </w:rPr>
        <w:t xml:space="preserve"> нужда</w:t>
      </w:r>
      <w:r w:rsidR="00CD25EF" w:rsidRPr="003A6E5A">
        <w:rPr>
          <w:rFonts w:ascii="Times New Roman" w:hAnsi="Times New Roman" w:cs="Times New Roman"/>
          <w:sz w:val="28"/>
          <w:szCs w:val="28"/>
        </w:rPr>
        <w:t>ют</w:t>
      </w:r>
      <w:r w:rsidRPr="003A6E5A">
        <w:rPr>
          <w:rFonts w:ascii="Times New Roman" w:hAnsi="Times New Roman" w:cs="Times New Roman"/>
          <w:sz w:val="28"/>
          <w:szCs w:val="28"/>
        </w:rPr>
        <w:t>ся в дополнительных мерах для привлечения инвестици</w:t>
      </w:r>
      <w:r w:rsidR="00CD25EF" w:rsidRPr="003A6E5A">
        <w:rPr>
          <w:rFonts w:ascii="Times New Roman" w:hAnsi="Times New Roman" w:cs="Times New Roman"/>
          <w:sz w:val="28"/>
          <w:szCs w:val="28"/>
        </w:rPr>
        <w:t>й в основной капитал</w:t>
      </w:r>
      <w:r w:rsidRPr="003A6E5A">
        <w:rPr>
          <w:rFonts w:ascii="Times New Roman" w:hAnsi="Times New Roman" w:cs="Times New Roman"/>
          <w:sz w:val="28"/>
          <w:szCs w:val="28"/>
        </w:rPr>
        <w:t xml:space="preserve"> и улучшения экономических показателей.</w:t>
      </w:r>
    </w:p>
    <w:p w14:paraId="2E225CA9" w14:textId="69FCC6FA" w:rsidR="00DA42F3" w:rsidRPr="003A6E5A" w:rsidRDefault="00DA42F3" w:rsidP="001608EA">
      <w:pPr>
        <w:spacing w:after="0" w:line="240" w:lineRule="auto"/>
        <w:ind w:firstLine="708"/>
        <w:jc w:val="both"/>
        <w:rPr>
          <w:rFonts w:ascii="Times New Roman" w:hAnsi="Times New Roman" w:cs="Times New Roman"/>
          <w:sz w:val="28"/>
          <w:szCs w:val="28"/>
        </w:rPr>
      </w:pPr>
      <w:r w:rsidRPr="003A6E5A">
        <w:rPr>
          <w:rFonts w:ascii="Times New Roman" w:hAnsi="Times New Roman" w:cs="Times New Roman"/>
          <w:sz w:val="28"/>
          <w:szCs w:val="28"/>
        </w:rPr>
        <w:t xml:space="preserve">Динамика инвестиций в основной капитал по областям Республики Казахстан за 2014-2023 годы демонстрирует ряд значимых тенденций, требующих углубленного системного анализа. Использование представленного биржевого графика 14 позволило определить базовый уровень (2014 г.), </w:t>
      </w:r>
      <w:r w:rsidRPr="003A6E5A">
        <w:rPr>
          <w:rFonts w:ascii="Times New Roman" w:hAnsi="Times New Roman" w:cs="Times New Roman"/>
          <w:sz w:val="28"/>
          <w:szCs w:val="28"/>
        </w:rPr>
        <w:lastRenderedPageBreak/>
        <w:t>выделить экстремальные значения и проследить текущее состояние инвестиций по состоянию на 2023 год.</w:t>
      </w:r>
    </w:p>
    <w:p w14:paraId="4A4647AB" w14:textId="77777777" w:rsidR="0003217D" w:rsidRPr="003A6E5A" w:rsidRDefault="0003217D" w:rsidP="001608EA">
      <w:pPr>
        <w:spacing w:after="0" w:line="240" w:lineRule="auto"/>
        <w:jc w:val="both"/>
        <w:rPr>
          <w:rFonts w:ascii="Times New Roman" w:hAnsi="Times New Roman" w:cs="Times New Roman"/>
          <w:sz w:val="24"/>
          <w:szCs w:val="24"/>
        </w:rPr>
      </w:pPr>
    </w:p>
    <w:p w14:paraId="0538529A" w14:textId="77777777" w:rsidR="0003217D" w:rsidRPr="003A6E5A" w:rsidRDefault="00FC275D" w:rsidP="001608EA">
      <w:pPr>
        <w:spacing w:after="0" w:line="240" w:lineRule="auto"/>
        <w:jc w:val="center"/>
        <w:rPr>
          <w:rFonts w:ascii="Times New Roman" w:hAnsi="Times New Roman" w:cs="Times New Roman"/>
          <w:sz w:val="28"/>
          <w:szCs w:val="28"/>
        </w:rPr>
      </w:pPr>
      <w:r w:rsidRPr="003A6E5A">
        <w:rPr>
          <w:rFonts w:ascii="Times New Roman" w:hAnsi="Times New Roman" w:cs="Times New Roman"/>
          <w:noProof/>
        </w:rPr>
        <w:drawing>
          <wp:inline distT="0" distB="0" distL="114300" distR="114300" wp14:anchorId="0B706253" wp14:editId="7178CF9C">
            <wp:extent cx="5837555" cy="3700145"/>
            <wp:effectExtent l="4445" t="4445" r="10160" b="1397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47B0B8" w14:textId="77777777" w:rsidR="00914B03" w:rsidRPr="003A6E5A" w:rsidRDefault="00914B03" w:rsidP="001608EA">
      <w:pPr>
        <w:spacing w:after="0" w:line="240" w:lineRule="auto"/>
        <w:jc w:val="center"/>
        <w:rPr>
          <w:rFonts w:ascii="Times New Roman" w:hAnsi="Times New Roman" w:cs="Times New Roman"/>
          <w:sz w:val="28"/>
          <w:szCs w:val="28"/>
        </w:rPr>
      </w:pPr>
    </w:p>
    <w:p w14:paraId="5CC58B80" w14:textId="56FD61DA" w:rsidR="0003217D" w:rsidRPr="003A6E5A" w:rsidRDefault="00FC275D" w:rsidP="001608EA">
      <w:pPr>
        <w:spacing w:after="0" w:line="240" w:lineRule="auto"/>
        <w:jc w:val="center"/>
        <w:rPr>
          <w:rFonts w:ascii="Times New Roman" w:hAnsi="Times New Roman" w:cs="Times New Roman"/>
          <w:sz w:val="28"/>
          <w:szCs w:val="28"/>
        </w:rPr>
      </w:pPr>
      <w:r w:rsidRPr="003A6E5A">
        <w:rPr>
          <w:rFonts w:ascii="Times New Roman" w:hAnsi="Times New Roman" w:cs="Times New Roman"/>
          <w:sz w:val="28"/>
          <w:szCs w:val="28"/>
        </w:rPr>
        <w:t xml:space="preserve">График </w:t>
      </w:r>
      <w:r w:rsidR="00541762" w:rsidRPr="003A6E5A">
        <w:rPr>
          <w:rFonts w:ascii="Times New Roman" w:hAnsi="Times New Roman" w:cs="Times New Roman"/>
          <w:sz w:val="28"/>
          <w:szCs w:val="28"/>
        </w:rPr>
        <w:t>14</w:t>
      </w:r>
      <w:r w:rsidRPr="003A6E5A">
        <w:rPr>
          <w:rFonts w:ascii="Times New Roman" w:hAnsi="Times New Roman" w:cs="Times New Roman"/>
          <w:sz w:val="28"/>
          <w:szCs w:val="28"/>
        </w:rPr>
        <w:t>. Динамика среднегодовых инвестиции в основной капитал за 2014-2023 гг. в Республике Казахстан</w:t>
      </w:r>
    </w:p>
    <w:p w14:paraId="21859820" w14:textId="065C8B61" w:rsidR="0003217D" w:rsidRPr="003A6E5A" w:rsidRDefault="00FC275D" w:rsidP="001608EA">
      <w:pPr>
        <w:spacing w:after="0" w:line="240" w:lineRule="auto"/>
        <w:jc w:val="both"/>
        <w:rPr>
          <w:rFonts w:ascii="Times New Roman" w:hAnsi="Times New Roman" w:cs="Times New Roman"/>
          <w:sz w:val="20"/>
          <w:szCs w:val="24"/>
        </w:rPr>
      </w:pPr>
      <w:r w:rsidRPr="003A6E5A">
        <w:rPr>
          <w:rFonts w:ascii="Times New Roman" w:hAnsi="Times New Roman" w:cs="Times New Roman"/>
          <w:sz w:val="20"/>
          <w:szCs w:val="24"/>
        </w:rPr>
        <w:t>Примечание: стоимостные показатели представлены в ценах 2014 года, млрд тенге</w:t>
      </w:r>
      <w:r w:rsidR="00CD25EF" w:rsidRPr="003A6E5A">
        <w:rPr>
          <w:rFonts w:ascii="Times New Roman" w:hAnsi="Times New Roman" w:cs="Times New Roman"/>
          <w:sz w:val="20"/>
          <w:szCs w:val="24"/>
        </w:rPr>
        <w:t>.</w:t>
      </w:r>
    </w:p>
    <w:p w14:paraId="1D29C950" w14:textId="7B7AA38E" w:rsidR="0003217D" w:rsidRPr="003A6E5A" w:rsidRDefault="00FC275D" w:rsidP="001608EA">
      <w:pPr>
        <w:spacing w:after="0" w:line="240" w:lineRule="auto"/>
        <w:jc w:val="both"/>
        <w:rPr>
          <w:rFonts w:ascii="Times New Roman" w:hAnsi="Times New Roman" w:cs="Times New Roman"/>
          <w:sz w:val="20"/>
          <w:szCs w:val="24"/>
        </w:rPr>
      </w:pPr>
      <w:r w:rsidRPr="003A6E5A">
        <w:rPr>
          <w:rFonts w:ascii="Times New Roman" w:hAnsi="Times New Roman" w:cs="Times New Roman"/>
          <w:sz w:val="20"/>
          <w:szCs w:val="24"/>
        </w:rPr>
        <w:t>Источник: рассчитано автором</w:t>
      </w:r>
      <w:r w:rsidR="004C4949" w:rsidRPr="003A6E5A">
        <w:rPr>
          <w:rFonts w:ascii="Times New Roman" w:hAnsi="Times New Roman" w:cs="Times New Roman"/>
          <w:sz w:val="20"/>
          <w:szCs w:val="24"/>
        </w:rPr>
        <w:t xml:space="preserve"> исследования</w:t>
      </w:r>
      <w:r w:rsidRPr="003A6E5A">
        <w:rPr>
          <w:rFonts w:ascii="Times New Roman" w:hAnsi="Times New Roman" w:cs="Times New Roman"/>
          <w:sz w:val="20"/>
          <w:szCs w:val="24"/>
        </w:rPr>
        <w:t xml:space="preserve"> на основе данных БНС АСПиР РК и Н</w:t>
      </w:r>
      <w:r w:rsidR="00CD25EF" w:rsidRPr="003A6E5A">
        <w:rPr>
          <w:rFonts w:ascii="Times New Roman" w:hAnsi="Times New Roman" w:cs="Times New Roman"/>
          <w:sz w:val="20"/>
          <w:szCs w:val="24"/>
        </w:rPr>
        <w:t>Б</w:t>
      </w:r>
      <w:r w:rsidRPr="003A6E5A">
        <w:rPr>
          <w:rFonts w:ascii="Times New Roman" w:hAnsi="Times New Roman" w:cs="Times New Roman"/>
          <w:sz w:val="20"/>
          <w:szCs w:val="24"/>
        </w:rPr>
        <w:t xml:space="preserve"> РК</w:t>
      </w:r>
    </w:p>
    <w:p w14:paraId="671CB2B0" w14:textId="77777777" w:rsidR="0003217D" w:rsidRPr="003A6E5A" w:rsidRDefault="0003217D" w:rsidP="001608EA">
      <w:pPr>
        <w:spacing w:after="0" w:line="240" w:lineRule="auto"/>
        <w:jc w:val="both"/>
        <w:rPr>
          <w:rFonts w:ascii="Times New Roman" w:hAnsi="Times New Roman" w:cs="Times New Roman"/>
          <w:sz w:val="24"/>
          <w:szCs w:val="24"/>
        </w:rPr>
      </w:pPr>
    </w:p>
    <w:p w14:paraId="5C442561" w14:textId="3122DCC4" w:rsidR="00880AA9" w:rsidRPr="003A6E5A" w:rsidRDefault="00FC275D" w:rsidP="00880AA9">
      <w:pPr>
        <w:pStyle w:val="aa"/>
        <w:spacing w:beforeAutospacing="0" w:after="0" w:afterAutospacing="0" w:line="240" w:lineRule="auto"/>
        <w:ind w:firstLine="709"/>
        <w:jc w:val="both"/>
        <w:rPr>
          <w:sz w:val="28"/>
          <w:szCs w:val="28"/>
          <w:lang w:val="ru-RU"/>
        </w:rPr>
      </w:pPr>
      <w:r w:rsidRPr="003A6E5A">
        <w:rPr>
          <w:sz w:val="28"/>
          <w:szCs w:val="28"/>
          <w:lang w:val="ru-RU"/>
        </w:rPr>
        <w:t>Наибольший объем капитальных вложений сосредоточен в Атырауской области, где реализуются крупномасштабные нефтегазовые проекты (включая месторождение Тенгиз) и активно развивается инфраструктура, обеспечивающая экспорт углеводородов. В свою очередь, Акмолинская область демонстрирует устойчивый рост инвестиций, обусловленный приоритетной реализацией государственных программ, направленных на развитие агропромышленного комплекса, транспортной логистики и формирование новых экономических кластеров. Вместе с тем, в Мангистауской и Павлодарской областях наблюдается относительная стагнация инвестиционной активности, что свидетельствует о необходимости переосмысления стратегических приоритетов их экономического развития в сторону большей диверсификации, несмотря на наличие значительных запасов природных ресурсов.</w:t>
      </w:r>
    </w:p>
    <w:p w14:paraId="095C00B6" w14:textId="58F3E58B" w:rsidR="00BC1F32" w:rsidRPr="003A6E5A" w:rsidRDefault="00FC275D" w:rsidP="00BC1F32">
      <w:pPr>
        <w:pStyle w:val="aa"/>
        <w:spacing w:beforeAutospacing="0" w:after="0" w:afterAutospacing="0" w:line="240" w:lineRule="auto"/>
        <w:ind w:firstLine="709"/>
        <w:jc w:val="both"/>
        <w:rPr>
          <w:sz w:val="28"/>
          <w:szCs w:val="28"/>
          <w:lang w:val="ru-RU"/>
        </w:rPr>
      </w:pPr>
      <w:r w:rsidRPr="003A6E5A">
        <w:rPr>
          <w:sz w:val="28"/>
          <w:szCs w:val="28"/>
          <w:lang w:val="ru-RU"/>
        </w:rPr>
        <w:t xml:space="preserve">Подтверждением системных диспропорций служат выводы, представленные в статье </w:t>
      </w:r>
      <w:r w:rsidR="00880AA9" w:rsidRPr="003A6E5A">
        <w:rPr>
          <w:sz w:val="28"/>
          <w:szCs w:val="28"/>
          <w:lang w:val="ru-RU"/>
        </w:rPr>
        <w:t xml:space="preserve">Ж.Н. Нурбосыновой и соавторов </w:t>
      </w:r>
      <w:r w:rsidRPr="003A6E5A">
        <w:rPr>
          <w:sz w:val="28"/>
          <w:szCs w:val="28"/>
          <w:lang w:val="ru-RU"/>
        </w:rPr>
        <w:t xml:space="preserve">«Роль иностранных инвестиций в повышении инвестиционной привлекательности регионов РК», согласно которым структура накопленных прямых иностранных инвестиций остается слабо диверсифицированной и преимущественно сосредоточенной в </w:t>
      </w:r>
      <w:r w:rsidRPr="003A6E5A">
        <w:rPr>
          <w:sz w:val="28"/>
          <w:szCs w:val="28"/>
          <w:lang w:val="ru-RU"/>
        </w:rPr>
        <w:lastRenderedPageBreak/>
        <w:t xml:space="preserve">сырьевом секторе. </w:t>
      </w:r>
      <w:r w:rsidR="00880AA9" w:rsidRPr="003A6E5A">
        <w:rPr>
          <w:sz w:val="28"/>
          <w:szCs w:val="28"/>
          <w:lang w:val="ru-RU"/>
        </w:rPr>
        <w:t>Такая ситуация</w:t>
      </w:r>
      <w:r w:rsidRPr="003A6E5A">
        <w:rPr>
          <w:sz w:val="28"/>
          <w:szCs w:val="28"/>
          <w:lang w:val="ru-RU"/>
        </w:rPr>
        <w:t xml:space="preserve">, особенно в региональном разрезе, существенно увеличивает уязвимость национальной экономики к колебаниям мировых цен на энергоресурсы </w:t>
      </w:r>
      <w:r w:rsidR="00A03B4C" w:rsidRPr="003A6E5A">
        <w:rPr>
          <w:sz w:val="28"/>
          <w:szCs w:val="28"/>
          <w:lang w:val="ru-RU"/>
        </w:rPr>
        <w:t>[1</w:t>
      </w:r>
      <w:r w:rsidR="00C96643" w:rsidRPr="003A6E5A">
        <w:rPr>
          <w:sz w:val="28"/>
          <w:szCs w:val="28"/>
          <w:lang w:val="ru-RU"/>
        </w:rPr>
        <w:t>50</w:t>
      </w:r>
      <w:r w:rsidR="00A03B4C" w:rsidRPr="003A6E5A">
        <w:rPr>
          <w:sz w:val="28"/>
          <w:szCs w:val="28"/>
          <w:lang w:val="ru-RU"/>
        </w:rPr>
        <w:t>]</w:t>
      </w:r>
      <w:r w:rsidRPr="003A6E5A">
        <w:rPr>
          <w:sz w:val="28"/>
          <w:szCs w:val="28"/>
          <w:lang w:val="ru-RU"/>
        </w:rPr>
        <w:t>. При этом приоритет инвесторов в добыче полезных ископаемых и металлургии ограничивает развитие обрабатывающей промышленности, телекоммуникационного сектора, социальной инфраструктуры и других менее доходных, но стратегически значимых отраслей, способных обеспечить более сбалансированный и устойчивый экономический рост в долгосрочной перспективе.</w:t>
      </w:r>
    </w:p>
    <w:p w14:paraId="636EC43A" w14:textId="2A587B86" w:rsidR="00BC1F32" w:rsidRPr="003A6E5A" w:rsidRDefault="00BC1F32" w:rsidP="00BC1F32">
      <w:pPr>
        <w:pStyle w:val="aa"/>
        <w:spacing w:beforeAutospacing="0" w:after="0" w:afterAutospacing="0" w:line="240" w:lineRule="auto"/>
        <w:ind w:firstLine="709"/>
        <w:jc w:val="both"/>
        <w:rPr>
          <w:sz w:val="28"/>
          <w:szCs w:val="28"/>
          <w:lang w:val="ru-RU"/>
        </w:rPr>
      </w:pPr>
      <w:r w:rsidRPr="003A6E5A">
        <w:rPr>
          <w:sz w:val="28"/>
          <w:szCs w:val="28"/>
          <w:lang w:val="ru-RU"/>
        </w:rPr>
        <w:t>Для диверсификации и активизации инвестиционной активности в регионах с низкими темпами роста предлагается комплекс мер, сфокусированный на фискальных стимулах и институциональном развитии, соответствующий положениям Концепции инвестиционной политики до 2029 года [</w:t>
      </w:r>
      <w:r w:rsidR="00F30397" w:rsidRPr="003A6E5A">
        <w:rPr>
          <w:sz w:val="28"/>
          <w:szCs w:val="28"/>
          <w:lang w:val="ru-RU"/>
        </w:rPr>
        <w:t>41</w:t>
      </w:r>
      <w:r w:rsidRPr="003A6E5A">
        <w:rPr>
          <w:sz w:val="28"/>
          <w:szCs w:val="28"/>
          <w:lang w:val="ru-RU"/>
        </w:rPr>
        <w:t>]. В качестве ключевого фискального стимула предлагается внедрение целевых налоговых льгот, включая снижение ставки корпоративного подоходного налога для «зелёных» проектов и предприятий, осуществляющих НИОКР, а также предоставление отсрочки по уплате НДС для стартапов на ранних стадиях их развития. Институциональная поддержка будет усилена за счёт создания региональных инвестиционных советов, наделённых полномочиями по координации крупных проектов и системному устранению административных барьеров. Для повышения прозрачности и эффективности управления предлагается разработать централизованную цифровую платформу мониторинга инвестиций, обеспечивающую сбор данных в режиме реального времени и оперативную корректировку мер поддержки.</w:t>
      </w:r>
    </w:p>
    <w:p w14:paraId="462F1257" w14:textId="7A7BB220" w:rsidR="0003217D" w:rsidRPr="003A6E5A" w:rsidRDefault="00BC1F32" w:rsidP="00BC1F32">
      <w:pPr>
        <w:pStyle w:val="aa"/>
        <w:spacing w:beforeAutospacing="0" w:after="0" w:afterAutospacing="0" w:line="240" w:lineRule="auto"/>
        <w:ind w:firstLine="706"/>
        <w:jc w:val="both"/>
        <w:rPr>
          <w:sz w:val="28"/>
          <w:szCs w:val="28"/>
          <w:lang w:val="ru-RU"/>
        </w:rPr>
      </w:pPr>
      <w:r w:rsidRPr="003A6E5A">
        <w:rPr>
          <w:sz w:val="28"/>
          <w:szCs w:val="28"/>
          <w:lang w:val="ru-RU"/>
        </w:rPr>
        <w:t>Реализация данных инициатив создаст комплексные предпосылки для притока капитала, модернизации региональной инфраструктуры и устойчивого повышения инвестиционной привлекательности областей Казахстана.</w:t>
      </w:r>
      <w:r w:rsidR="00FC275D" w:rsidRPr="003A6E5A">
        <w:rPr>
          <w:sz w:val="28"/>
          <w:szCs w:val="28"/>
          <w:lang w:val="ru-RU"/>
        </w:rPr>
        <w:t xml:space="preserve">Параллельно с инвестиционными инициативами Казахстан активно продвигает переход к «зелёной» экономике, что способствует усилению социальной и экологической эффективности проектов. В рамках Указа № 577 от 2013 года «О Концепции по переходу Республики Казахстан к «зеленой экономике» </w:t>
      </w:r>
      <w:r w:rsidR="00A03B4C" w:rsidRPr="003A6E5A">
        <w:rPr>
          <w:sz w:val="28"/>
          <w:szCs w:val="28"/>
          <w:lang w:val="ru-RU"/>
        </w:rPr>
        <w:t>[1</w:t>
      </w:r>
      <w:r w:rsidR="00C96643" w:rsidRPr="003A6E5A">
        <w:rPr>
          <w:sz w:val="28"/>
          <w:szCs w:val="28"/>
          <w:lang w:val="ru-RU"/>
        </w:rPr>
        <w:t>52</w:t>
      </w:r>
      <w:r w:rsidR="00A03B4C" w:rsidRPr="003A6E5A">
        <w:rPr>
          <w:sz w:val="28"/>
          <w:szCs w:val="28"/>
          <w:lang w:val="ru-RU"/>
        </w:rPr>
        <w:t xml:space="preserve">] </w:t>
      </w:r>
      <w:r w:rsidR="00FC275D" w:rsidRPr="003A6E5A">
        <w:rPr>
          <w:sz w:val="28"/>
          <w:szCs w:val="28"/>
          <w:lang w:val="ru-RU"/>
        </w:rPr>
        <w:t>предполагается значительное увеличение доли возобновляемых источников энергии (ВИЭ) в энергобалансе, что откр</w:t>
      </w:r>
      <w:r w:rsidR="00556C35" w:rsidRPr="003A6E5A">
        <w:rPr>
          <w:sz w:val="28"/>
          <w:szCs w:val="28"/>
          <w:lang w:val="ru-RU"/>
        </w:rPr>
        <w:t>оет</w:t>
      </w:r>
      <w:r w:rsidR="00FC275D" w:rsidRPr="003A6E5A">
        <w:rPr>
          <w:sz w:val="28"/>
          <w:szCs w:val="28"/>
          <w:lang w:val="ru-RU"/>
        </w:rPr>
        <w:t xml:space="preserve"> новые перспективы для инвестиций в технологии модернизации энергосетей и строительства объектов ВИЭ. Дополнительное внимание уделяется декарбонизации промышленности и развитию «зелёных» кластеров, таких как Жанатас, а также агротехнологий, ориентированных на эффективное использование водных ресурсов. Совмещение инвестиционной и экологической повесток позволит не только обеспечить приток капитала в высокотехнологичные сектора, но и повысить качество жизни населения за счёт создания рабочих мест и снижения экологической нагрузки.</w:t>
      </w:r>
    </w:p>
    <w:p w14:paraId="510E11A7" w14:textId="1D8B4E97" w:rsidR="00274C4D" w:rsidRPr="003A6E5A" w:rsidRDefault="00274C4D" w:rsidP="001608EA">
      <w:pPr>
        <w:pStyle w:val="aa"/>
        <w:spacing w:beforeAutospacing="0" w:after="0" w:afterAutospacing="0" w:line="240" w:lineRule="auto"/>
        <w:ind w:firstLine="706"/>
        <w:jc w:val="both"/>
        <w:rPr>
          <w:sz w:val="28"/>
          <w:szCs w:val="28"/>
          <w:lang w:val="ru-RU"/>
        </w:rPr>
      </w:pPr>
      <w:r w:rsidRPr="003A6E5A">
        <w:rPr>
          <w:sz w:val="28"/>
          <w:szCs w:val="28"/>
          <w:lang w:val="ru-RU"/>
        </w:rPr>
        <w:t>Далее была проведена оценка региональных различий в инвестиционной активности, которая позволит выявить диспропорции в распределении капитальных вложений и определить территории с наибольшим потенциалом экономического роста</w:t>
      </w:r>
      <w:r w:rsidR="00C96643" w:rsidRPr="003A6E5A">
        <w:rPr>
          <w:sz w:val="28"/>
          <w:szCs w:val="28"/>
          <w:lang w:val="ru-RU"/>
        </w:rPr>
        <w:t xml:space="preserve"> [153]</w:t>
      </w:r>
      <w:r w:rsidRPr="003A6E5A">
        <w:rPr>
          <w:sz w:val="28"/>
          <w:szCs w:val="28"/>
          <w:lang w:val="ru-RU"/>
        </w:rPr>
        <w:t xml:space="preserve">. Для проверки наличия статистически значимых </w:t>
      </w:r>
      <w:r w:rsidRPr="003A6E5A">
        <w:rPr>
          <w:sz w:val="28"/>
          <w:szCs w:val="28"/>
          <w:lang w:val="ru-RU"/>
        </w:rPr>
        <w:lastRenderedPageBreak/>
        <w:t>различий между областями Республики Казахстан и среднегосударственным уровнем инвестиций в основной капитал была проведена проверка нулевой и альтернативной гипотез. Такой анализ даёт возможность объективно оценить степень территориальной неоднородности инвестиционного процесса и выявить области, отличающиеся по уровню инвестиционного развития:</w:t>
      </w:r>
    </w:p>
    <w:p w14:paraId="14BE5CDB" w14:textId="2089562D" w:rsidR="0003217D" w:rsidRPr="003A6E5A" w:rsidRDefault="00274C4D" w:rsidP="00274C4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н</w:t>
      </w:r>
      <w:r w:rsidR="00FC275D" w:rsidRPr="003A6E5A">
        <w:rPr>
          <w:rFonts w:ascii="Times New Roman" w:hAnsi="Times New Roman" w:cs="Times New Roman"/>
          <w:sz w:val="28"/>
          <w:szCs w:val="28"/>
        </w:rPr>
        <w:t>улевая гипотеза (</w:t>
      </w:r>
      <w:r w:rsidR="00FC275D" w:rsidRPr="003A6E5A">
        <w:rPr>
          <w:rFonts w:ascii="Times New Roman" w:hAnsi="Times New Roman" w:cs="Times New Roman"/>
          <w:i/>
          <w:iCs/>
          <w:sz w:val="28"/>
          <w:szCs w:val="28"/>
          <w:lang w:val="en-US"/>
        </w:rPr>
        <w:t>H</w:t>
      </w:r>
      <w:r w:rsidR="00FC275D" w:rsidRPr="003A6E5A">
        <w:rPr>
          <w:rFonts w:ascii="Times New Roman" w:hAnsi="Times New Roman" w:cs="Times New Roman"/>
          <w:i/>
          <w:iCs/>
          <w:sz w:val="28"/>
          <w:szCs w:val="28"/>
          <w:vertAlign w:val="subscript"/>
        </w:rPr>
        <w:t>0</w:t>
      </w:r>
      <w:r w:rsidR="00FC275D" w:rsidRPr="003A6E5A">
        <w:rPr>
          <w:rFonts w:ascii="Times New Roman" w:hAnsi="Times New Roman" w:cs="Times New Roman"/>
          <w:sz w:val="28"/>
          <w:szCs w:val="28"/>
        </w:rPr>
        <w:t xml:space="preserve">): </w:t>
      </w:r>
      <w:r w:rsidR="006D6DAB" w:rsidRPr="003A6E5A">
        <w:rPr>
          <w:rFonts w:ascii="Times New Roman" w:hAnsi="Times New Roman" w:cs="Times New Roman"/>
          <w:sz w:val="28"/>
          <w:szCs w:val="28"/>
        </w:rPr>
        <w:t>средние значения объёмов инвестиций в основной капитал за 2014–2023 годы по областям Республики Казахстан не отличаются от среднегосударственного уровня и статистически эквивалентны ему.</w:t>
      </w:r>
    </w:p>
    <w:p w14:paraId="65FCFCA5" w14:textId="4E8F36B4" w:rsidR="0003217D" w:rsidRPr="003A6E5A" w:rsidRDefault="00274C4D" w:rsidP="00274C4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а</w:t>
      </w:r>
      <w:r w:rsidR="00FC275D" w:rsidRPr="003A6E5A">
        <w:rPr>
          <w:rFonts w:ascii="Times New Roman" w:hAnsi="Times New Roman" w:cs="Times New Roman"/>
          <w:sz w:val="28"/>
          <w:szCs w:val="28"/>
        </w:rPr>
        <w:t>льтернативная гипотеза (</w:t>
      </w:r>
      <w:r w:rsidR="00FC275D" w:rsidRPr="003A6E5A">
        <w:rPr>
          <w:rFonts w:ascii="Times New Roman" w:hAnsi="Times New Roman" w:cs="Times New Roman"/>
          <w:i/>
          <w:iCs/>
          <w:sz w:val="28"/>
          <w:szCs w:val="28"/>
          <w:lang w:val="en-US"/>
        </w:rPr>
        <w:t>H</w:t>
      </w:r>
      <w:r w:rsidR="00FC275D" w:rsidRPr="003A6E5A">
        <w:rPr>
          <w:rFonts w:ascii="Times New Roman" w:hAnsi="Times New Roman" w:cs="Times New Roman"/>
          <w:i/>
          <w:iCs/>
          <w:sz w:val="28"/>
          <w:szCs w:val="28"/>
          <w:vertAlign w:val="subscript"/>
        </w:rPr>
        <w:t>А</w:t>
      </w:r>
      <w:r w:rsidR="00FC275D" w:rsidRPr="003A6E5A">
        <w:rPr>
          <w:rFonts w:ascii="Times New Roman" w:hAnsi="Times New Roman" w:cs="Times New Roman"/>
          <w:sz w:val="28"/>
          <w:szCs w:val="28"/>
        </w:rPr>
        <w:t xml:space="preserve">): </w:t>
      </w:r>
      <w:r w:rsidR="00230951" w:rsidRPr="003A6E5A">
        <w:rPr>
          <w:rFonts w:ascii="Times New Roman" w:hAnsi="Times New Roman" w:cs="Times New Roman"/>
          <w:sz w:val="28"/>
          <w:szCs w:val="28"/>
        </w:rPr>
        <w:t>средние значения объёмов инвестиций в основной капитал за 2014–2023 годы по областям Республики Казахстан статистически различаются со среднегосударственным уровнем.</w:t>
      </w:r>
    </w:p>
    <w:p w14:paraId="7224CC07" w14:textId="77777777" w:rsidR="00C03374" w:rsidRPr="003A6E5A" w:rsidRDefault="00C03374" w:rsidP="00C03374">
      <w:pPr>
        <w:spacing w:after="0" w:line="240" w:lineRule="auto"/>
        <w:jc w:val="both"/>
        <w:rPr>
          <w:rFonts w:ascii="Times New Roman" w:hAnsi="Times New Roman" w:cs="Times New Roman"/>
          <w:sz w:val="28"/>
          <w:szCs w:val="28"/>
        </w:rPr>
      </w:pPr>
    </w:p>
    <w:p w14:paraId="6EBA8EFE" w14:textId="07E67D8C" w:rsidR="0003217D" w:rsidRPr="003A6E5A" w:rsidRDefault="00FC275D" w:rsidP="003B630D">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 xml:space="preserve">Таблица </w:t>
      </w:r>
      <w:r w:rsidR="00BF39B0" w:rsidRPr="003A6E5A">
        <w:rPr>
          <w:rFonts w:ascii="Times New Roman" w:hAnsi="Times New Roman" w:cs="Times New Roman"/>
          <w:sz w:val="28"/>
          <w:szCs w:val="28"/>
        </w:rPr>
        <w:t>2</w:t>
      </w:r>
      <w:r w:rsidR="00DA42F3" w:rsidRPr="003A6E5A">
        <w:rPr>
          <w:rFonts w:ascii="Times New Roman" w:hAnsi="Times New Roman" w:cs="Times New Roman"/>
          <w:sz w:val="28"/>
          <w:szCs w:val="28"/>
        </w:rPr>
        <w:t>1</w:t>
      </w:r>
      <w:r w:rsidRPr="003A6E5A">
        <w:rPr>
          <w:rFonts w:ascii="Times New Roman" w:hAnsi="Times New Roman" w:cs="Times New Roman"/>
          <w:sz w:val="28"/>
          <w:szCs w:val="28"/>
        </w:rPr>
        <w:t xml:space="preserve">. Проверка гипотезы о равенстве средних </w:t>
      </w:r>
      <w:r w:rsidR="006D6DAB" w:rsidRPr="003A6E5A">
        <w:rPr>
          <w:rFonts w:ascii="Times New Roman" w:hAnsi="Times New Roman" w:cs="Times New Roman"/>
          <w:sz w:val="28"/>
          <w:szCs w:val="28"/>
        </w:rPr>
        <w:t xml:space="preserve">объемов </w:t>
      </w:r>
      <w:r w:rsidRPr="003A6E5A">
        <w:rPr>
          <w:rFonts w:ascii="Times New Roman" w:hAnsi="Times New Roman" w:cs="Times New Roman"/>
          <w:sz w:val="28"/>
          <w:szCs w:val="28"/>
        </w:rPr>
        <w:t>инвестиций в основной капитал со среднегосударственным уровнем</w:t>
      </w:r>
    </w:p>
    <w:tbl>
      <w:tblPr>
        <w:tblStyle w:val="ac"/>
        <w:tblW w:w="0" w:type="auto"/>
        <w:tblLook w:val="04A0" w:firstRow="1" w:lastRow="0" w:firstColumn="1" w:lastColumn="0" w:noHBand="0" w:noVBand="1"/>
      </w:tblPr>
      <w:tblGrid>
        <w:gridCol w:w="1973"/>
        <w:gridCol w:w="1752"/>
        <w:gridCol w:w="2120"/>
        <w:gridCol w:w="1391"/>
        <w:gridCol w:w="2356"/>
      </w:tblGrid>
      <w:tr w:rsidR="00B02CF8" w:rsidRPr="003A6E5A" w14:paraId="7F4410B9" w14:textId="77777777">
        <w:tc>
          <w:tcPr>
            <w:tcW w:w="1973" w:type="dxa"/>
          </w:tcPr>
          <w:p w14:paraId="060C8835" w14:textId="77777777" w:rsidR="0003217D" w:rsidRPr="003A6E5A" w:rsidRDefault="00FC275D" w:rsidP="001608EA">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Область</w:t>
            </w:r>
          </w:p>
        </w:tc>
        <w:tc>
          <w:tcPr>
            <w:tcW w:w="1752" w:type="dxa"/>
          </w:tcPr>
          <w:p w14:paraId="29D21C51" w14:textId="5592D67A" w:rsidR="0003217D" w:rsidRPr="003A6E5A" w:rsidRDefault="00FC275D" w:rsidP="001608EA">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Средни</w:t>
            </w:r>
            <w:r w:rsidR="006D6DAB" w:rsidRPr="003A6E5A">
              <w:rPr>
                <w:rFonts w:ascii="Times New Roman" w:hAnsi="Times New Roman" w:cs="Times New Roman"/>
                <w:sz w:val="24"/>
                <w:szCs w:val="24"/>
              </w:rPr>
              <w:t>ий объем</w:t>
            </w:r>
            <w:r w:rsidRPr="003A6E5A">
              <w:rPr>
                <w:rFonts w:ascii="Times New Roman" w:hAnsi="Times New Roman" w:cs="Times New Roman"/>
                <w:sz w:val="24"/>
                <w:szCs w:val="24"/>
              </w:rPr>
              <w:t xml:space="preserve"> инвестици</w:t>
            </w:r>
            <w:r w:rsidR="006D6DAB" w:rsidRPr="003A6E5A">
              <w:rPr>
                <w:rFonts w:ascii="Times New Roman" w:hAnsi="Times New Roman" w:cs="Times New Roman"/>
                <w:sz w:val="24"/>
                <w:szCs w:val="24"/>
              </w:rPr>
              <w:t>й</w:t>
            </w:r>
            <w:r w:rsidRPr="003A6E5A">
              <w:rPr>
                <w:rFonts w:ascii="Times New Roman" w:hAnsi="Times New Roman" w:cs="Times New Roman"/>
                <w:sz w:val="24"/>
                <w:szCs w:val="24"/>
              </w:rPr>
              <w:t xml:space="preserve"> в основной капитал, млрд. тенге</w:t>
            </w:r>
          </w:p>
        </w:tc>
        <w:tc>
          <w:tcPr>
            <w:tcW w:w="2120" w:type="dxa"/>
          </w:tcPr>
          <w:p w14:paraId="7C9518B4" w14:textId="2A1B91A8" w:rsidR="0003217D" w:rsidRPr="003A6E5A" w:rsidRDefault="00FC275D" w:rsidP="001608EA">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kk-KZ"/>
              </w:rPr>
              <w:t>Доверительный интервал среднего объема инвестиций в основной капитал, млрд</w:t>
            </w:r>
            <w:r w:rsidR="007431B8" w:rsidRPr="003A6E5A">
              <w:rPr>
                <w:rFonts w:ascii="Times New Roman" w:hAnsi="Times New Roman" w:cs="Times New Roman"/>
                <w:sz w:val="24"/>
                <w:szCs w:val="24"/>
                <w:lang w:val="kk-KZ"/>
              </w:rPr>
              <w:t>.</w:t>
            </w:r>
            <w:r w:rsidRPr="003A6E5A">
              <w:rPr>
                <w:rFonts w:ascii="Times New Roman" w:hAnsi="Times New Roman" w:cs="Times New Roman"/>
                <w:sz w:val="24"/>
                <w:szCs w:val="24"/>
                <w:lang w:val="kk-KZ"/>
              </w:rPr>
              <w:t xml:space="preserve"> тенге</w:t>
            </w:r>
          </w:p>
          <w:p w14:paraId="7EE1A3F4" w14:textId="77777777" w:rsidR="0003217D" w:rsidRPr="003A6E5A" w:rsidRDefault="0003217D" w:rsidP="001608EA">
            <w:pPr>
              <w:widowControl/>
              <w:spacing w:after="0" w:line="240" w:lineRule="auto"/>
              <w:jc w:val="center"/>
              <w:rPr>
                <w:rFonts w:ascii="Times New Roman" w:hAnsi="Times New Roman" w:cs="Times New Roman"/>
                <w:sz w:val="24"/>
                <w:szCs w:val="24"/>
              </w:rPr>
            </w:pPr>
          </w:p>
        </w:tc>
        <w:tc>
          <w:tcPr>
            <w:tcW w:w="1391" w:type="dxa"/>
          </w:tcPr>
          <w:p w14:paraId="315BBD81" w14:textId="5CA19325" w:rsidR="0003217D" w:rsidRPr="003A6E5A" w:rsidRDefault="00FC275D" w:rsidP="001608EA">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 xml:space="preserve">Расчетная </w:t>
            </w:r>
            <m:oMath>
              <m:r>
                <w:rPr>
                  <w:rFonts w:ascii="Cambria Math" w:hAnsi="Cambria Math" w:cs="Times New Roman"/>
                  <w:sz w:val="24"/>
                  <w:szCs w:val="24"/>
                </w:rPr>
                <m:t>t</m:t>
              </m:r>
              <m:r>
                <w:rPr>
                  <w:rFonts w:ascii="Cambria Math" w:hAnsi="Cambria Math" w:cs="Times New Roman"/>
                  <w:sz w:val="24"/>
                  <w:szCs w:val="24"/>
                  <w:lang w:val="en-US"/>
                </w:rPr>
                <m:t>-</m:t>
              </m:r>
            </m:oMath>
          </w:p>
          <w:p w14:paraId="2781CD10" w14:textId="77777777" w:rsidR="0003217D" w:rsidRPr="003A6E5A" w:rsidRDefault="00FC275D" w:rsidP="001608EA">
            <w:pPr>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статистика</w:t>
            </w:r>
          </w:p>
        </w:tc>
        <w:tc>
          <w:tcPr>
            <w:tcW w:w="2356" w:type="dxa"/>
          </w:tcPr>
          <w:p w14:paraId="39A4B86D" w14:textId="33B6F89A" w:rsidR="0003217D" w:rsidRPr="003A6E5A" w:rsidRDefault="00FC275D" w:rsidP="001608EA">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Заключение о принятии</w:t>
            </w:r>
            <w:r w:rsidR="007431B8" w:rsidRPr="003A6E5A">
              <w:rPr>
                <w:rFonts w:ascii="Times New Roman" w:hAnsi="Times New Roman" w:cs="Times New Roman"/>
                <w:sz w:val="24"/>
                <w:szCs w:val="24"/>
              </w:rPr>
              <w:t xml:space="preserve"> </w:t>
            </w:r>
            <w:r w:rsidRPr="003A6E5A">
              <w:rPr>
                <w:rFonts w:ascii="Times New Roman" w:hAnsi="Times New Roman" w:cs="Times New Roman"/>
                <w:sz w:val="24"/>
                <w:szCs w:val="24"/>
              </w:rPr>
              <w:t>/</w:t>
            </w:r>
            <w:r w:rsidR="007431B8" w:rsidRPr="003A6E5A">
              <w:rPr>
                <w:rFonts w:ascii="Times New Roman" w:hAnsi="Times New Roman" w:cs="Times New Roman"/>
                <w:sz w:val="24"/>
                <w:szCs w:val="24"/>
              </w:rPr>
              <w:t xml:space="preserve"> </w:t>
            </w:r>
            <w:r w:rsidRPr="003A6E5A">
              <w:rPr>
                <w:rFonts w:ascii="Times New Roman" w:hAnsi="Times New Roman" w:cs="Times New Roman"/>
                <w:sz w:val="24"/>
                <w:szCs w:val="24"/>
              </w:rPr>
              <w:t>отклоннии нулевой гипотезы</w:t>
            </w:r>
          </w:p>
        </w:tc>
      </w:tr>
      <w:tr w:rsidR="00B02CF8" w:rsidRPr="003A6E5A" w14:paraId="2B539405" w14:textId="77777777" w:rsidTr="006D6DAB">
        <w:trPr>
          <w:trHeight w:val="90"/>
        </w:trPr>
        <w:tc>
          <w:tcPr>
            <w:tcW w:w="1973" w:type="dxa"/>
            <w:vAlign w:val="center"/>
          </w:tcPr>
          <w:p w14:paraId="71429552"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Акмолинская</w:t>
            </w:r>
          </w:p>
        </w:tc>
        <w:tc>
          <w:tcPr>
            <w:tcW w:w="1752" w:type="dxa"/>
            <w:vAlign w:val="center"/>
          </w:tcPr>
          <w:p w14:paraId="22675E68" w14:textId="2CA0B591"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rPr>
              <w:t>215,7</w:t>
            </w:r>
          </w:p>
        </w:tc>
        <w:tc>
          <w:tcPr>
            <w:tcW w:w="2120" w:type="dxa"/>
            <w:vAlign w:val="center"/>
          </w:tcPr>
          <w:p w14:paraId="729D79BF" w14:textId="77777777" w:rsidR="0003217D" w:rsidRPr="003A6E5A" w:rsidRDefault="00FC275D"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en-US"/>
              </w:rPr>
              <w:t>(189,</w:t>
            </w:r>
            <w:r w:rsidRPr="003A6E5A">
              <w:rPr>
                <w:rFonts w:ascii="Times New Roman" w:hAnsi="Times New Roman" w:cs="Times New Roman"/>
                <w:sz w:val="24"/>
                <w:szCs w:val="24"/>
                <w:lang w:val="kk-KZ"/>
              </w:rPr>
              <w:t>5</w:t>
            </w:r>
            <w:r w:rsidRPr="003A6E5A">
              <w:rPr>
                <w:rFonts w:ascii="Times New Roman" w:hAnsi="Times New Roman" w:cs="Times New Roman"/>
                <w:sz w:val="24"/>
                <w:szCs w:val="24"/>
                <w:lang w:val="en-US"/>
              </w:rPr>
              <w:t xml:space="preserve"> – 238</w:t>
            </w:r>
            <w:r w:rsidRPr="003A6E5A">
              <w:rPr>
                <w:rFonts w:ascii="Times New Roman" w:hAnsi="Times New Roman" w:cs="Times New Roman"/>
                <w:sz w:val="24"/>
                <w:szCs w:val="24"/>
                <w:lang w:val="kk-KZ"/>
              </w:rPr>
              <w:t>,</w:t>
            </w:r>
            <w:r w:rsidRPr="003A6E5A">
              <w:rPr>
                <w:rFonts w:ascii="Times New Roman" w:hAnsi="Times New Roman" w:cs="Times New Roman"/>
                <w:sz w:val="24"/>
                <w:szCs w:val="24"/>
                <w:lang w:val="en-US"/>
              </w:rPr>
              <w:t>2)</w:t>
            </w:r>
          </w:p>
        </w:tc>
        <w:tc>
          <w:tcPr>
            <w:tcW w:w="1391" w:type="dxa"/>
            <w:vAlign w:val="center"/>
          </w:tcPr>
          <w:p w14:paraId="1E54768C" w14:textId="77777777" w:rsidR="0003217D" w:rsidRPr="003A6E5A" w:rsidRDefault="00FC275D" w:rsidP="006D6DAB">
            <w:pPr>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en-US"/>
              </w:rPr>
              <w:t>4,51</w:t>
            </w:r>
          </w:p>
        </w:tc>
        <w:tc>
          <w:tcPr>
            <w:tcW w:w="2356" w:type="dxa"/>
            <w:vAlign w:val="center"/>
          </w:tcPr>
          <w:p w14:paraId="29548A8A" w14:textId="47B87040" w:rsidR="0003217D" w:rsidRPr="003A6E5A" w:rsidRDefault="0054621F"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3CB6044E" w14:textId="77777777" w:rsidTr="006D6DAB">
        <w:tc>
          <w:tcPr>
            <w:tcW w:w="1973" w:type="dxa"/>
            <w:vAlign w:val="center"/>
          </w:tcPr>
          <w:p w14:paraId="40624D06"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Актюбинская</w:t>
            </w:r>
          </w:p>
        </w:tc>
        <w:tc>
          <w:tcPr>
            <w:tcW w:w="1752" w:type="dxa"/>
            <w:vAlign w:val="center"/>
          </w:tcPr>
          <w:p w14:paraId="1631A46B" w14:textId="2C624F5F" w:rsidR="0003217D" w:rsidRPr="003A6E5A" w:rsidRDefault="00FC275D"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362,15</w:t>
            </w:r>
          </w:p>
        </w:tc>
        <w:tc>
          <w:tcPr>
            <w:tcW w:w="2120" w:type="dxa"/>
            <w:vAlign w:val="center"/>
          </w:tcPr>
          <w:p w14:paraId="097D4A0E" w14:textId="77777777"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rPr>
              <w:t>(408</w:t>
            </w:r>
            <w:r w:rsidRPr="003A6E5A">
              <w:rPr>
                <w:rFonts w:ascii="Times New Roman" w:hAnsi="Times New Roman" w:cs="Times New Roman"/>
                <w:sz w:val="24"/>
                <w:szCs w:val="24"/>
                <w:lang w:val="kk-KZ"/>
              </w:rPr>
              <w:t>,</w:t>
            </w:r>
            <w:r w:rsidRPr="003A6E5A">
              <w:rPr>
                <w:rFonts w:ascii="Times New Roman" w:hAnsi="Times New Roman" w:cs="Times New Roman"/>
                <w:sz w:val="24"/>
                <w:szCs w:val="24"/>
              </w:rPr>
              <w:t>3</w:t>
            </w:r>
            <w:r w:rsidRPr="003A6E5A">
              <w:rPr>
                <w:rFonts w:ascii="Times New Roman" w:hAnsi="Times New Roman" w:cs="Times New Roman"/>
                <w:sz w:val="24"/>
                <w:szCs w:val="24"/>
                <w:lang w:val="kk-KZ"/>
              </w:rPr>
              <w:t xml:space="preserve"> – 608,6</w:t>
            </w:r>
            <w:r w:rsidRPr="003A6E5A">
              <w:rPr>
                <w:rFonts w:ascii="Times New Roman" w:hAnsi="Times New Roman" w:cs="Times New Roman"/>
                <w:sz w:val="24"/>
                <w:szCs w:val="24"/>
              </w:rPr>
              <w:t>)</w:t>
            </w:r>
          </w:p>
        </w:tc>
        <w:tc>
          <w:tcPr>
            <w:tcW w:w="1391" w:type="dxa"/>
            <w:vAlign w:val="center"/>
          </w:tcPr>
          <w:p w14:paraId="268EC2DE"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1,66</w:t>
            </w:r>
          </w:p>
        </w:tc>
        <w:tc>
          <w:tcPr>
            <w:tcW w:w="2356" w:type="dxa"/>
            <w:vAlign w:val="center"/>
          </w:tcPr>
          <w:p w14:paraId="4DD698F0" w14:textId="5423B982"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п</w:t>
            </w:r>
            <w:r w:rsidR="00FC275D" w:rsidRPr="003A6E5A">
              <w:rPr>
                <w:rFonts w:ascii="Times New Roman" w:hAnsi="Times New Roman" w:cs="Times New Roman"/>
                <w:sz w:val="24"/>
                <w:szCs w:val="24"/>
              </w:rPr>
              <w:t>ринимается</w:t>
            </w:r>
          </w:p>
        </w:tc>
      </w:tr>
      <w:tr w:rsidR="00B02CF8" w:rsidRPr="003A6E5A" w14:paraId="7B775032" w14:textId="77777777" w:rsidTr="006D6DAB">
        <w:tc>
          <w:tcPr>
            <w:tcW w:w="1973" w:type="dxa"/>
            <w:vAlign w:val="center"/>
          </w:tcPr>
          <w:p w14:paraId="2DD00B5D"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Алматинская</w:t>
            </w:r>
          </w:p>
        </w:tc>
        <w:tc>
          <w:tcPr>
            <w:tcW w:w="1752" w:type="dxa"/>
            <w:vAlign w:val="center"/>
          </w:tcPr>
          <w:p w14:paraId="2150BF43" w14:textId="528BC53B"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397,89</w:t>
            </w:r>
          </w:p>
        </w:tc>
        <w:tc>
          <w:tcPr>
            <w:tcW w:w="2120" w:type="dxa"/>
            <w:vAlign w:val="center"/>
          </w:tcPr>
          <w:p w14:paraId="31C623F7" w14:textId="40A29974"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781013" w:rsidRPr="003A6E5A">
              <w:rPr>
                <w:rFonts w:ascii="Times New Roman" w:hAnsi="Times New Roman" w:cs="Times New Roman"/>
                <w:sz w:val="24"/>
                <w:szCs w:val="24"/>
                <w:lang w:val="kk-KZ"/>
              </w:rPr>
              <w:t xml:space="preserve">360,2 – </w:t>
            </w:r>
            <w:r w:rsidRPr="003A6E5A">
              <w:rPr>
                <w:rFonts w:ascii="Times New Roman" w:hAnsi="Times New Roman" w:cs="Times New Roman"/>
                <w:sz w:val="24"/>
                <w:szCs w:val="24"/>
                <w:lang w:val="kk-KZ"/>
              </w:rPr>
              <w:t>430,4)</w:t>
            </w:r>
          </w:p>
        </w:tc>
        <w:tc>
          <w:tcPr>
            <w:tcW w:w="1391" w:type="dxa"/>
            <w:vAlign w:val="center"/>
          </w:tcPr>
          <w:p w14:paraId="195E7E2B"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0,49</w:t>
            </w:r>
          </w:p>
        </w:tc>
        <w:tc>
          <w:tcPr>
            <w:tcW w:w="2356" w:type="dxa"/>
            <w:vAlign w:val="center"/>
          </w:tcPr>
          <w:p w14:paraId="591AFD61" w14:textId="3B5AC556"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п</w:t>
            </w:r>
            <w:r w:rsidR="00FC275D" w:rsidRPr="003A6E5A">
              <w:rPr>
                <w:rFonts w:ascii="Times New Roman" w:hAnsi="Times New Roman" w:cs="Times New Roman"/>
                <w:sz w:val="24"/>
                <w:szCs w:val="24"/>
              </w:rPr>
              <w:t>ринимается</w:t>
            </w:r>
          </w:p>
        </w:tc>
      </w:tr>
      <w:tr w:rsidR="00B02CF8" w:rsidRPr="003A6E5A" w14:paraId="16C3D611" w14:textId="77777777" w:rsidTr="006D6DAB">
        <w:tc>
          <w:tcPr>
            <w:tcW w:w="1973" w:type="dxa"/>
            <w:vAlign w:val="center"/>
          </w:tcPr>
          <w:p w14:paraId="2B4C85D3"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Атырауская</w:t>
            </w:r>
          </w:p>
        </w:tc>
        <w:tc>
          <w:tcPr>
            <w:tcW w:w="1752" w:type="dxa"/>
            <w:vAlign w:val="center"/>
          </w:tcPr>
          <w:p w14:paraId="31B6CCA4" w14:textId="571A3A7B"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1603,38</w:t>
            </w:r>
          </w:p>
        </w:tc>
        <w:tc>
          <w:tcPr>
            <w:tcW w:w="2120" w:type="dxa"/>
            <w:vAlign w:val="center"/>
          </w:tcPr>
          <w:p w14:paraId="4CD57303" w14:textId="66115F14" w:rsidR="0003217D" w:rsidRPr="003A6E5A" w:rsidRDefault="00FC275D"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1240,0 – </w:t>
            </w:r>
            <w:r w:rsidRPr="003A6E5A">
              <w:rPr>
                <w:rFonts w:ascii="Times New Roman" w:hAnsi="Times New Roman" w:cs="Times New Roman"/>
                <w:sz w:val="24"/>
                <w:szCs w:val="24"/>
                <w:lang w:val="kk-KZ"/>
              </w:rPr>
              <w:t>1916,8)</w:t>
            </w:r>
          </w:p>
        </w:tc>
        <w:tc>
          <w:tcPr>
            <w:tcW w:w="1391" w:type="dxa"/>
            <w:vAlign w:val="center"/>
          </w:tcPr>
          <w:p w14:paraId="33AA2636" w14:textId="77777777" w:rsidR="0003217D" w:rsidRPr="003A6E5A" w:rsidRDefault="00FC275D" w:rsidP="006D6DAB">
            <w:pPr>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en-US"/>
              </w:rPr>
              <w:t>6,4</w:t>
            </w:r>
            <w:r w:rsidRPr="003A6E5A">
              <w:rPr>
                <w:rFonts w:ascii="Times New Roman" w:hAnsi="Times New Roman" w:cs="Times New Roman"/>
                <w:sz w:val="24"/>
                <w:szCs w:val="24"/>
              </w:rPr>
              <w:t>7</w:t>
            </w:r>
          </w:p>
        </w:tc>
        <w:tc>
          <w:tcPr>
            <w:tcW w:w="2356" w:type="dxa"/>
            <w:vAlign w:val="center"/>
          </w:tcPr>
          <w:p w14:paraId="2188C394" w14:textId="5DFF4F5E"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686773FA" w14:textId="77777777" w:rsidTr="006D6DAB">
        <w:tc>
          <w:tcPr>
            <w:tcW w:w="1973" w:type="dxa"/>
            <w:vAlign w:val="center"/>
          </w:tcPr>
          <w:p w14:paraId="71F800B9"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Западно-Казахстанская</w:t>
            </w:r>
          </w:p>
        </w:tc>
        <w:tc>
          <w:tcPr>
            <w:tcW w:w="1752" w:type="dxa"/>
            <w:vAlign w:val="center"/>
          </w:tcPr>
          <w:p w14:paraId="52409C09" w14:textId="2442568E"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292,12</w:t>
            </w:r>
          </w:p>
        </w:tc>
        <w:tc>
          <w:tcPr>
            <w:tcW w:w="2120" w:type="dxa"/>
            <w:vAlign w:val="center"/>
          </w:tcPr>
          <w:p w14:paraId="13AEF597" w14:textId="283863C2"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268,1 – </w:t>
            </w:r>
            <w:r w:rsidRPr="003A6E5A">
              <w:rPr>
                <w:rFonts w:ascii="Times New Roman" w:hAnsi="Times New Roman" w:cs="Times New Roman"/>
                <w:sz w:val="24"/>
                <w:szCs w:val="24"/>
                <w:lang w:val="kk-KZ"/>
              </w:rPr>
              <w:t>312,9)</w:t>
            </w:r>
          </w:p>
        </w:tc>
        <w:tc>
          <w:tcPr>
            <w:tcW w:w="1391" w:type="dxa"/>
            <w:vAlign w:val="center"/>
          </w:tcPr>
          <w:p w14:paraId="3A10600C"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9,42</w:t>
            </w:r>
          </w:p>
        </w:tc>
        <w:tc>
          <w:tcPr>
            <w:tcW w:w="2356" w:type="dxa"/>
            <w:vAlign w:val="center"/>
          </w:tcPr>
          <w:p w14:paraId="21417D0F" w14:textId="334E26C4"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4BC1840C" w14:textId="77777777" w:rsidTr="006D6DAB">
        <w:tc>
          <w:tcPr>
            <w:tcW w:w="1973" w:type="dxa"/>
            <w:vAlign w:val="center"/>
          </w:tcPr>
          <w:p w14:paraId="63D91B41"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Жамбылская</w:t>
            </w:r>
          </w:p>
        </w:tc>
        <w:tc>
          <w:tcPr>
            <w:tcW w:w="1752" w:type="dxa"/>
            <w:vAlign w:val="center"/>
          </w:tcPr>
          <w:p w14:paraId="1AF779DC" w14:textId="1FFF3F35"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181,43</w:t>
            </w:r>
          </w:p>
        </w:tc>
        <w:tc>
          <w:tcPr>
            <w:tcW w:w="2120" w:type="dxa"/>
            <w:vAlign w:val="center"/>
          </w:tcPr>
          <w:p w14:paraId="230AC052" w14:textId="1BB0A2D0"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162,0 – </w:t>
            </w:r>
            <w:r w:rsidRPr="003A6E5A">
              <w:rPr>
                <w:rFonts w:ascii="Times New Roman" w:hAnsi="Times New Roman" w:cs="Times New Roman"/>
                <w:sz w:val="24"/>
                <w:szCs w:val="24"/>
                <w:lang w:val="kk-KZ"/>
              </w:rPr>
              <w:t>198,5)</w:t>
            </w:r>
          </w:p>
        </w:tc>
        <w:tc>
          <w:tcPr>
            <w:tcW w:w="1391" w:type="dxa"/>
            <w:vAlign w:val="center"/>
          </w:tcPr>
          <w:p w14:paraId="6E80C3A2"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22,50</w:t>
            </w:r>
          </w:p>
        </w:tc>
        <w:tc>
          <w:tcPr>
            <w:tcW w:w="2356" w:type="dxa"/>
            <w:vAlign w:val="center"/>
          </w:tcPr>
          <w:p w14:paraId="5CDE0061" w14:textId="12DA7BF2"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27443950" w14:textId="77777777" w:rsidTr="006D6DAB">
        <w:tc>
          <w:tcPr>
            <w:tcW w:w="1973" w:type="dxa"/>
            <w:vAlign w:val="center"/>
          </w:tcPr>
          <w:p w14:paraId="59F38F08"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Карагандинская</w:t>
            </w:r>
          </w:p>
        </w:tc>
        <w:tc>
          <w:tcPr>
            <w:tcW w:w="1752" w:type="dxa"/>
            <w:vAlign w:val="center"/>
          </w:tcPr>
          <w:p w14:paraId="6FC31B77" w14:textId="1E28A1E2"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354,88</w:t>
            </w:r>
          </w:p>
        </w:tc>
        <w:tc>
          <w:tcPr>
            <w:tcW w:w="2120" w:type="dxa"/>
            <w:vAlign w:val="center"/>
          </w:tcPr>
          <w:p w14:paraId="2B01A436" w14:textId="4D2E9AB8"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292,5 – </w:t>
            </w:r>
            <w:r w:rsidRPr="003A6E5A">
              <w:rPr>
                <w:rFonts w:ascii="Times New Roman" w:hAnsi="Times New Roman" w:cs="Times New Roman"/>
                <w:sz w:val="24"/>
                <w:szCs w:val="24"/>
                <w:lang w:val="kk-KZ"/>
              </w:rPr>
              <w:t>408,7)</w:t>
            </w:r>
          </w:p>
        </w:tc>
        <w:tc>
          <w:tcPr>
            <w:tcW w:w="1391" w:type="dxa"/>
            <w:vAlign w:val="center"/>
          </w:tcPr>
          <w:p w14:paraId="79056862"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1,65</w:t>
            </w:r>
          </w:p>
        </w:tc>
        <w:tc>
          <w:tcPr>
            <w:tcW w:w="2356" w:type="dxa"/>
            <w:vAlign w:val="center"/>
          </w:tcPr>
          <w:p w14:paraId="5F825D5A" w14:textId="2239415C"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п</w:t>
            </w:r>
            <w:r w:rsidR="00FC275D" w:rsidRPr="003A6E5A">
              <w:rPr>
                <w:rFonts w:ascii="Times New Roman" w:hAnsi="Times New Roman" w:cs="Times New Roman"/>
                <w:sz w:val="24"/>
                <w:szCs w:val="24"/>
              </w:rPr>
              <w:t>ринимается</w:t>
            </w:r>
          </w:p>
        </w:tc>
      </w:tr>
      <w:tr w:rsidR="00B02CF8" w:rsidRPr="003A6E5A" w14:paraId="5074F1F6" w14:textId="77777777" w:rsidTr="006D6DAB">
        <w:tc>
          <w:tcPr>
            <w:tcW w:w="1973" w:type="dxa"/>
            <w:vAlign w:val="center"/>
          </w:tcPr>
          <w:p w14:paraId="7F576FF3"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Костанайская</w:t>
            </w:r>
          </w:p>
        </w:tc>
        <w:tc>
          <w:tcPr>
            <w:tcW w:w="1752" w:type="dxa"/>
            <w:vAlign w:val="center"/>
          </w:tcPr>
          <w:p w14:paraId="586EBED4" w14:textId="17D71579"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177,12</w:t>
            </w:r>
          </w:p>
        </w:tc>
        <w:tc>
          <w:tcPr>
            <w:tcW w:w="2120" w:type="dxa"/>
            <w:vAlign w:val="center"/>
          </w:tcPr>
          <w:p w14:paraId="2B9BA71B" w14:textId="1566E654"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152,7 – </w:t>
            </w:r>
            <w:r w:rsidRPr="003A6E5A">
              <w:rPr>
                <w:rFonts w:ascii="Times New Roman" w:hAnsi="Times New Roman" w:cs="Times New Roman"/>
                <w:sz w:val="24"/>
                <w:szCs w:val="24"/>
                <w:lang w:val="kk-KZ"/>
              </w:rPr>
              <w:t>198,2)</w:t>
            </w:r>
          </w:p>
        </w:tc>
        <w:tc>
          <w:tcPr>
            <w:tcW w:w="1391" w:type="dxa"/>
            <w:vAlign w:val="center"/>
          </w:tcPr>
          <w:p w14:paraId="0D66735B" w14:textId="77777777" w:rsidR="0003217D" w:rsidRPr="003A6E5A" w:rsidRDefault="00FC275D" w:rsidP="006D6DAB">
            <w:pPr>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en-US"/>
              </w:rPr>
              <w:t>18,5</w:t>
            </w:r>
            <w:r w:rsidRPr="003A6E5A">
              <w:rPr>
                <w:rFonts w:ascii="Times New Roman" w:hAnsi="Times New Roman" w:cs="Times New Roman"/>
                <w:sz w:val="24"/>
                <w:szCs w:val="24"/>
                <w:lang w:val="kk-KZ"/>
              </w:rPr>
              <w:t>5</w:t>
            </w:r>
          </w:p>
        </w:tc>
        <w:tc>
          <w:tcPr>
            <w:tcW w:w="2356" w:type="dxa"/>
            <w:vAlign w:val="center"/>
          </w:tcPr>
          <w:p w14:paraId="2E64148B" w14:textId="0A182554"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1370919E" w14:textId="77777777" w:rsidTr="006D6DAB">
        <w:tc>
          <w:tcPr>
            <w:tcW w:w="1973" w:type="dxa"/>
            <w:vAlign w:val="center"/>
          </w:tcPr>
          <w:p w14:paraId="31733F90"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Кызылординская</w:t>
            </w:r>
          </w:p>
        </w:tc>
        <w:tc>
          <w:tcPr>
            <w:tcW w:w="1752" w:type="dxa"/>
            <w:vAlign w:val="center"/>
          </w:tcPr>
          <w:p w14:paraId="2D5A3EF2" w14:textId="315F898A"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188,71</w:t>
            </w:r>
          </w:p>
        </w:tc>
        <w:tc>
          <w:tcPr>
            <w:tcW w:w="2120" w:type="dxa"/>
            <w:vAlign w:val="center"/>
          </w:tcPr>
          <w:p w14:paraId="7A2D9643" w14:textId="25061D92"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161,4 – </w:t>
            </w:r>
            <w:r w:rsidRPr="003A6E5A">
              <w:rPr>
                <w:rFonts w:ascii="Times New Roman" w:hAnsi="Times New Roman" w:cs="Times New Roman"/>
                <w:sz w:val="24"/>
                <w:szCs w:val="24"/>
                <w:lang w:val="kk-KZ"/>
              </w:rPr>
              <w:t>212,3)</w:t>
            </w:r>
          </w:p>
        </w:tc>
        <w:tc>
          <w:tcPr>
            <w:tcW w:w="1391" w:type="dxa"/>
            <w:vAlign w:val="center"/>
          </w:tcPr>
          <w:p w14:paraId="41EA8C10"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15,74</w:t>
            </w:r>
          </w:p>
        </w:tc>
        <w:tc>
          <w:tcPr>
            <w:tcW w:w="2356" w:type="dxa"/>
            <w:vAlign w:val="center"/>
          </w:tcPr>
          <w:p w14:paraId="5E0C283D" w14:textId="0DE64650"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22407630" w14:textId="77777777" w:rsidTr="006D6DAB">
        <w:tc>
          <w:tcPr>
            <w:tcW w:w="1973" w:type="dxa"/>
            <w:vAlign w:val="center"/>
          </w:tcPr>
          <w:p w14:paraId="608F0BA0"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Мангистауская</w:t>
            </w:r>
          </w:p>
        </w:tc>
        <w:tc>
          <w:tcPr>
            <w:tcW w:w="1752" w:type="dxa"/>
            <w:vAlign w:val="center"/>
          </w:tcPr>
          <w:p w14:paraId="6ABDDFED" w14:textId="392C5105"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337,50</w:t>
            </w:r>
          </w:p>
        </w:tc>
        <w:tc>
          <w:tcPr>
            <w:tcW w:w="2120" w:type="dxa"/>
            <w:vAlign w:val="center"/>
          </w:tcPr>
          <w:p w14:paraId="11446908" w14:textId="43887066"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287,9 – </w:t>
            </w:r>
            <w:r w:rsidRPr="003A6E5A">
              <w:rPr>
                <w:rFonts w:ascii="Times New Roman" w:hAnsi="Times New Roman" w:cs="Times New Roman"/>
                <w:sz w:val="24"/>
                <w:szCs w:val="24"/>
                <w:lang w:val="kk-KZ"/>
              </w:rPr>
              <w:t>380,3)</w:t>
            </w:r>
          </w:p>
        </w:tc>
        <w:tc>
          <w:tcPr>
            <w:tcW w:w="1391" w:type="dxa"/>
            <w:vAlign w:val="center"/>
          </w:tcPr>
          <w:p w14:paraId="087E1AE5"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2,77</w:t>
            </w:r>
          </w:p>
        </w:tc>
        <w:tc>
          <w:tcPr>
            <w:tcW w:w="2356" w:type="dxa"/>
            <w:vAlign w:val="center"/>
          </w:tcPr>
          <w:p w14:paraId="68DA8580" w14:textId="4418D5C5"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1363B70C" w14:textId="77777777" w:rsidTr="006D6DAB">
        <w:tc>
          <w:tcPr>
            <w:tcW w:w="1973" w:type="dxa"/>
            <w:vAlign w:val="center"/>
          </w:tcPr>
          <w:p w14:paraId="1E02DE7D"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Павлодарская</w:t>
            </w:r>
          </w:p>
        </w:tc>
        <w:tc>
          <w:tcPr>
            <w:tcW w:w="1752" w:type="dxa"/>
            <w:vAlign w:val="center"/>
          </w:tcPr>
          <w:p w14:paraId="6F1E2D16" w14:textId="742CF724"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311,14</w:t>
            </w:r>
          </w:p>
        </w:tc>
        <w:tc>
          <w:tcPr>
            <w:tcW w:w="2120" w:type="dxa"/>
            <w:vAlign w:val="center"/>
          </w:tcPr>
          <w:p w14:paraId="73B4905D" w14:textId="17A99CE3"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286,3 – </w:t>
            </w:r>
            <w:r w:rsidRPr="003A6E5A">
              <w:rPr>
                <w:rFonts w:ascii="Times New Roman" w:hAnsi="Times New Roman" w:cs="Times New Roman"/>
                <w:sz w:val="24"/>
                <w:szCs w:val="24"/>
                <w:lang w:val="kk-KZ"/>
              </w:rPr>
              <w:t>332,6)</w:t>
            </w:r>
          </w:p>
        </w:tc>
        <w:tc>
          <w:tcPr>
            <w:tcW w:w="1391" w:type="dxa"/>
            <w:vAlign w:val="center"/>
          </w:tcPr>
          <w:p w14:paraId="711324DC"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7,61</w:t>
            </w:r>
          </w:p>
        </w:tc>
        <w:tc>
          <w:tcPr>
            <w:tcW w:w="2356" w:type="dxa"/>
            <w:vAlign w:val="center"/>
          </w:tcPr>
          <w:p w14:paraId="067A0D7A" w14:textId="79727D6F"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6F72AF0B" w14:textId="77777777" w:rsidTr="006D6DAB">
        <w:tc>
          <w:tcPr>
            <w:tcW w:w="1973" w:type="dxa"/>
            <w:vAlign w:val="center"/>
          </w:tcPr>
          <w:p w14:paraId="737203E6"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Северо-Казахстанская</w:t>
            </w:r>
          </w:p>
        </w:tc>
        <w:tc>
          <w:tcPr>
            <w:tcW w:w="1752" w:type="dxa"/>
            <w:vAlign w:val="center"/>
          </w:tcPr>
          <w:p w14:paraId="780C85C3" w14:textId="7C122778"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146,41</w:t>
            </w:r>
          </w:p>
        </w:tc>
        <w:tc>
          <w:tcPr>
            <w:tcW w:w="2120" w:type="dxa"/>
            <w:vAlign w:val="center"/>
          </w:tcPr>
          <w:p w14:paraId="137489BF" w14:textId="261A6B13"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131,1 – </w:t>
            </w:r>
            <w:r w:rsidRPr="003A6E5A">
              <w:rPr>
                <w:rFonts w:ascii="Times New Roman" w:hAnsi="Times New Roman" w:cs="Times New Roman"/>
                <w:sz w:val="24"/>
                <w:szCs w:val="24"/>
                <w:lang w:val="kk-KZ"/>
              </w:rPr>
              <w:t>159,6)</w:t>
            </w:r>
          </w:p>
        </w:tc>
        <w:tc>
          <w:tcPr>
            <w:tcW w:w="1391" w:type="dxa"/>
            <w:vAlign w:val="center"/>
          </w:tcPr>
          <w:p w14:paraId="78D51A42"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33,53</w:t>
            </w:r>
          </w:p>
        </w:tc>
        <w:tc>
          <w:tcPr>
            <w:tcW w:w="2356" w:type="dxa"/>
            <w:vAlign w:val="center"/>
          </w:tcPr>
          <w:p w14:paraId="225D46D2" w14:textId="008DFB3D"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560E26FD" w14:textId="77777777" w:rsidTr="006D6DAB">
        <w:tc>
          <w:tcPr>
            <w:tcW w:w="1973" w:type="dxa"/>
            <w:vAlign w:val="center"/>
          </w:tcPr>
          <w:p w14:paraId="1DB22126"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Южно-Казахстанская</w:t>
            </w:r>
          </w:p>
        </w:tc>
        <w:tc>
          <w:tcPr>
            <w:tcW w:w="1752" w:type="dxa"/>
            <w:vAlign w:val="center"/>
          </w:tcPr>
          <w:p w14:paraId="55AE74DD" w14:textId="5F812F7C"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469,41</w:t>
            </w:r>
          </w:p>
        </w:tc>
        <w:tc>
          <w:tcPr>
            <w:tcW w:w="2120" w:type="dxa"/>
            <w:vAlign w:val="center"/>
          </w:tcPr>
          <w:p w14:paraId="20C615C2" w14:textId="18B94244"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385,8 – </w:t>
            </w:r>
            <w:r w:rsidRPr="003A6E5A">
              <w:rPr>
                <w:rFonts w:ascii="Times New Roman" w:hAnsi="Times New Roman" w:cs="Times New Roman"/>
                <w:sz w:val="24"/>
                <w:szCs w:val="24"/>
                <w:lang w:val="kk-KZ"/>
              </w:rPr>
              <w:t>542,4)</w:t>
            </w:r>
          </w:p>
        </w:tc>
        <w:tc>
          <w:tcPr>
            <w:tcW w:w="1391" w:type="dxa"/>
            <w:vAlign w:val="center"/>
          </w:tcPr>
          <w:p w14:paraId="6A3D744A" w14:textId="77777777" w:rsidR="0003217D" w:rsidRPr="003A6E5A" w:rsidRDefault="00FC275D" w:rsidP="006D6DAB">
            <w:pPr>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lang w:val="en-US"/>
              </w:rPr>
              <w:t>1,4</w:t>
            </w:r>
            <w:r w:rsidRPr="003A6E5A">
              <w:rPr>
                <w:rFonts w:ascii="Times New Roman" w:hAnsi="Times New Roman" w:cs="Times New Roman"/>
                <w:sz w:val="24"/>
                <w:szCs w:val="24"/>
                <w:lang w:val="kk-KZ"/>
              </w:rPr>
              <w:t>6</w:t>
            </w:r>
          </w:p>
        </w:tc>
        <w:tc>
          <w:tcPr>
            <w:tcW w:w="2356" w:type="dxa"/>
            <w:vAlign w:val="center"/>
          </w:tcPr>
          <w:p w14:paraId="52A3194B" w14:textId="39317115"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п</w:t>
            </w:r>
            <w:r w:rsidR="00FC275D" w:rsidRPr="003A6E5A">
              <w:rPr>
                <w:rFonts w:ascii="Times New Roman" w:hAnsi="Times New Roman" w:cs="Times New Roman"/>
                <w:sz w:val="24"/>
                <w:szCs w:val="24"/>
              </w:rPr>
              <w:t>ринимается</w:t>
            </w:r>
          </w:p>
        </w:tc>
      </w:tr>
      <w:tr w:rsidR="00B02CF8" w:rsidRPr="003A6E5A" w14:paraId="583E7C2B" w14:textId="77777777" w:rsidTr="006D6DAB">
        <w:tc>
          <w:tcPr>
            <w:tcW w:w="1973" w:type="dxa"/>
            <w:vAlign w:val="center"/>
          </w:tcPr>
          <w:p w14:paraId="77FAA275"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Восточно-Казахстанкая</w:t>
            </w:r>
          </w:p>
        </w:tc>
        <w:tc>
          <w:tcPr>
            <w:tcW w:w="1752" w:type="dxa"/>
            <w:vAlign w:val="center"/>
          </w:tcPr>
          <w:p w14:paraId="65374795" w14:textId="7A07A2DA"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371,50</w:t>
            </w:r>
          </w:p>
        </w:tc>
        <w:tc>
          <w:tcPr>
            <w:tcW w:w="2120" w:type="dxa"/>
            <w:vAlign w:val="center"/>
          </w:tcPr>
          <w:p w14:paraId="14C1FA52" w14:textId="7D9DFE9D"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332,4 – </w:t>
            </w:r>
            <w:r w:rsidRPr="003A6E5A">
              <w:rPr>
                <w:rFonts w:ascii="Times New Roman" w:hAnsi="Times New Roman" w:cs="Times New Roman"/>
                <w:sz w:val="24"/>
                <w:szCs w:val="24"/>
                <w:lang w:val="kk-KZ"/>
              </w:rPr>
              <w:t>405,3)</w:t>
            </w:r>
          </w:p>
        </w:tc>
        <w:tc>
          <w:tcPr>
            <w:tcW w:w="1391" w:type="dxa"/>
            <w:vAlign w:val="center"/>
          </w:tcPr>
          <w:p w14:paraId="70ACD16F"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1,80</w:t>
            </w:r>
          </w:p>
        </w:tc>
        <w:tc>
          <w:tcPr>
            <w:tcW w:w="2356" w:type="dxa"/>
            <w:vAlign w:val="center"/>
          </w:tcPr>
          <w:p w14:paraId="30EB91A0" w14:textId="0820DC98"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rPr>
              <w:t>п</w:t>
            </w:r>
            <w:r w:rsidR="00FC275D" w:rsidRPr="003A6E5A">
              <w:rPr>
                <w:rFonts w:ascii="Times New Roman" w:hAnsi="Times New Roman" w:cs="Times New Roman"/>
                <w:sz w:val="24"/>
                <w:szCs w:val="24"/>
              </w:rPr>
              <w:t>ринимается</w:t>
            </w:r>
          </w:p>
        </w:tc>
      </w:tr>
      <w:tr w:rsidR="00B02CF8" w:rsidRPr="003A6E5A" w14:paraId="252596C3" w14:textId="77777777" w:rsidTr="006D6DAB">
        <w:tc>
          <w:tcPr>
            <w:tcW w:w="1973" w:type="dxa"/>
            <w:vAlign w:val="center"/>
          </w:tcPr>
          <w:p w14:paraId="702E5DAD"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г. Астана</w:t>
            </w:r>
          </w:p>
        </w:tc>
        <w:tc>
          <w:tcPr>
            <w:tcW w:w="1752" w:type="dxa"/>
            <w:vAlign w:val="center"/>
          </w:tcPr>
          <w:p w14:paraId="3DCCB0CE" w14:textId="11FF7A3D"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588,11</w:t>
            </w:r>
          </w:p>
        </w:tc>
        <w:tc>
          <w:tcPr>
            <w:tcW w:w="2120" w:type="dxa"/>
            <w:vAlign w:val="center"/>
          </w:tcPr>
          <w:p w14:paraId="70A7AB85" w14:textId="46B54132"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D56A11" w:rsidRPr="003A6E5A">
              <w:rPr>
                <w:rFonts w:ascii="Times New Roman" w:hAnsi="Times New Roman" w:cs="Times New Roman"/>
                <w:sz w:val="24"/>
                <w:szCs w:val="24"/>
                <w:lang w:val="kk-KZ"/>
              </w:rPr>
              <w:t xml:space="preserve">550,9 – </w:t>
            </w:r>
            <w:r w:rsidRPr="003A6E5A">
              <w:rPr>
                <w:rFonts w:ascii="Times New Roman" w:hAnsi="Times New Roman" w:cs="Times New Roman"/>
                <w:sz w:val="24"/>
                <w:szCs w:val="24"/>
                <w:lang w:val="kk-KZ"/>
              </w:rPr>
              <w:t>620,0)</w:t>
            </w:r>
          </w:p>
        </w:tc>
        <w:tc>
          <w:tcPr>
            <w:tcW w:w="1391" w:type="dxa"/>
            <w:vAlign w:val="center"/>
          </w:tcPr>
          <w:p w14:paraId="6B6C019A"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9,56</w:t>
            </w:r>
          </w:p>
        </w:tc>
        <w:tc>
          <w:tcPr>
            <w:tcW w:w="2356" w:type="dxa"/>
            <w:vAlign w:val="center"/>
          </w:tcPr>
          <w:p w14:paraId="29866D8E" w14:textId="0605EDD2"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r w:rsidR="00B02CF8" w:rsidRPr="003A6E5A" w14:paraId="5006835E" w14:textId="77777777" w:rsidTr="006D6DAB">
        <w:tc>
          <w:tcPr>
            <w:tcW w:w="1973" w:type="dxa"/>
            <w:vAlign w:val="center"/>
          </w:tcPr>
          <w:p w14:paraId="2E1576D4" w14:textId="77777777" w:rsidR="0003217D" w:rsidRPr="003A6E5A" w:rsidRDefault="00FC275D" w:rsidP="007431B8">
            <w:pPr>
              <w:widowControl/>
              <w:spacing w:after="0" w:line="240" w:lineRule="auto"/>
              <w:jc w:val="left"/>
              <w:rPr>
                <w:rFonts w:ascii="Times New Roman" w:hAnsi="Times New Roman" w:cs="Times New Roman"/>
                <w:sz w:val="24"/>
                <w:szCs w:val="24"/>
              </w:rPr>
            </w:pPr>
            <w:r w:rsidRPr="003A6E5A">
              <w:rPr>
                <w:rFonts w:ascii="Times New Roman" w:hAnsi="Times New Roman" w:cs="Times New Roman"/>
                <w:sz w:val="24"/>
                <w:szCs w:val="24"/>
              </w:rPr>
              <w:t>г. Алматы</w:t>
            </w:r>
          </w:p>
        </w:tc>
        <w:tc>
          <w:tcPr>
            <w:tcW w:w="1752" w:type="dxa"/>
            <w:vAlign w:val="center"/>
          </w:tcPr>
          <w:p w14:paraId="087C8181" w14:textId="11011F26" w:rsidR="0003217D" w:rsidRPr="003A6E5A" w:rsidRDefault="00FC275D" w:rsidP="006D6DAB">
            <w:pPr>
              <w:widowControl/>
              <w:spacing w:after="0" w:line="240" w:lineRule="auto"/>
              <w:jc w:val="center"/>
              <w:rPr>
                <w:rFonts w:ascii="Times New Roman" w:hAnsi="Times New Roman" w:cs="Times New Roman"/>
                <w:sz w:val="24"/>
                <w:szCs w:val="24"/>
                <w:lang w:val="kk-KZ"/>
              </w:rPr>
            </w:pPr>
            <w:r w:rsidRPr="003A6E5A">
              <w:rPr>
                <w:rFonts w:ascii="Times New Roman" w:hAnsi="Times New Roman" w:cs="Times New Roman"/>
                <w:sz w:val="24"/>
                <w:szCs w:val="24"/>
              </w:rPr>
              <w:t>520,60</w:t>
            </w:r>
          </w:p>
        </w:tc>
        <w:tc>
          <w:tcPr>
            <w:tcW w:w="2120" w:type="dxa"/>
            <w:vAlign w:val="center"/>
          </w:tcPr>
          <w:p w14:paraId="2B80E737" w14:textId="75ED5347" w:rsidR="0003217D" w:rsidRPr="003A6E5A" w:rsidRDefault="00FC275D" w:rsidP="006D6DAB">
            <w:pPr>
              <w:widowControl/>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kk-KZ"/>
              </w:rPr>
              <w:t>(</w:t>
            </w:r>
            <w:r w:rsidR="00C97089" w:rsidRPr="003A6E5A">
              <w:rPr>
                <w:rFonts w:ascii="Times New Roman" w:hAnsi="Times New Roman" w:cs="Times New Roman"/>
                <w:sz w:val="24"/>
                <w:szCs w:val="24"/>
                <w:lang w:val="kk-KZ"/>
              </w:rPr>
              <w:t xml:space="preserve">456,9 – </w:t>
            </w:r>
            <w:r w:rsidRPr="003A6E5A">
              <w:rPr>
                <w:rFonts w:ascii="Times New Roman" w:hAnsi="Times New Roman" w:cs="Times New Roman"/>
                <w:sz w:val="24"/>
                <w:szCs w:val="24"/>
                <w:lang w:val="kk-KZ"/>
              </w:rPr>
              <w:t>575,5)</w:t>
            </w:r>
          </w:p>
        </w:tc>
        <w:tc>
          <w:tcPr>
            <w:tcW w:w="1391" w:type="dxa"/>
            <w:vAlign w:val="center"/>
          </w:tcPr>
          <w:p w14:paraId="0B32E90C" w14:textId="77777777" w:rsidR="0003217D" w:rsidRPr="003A6E5A" w:rsidRDefault="00FC275D" w:rsidP="006D6DAB">
            <w:pPr>
              <w:spacing w:after="0" w:line="240" w:lineRule="auto"/>
              <w:jc w:val="center"/>
              <w:rPr>
                <w:rFonts w:ascii="Times New Roman" w:hAnsi="Times New Roman" w:cs="Times New Roman"/>
                <w:sz w:val="24"/>
                <w:szCs w:val="24"/>
                <w:lang w:val="en-US"/>
              </w:rPr>
            </w:pPr>
            <w:r w:rsidRPr="003A6E5A">
              <w:rPr>
                <w:rFonts w:ascii="Times New Roman" w:hAnsi="Times New Roman" w:cs="Times New Roman"/>
                <w:sz w:val="24"/>
                <w:szCs w:val="24"/>
                <w:lang w:val="en-US"/>
              </w:rPr>
              <w:t>3,49</w:t>
            </w:r>
          </w:p>
        </w:tc>
        <w:tc>
          <w:tcPr>
            <w:tcW w:w="2356" w:type="dxa"/>
            <w:vAlign w:val="center"/>
          </w:tcPr>
          <w:p w14:paraId="3B233073" w14:textId="7426FCAB" w:rsidR="0003217D" w:rsidRPr="003A6E5A" w:rsidRDefault="0054621F" w:rsidP="006D6DAB">
            <w:pPr>
              <w:widowControl/>
              <w:spacing w:after="0" w:line="240" w:lineRule="auto"/>
              <w:jc w:val="center"/>
              <w:rPr>
                <w:rFonts w:ascii="Times New Roman" w:hAnsi="Times New Roman" w:cs="Times New Roman"/>
                <w:sz w:val="24"/>
                <w:szCs w:val="24"/>
              </w:rPr>
            </w:pPr>
            <w:r w:rsidRPr="003A6E5A">
              <w:rPr>
                <w:rFonts w:ascii="Times New Roman" w:hAnsi="Times New Roman" w:cs="Times New Roman"/>
                <w:sz w:val="24"/>
                <w:szCs w:val="24"/>
                <w:lang w:val="kk-KZ"/>
              </w:rPr>
              <w:t>о</w:t>
            </w:r>
            <w:r w:rsidR="00FC275D" w:rsidRPr="003A6E5A">
              <w:rPr>
                <w:rFonts w:ascii="Times New Roman" w:hAnsi="Times New Roman" w:cs="Times New Roman"/>
                <w:sz w:val="24"/>
                <w:szCs w:val="24"/>
                <w:lang w:val="kk-KZ"/>
              </w:rPr>
              <w:t>тклоняется</w:t>
            </w:r>
          </w:p>
        </w:tc>
      </w:tr>
    </w:tbl>
    <w:p w14:paraId="24EA93F4" w14:textId="61AA2044"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m:oMath>
        <m:r>
          <w:rPr>
            <w:rFonts w:ascii="Cambria Math" w:hAnsi="Cambria Math" w:cs="Times New Roman"/>
            <w:sz w:val="20"/>
            <w:szCs w:val="20"/>
          </w:rPr>
          <m:t>n=10-18</m:t>
        </m:r>
      </m:oMath>
      <w:r w:rsidRPr="003A6E5A">
        <w:rPr>
          <w:rFonts w:ascii="Times New Roman" w:hAnsi="Times New Roman" w:cs="Times New Roman"/>
          <w:sz w:val="20"/>
          <w:szCs w:val="20"/>
        </w:rPr>
        <w:t>, средние значения расчитаны за десятилетний период (2014</w:t>
      </w:r>
      <w:r w:rsidR="00781013" w:rsidRPr="003A6E5A">
        <w:rPr>
          <w:rFonts w:ascii="Times New Roman" w:hAnsi="Times New Roman" w:cs="Times New Roman"/>
          <w:sz w:val="20"/>
          <w:szCs w:val="20"/>
        </w:rPr>
        <w:t>–</w:t>
      </w:r>
      <w:r w:rsidRPr="003A6E5A">
        <w:rPr>
          <w:rFonts w:ascii="Times New Roman" w:hAnsi="Times New Roman" w:cs="Times New Roman"/>
          <w:sz w:val="20"/>
          <w:szCs w:val="20"/>
        </w:rPr>
        <w:t>2023 гг.), стоимостные показатели представлены в ценах 2014 года.</w:t>
      </w:r>
    </w:p>
    <w:p w14:paraId="4C192677" w14:textId="0E91236C" w:rsidR="00BA1875" w:rsidRPr="003A6E5A" w:rsidRDefault="00BA1875" w:rsidP="00BA1875">
      <w:pPr>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rPr>
        <w:t>Источник: собственные расчеты автора</w:t>
      </w:r>
      <w:r w:rsidR="004C4949" w:rsidRPr="003A6E5A">
        <w:rPr>
          <w:rFonts w:ascii="Times New Roman" w:hAnsi="Times New Roman" w:cs="Times New Roman"/>
          <w:sz w:val="20"/>
          <w:szCs w:val="20"/>
        </w:rPr>
        <w:t xml:space="preserve"> исследования</w:t>
      </w:r>
      <w:r w:rsidRPr="003A6E5A">
        <w:rPr>
          <w:rFonts w:ascii="Times New Roman" w:hAnsi="Times New Roman" w:cs="Times New Roman"/>
          <w:sz w:val="20"/>
          <w:szCs w:val="20"/>
        </w:rPr>
        <w:t>.</w:t>
      </w:r>
    </w:p>
    <w:p w14:paraId="563AB335" w14:textId="77777777" w:rsidR="0003217D" w:rsidRPr="003A6E5A" w:rsidRDefault="0003217D" w:rsidP="001608EA">
      <w:pPr>
        <w:spacing w:after="0" w:line="240" w:lineRule="auto"/>
        <w:jc w:val="both"/>
        <w:rPr>
          <w:rFonts w:ascii="Times New Roman" w:hAnsi="Times New Roman" w:cs="Times New Roman"/>
          <w:sz w:val="28"/>
          <w:szCs w:val="28"/>
        </w:rPr>
      </w:pPr>
    </w:p>
    <w:p w14:paraId="35CB875F" w14:textId="54BA0C8F" w:rsidR="00E76614" w:rsidRPr="003A6E5A" w:rsidRDefault="00A835C0" w:rsidP="00E76614">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Проверка статистических гипотез показала, что в большинстве областей Республики Казахстан средние объёмы инвестиций в основной капитал за 2014</w:t>
      </w:r>
      <w:r w:rsidR="00C96643" w:rsidRPr="003A6E5A">
        <w:rPr>
          <w:rFonts w:ascii="Times New Roman" w:hAnsi="Times New Roman" w:cs="Times New Roman"/>
          <w:sz w:val="28"/>
          <w:szCs w:val="28"/>
        </w:rPr>
        <w:t>-</w:t>
      </w:r>
      <w:r w:rsidRPr="003A6E5A">
        <w:rPr>
          <w:rFonts w:ascii="Times New Roman" w:hAnsi="Times New Roman" w:cs="Times New Roman"/>
          <w:sz w:val="28"/>
          <w:szCs w:val="28"/>
        </w:rPr>
        <w:t>2023 годы статистически различаются со среднегосударственным уровнем. Нулевая гипотеза отклоняется для 11 из 17 областей, свидетельству</w:t>
      </w:r>
      <w:r w:rsidR="0086713D" w:rsidRPr="003A6E5A">
        <w:rPr>
          <w:rFonts w:ascii="Times New Roman" w:hAnsi="Times New Roman" w:cs="Times New Roman"/>
          <w:sz w:val="28"/>
          <w:szCs w:val="28"/>
        </w:rPr>
        <w:t>я</w:t>
      </w:r>
      <w:r w:rsidRPr="003A6E5A">
        <w:rPr>
          <w:rFonts w:ascii="Times New Roman" w:hAnsi="Times New Roman" w:cs="Times New Roman"/>
          <w:sz w:val="28"/>
          <w:szCs w:val="28"/>
        </w:rPr>
        <w:t xml:space="preserve"> о </w:t>
      </w:r>
      <w:r w:rsidRPr="003A6E5A">
        <w:rPr>
          <w:rFonts w:ascii="Times New Roman" w:hAnsi="Times New Roman" w:cs="Times New Roman"/>
          <w:sz w:val="28"/>
          <w:szCs w:val="28"/>
        </w:rPr>
        <w:lastRenderedPageBreak/>
        <w:t>существенной территориальной дифференциации инвестиционной активности.</w:t>
      </w:r>
      <w:r w:rsidR="0086713D"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Наибольшее отклонение от среднегосударственного уровня наблюдается в Северо-Казахстанской, Жамбылской и Костанайской областях, где значения </w:t>
      </w:r>
      <m:oMath>
        <m:r>
          <w:rPr>
            <w:rFonts w:ascii="Cambria Math" w:hAnsi="Cambria Math" w:cs="Times New Roman"/>
            <w:sz w:val="28"/>
            <w:szCs w:val="28"/>
          </w:rPr>
          <m:t>t-</m:t>
        </m:r>
      </m:oMath>
      <w:r w:rsidRPr="003A6E5A">
        <w:rPr>
          <w:rFonts w:ascii="Times New Roman" w:hAnsi="Times New Roman" w:cs="Times New Roman"/>
          <w:sz w:val="28"/>
          <w:szCs w:val="28"/>
        </w:rPr>
        <w:t>статистики превышают 15, указывая на значительно более низкие объёмы инвестиций по сравнению с общенациональными показателями. Схожая тенденция характерна для Павлодарской и Западно-Казахстанской областей, где инвестиционные потоки также заметно отличаются от среднегосударственного уровня.</w:t>
      </w:r>
      <w:r w:rsidR="0086713D" w:rsidRPr="003A6E5A">
        <w:rPr>
          <w:rFonts w:ascii="Times New Roman" w:hAnsi="Times New Roman" w:cs="Times New Roman"/>
          <w:sz w:val="28"/>
          <w:szCs w:val="28"/>
        </w:rPr>
        <w:t xml:space="preserve"> </w:t>
      </w:r>
      <w:r w:rsidRPr="003A6E5A">
        <w:rPr>
          <w:rFonts w:ascii="Times New Roman" w:hAnsi="Times New Roman" w:cs="Times New Roman"/>
          <w:sz w:val="28"/>
          <w:szCs w:val="28"/>
        </w:rPr>
        <w:t xml:space="preserve">В противоположность </w:t>
      </w:r>
      <w:r w:rsidR="0086713D" w:rsidRPr="003A6E5A">
        <w:rPr>
          <w:rFonts w:ascii="Times New Roman" w:hAnsi="Times New Roman" w:cs="Times New Roman"/>
          <w:sz w:val="28"/>
          <w:szCs w:val="28"/>
          <w:lang w:val="kk-KZ"/>
        </w:rPr>
        <w:t>указанным выше областям</w:t>
      </w:r>
      <w:r w:rsidRPr="003A6E5A">
        <w:rPr>
          <w:rFonts w:ascii="Times New Roman" w:hAnsi="Times New Roman" w:cs="Times New Roman"/>
          <w:sz w:val="28"/>
          <w:szCs w:val="28"/>
        </w:rPr>
        <w:t>, в Актюбинской, Алматинской, Карагандинской, Восточно-Казахстанской и Южно-Казахстанской областях нулевая гипотеза принимается, указыв</w:t>
      </w:r>
      <w:r w:rsidR="0086713D" w:rsidRPr="003A6E5A">
        <w:rPr>
          <w:rFonts w:ascii="Times New Roman" w:hAnsi="Times New Roman" w:cs="Times New Roman"/>
          <w:sz w:val="28"/>
          <w:szCs w:val="28"/>
          <w:lang w:val="kk-KZ"/>
        </w:rPr>
        <w:t>ая</w:t>
      </w:r>
      <w:r w:rsidRPr="003A6E5A">
        <w:rPr>
          <w:rFonts w:ascii="Times New Roman" w:hAnsi="Times New Roman" w:cs="Times New Roman"/>
          <w:sz w:val="28"/>
          <w:szCs w:val="28"/>
        </w:rPr>
        <w:t xml:space="preserve"> на близость средних значений инвестиций к национальному уровню. Для </w:t>
      </w:r>
      <w:r w:rsidR="0086713D" w:rsidRPr="003A6E5A">
        <w:rPr>
          <w:rFonts w:ascii="Times New Roman" w:hAnsi="Times New Roman" w:cs="Times New Roman"/>
          <w:sz w:val="28"/>
          <w:szCs w:val="28"/>
          <w:lang w:val="kk-KZ"/>
        </w:rPr>
        <w:t>данных</w:t>
      </w:r>
      <w:r w:rsidRPr="003A6E5A">
        <w:rPr>
          <w:rFonts w:ascii="Times New Roman" w:hAnsi="Times New Roman" w:cs="Times New Roman"/>
          <w:sz w:val="28"/>
          <w:szCs w:val="28"/>
        </w:rPr>
        <w:t xml:space="preserve"> областей характерна относительная сбалансированность инвестиционной активности и структуры капитальных вложений.</w:t>
      </w:r>
      <w:r w:rsidR="0086713D"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 xml:space="preserve">Особое положение занимает Атырауская область, где средний объём инвестиций существенно превышает среднегосударственный уровень, подтверждая высокую концентрацию капитальных вложений в нефтегазовом секторе. Аналогичная ситуация наблюдается в городах республиканского значения </w:t>
      </w:r>
      <w:r w:rsidR="00871D1B" w:rsidRPr="003A6E5A">
        <w:rPr>
          <w:rFonts w:ascii="Times New Roman" w:hAnsi="Times New Roman" w:cs="Times New Roman"/>
          <w:sz w:val="28"/>
          <w:szCs w:val="28"/>
        </w:rPr>
        <w:t>–</w:t>
      </w:r>
      <w:r w:rsidRPr="003A6E5A">
        <w:rPr>
          <w:rFonts w:ascii="Times New Roman" w:hAnsi="Times New Roman" w:cs="Times New Roman"/>
          <w:sz w:val="28"/>
          <w:szCs w:val="28"/>
        </w:rPr>
        <w:t xml:space="preserve"> Астане и Алматы, для которых характерны значительно более высокие инвестиционные показатели вследствие концентрации крупных инфраструктурных и деловых проектов.</w:t>
      </w:r>
      <w:r w:rsidR="00871D1B" w:rsidRPr="003A6E5A">
        <w:rPr>
          <w:rFonts w:ascii="Times New Roman" w:hAnsi="Times New Roman" w:cs="Times New Roman"/>
          <w:sz w:val="28"/>
          <w:szCs w:val="28"/>
        </w:rPr>
        <w:t xml:space="preserve"> </w:t>
      </w:r>
      <w:r w:rsidRPr="003A6E5A">
        <w:rPr>
          <w:rFonts w:ascii="Times New Roman" w:hAnsi="Times New Roman" w:cs="Times New Roman"/>
          <w:sz w:val="28"/>
          <w:szCs w:val="28"/>
        </w:rPr>
        <w:t>В целом, результаты тестирования указывают на неравномерность распределения инвестиций в основной капитал по областям страны. Территориальные различия объясняются уровнем экономического развития, отраслевой структурой, природно-ресурсным потенциалом и институциональными условиями привлечения инвестиций</w:t>
      </w:r>
      <w:r w:rsidR="00C96643" w:rsidRPr="003A6E5A">
        <w:rPr>
          <w:rFonts w:ascii="Times New Roman" w:hAnsi="Times New Roman" w:cs="Times New Roman"/>
          <w:sz w:val="28"/>
          <w:szCs w:val="28"/>
        </w:rPr>
        <w:t xml:space="preserve"> [153]</w:t>
      </w:r>
      <w:r w:rsidRPr="003A6E5A">
        <w:rPr>
          <w:rFonts w:ascii="Times New Roman" w:hAnsi="Times New Roman" w:cs="Times New Roman"/>
          <w:sz w:val="28"/>
          <w:szCs w:val="28"/>
        </w:rPr>
        <w:t>.</w:t>
      </w:r>
    </w:p>
    <w:p w14:paraId="29DFB2EB" w14:textId="53625E9B" w:rsidR="00BC1F32" w:rsidRPr="003A6E5A" w:rsidRDefault="00BC1F32" w:rsidP="00BC1F32">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Разработанный в исследовании интегральный показатель </w:t>
      </w:r>
      <w:r w:rsidR="00C12659" w:rsidRPr="003A6E5A">
        <w:rPr>
          <w:rFonts w:ascii="Times New Roman" w:hAnsi="Times New Roman" w:cs="Times New Roman"/>
          <w:sz w:val="28"/>
          <w:szCs w:val="28"/>
        </w:rPr>
        <w:t>«</w:t>
      </w:r>
      <w:r w:rsidRPr="003A6E5A">
        <w:rPr>
          <w:rFonts w:ascii="Times New Roman" w:hAnsi="Times New Roman" w:cs="Times New Roman"/>
          <w:sz w:val="28"/>
          <w:szCs w:val="28"/>
        </w:rPr>
        <w:t>Индекс инвестиционного потенциала</w:t>
      </w:r>
      <w:r w:rsidR="00C12659" w:rsidRPr="003A6E5A">
        <w:rPr>
          <w:rFonts w:ascii="Times New Roman" w:hAnsi="Times New Roman" w:cs="Times New Roman"/>
          <w:sz w:val="28"/>
          <w:szCs w:val="28"/>
        </w:rPr>
        <w:t>»</w:t>
      </w:r>
      <w:r w:rsidRPr="003A6E5A">
        <w:rPr>
          <w:rFonts w:ascii="Times New Roman" w:hAnsi="Times New Roman" w:cs="Times New Roman"/>
          <w:sz w:val="28"/>
          <w:szCs w:val="28"/>
        </w:rPr>
        <w:t xml:space="preserve"> </w:t>
      </w:r>
      <w:r w:rsidR="006475D1" w:rsidRPr="003A6E5A">
        <w:rPr>
          <w:rFonts w:ascii="Times New Roman" w:hAnsi="Times New Roman" w:cs="Times New Roman"/>
          <w:sz w:val="28"/>
          <w:szCs w:val="28"/>
        </w:rPr>
        <w:t>показал</w:t>
      </w:r>
      <w:r w:rsidRPr="003A6E5A">
        <w:rPr>
          <w:rFonts w:ascii="Times New Roman" w:hAnsi="Times New Roman" w:cs="Times New Roman"/>
          <w:sz w:val="28"/>
          <w:szCs w:val="28"/>
        </w:rPr>
        <w:t xml:space="preserve"> свою эффективность как инструмент для комплексной оценки инвестиционной привлекательности регионов Казахстана. Применение двух методологических подходов </w:t>
      </w:r>
      <w:r w:rsidR="006475D1" w:rsidRPr="003A6E5A">
        <w:rPr>
          <w:rFonts w:ascii="Times New Roman" w:hAnsi="Times New Roman" w:cs="Times New Roman"/>
          <w:sz w:val="28"/>
          <w:szCs w:val="28"/>
        </w:rPr>
        <w:t>–</w:t>
      </w:r>
      <w:r w:rsidRPr="003A6E5A">
        <w:rPr>
          <w:rFonts w:ascii="Times New Roman" w:hAnsi="Times New Roman" w:cs="Times New Roman"/>
          <w:sz w:val="28"/>
          <w:szCs w:val="28"/>
        </w:rPr>
        <w:t xml:space="preserve"> равновесного распределения факторов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oMath>
      <w:r w:rsidRPr="003A6E5A">
        <w:rPr>
          <w:rFonts w:ascii="Times New Roman" w:hAnsi="Times New Roman" w:cs="Times New Roman"/>
          <w:sz w:val="28"/>
          <w:szCs w:val="28"/>
        </w:rPr>
        <w:t xml:space="preserve"> и метода главных компонент </w:t>
      </w:r>
      <w:r w:rsidR="00C12659" w:rsidRPr="003A6E5A">
        <w:rPr>
          <w:rFonts w:ascii="Times New Roman" w:hAnsi="Times New Roman" w:cs="Times New Roman"/>
          <w:sz w:val="28"/>
          <w:szCs w:val="28"/>
        </w:rPr>
        <w:t>(</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ИИП</m:t>
            </m:r>
          </m:e>
          <m:sub>
            <m:r>
              <w:rPr>
                <w:rFonts w:ascii="Cambria Math" w:eastAsia="Times New Roman" w:hAnsi="Cambria Math" w:cs="Times New Roman"/>
                <w:sz w:val="28"/>
                <w:szCs w:val="28"/>
                <w:lang w:eastAsia="ru-RU"/>
              </w:rPr>
              <m:t>2</m:t>
            </m:r>
          </m:sub>
        </m:sSub>
      </m:oMath>
      <w:r w:rsidR="00C12659" w:rsidRPr="003A6E5A">
        <w:rPr>
          <w:rFonts w:ascii="Times New Roman" w:hAnsi="Times New Roman" w:cs="Times New Roman"/>
          <w:sz w:val="28"/>
          <w:szCs w:val="28"/>
        </w:rPr>
        <w:t>)</w:t>
      </w:r>
      <w:r w:rsidRPr="003A6E5A">
        <w:rPr>
          <w:rFonts w:ascii="Times New Roman" w:hAnsi="Times New Roman" w:cs="Times New Roman"/>
          <w:sz w:val="28"/>
          <w:szCs w:val="28"/>
        </w:rPr>
        <w:t xml:space="preserve"> </w:t>
      </w:r>
      <w:r w:rsidR="006475D1" w:rsidRPr="003A6E5A">
        <w:rPr>
          <w:rFonts w:ascii="Times New Roman" w:hAnsi="Times New Roman" w:cs="Times New Roman"/>
          <w:sz w:val="28"/>
          <w:szCs w:val="28"/>
        </w:rPr>
        <w:t>–</w:t>
      </w:r>
      <w:r w:rsidRPr="003A6E5A">
        <w:rPr>
          <w:rFonts w:ascii="Times New Roman" w:hAnsi="Times New Roman" w:cs="Times New Roman"/>
          <w:sz w:val="28"/>
          <w:szCs w:val="28"/>
        </w:rPr>
        <w:t xml:space="preserve"> позволило обеспечить сопоставимость оценок и учесть реальную структуру взаимосвязей между показателями.</w:t>
      </w:r>
    </w:p>
    <w:p w14:paraId="6F38652A" w14:textId="301DE2E9" w:rsidR="00BC1F32" w:rsidRPr="003A6E5A" w:rsidRDefault="00BC1F32" w:rsidP="00BC1F32">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Эмпирическая проверка подтвердила высокую диагностическую ценность индексов: в большинстве периодов динамика ИИП согласуется с фактическими изменениями инвестиций в основной капитал. Выявленные расхождения служат важным индикатором воздействия внешних шоков или структурных сдвигов в экономике регионов</w:t>
      </w:r>
      <w:r w:rsidR="006475D1" w:rsidRPr="003A6E5A">
        <w:rPr>
          <w:rFonts w:ascii="Times New Roman" w:hAnsi="Times New Roman" w:cs="Times New Roman"/>
          <w:sz w:val="28"/>
          <w:szCs w:val="28"/>
        </w:rPr>
        <w:t xml:space="preserve"> и страны в целом</w:t>
      </w:r>
      <w:r w:rsidRPr="003A6E5A">
        <w:rPr>
          <w:rFonts w:ascii="Times New Roman" w:hAnsi="Times New Roman" w:cs="Times New Roman"/>
          <w:sz w:val="28"/>
          <w:szCs w:val="28"/>
        </w:rPr>
        <w:t>.</w:t>
      </w:r>
    </w:p>
    <w:p w14:paraId="051CDF89" w14:textId="2BF59124" w:rsidR="00E76614" w:rsidRPr="003A6E5A" w:rsidRDefault="00BC1F32" w:rsidP="00BC1F32">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Статистический анализ выявил значительные территориальные диспропорции: из 16 регионов (14 областей и 2 города республиканского значения) в 11 объема инвестиций статистически значимо отклоняются от среднего по стране уровня. Наиболее существенное отставание зафиксировано в Северо-Казахстанской, Жамбылской и Костанайской областях, тогда как Атырауская область и </w:t>
      </w:r>
      <w:r w:rsidR="003B480B" w:rsidRPr="003A6E5A">
        <w:rPr>
          <w:rFonts w:ascii="Times New Roman" w:hAnsi="Times New Roman" w:cs="Times New Roman"/>
          <w:sz w:val="28"/>
          <w:szCs w:val="28"/>
        </w:rPr>
        <w:t>города Астана,</w:t>
      </w:r>
      <w:r w:rsidRPr="003A6E5A">
        <w:rPr>
          <w:rFonts w:ascii="Times New Roman" w:hAnsi="Times New Roman" w:cs="Times New Roman"/>
          <w:sz w:val="28"/>
          <w:szCs w:val="28"/>
        </w:rPr>
        <w:t xml:space="preserve"> и Алматы демонстрируют значительное превышение средних показателей.</w:t>
      </w:r>
    </w:p>
    <w:p w14:paraId="4E19C6CD" w14:textId="4AE24018" w:rsidR="00C12659" w:rsidRPr="003A6E5A" w:rsidRDefault="00C12659" w:rsidP="00BC1F32">
      <w:pPr>
        <w:spacing w:after="0" w:line="240" w:lineRule="auto"/>
        <w:ind w:firstLine="709"/>
        <w:jc w:val="both"/>
        <w:rPr>
          <w:rFonts w:ascii="Times New Roman" w:hAnsi="Times New Roman" w:cs="Times New Roman"/>
          <w:sz w:val="28"/>
          <w:szCs w:val="28"/>
        </w:rPr>
      </w:pPr>
      <w:r w:rsidRPr="003A6E5A">
        <w:rPr>
          <w:rFonts w:ascii="Times New Roman" w:hAnsi="Times New Roman" w:cs="Times New Roman"/>
          <w:sz w:val="28"/>
          <w:szCs w:val="28"/>
        </w:rPr>
        <w:lastRenderedPageBreak/>
        <w:t>Следовательно, предложенный методический аппарат создает научно обоснованный фундамент для реализации дифференцированного подхода в региональной политике, позволяя осуществлять кластеризацию территорий по инвестиционному потенциалу и разрабатывать целевые меры государственного воздействия, направленные на сокращение межрегиональных разрывов в инвестиционной активности.</w:t>
      </w:r>
    </w:p>
    <w:p w14:paraId="50FB9A00" w14:textId="1FE60486" w:rsidR="00EB1860" w:rsidRPr="003A6E5A" w:rsidRDefault="00EB1860" w:rsidP="001608EA">
      <w:pPr>
        <w:spacing w:after="0" w:line="240" w:lineRule="auto"/>
        <w:jc w:val="both"/>
        <w:rPr>
          <w:rFonts w:ascii="Times New Roman" w:hAnsi="Times New Roman" w:cs="Times New Roman"/>
          <w:sz w:val="28"/>
          <w:szCs w:val="28"/>
        </w:rPr>
      </w:pPr>
    </w:p>
    <w:p w14:paraId="56484F56" w14:textId="77777777" w:rsidR="00861A04" w:rsidRPr="003A6E5A" w:rsidRDefault="00861A04" w:rsidP="001608EA">
      <w:pPr>
        <w:spacing w:after="0" w:line="240" w:lineRule="auto"/>
        <w:jc w:val="both"/>
        <w:rPr>
          <w:rFonts w:ascii="Times New Roman" w:hAnsi="Times New Roman" w:cs="Times New Roman"/>
          <w:sz w:val="28"/>
          <w:szCs w:val="28"/>
        </w:rPr>
      </w:pPr>
    </w:p>
    <w:p w14:paraId="2FADF00B" w14:textId="31133954" w:rsidR="0003217D" w:rsidRPr="003A6E5A" w:rsidRDefault="00FC275D" w:rsidP="00861A04">
      <w:pPr>
        <w:pStyle w:val="ds-markdown-paragraph"/>
        <w:shd w:val="clear" w:color="auto" w:fill="FFFFFF"/>
        <w:spacing w:before="0" w:beforeAutospacing="0" w:after="0" w:afterAutospacing="0"/>
        <w:ind w:firstLine="706"/>
        <w:jc w:val="both"/>
        <w:outlineLvl w:val="1"/>
        <w:rPr>
          <w:b/>
          <w:sz w:val="28"/>
          <w:szCs w:val="28"/>
          <w:lang w:val="kk-KZ"/>
        </w:rPr>
      </w:pPr>
      <w:bookmarkStart w:id="43" w:name="_Toc209538985"/>
      <w:bookmarkStart w:id="44" w:name="_Hlk213168163"/>
      <w:r w:rsidRPr="003A6E5A">
        <w:rPr>
          <w:b/>
          <w:sz w:val="28"/>
          <w:szCs w:val="28"/>
        </w:rPr>
        <w:t>3.</w:t>
      </w:r>
      <w:r w:rsidR="00FC5A0E" w:rsidRPr="003A6E5A">
        <w:rPr>
          <w:b/>
          <w:sz w:val="28"/>
          <w:szCs w:val="28"/>
        </w:rPr>
        <w:t>3</w:t>
      </w:r>
      <w:r w:rsidRPr="003A6E5A">
        <w:rPr>
          <w:b/>
          <w:sz w:val="28"/>
          <w:szCs w:val="28"/>
        </w:rPr>
        <w:t xml:space="preserve"> Приоритеты и механизмы активизации инвестиционно</w:t>
      </w:r>
      <w:r w:rsidRPr="003A6E5A">
        <w:rPr>
          <w:b/>
          <w:sz w:val="28"/>
          <w:szCs w:val="28"/>
          <w:lang w:val="kk-KZ"/>
        </w:rPr>
        <w:t>й привлекательности регионов Казахстана</w:t>
      </w:r>
      <w:bookmarkEnd w:id="43"/>
    </w:p>
    <w:bookmarkEnd w:id="44"/>
    <w:p w14:paraId="3154A9F6" w14:textId="77777777" w:rsidR="00726F24" w:rsidRPr="003A6E5A" w:rsidRDefault="00726F24" w:rsidP="001608EA">
      <w:pPr>
        <w:spacing w:after="0" w:line="240" w:lineRule="auto"/>
        <w:jc w:val="both"/>
        <w:rPr>
          <w:rFonts w:ascii="Times New Roman" w:hAnsi="Times New Roman" w:cs="Times New Roman"/>
          <w:sz w:val="28"/>
          <w:szCs w:val="28"/>
        </w:rPr>
      </w:pPr>
    </w:p>
    <w:p w14:paraId="7EFDAC4B" w14:textId="3C28D316" w:rsidR="00B9136C" w:rsidRPr="003A6E5A" w:rsidRDefault="00B9136C" w:rsidP="00B9136C">
      <w:pPr>
        <w:spacing w:after="0" w:line="240" w:lineRule="auto"/>
        <w:ind w:firstLine="708"/>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Эффективная региональная инвестиционная политика является ключевым условием обеспечения сбалансированного роста и повышения конкурентоспособности Казахстана. Необходимость целенаправленного регулирования в данной сфере обусловлена сохраняющимися территориальными диспропорциями, которые проявляются в неравномерном распределении ресурсного потенциала, инфраструктуры и институциональных возможностей между регионами. В этой связи диссертационное исследование рассматривает региональное инвестиционное стимулирование как многоуровневую системную модель, основанную на согласованных действиях республиканских и региональных институтов. Функциональное единство данной модели обеспечивается двумя стратегически взаимозависимыми подсистемами </w:t>
      </w:r>
      <w:r w:rsidR="00DA3455">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 организационно-институциональной и экономико-регуляторной,</w:t>
      </w:r>
      <w:r w:rsidR="00DA3455">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eastAsia="ru-RU"/>
        </w:rPr>
        <w:t xml:space="preserve"> каждая из которых требует детального анализа с учетом институциональной роли, механизмов функционирования и вклада в обеспечение устойчивого инвестиционного роста.</w:t>
      </w:r>
    </w:p>
    <w:p w14:paraId="19A4709D" w14:textId="10754C52" w:rsidR="004C308E" w:rsidRPr="003A6E5A" w:rsidRDefault="004C308E" w:rsidP="00B9136C">
      <w:pPr>
        <w:spacing w:after="0" w:line="240" w:lineRule="auto"/>
        <w:ind w:firstLine="708"/>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i/>
          <w:iCs/>
          <w:sz w:val="28"/>
          <w:szCs w:val="28"/>
          <w:lang w:val="kk-KZ" w:eastAsia="ru-RU"/>
        </w:rPr>
        <w:t>1. Организационно-институциональная подсистема инвестиционного механизма</w:t>
      </w:r>
    </w:p>
    <w:p w14:paraId="733B1808" w14:textId="1794023B" w:rsidR="004C308E" w:rsidRPr="003A6E5A" w:rsidRDefault="004C308E" w:rsidP="004C308E">
      <w:pPr>
        <w:spacing w:after="0" w:line="240" w:lineRule="auto"/>
        <w:ind w:firstLine="708"/>
        <w:jc w:val="both"/>
        <w:rPr>
          <w:rFonts w:ascii="Times New Roman" w:eastAsia="Times New Roman" w:hAnsi="Times New Roman" w:cs="Times New Roman"/>
          <w:iCs/>
          <w:sz w:val="28"/>
          <w:szCs w:val="28"/>
          <w:lang w:val="kk-KZ" w:eastAsia="ru-RU"/>
        </w:rPr>
      </w:pPr>
      <w:r w:rsidRPr="003A6E5A">
        <w:rPr>
          <w:rFonts w:ascii="Times New Roman" w:eastAsia="Times New Roman" w:hAnsi="Times New Roman" w:cs="Times New Roman"/>
          <w:iCs/>
          <w:sz w:val="28"/>
          <w:szCs w:val="28"/>
          <w:lang w:val="kk-KZ" w:eastAsia="ru-RU"/>
        </w:rPr>
        <w:t xml:space="preserve">Организационно-институциональная подсистема представляет собой институциональный каркас, обеспечивающий нормативно-правовое и стратегическое сопровождение инвестиционной политики. С точки зрения институциональной теории (Д. Норт </w:t>
      </w:r>
      <w:r w:rsidRPr="003A6E5A">
        <w:rPr>
          <w:rFonts w:ascii="Times New Roman" w:eastAsia="SimSun" w:hAnsi="Times New Roman" w:cs="Times New Roman"/>
          <w:sz w:val="28"/>
          <w:szCs w:val="28"/>
        </w:rPr>
        <w:t>[54]</w:t>
      </w:r>
      <w:r w:rsidRPr="003A6E5A">
        <w:rPr>
          <w:rFonts w:ascii="Times New Roman" w:eastAsia="Times New Roman" w:hAnsi="Times New Roman" w:cs="Times New Roman"/>
          <w:iCs/>
          <w:sz w:val="28"/>
          <w:szCs w:val="28"/>
          <w:lang w:val="kk-KZ" w:eastAsia="ru-RU"/>
        </w:rPr>
        <w:t>), её ключевая функция – формирование стабильных «правил игры», которые минимизируют трансакционные издержки инвесторов и создают предсказуемые стимулы для инвестиционной деятельности. Практически это реализуется через координацию действий республиканских, отраслевых и региональных субъектов.</w:t>
      </w:r>
    </w:p>
    <w:p w14:paraId="009A80CF" w14:textId="27513374" w:rsidR="0003217D" w:rsidRPr="003A6E5A" w:rsidRDefault="004C308E" w:rsidP="00B9136C">
      <w:pPr>
        <w:spacing w:after="0" w:line="240" w:lineRule="auto"/>
        <w:ind w:firstLine="708"/>
        <w:jc w:val="both"/>
        <w:rPr>
          <w:rFonts w:ascii="Times New Roman" w:eastAsia="SimSun" w:hAnsi="Times New Roman" w:cs="Times New Roman"/>
          <w:sz w:val="28"/>
          <w:szCs w:val="28"/>
        </w:rPr>
      </w:pPr>
      <w:r w:rsidRPr="003A6E5A">
        <w:rPr>
          <w:rFonts w:ascii="Times New Roman" w:eastAsia="Times New Roman" w:hAnsi="Times New Roman" w:cs="Times New Roman"/>
          <w:iCs/>
          <w:sz w:val="28"/>
          <w:szCs w:val="28"/>
          <w:lang w:val="kk-KZ" w:eastAsia="ru-RU"/>
        </w:rPr>
        <w:t xml:space="preserve">В Казахстане данный каркас формализован в Концепции инвестиционной политики до 2029 года, где внедрена многоуровневая система управления (см. Схему 1). Теоретически она представляет собой модель вертикально интегрированного управления, где каждый уровень решает конкретные задачи для достижения общей цели </w:t>
      </w:r>
      <w:r w:rsidR="00913FAE" w:rsidRPr="003A6E5A">
        <w:rPr>
          <w:rFonts w:ascii="Times New Roman" w:eastAsia="Times New Roman" w:hAnsi="Times New Roman" w:cs="Times New Roman"/>
          <w:iCs/>
          <w:sz w:val="28"/>
          <w:szCs w:val="28"/>
          <w:lang w:val="kk-KZ" w:eastAsia="ru-RU"/>
        </w:rPr>
        <w:t>–</w:t>
      </w:r>
      <w:r w:rsidRPr="003A6E5A">
        <w:rPr>
          <w:rFonts w:ascii="Times New Roman" w:eastAsia="Times New Roman" w:hAnsi="Times New Roman" w:cs="Times New Roman"/>
          <w:iCs/>
          <w:sz w:val="28"/>
          <w:szCs w:val="28"/>
          <w:lang w:val="kk-KZ" w:eastAsia="ru-RU"/>
        </w:rPr>
        <w:t xml:space="preserve"> повышения инвестиционной привлекательности страны.</w:t>
      </w:r>
      <w:r w:rsidR="00B9136C" w:rsidRPr="003A6E5A">
        <w:rPr>
          <w:rFonts w:ascii="Times New Roman" w:eastAsia="Times New Roman" w:hAnsi="Times New Roman" w:cs="Times New Roman"/>
          <w:iCs/>
          <w:sz w:val="28"/>
          <w:szCs w:val="28"/>
          <w:lang w:val="kk-KZ" w:eastAsia="ru-RU"/>
        </w:rPr>
        <w:t xml:space="preserve"> </w:t>
      </w:r>
      <w:r w:rsidR="00B9136C" w:rsidRPr="003A6E5A">
        <w:rPr>
          <w:rFonts w:ascii="Times New Roman" w:eastAsia="SimSun" w:hAnsi="Times New Roman" w:cs="Times New Roman"/>
          <w:sz w:val="28"/>
          <w:szCs w:val="28"/>
        </w:rPr>
        <w:t>Несмотря на продуманность предложенной архитектуры согласно схеме 1, эмпирический анализ выявляет существенный разрыв между формальным закреплением структуры и её практической эффективностью.</w:t>
      </w:r>
    </w:p>
    <w:p w14:paraId="7239D585" w14:textId="77777777" w:rsidR="00B9136C" w:rsidRPr="003A6E5A" w:rsidRDefault="00B9136C" w:rsidP="001608EA">
      <w:pPr>
        <w:spacing w:after="0" w:line="240" w:lineRule="auto"/>
        <w:jc w:val="both"/>
        <w:rPr>
          <w:rFonts w:ascii="Times New Roman" w:eastAsia="Times New Roman" w:hAnsi="Times New Roman" w:cs="Times New Roman"/>
          <w:sz w:val="28"/>
          <w:szCs w:val="28"/>
          <w:lang w:val="kk-KZ" w:eastAsia="ru-RU"/>
        </w:rPr>
      </w:pPr>
    </w:p>
    <w:p w14:paraId="424C36F4" w14:textId="77777777" w:rsidR="0003217D" w:rsidRPr="003A6E5A" w:rsidRDefault="00FC275D" w:rsidP="001608EA">
      <w:pPr>
        <w:spacing w:after="0" w:line="240" w:lineRule="auto"/>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noProof/>
          <w:sz w:val="28"/>
          <w:szCs w:val="28"/>
          <w:lang w:val="kk-KZ" w:eastAsia="ru-RU"/>
        </w:rPr>
        <w:drawing>
          <wp:anchor distT="0" distB="0" distL="114300" distR="114300" simplePos="0" relativeHeight="251659264" behindDoc="0" locked="0" layoutInCell="1" allowOverlap="1" wp14:anchorId="42C17C1F" wp14:editId="681E331F">
            <wp:simplePos x="0" y="0"/>
            <wp:positionH relativeFrom="margin">
              <wp:posOffset>-288290</wp:posOffset>
            </wp:positionH>
            <wp:positionV relativeFrom="paragraph">
              <wp:posOffset>374812</wp:posOffset>
            </wp:positionV>
            <wp:extent cx="6543675" cy="4752975"/>
            <wp:effectExtent l="0" t="0" r="952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543675" cy="4752975"/>
                    </a:xfrm>
                    <a:prstGeom prst="rect">
                      <a:avLst/>
                    </a:prstGeom>
                    <a:noFill/>
                    <a:ln>
                      <a:noFill/>
                    </a:ln>
                  </pic:spPr>
                </pic:pic>
              </a:graphicData>
            </a:graphic>
          </wp:anchor>
        </w:drawing>
      </w:r>
      <w:r w:rsidRPr="003A6E5A">
        <w:rPr>
          <w:rFonts w:ascii="Times New Roman" w:eastAsia="Times New Roman" w:hAnsi="Times New Roman" w:cs="Times New Roman"/>
          <w:sz w:val="28"/>
          <w:szCs w:val="28"/>
          <w:lang w:val="kk-KZ" w:eastAsia="ru-RU"/>
        </w:rPr>
        <w:t>Схема 1. Субъекты инвестиционной политики по уровням управления и их функциональные обязанности</w:t>
      </w:r>
    </w:p>
    <w:p w14:paraId="00E4F980"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6B444DAF"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36651688"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5F1E2A42"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2348116D"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1ED14835"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5DCBE947"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72C12254"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764EF30A"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4DCEB0A8"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0D5BF7C6"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1C3D1922"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6EF9FBA6"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07380865"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0BA6AC30"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14286856"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6D3755E0"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7EE659C6"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660EF43E"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66BCDD57"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7684453E"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4B615847"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70848643" w14:textId="77777777" w:rsidR="0003217D" w:rsidRPr="003A6E5A" w:rsidRDefault="0003217D" w:rsidP="001608EA">
      <w:pPr>
        <w:spacing w:after="0" w:line="240" w:lineRule="auto"/>
        <w:jc w:val="both"/>
        <w:rPr>
          <w:rFonts w:ascii="Times New Roman" w:eastAsia="Times New Roman" w:hAnsi="Times New Roman" w:cs="Times New Roman"/>
          <w:sz w:val="28"/>
          <w:szCs w:val="28"/>
          <w:lang w:val="kk-KZ" w:eastAsia="ru-RU"/>
        </w:rPr>
      </w:pPr>
    </w:p>
    <w:p w14:paraId="271FBCD1" w14:textId="06E7ADE8" w:rsidR="0003217D" w:rsidRPr="003A6E5A" w:rsidRDefault="00FC275D" w:rsidP="001608EA">
      <w:pPr>
        <w:spacing w:after="0" w:line="240" w:lineRule="auto"/>
        <w:jc w:val="both"/>
        <w:rPr>
          <w:rFonts w:ascii="Times New Roman" w:eastAsia="Times New Roman" w:hAnsi="Times New Roman" w:cs="Times New Roman"/>
          <w:sz w:val="20"/>
          <w:szCs w:val="20"/>
          <w:lang w:eastAsia="ru-RU"/>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w:t>
      </w:r>
      <w:r w:rsidR="00EB1860" w:rsidRPr="003A6E5A">
        <w:rPr>
          <w:rFonts w:ascii="Times New Roman" w:hAnsi="Times New Roman" w:cs="Times New Roman"/>
          <w:sz w:val="20"/>
          <w:szCs w:val="20"/>
          <w:lang w:val="kk-KZ"/>
        </w:rPr>
        <w:t>оставлено</w:t>
      </w:r>
      <w:r w:rsidRPr="003A6E5A">
        <w:rPr>
          <w:rFonts w:ascii="Times New Roman" w:hAnsi="Times New Roman" w:cs="Times New Roman"/>
          <w:sz w:val="20"/>
          <w:szCs w:val="20"/>
        </w:rPr>
        <w:t xml:space="preserve"> автором</w:t>
      </w:r>
      <w:r w:rsidR="004C4949" w:rsidRPr="003A6E5A">
        <w:rPr>
          <w:rFonts w:ascii="Times New Roman" w:hAnsi="Times New Roman" w:cs="Times New Roman"/>
          <w:sz w:val="20"/>
          <w:szCs w:val="20"/>
        </w:rPr>
        <w:t xml:space="preserve"> исследования</w:t>
      </w:r>
      <w:r w:rsidRPr="003A6E5A">
        <w:rPr>
          <w:rFonts w:ascii="Times New Roman" w:hAnsi="Times New Roman" w:cs="Times New Roman"/>
          <w:sz w:val="20"/>
          <w:szCs w:val="20"/>
        </w:rPr>
        <w:t xml:space="preserve"> на основе данных Концепции инвестиционной политики Р</w:t>
      </w:r>
      <w:r w:rsidRPr="003A6E5A">
        <w:rPr>
          <w:rFonts w:ascii="Times New Roman" w:hAnsi="Times New Roman" w:cs="Times New Roman"/>
          <w:sz w:val="20"/>
          <w:szCs w:val="20"/>
          <w:lang w:val="kk-KZ"/>
        </w:rPr>
        <w:t>К</w:t>
      </w:r>
      <w:r w:rsidRPr="003A6E5A">
        <w:rPr>
          <w:rFonts w:ascii="Times New Roman" w:hAnsi="Times New Roman" w:cs="Times New Roman"/>
          <w:sz w:val="20"/>
          <w:szCs w:val="20"/>
        </w:rPr>
        <w:t xml:space="preserve"> до 2029 года</w:t>
      </w:r>
      <w:r w:rsidR="00F30397" w:rsidRPr="003A6E5A">
        <w:rPr>
          <w:rFonts w:ascii="Times New Roman" w:hAnsi="Times New Roman" w:cs="Times New Roman"/>
          <w:sz w:val="20"/>
          <w:szCs w:val="20"/>
        </w:rPr>
        <w:t xml:space="preserve"> [41]</w:t>
      </w:r>
      <w:r w:rsidR="00EB1860" w:rsidRPr="003A6E5A">
        <w:rPr>
          <w:rFonts w:ascii="Times New Roman" w:hAnsi="Times New Roman" w:cs="Times New Roman"/>
          <w:sz w:val="20"/>
          <w:szCs w:val="20"/>
        </w:rPr>
        <w:t>.</w:t>
      </w:r>
    </w:p>
    <w:p w14:paraId="079B56CD" w14:textId="77777777" w:rsidR="0003217D" w:rsidRPr="003A6E5A" w:rsidRDefault="0003217D" w:rsidP="00D3208F">
      <w:pPr>
        <w:spacing w:after="0" w:line="240" w:lineRule="auto"/>
        <w:ind w:firstLine="709"/>
        <w:jc w:val="both"/>
        <w:rPr>
          <w:rFonts w:ascii="Times New Roman" w:eastAsia="Times New Roman" w:hAnsi="Times New Roman" w:cs="Times New Roman"/>
          <w:sz w:val="28"/>
          <w:szCs w:val="28"/>
          <w:lang w:val="kk-KZ" w:eastAsia="ru-RU"/>
        </w:rPr>
      </w:pPr>
    </w:p>
    <w:p w14:paraId="585A0BA5" w14:textId="0E08E71F" w:rsidR="00D3208F" w:rsidRPr="003A6E5A" w:rsidRDefault="00913FAE" w:rsidP="00B9136C">
      <w:pPr>
        <w:pStyle w:val="ds-markdown-paragraph"/>
        <w:spacing w:before="0" w:beforeAutospacing="0" w:after="0" w:afterAutospacing="0"/>
        <w:jc w:val="both"/>
        <w:rPr>
          <w:rFonts w:eastAsia="SimSun"/>
          <w:sz w:val="28"/>
          <w:szCs w:val="28"/>
          <w:lang w:eastAsia="en-US"/>
        </w:rPr>
      </w:pPr>
      <w:r w:rsidRPr="003A6E5A">
        <w:rPr>
          <w:rFonts w:eastAsia="SimSun"/>
          <w:sz w:val="28"/>
          <w:szCs w:val="28"/>
          <w:lang w:eastAsia="en-US"/>
        </w:rPr>
        <w:t>Как обоснованно отмечают Браун и Саппингтон [154], результативность вертикальной модели управления</w:t>
      </w:r>
      <w:r w:rsidR="00D3208F" w:rsidRPr="003A6E5A">
        <w:rPr>
          <w:rFonts w:eastAsia="SimSun"/>
          <w:sz w:val="28"/>
          <w:szCs w:val="28"/>
          <w:lang w:eastAsia="en-US"/>
        </w:rPr>
        <w:t xml:space="preserve"> напрямую зависит от четкой иерархии и гибких координационных механизмов. В противном случае возникает риск дублирования функций, несогласованности действий и замедления принятия решений.</w:t>
      </w:r>
      <w:r w:rsidRPr="003A6E5A">
        <w:rPr>
          <w:rFonts w:eastAsia="SimSun"/>
          <w:sz w:val="28"/>
          <w:szCs w:val="28"/>
          <w:lang w:eastAsia="en-US"/>
        </w:rPr>
        <w:t xml:space="preserve"> </w:t>
      </w:r>
      <w:r w:rsidR="00D3208F" w:rsidRPr="003A6E5A">
        <w:rPr>
          <w:rFonts w:eastAsia="SimSun"/>
          <w:sz w:val="28"/>
          <w:szCs w:val="28"/>
          <w:lang w:eastAsia="en-US"/>
        </w:rPr>
        <w:t xml:space="preserve">Для казахстанской практики эти риски особенно актуальны. </w:t>
      </w:r>
      <w:r w:rsidRPr="003A6E5A">
        <w:rPr>
          <w:rFonts w:eastAsia="SimSun"/>
          <w:sz w:val="28"/>
          <w:szCs w:val="28"/>
          <w:lang w:eastAsia="en-US"/>
        </w:rPr>
        <w:t>Так, в</w:t>
      </w:r>
      <w:r w:rsidR="00D3208F" w:rsidRPr="003A6E5A">
        <w:rPr>
          <w:rFonts w:eastAsia="SimSun"/>
          <w:sz w:val="28"/>
          <w:szCs w:val="28"/>
          <w:lang w:eastAsia="en-US"/>
        </w:rPr>
        <w:t xml:space="preserve"> самой Концепции констатируется отсутствие четкой регламентации полномочий между субъектами инвестиционного процесса. С позиции институциональной теории, подобная «размытость» формальных правил и механизмов их принуждения представляет собой классический пример неэффективного института [54], что проявляется в:</w:t>
      </w:r>
    </w:p>
    <w:p w14:paraId="1D126AB0" w14:textId="2BD8C268" w:rsidR="00D3208F" w:rsidRPr="003A6E5A" w:rsidRDefault="00D3208F" w:rsidP="00D3208F">
      <w:pPr>
        <w:pStyle w:val="ds-markdown-paragraph"/>
        <w:spacing w:before="0" w:beforeAutospacing="0" w:after="0" w:afterAutospacing="0"/>
        <w:ind w:firstLine="709"/>
        <w:jc w:val="both"/>
        <w:rPr>
          <w:rFonts w:eastAsia="SimSun"/>
          <w:sz w:val="28"/>
          <w:szCs w:val="28"/>
          <w:lang w:eastAsia="en-US"/>
        </w:rPr>
      </w:pPr>
      <w:r w:rsidRPr="003A6E5A">
        <w:rPr>
          <w:rFonts w:eastAsia="SimSun"/>
          <w:sz w:val="28"/>
          <w:szCs w:val="28"/>
          <w:lang w:eastAsia="en-US"/>
        </w:rPr>
        <w:t>– дублировании функций и фрагментарности сопровождения проектов;</w:t>
      </w:r>
    </w:p>
    <w:p w14:paraId="49223ACC" w14:textId="35A6DCBC" w:rsidR="00D3208F" w:rsidRPr="003A6E5A" w:rsidRDefault="00D3208F" w:rsidP="00D3208F">
      <w:pPr>
        <w:pStyle w:val="ds-markdown-paragraph"/>
        <w:spacing w:before="0" w:beforeAutospacing="0" w:after="0" w:afterAutospacing="0"/>
        <w:ind w:firstLine="709"/>
        <w:jc w:val="both"/>
        <w:rPr>
          <w:rFonts w:eastAsia="SimSun"/>
          <w:sz w:val="28"/>
          <w:szCs w:val="28"/>
          <w:lang w:eastAsia="en-US"/>
        </w:rPr>
      </w:pPr>
      <w:r w:rsidRPr="003A6E5A">
        <w:rPr>
          <w:rFonts w:eastAsia="SimSun"/>
          <w:sz w:val="28"/>
          <w:szCs w:val="28"/>
          <w:lang w:eastAsia="en-US"/>
        </w:rPr>
        <w:t>– росте административных барьеров;</w:t>
      </w:r>
    </w:p>
    <w:p w14:paraId="62F7E008" w14:textId="5D6EE0AD" w:rsidR="00D3208F" w:rsidRPr="003A6E5A" w:rsidRDefault="00D3208F" w:rsidP="00D3208F">
      <w:pPr>
        <w:pStyle w:val="ds-markdown-paragraph"/>
        <w:spacing w:before="0" w:beforeAutospacing="0" w:after="0" w:afterAutospacing="0"/>
        <w:ind w:firstLine="709"/>
        <w:jc w:val="both"/>
        <w:rPr>
          <w:rFonts w:eastAsia="SimSun"/>
          <w:sz w:val="28"/>
          <w:szCs w:val="28"/>
          <w:lang w:eastAsia="en-US"/>
        </w:rPr>
      </w:pPr>
      <w:r w:rsidRPr="003A6E5A">
        <w:rPr>
          <w:rFonts w:eastAsia="SimSun"/>
          <w:sz w:val="28"/>
          <w:szCs w:val="28"/>
          <w:lang w:eastAsia="en-US"/>
        </w:rPr>
        <w:t>– резком увеличении трансакционных издержек для инвесторов.</w:t>
      </w:r>
    </w:p>
    <w:p w14:paraId="569AC70A" w14:textId="77777777" w:rsidR="00913FAE" w:rsidRPr="003A6E5A" w:rsidRDefault="00913FAE" w:rsidP="00913FAE">
      <w:pPr>
        <w:pStyle w:val="ds-markdown-paragraph"/>
        <w:spacing w:before="0" w:beforeAutospacing="0" w:after="0" w:afterAutospacing="0"/>
        <w:ind w:firstLine="709"/>
        <w:jc w:val="both"/>
        <w:rPr>
          <w:rFonts w:eastAsia="SimSun"/>
          <w:sz w:val="28"/>
          <w:szCs w:val="28"/>
          <w:lang w:eastAsia="en-US"/>
        </w:rPr>
      </w:pPr>
      <w:r w:rsidRPr="003A6E5A">
        <w:rPr>
          <w:rFonts w:eastAsia="SimSun"/>
          <w:sz w:val="28"/>
          <w:szCs w:val="28"/>
          <w:lang w:eastAsia="en-US"/>
        </w:rPr>
        <w:t xml:space="preserve">Таким образом, выявленные институциональные несогласованности являются не операционными сбоями, а системным дефектом институциональной среды, проявляющимся в высокой стоимости транзакций и </w:t>
      </w:r>
      <w:r w:rsidRPr="003A6E5A">
        <w:rPr>
          <w:rFonts w:eastAsia="SimSun"/>
          <w:sz w:val="28"/>
          <w:szCs w:val="28"/>
          <w:lang w:eastAsia="en-US"/>
        </w:rPr>
        <w:lastRenderedPageBreak/>
        <w:t>отсутствии действенных стимулов для инвестиционной активности. Предлагаемая трансформация организационной парадигмы предполагает переход от иерархической к сетевой модели управления, характеризующейся синхронизацией стратегических целей между уровнями власти, цифровизацией управленческих процессов, внедрением четких регламентов разграничения полномочий и разработкой скоординированных механизмов формирования предсказуемой институциональной среды. Следовательно, такой подход соответствует концепции адаптивно-эффективных институтов Д. Норта и создает необходимые предпосылки для формирования целостной инвестиционной экосистемы, способной гибко реагировать на вызовы современной экономики.</w:t>
      </w:r>
    </w:p>
    <w:p w14:paraId="26875C78" w14:textId="75624916" w:rsidR="00981268" w:rsidRPr="003A6E5A" w:rsidRDefault="00FC275D" w:rsidP="00913FAE">
      <w:pPr>
        <w:pStyle w:val="ds-markdown-paragraph"/>
        <w:spacing w:before="0" w:beforeAutospacing="0" w:after="0" w:afterAutospacing="0"/>
        <w:ind w:firstLine="709"/>
        <w:jc w:val="both"/>
        <w:rPr>
          <w:rFonts w:eastAsia="SimSun"/>
          <w:sz w:val="28"/>
          <w:szCs w:val="28"/>
          <w:lang w:eastAsia="en-US"/>
        </w:rPr>
      </w:pPr>
      <w:r w:rsidRPr="003A6E5A">
        <w:rPr>
          <w:i/>
          <w:iCs/>
          <w:sz w:val="28"/>
          <w:szCs w:val="28"/>
          <w:lang w:val="kk-KZ"/>
        </w:rPr>
        <w:t>2.</w:t>
      </w:r>
      <w:r w:rsidRPr="003A6E5A">
        <w:rPr>
          <w:b/>
          <w:i/>
          <w:iCs/>
          <w:sz w:val="28"/>
          <w:szCs w:val="28"/>
          <w:lang w:val="kk-KZ"/>
        </w:rPr>
        <w:t xml:space="preserve"> </w:t>
      </w:r>
      <w:r w:rsidR="00981268" w:rsidRPr="003A6E5A">
        <w:rPr>
          <w:rStyle w:val="ab"/>
          <w:b w:val="0"/>
          <w:i/>
          <w:sz w:val="28"/>
          <w:szCs w:val="28"/>
        </w:rPr>
        <w:t>Экономико-регуляторная подсистема инвестиционного механизма</w:t>
      </w:r>
    </w:p>
    <w:p w14:paraId="7B9BBD2C" w14:textId="77777777" w:rsidR="00913FAE" w:rsidRPr="003A6E5A" w:rsidRDefault="00913FAE" w:rsidP="00913FA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Экономико-регуляторная подсистема представляет собой совокупность инструментов прямого и косвенного воздействия, нацеленных на стимулирование инвестиционной активности посредством создания благоприятной макро- и мезоэкономической среды. В структуру данной подсистемы входят меры налогово-бюджетного характера (налоговые преференции, субсидирование, компенсация расходов), институционально-финансовые инструменты (обеспечение доступа к финансированию, страхование), а также программные механизмы, реализуемые через создание специальных экономических зон, кластеров и развитие государственно-частного партнёрства.</w:t>
      </w:r>
    </w:p>
    <w:p w14:paraId="3A197EE5" w14:textId="6CB7124D" w:rsidR="00913FAE" w:rsidRPr="003A6E5A" w:rsidRDefault="00913FAE" w:rsidP="00913FAE">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Для системной оценки эффективности данного инструментария анализ действующей Концепции инвестиционной политики Республики Казахстан до 2029 года [41] показывает разработку комплекса стратегических мер, направленных на целенаправленное усиление каждого из детерминантов конкурентного «ромба» М. Портера [51]:</w:t>
      </w:r>
    </w:p>
    <w:p w14:paraId="130A59B8" w14:textId="427FC0F0" w:rsidR="002065C2" w:rsidRPr="003A6E5A" w:rsidRDefault="00913FAE" w:rsidP="00913FAE">
      <w:pPr>
        <w:spacing w:after="0" w:line="240" w:lineRule="auto"/>
        <w:ind w:firstLine="709"/>
        <w:jc w:val="both"/>
        <w:rPr>
          <w:rStyle w:val="ab"/>
          <w:rFonts w:ascii="Times New Roman" w:eastAsia="Times New Roman" w:hAnsi="Times New Roman" w:cs="Times New Roman"/>
          <w:b w:val="0"/>
          <w:sz w:val="28"/>
          <w:szCs w:val="28"/>
          <w:lang w:eastAsia="ru-RU"/>
        </w:rPr>
      </w:pPr>
      <w:r w:rsidRPr="003A6E5A">
        <w:rPr>
          <w:rFonts w:eastAsia="SimSun"/>
          <w:sz w:val="28"/>
          <w:szCs w:val="28"/>
        </w:rPr>
        <w:t xml:space="preserve">– </w:t>
      </w:r>
      <w:r w:rsidRPr="003A6E5A">
        <w:rPr>
          <w:rStyle w:val="ab"/>
          <w:rFonts w:ascii="Times New Roman" w:eastAsia="Times New Roman" w:hAnsi="Times New Roman" w:cs="Times New Roman"/>
          <w:b w:val="0"/>
          <w:sz w:val="28"/>
          <w:szCs w:val="28"/>
          <w:lang w:eastAsia="ru-RU"/>
        </w:rPr>
        <w:t>в</w:t>
      </w:r>
      <w:r w:rsidR="002065C2" w:rsidRPr="003A6E5A">
        <w:rPr>
          <w:rStyle w:val="ab"/>
          <w:rFonts w:ascii="Times New Roman" w:eastAsia="Times New Roman" w:hAnsi="Times New Roman" w:cs="Times New Roman"/>
          <w:b w:val="0"/>
          <w:sz w:val="28"/>
          <w:szCs w:val="28"/>
          <w:lang w:eastAsia="ru-RU"/>
        </w:rPr>
        <w:t xml:space="preserve"> сфере факторов производства – создание инфраструктурных и кадровых условий для «приземления» инвестора через региональные инвестиционные программы и развитие человеческого капитала</w:t>
      </w:r>
      <w:r w:rsidRPr="003A6E5A">
        <w:rPr>
          <w:rStyle w:val="ab"/>
          <w:rFonts w:ascii="Times New Roman" w:eastAsia="Times New Roman" w:hAnsi="Times New Roman" w:cs="Times New Roman"/>
          <w:b w:val="0"/>
          <w:sz w:val="28"/>
          <w:szCs w:val="28"/>
          <w:lang w:eastAsia="ru-RU"/>
        </w:rPr>
        <w:t>;</w:t>
      </w:r>
    </w:p>
    <w:p w14:paraId="7240DB75" w14:textId="407B2D7F" w:rsidR="002065C2" w:rsidRPr="003A6E5A" w:rsidRDefault="00913FAE" w:rsidP="00913FAE">
      <w:pPr>
        <w:spacing w:after="0" w:line="240" w:lineRule="auto"/>
        <w:ind w:firstLine="709"/>
        <w:jc w:val="both"/>
        <w:rPr>
          <w:rStyle w:val="ab"/>
          <w:rFonts w:ascii="Times New Roman" w:eastAsia="Times New Roman" w:hAnsi="Times New Roman" w:cs="Times New Roman"/>
          <w:b w:val="0"/>
          <w:sz w:val="28"/>
          <w:szCs w:val="28"/>
          <w:lang w:eastAsia="ru-RU"/>
        </w:rPr>
      </w:pPr>
      <w:r w:rsidRPr="003A6E5A">
        <w:rPr>
          <w:rFonts w:eastAsia="SimSun"/>
          <w:sz w:val="28"/>
          <w:szCs w:val="28"/>
        </w:rPr>
        <w:t xml:space="preserve">– </w:t>
      </w:r>
      <w:r w:rsidRPr="003A6E5A">
        <w:rPr>
          <w:rStyle w:val="ab"/>
          <w:rFonts w:ascii="Times New Roman" w:eastAsia="Times New Roman" w:hAnsi="Times New Roman" w:cs="Times New Roman"/>
          <w:b w:val="0"/>
          <w:sz w:val="28"/>
          <w:szCs w:val="28"/>
          <w:lang w:eastAsia="ru-RU"/>
        </w:rPr>
        <w:t>д</w:t>
      </w:r>
      <w:r w:rsidR="002065C2" w:rsidRPr="003A6E5A">
        <w:rPr>
          <w:rStyle w:val="ab"/>
          <w:rFonts w:ascii="Times New Roman" w:eastAsia="Times New Roman" w:hAnsi="Times New Roman" w:cs="Times New Roman"/>
          <w:b w:val="0"/>
          <w:sz w:val="28"/>
          <w:szCs w:val="28"/>
          <w:lang w:eastAsia="ru-RU"/>
        </w:rPr>
        <w:t>ля улучшения условий спроса – усиление ориентации на качественные показатели «приземления» инвесторов, что отражает растущую требовательность внутреннего рынка</w:t>
      </w:r>
      <w:r w:rsidRPr="003A6E5A">
        <w:rPr>
          <w:rStyle w:val="ab"/>
          <w:rFonts w:ascii="Times New Roman" w:eastAsia="Times New Roman" w:hAnsi="Times New Roman" w:cs="Times New Roman"/>
          <w:b w:val="0"/>
          <w:sz w:val="28"/>
          <w:szCs w:val="28"/>
          <w:lang w:eastAsia="ru-RU"/>
        </w:rPr>
        <w:t>;</w:t>
      </w:r>
    </w:p>
    <w:p w14:paraId="7652ABCB" w14:textId="70DC6645" w:rsidR="002065C2" w:rsidRPr="003A6E5A" w:rsidRDefault="00913FAE" w:rsidP="002065C2">
      <w:pPr>
        <w:spacing w:after="0" w:line="240" w:lineRule="auto"/>
        <w:ind w:firstLine="709"/>
        <w:jc w:val="both"/>
        <w:rPr>
          <w:rStyle w:val="ab"/>
          <w:rFonts w:ascii="Times New Roman" w:eastAsia="Times New Roman" w:hAnsi="Times New Roman" w:cs="Times New Roman"/>
          <w:b w:val="0"/>
          <w:sz w:val="28"/>
          <w:szCs w:val="28"/>
          <w:lang w:eastAsia="ru-RU"/>
        </w:rPr>
      </w:pPr>
      <w:r w:rsidRPr="003A6E5A">
        <w:rPr>
          <w:rFonts w:eastAsia="SimSun"/>
          <w:sz w:val="28"/>
          <w:szCs w:val="28"/>
        </w:rPr>
        <w:t xml:space="preserve">– </w:t>
      </w:r>
      <w:r w:rsidRPr="003A6E5A">
        <w:rPr>
          <w:rStyle w:val="ab"/>
          <w:rFonts w:ascii="Times New Roman" w:eastAsia="Times New Roman" w:hAnsi="Times New Roman" w:cs="Times New Roman"/>
          <w:b w:val="0"/>
          <w:sz w:val="28"/>
          <w:szCs w:val="28"/>
          <w:lang w:eastAsia="ru-RU"/>
        </w:rPr>
        <w:t>в</w:t>
      </w:r>
      <w:r w:rsidR="002065C2" w:rsidRPr="003A6E5A">
        <w:rPr>
          <w:rStyle w:val="ab"/>
          <w:rFonts w:ascii="Times New Roman" w:eastAsia="Times New Roman" w:hAnsi="Times New Roman" w:cs="Times New Roman"/>
          <w:b w:val="0"/>
          <w:sz w:val="28"/>
          <w:szCs w:val="28"/>
          <w:lang w:eastAsia="ru-RU"/>
        </w:rPr>
        <w:t xml:space="preserve"> области родственных и поддерживающих отраслей – внедрение отраслевого и регионального подхода к привлечению инвестиций, направленного на формирование кластеров.</w:t>
      </w:r>
    </w:p>
    <w:p w14:paraId="70F4B2F4" w14:textId="50B2EFE4" w:rsidR="002065C2" w:rsidRPr="003A6E5A" w:rsidRDefault="00913FAE" w:rsidP="002065C2">
      <w:pPr>
        <w:spacing w:after="0" w:line="240" w:lineRule="auto"/>
        <w:ind w:firstLine="709"/>
        <w:jc w:val="both"/>
        <w:rPr>
          <w:rStyle w:val="ab"/>
          <w:rFonts w:ascii="Times New Roman" w:eastAsia="Times New Roman" w:hAnsi="Times New Roman" w:cs="Times New Roman"/>
          <w:b w:val="0"/>
          <w:sz w:val="28"/>
          <w:szCs w:val="28"/>
          <w:lang w:eastAsia="ru-RU"/>
        </w:rPr>
      </w:pPr>
      <w:r w:rsidRPr="003A6E5A">
        <w:rPr>
          <w:rFonts w:eastAsia="SimSun"/>
          <w:sz w:val="28"/>
          <w:szCs w:val="28"/>
        </w:rPr>
        <w:t>–</w:t>
      </w:r>
      <w:r w:rsidR="002065C2" w:rsidRPr="003A6E5A">
        <w:rPr>
          <w:rStyle w:val="ab"/>
          <w:rFonts w:ascii="Times New Roman" w:eastAsia="Times New Roman" w:hAnsi="Times New Roman" w:cs="Times New Roman"/>
          <w:b w:val="0"/>
          <w:sz w:val="28"/>
          <w:szCs w:val="28"/>
          <w:lang w:eastAsia="ru-RU"/>
        </w:rPr>
        <w:t xml:space="preserve"> </w:t>
      </w:r>
      <w:r w:rsidRPr="003A6E5A">
        <w:rPr>
          <w:rStyle w:val="ab"/>
          <w:rFonts w:ascii="Times New Roman" w:eastAsia="Times New Roman" w:hAnsi="Times New Roman" w:cs="Times New Roman"/>
          <w:b w:val="0"/>
          <w:sz w:val="28"/>
          <w:szCs w:val="28"/>
          <w:lang w:eastAsia="ru-RU"/>
        </w:rPr>
        <w:t xml:space="preserve">в </w:t>
      </w:r>
      <w:r w:rsidR="002065C2" w:rsidRPr="003A6E5A">
        <w:rPr>
          <w:rStyle w:val="ab"/>
          <w:rFonts w:ascii="Times New Roman" w:eastAsia="Times New Roman" w:hAnsi="Times New Roman" w:cs="Times New Roman"/>
          <w:b w:val="0"/>
          <w:sz w:val="28"/>
          <w:szCs w:val="28"/>
          <w:lang w:eastAsia="ru-RU"/>
        </w:rPr>
        <w:t>контексте стратегии и конкуренции – институционализация региональных инвестиционных штабов как платформ для усиления кооперации и конкурентной динамики.</w:t>
      </w:r>
    </w:p>
    <w:p w14:paraId="7C466BBA" w14:textId="77777777" w:rsidR="002065C2" w:rsidRPr="003A6E5A" w:rsidRDefault="002065C2" w:rsidP="002065C2">
      <w:pPr>
        <w:spacing w:after="0" w:line="240" w:lineRule="auto"/>
        <w:ind w:firstLine="709"/>
        <w:jc w:val="both"/>
        <w:rPr>
          <w:rStyle w:val="ab"/>
          <w:rFonts w:ascii="Times New Roman" w:eastAsia="Times New Roman" w:hAnsi="Times New Roman" w:cs="Times New Roman"/>
          <w:b w:val="0"/>
          <w:sz w:val="28"/>
          <w:szCs w:val="28"/>
          <w:lang w:eastAsia="ru-RU"/>
        </w:rPr>
      </w:pPr>
      <w:r w:rsidRPr="003A6E5A">
        <w:rPr>
          <w:rStyle w:val="ab"/>
          <w:rFonts w:ascii="Times New Roman" w:eastAsia="Times New Roman" w:hAnsi="Times New Roman" w:cs="Times New Roman"/>
          <w:b w:val="0"/>
          <w:sz w:val="28"/>
          <w:szCs w:val="28"/>
          <w:lang w:eastAsia="ru-RU"/>
        </w:rPr>
        <w:t xml:space="preserve">Ключевым достижением Концепции является синергетический подход, при котором меры, направленные на усиление отдельных детерминантов, взаимно подкрепляют друг друга. Например, развитие человеческого капитала (факторы производства) напрямую способствует формированию специализированных кластеров (родственные отрасли), а деятельность </w:t>
      </w:r>
      <w:r w:rsidRPr="003A6E5A">
        <w:rPr>
          <w:rStyle w:val="ab"/>
          <w:rFonts w:ascii="Times New Roman" w:eastAsia="Times New Roman" w:hAnsi="Times New Roman" w:cs="Times New Roman"/>
          <w:b w:val="0"/>
          <w:sz w:val="28"/>
          <w:szCs w:val="28"/>
          <w:lang w:eastAsia="ru-RU"/>
        </w:rPr>
        <w:lastRenderedPageBreak/>
        <w:t>инвестиционных штабов (стратегия и конкуренция) обеспечивает согласованность этих усилий с требованиями инвесторов (условия спроса).</w:t>
      </w:r>
    </w:p>
    <w:p w14:paraId="7085F6BE" w14:textId="77777777" w:rsidR="002065C2" w:rsidRPr="003A6E5A" w:rsidRDefault="002065C2" w:rsidP="002065C2">
      <w:pPr>
        <w:spacing w:after="0" w:line="240" w:lineRule="auto"/>
        <w:ind w:firstLine="709"/>
        <w:jc w:val="both"/>
        <w:rPr>
          <w:rStyle w:val="ab"/>
          <w:rFonts w:ascii="Times New Roman" w:eastAsia="Times New Roman" w:hAnsi="Times New Roman" w:cs="Times New Roman"/>
          <w:b w:val="0"/>
          <w:sz w:val="28"/>
          <w:szCs w:val="28"/>
          <w:lang w:eastAsia="ru-RU"/>
        </w:rPr>
      </w:pPr>
      <w:r w:rsidRPr="003A6E5A">
        <w:rPr>
          <w:rStyle w:val="ab"/>
          <w:rFonts w:ascii="Times New Roman" w:eastAsia="Times New Roman" w:hAnsi="Times New Roman" w:cs="Times New Roman"/>
          <w:b w:val="0"/>
          <w:sz w:val="28"/>
          <w:szCs w:val="28"/>
          <w:lang w:eastAsia="ru-RU"/>
        </w:rPr>
        <w:t>Реализация этих мер, представленных в таблице 22, знаменует собой переход от разрозненных действий к формированию целостной конкурентной экосистемы. Интеграция вертикально согласованных управленческих контуров непосредственно усиливает детерминант «стратегии, структуры и соперничества» модели Портера. Таким образом, Концепция инвестиционной политики представляет собой не просто перечень мероприятий, а скоординированную программу действий, нацеленную на формирование самовоспроизводящейся системы конкурентоспособности. Внедряемая логика функционального взаимодействия и переориентация KPI на качественные результаты свидетельствуют о переходе к более гибкой, адаптивной модели управления, которая не просто устраняет дисбалансы, а целенаправленно формирует устойчивые конкурентные преимущества казахстанских регионов в глазах международных инвесторов.</w:t>
      </w:r>
    </w:p>
    <w:p w14:paraId="7828F946" w14:textId="77777777" w:rsidR="00C651A9" w:rsidRPr="003A6E5A" w:rsidRDefault="00C651A9" w:rsidP="00C651A9">
      <w:pPr>
        <w:spacing w:after="0" w:line="240" w:lineRule="auto"/>
        <w:ind w:firstLine="709"/>
        <w:jc w:val="both"/>
        <w:rPr>
          <w:rFonts w:ascii="Times New Roman" w:hAnsi="Times New Roman" w:cs="Times New Roman"/>
          <w:sz w:val="28"/>
          <w:szCs w:val="28"/>
        </w:rPr>
      </w:pPr>
    </w:p>
    <w:p w14:paraId="452D90E1" w14:textId="5F361287" w:rsidR="0003217D" w:rsidRPr="003A6E5A" w:rsidRDefault="00FC275D" w:rsidP="001608EA">
      <w:pPr>
        <w:spacing w:after="0" w:line="240" w:lineRule="auto"/>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Таблица </w:t>
      </w:r>
      <w:r w:rsidR="00EC46D9" w:rsidRPr="003A6E5A">
        <w:rPr>
          <w:rFonts w:ascii="Times New Roman" w:hAnsi="Times New Roman" w:cs="Times New Roman"/>
          <w:sz w:val="28"/>
          <w:szCs w:val="28"/>
          <w:lang w:val="kk-KZ"/>
        </w:rPr>
        <w:t>2</w:t>
      </w:r>
      <w:r w:rsidR="00DA42F3" w:rsidRPr="003A6E5A">
        <w:rPr>
          <w:rFonts w:ascii="Times New Roman" w:hAnsi="Times New Roman" w:cs="Times New Roman"/>
          <w:sz w:val="28"/>
          <w:szCs w:val="28"/>
          <w:lang w:val="kk-KZ"/>
        </w:rPr>
        <w:t>2</w:t>
      </w:r>
      <w:r w:rsidRPr="003A6E5A">
        <w:rPr>
          <w:rFonts w:ascii="Times New Roman" w:hAnsi="Times New Roman" w:cs="Times New Roman"/>
          <w:sz w:val="28"/>
          <w:szCs w:val="28"/>
          <w:lang w:val="kk-KZ"/>
        </w:rPr>
        <w:t xml:space="preserve">. Меры </w:t>
      </w:r>
      <w:bookmarkStart w:id="45" w:name="_Hlk202873593"/>
      <w:r w:rsidRPr="003A6E5A">
        <w:rPr>
          <w:rFonts w:ascii="Times New Roman" w:hAnsi="Times New Roman" w:cs="Times New Roman"/>
          <w:sz w:val="28"/>
          <w:szCs w:val="28"/>
          <w:lang w:val="kk-KZ"/>
        </w:rPr>
        <w:t>по институционализации регионального уровня привлечения инвестиций</w:t>
      </w:r>
      <w:bookmarkEnd w:id="45"/>
    </w:p>
    <w:tbl>
      <w:tblPr>
        <w:tblStyle w:val="ac"/>
        <w:tblW w:w="0" w:type="auto"/>
        <w:tblLook w:val="04A0" w:firstRow="1" w:lastRow="0" w:firstColumn="1" w:lastColumn="0" w:noHBand="0" w:noVBand="1"/>
      </w:tblPr>
      <w:tblGrid>
        <w:gridCol w:w="501"/>
        <w:gridCol w:w="1901"/>
        <w:gridCol w:w="1190"/>
        <w:gridCol w:w="3373"/>
        <w:gridCol w:w="2627"/>
      </w:tblGrid>
      <w:tr w:rsidR="003A6E5A" w:rsidRPr="003A6E5A" w14:paraId="41787D4C" w14:textId="77777777" w:rsidTr="00B9136C">
        <w:tc>
          <w:tcPr>
            <w:tcW w:w="503" w:type="dxa"/>
          </w:tcPr>
          <w:p w14:paraId="001BDE0F" w14:textId="77777777" w:rsidR="0003217D" w:rsidRPr="003A6E5A" w:rsidRDefault="00FC275D" w:rsidP="001608EA">
            <w:pPr>
              <w:widowControl/>
              <w:spacing w:after="0" w:line="240" w:lineRule="auto"/>
              <w:rPr>
                <w:rFonts w:ascii="Times New Roman" w:hAnsi="Times New Roman" w:cs="Times New Roman"/>
                <w:bCs/>
                <w:sz w:val="20"/>
                <w:szCs w:val="20"/>
                <w:lang w:val="kk-KZ"/>
              </w:rPr>
            </w:pPr>
            <w:r w:rsidRPr="003A6E5A">
              <w:rPr>
                <w:rFonts w:ascii="Times New Roman" w:hAnsi="Times New Roman" w:cs="Times New Roman"/>
                <w:bCs/>
                <w:sz w:val="20"/>
                <w:szCs w:val="20"/>
                <w:lang w:val="kk-KZ"/>
              </w:rPr>
              <w:t>№</w:t>
            </w:r>
          </w:p>
        </w:tc>
        <w:tc>
          <w:tcPr>
            <w:tcW w:w="1902" w:type="dxa"/>
          </w:tcPr>
          <w:p w14:paraId="4822A284" w14:textId="77777777" w:rsidR="0003217D" w:rsidRPr="003A6E5A" w:rsidRDefault="00FC275D" w:rsidP="001608EA">
            <w:pPr>
              <w:widowControl/>
              <w:spacing w:after="0" w:line="240" w:lineRule="auto"/>
              <w:jc w:val="center"/>
              <w:rPr>
                <w:rFonts w:ascii="Times New Roman" w:hAnsi="Times New Roman" w:cs="Times New Roman"/>
                <w:bCs/>
                <w:sz w:val="20"/>
                <w:szCs w:val="20"/>
                <w:lang w:val="kk-KZ"/>
              </w:rPr>
            </w:pPr>
            <w:r w:rsidRPr="003A6E5A">
              <w:rPr>
                <w:rFonts w:ascii="Times New Roman" w:hAnsi="Times New Roman" w:cs="Times New Roman"/>
                <w:bCs/>
                <w:sz w:val="20"/>
                <w:szCs w:val="20"/>
                <w:lang w:val="kk-KZ"/>
              </w:rPr>
              <w:t>Направление</w:t>
            </w:r>
          </w:p>
        </w:tc>
        <w:tc>
          <w:tcPr>
            <w:tcW w:w="1134" w:type="dxa"/>
          </w:tcPr>
          <w:p w14:paraId="73C17D37" w14:textId="77777777" w:rsidR="0003217D" w:rsidRPr="003A6E5A" w:rsidRDefault="00FC275D" w:rsidP="001608EA">
            <w:pPr>
              <w:spacing w:after="0" w:line="240" w:lineRule="auto"/>
              <w:jc w:val="center"/>
              <w:rPr>
                <w:rFonts w:ascii="Times New Roman" w:hAnsi="Times New Roman" w:cs="Times New Roman"/>
                <w:bCs/>
                <w:sz w:val="20"/>
                <w:szCs w:val="20"/>
                <w:lang w:val="kk-KZ"/>
              </w:rPr>
            </w:pPr>
            <w:r w:rsidRPr="003A6E5A">
              <w:rPr>
                <w:rFonts w:ascii="Times New Roman" w:hAnsi="Times New Roman" w:cs="Times New Roman"/>
                <w:bCs/>
                <w:sz w:val="20"/>
                <w:szCs w:val="20"/>
                <w:lang w:val="kk-KZ"/>
              </w:rPr>
              <w:t>Сроки реализации</w:t>
            </w:r>
          </w:p>
        </w:tc>
        <w:tc>
          <w:tcPr>
            <w:tcW w:w="3406" w:type="dxa"/>
          </w:tcPr>
          <w:p w14:paraId="60ED9858" w14:textId="77777777" w:rsidR="0003217D" w:rsidRPr="003A6E5A" w:rsidRDefault="00FC275D" w:rsidP="001608EA">
            <w:pPr>
              <w:widowControl/>
              <w:spacing w:after="0" w:line="240" w:lineRule="auto"/>
              <w:jc w:val="center"/>
              <w:rPr>
                <w:rFonts w:ascii="Times New Roman" w:hAnsi="Times New Roman" w:cs="Times New Roman"/>
                <w:bCs/>
                <w:sz w:val="20"/>
                <w:szCs w:val="20"/>
                <w:lang w:val="kk-KZ"/>
              </w:rPr>
            </w:pPr>
            <w:r w:rsidRPr="003A6E5A">
              <w:rPr>
                <w:rFonts w:ascii="Times New Roman" w:hAnsi="Times New Roman" w:cs="Times New Roman"/>
                <w:bCs/>
                <w:sz w:val="20"/>
                <w:szCs w:val="20"/>
                <w:lang w:val="kk-KZ"/>
              </w:rPr>
              <w:t>Деятельность</w:t>
            </w:r>
          </w:p>
        </w:tc>
        <w:tc>
          <w:tcPr>
            <w:tcW w:w="2647" w:type="dxa"/>
          </w:tcPr>
          <w:p w14:paraId="15FA616E" w14:textId="77777777" w:rsidR="0003217D" w:rsidRPr="003A6E5A" w:rsidRDefault="00FC275D" w:rsidP="001608EA">
            <w:pPr>
              <w:widowControl/>
              <w:spacing w:after="0" w:line="240" w:lineRule="auto"/>
              <w:rPr>
                <w:rFonts w:ascii="Times New Roman" w:hAnsi="Times New Roman" w:cs="Times New Roman"/>
                <w:bCs/>
                <w:sz w:val="20"/>
                <w:szCs w:val="20"/>
                <w:lang w:val="kk-KZ"/>
              </w:rPr>
            </w:pPr>
            <w:r w:rsidRPr="003A6E5A">
              <w:rPr>
                <w:rFonts w:ascii="Times New Roman" w:hAnsi="Times New Roman" w:cs="Times New Roman"/>
                <w:bCs/>
                <w:sz w:val="20"/>
                <w:szCs w:val="20"/>
                <w:lang w:val="kk-KZ"/>
              </w:rPr>
              <w:t>Ожидаемый эффект</w:t>
            </w:r>
          </w:p>
        </w:tc>
      </w:tr>
      <w:tr w:rsidR="003A6E5A" w:rsidRPr="003A6E5A" w14:paraId="2C1D81F0" w14:textId="77777777" w:rsidTr="00B9136C">
        <w:tc>
          <w:tcPr>
            <w:tcW w:w="503" w:type="dxa"/>
          </w:tcPr>
          <w:p w14:paraId="466B9943"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1</w:t>
            </w:r>
          </w:p>
        </w:tc>
        <w:tc>
          <w:tcPr>
            <w:tcW w:w="1902" w:type="dxa"/>
          </w:tcPr>
          <w:p w14:paraId="28E37236"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Формирование Инвестиционных программ регионов</w:t>
            </w:r>
          </w:p>
        </w:tc>
        <w:tc>
          <w:tcPr>
            <w:tcW w:w="1134" w:type="dxa"/>
          </w:tcPr>
          <w:p w14:paraId="38A15769" w14:textId="77777777" w:rsidR="0003217D" w:rsidRPr="003A6E5A" w:rsidRDefault="00FC275D" w:rsidP="001608EA">
            <w:pPr>
              <w:spacing w:after="0" w:line="240" w:lineRule="auto"/>
              <w:jc w:val="center"/>
              <w:rPr>
                <w:rFonts w:ascii="Times New Roman" w:hAnsi="Times New Roman" w:cs="Times New Roman"/>
                <w:sz w:val="20"/>
                <w:szCs w:val="20"/>
                <w:lang w:val="kk-KZ"/>
              </w:rPr>
            </w:pPr>
            <w:r w:rsidRPr="003A6E5A">
              <w:rPr>
                <w:rFonts w:ascii="Times New Roman" w:hAnsi="Times New Roman" w:cs="Times New Roman"/>
                <w:sz w:val="20"/>
                <w:szCs w:val="20"/>
                <w:lang w:val="kk-KZ"/>
              </w:rPr>
              <w:t xml:space="preserve">Ежегодно </w:t>
            </w:r>
          </w:p>
        </w:tc>
        <w:tc>
          <w:tcPr>
            <w:tcW w:w="3406" w:type="dxa"/>
          </w:tcPr>
          <w:p w14:paraId="20A33029"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Оценка текущего инвестиционного климата, формулировка механизмов повышения инвестиционной привлекательности, установка целевых показателей</w:t>
            </w:r>
          </w:p>
        </w:tc>
        <w:tc>
          <w:tcPr>
            <w:tcW w:w="2647" w:type="dxa"/>
          </w:tcPr>
          <w:p w14:paraId="2F7B66A5"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Повышение адресности инвестиционной политики и устранение инфраструктурных и кадровых барьеров</w:t>
            </w:r>
          </w:p>
        </w:tc>
      </w:tr>
      <w:tr w:rsidR="003A6E5A" w:rsidRPr="003A6E5A" w14:paraId="64104F90" w14:textId="77777777" w:rsidTr="00B9136C">
        <w:tc>
          <w:tcPr>
            <w:tcW w:w="503" w:type="dxa"/>
          </w:tcPr>
          <w:p w14:paraId="030E9E4C"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2</w:t>
            </w:r>
          </w:p>
        </w:tc>
        <w:tc>
          <w:tcPr>
            <w:tcW w:w="1902" w:type="dxa"/>
          </w:tcPr>
          <w:p w14:paraId="62DB6F5F"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Регулярное формирование перечней инвестиционных проектов</w:t>
            </w:r>
          </w:p>
        </w:tc>
        <w:tc>
          <w:tcPr>
            <w:tcW w:w="1134" w:type="dxa"/>
          </w:tcPr>
          <w:p w14:paraId="174C7E56"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6C976628"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Создание регионального банка проектов для дальнейшего продвижения на внешнем и центральном уровнях</w:t>
            </w:r>
          </w:p>
        </w:tc>
        <w:tc>
          <w:tcPr>
            <w:tcW w:w="2647" w:type="dxa"/>
          </w:tcPr>
          <w:p w14:paraId="07370039"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Повышение эффективности координации между уровнями системы привлечения инвестиций</w:t>
            </w:r>
          </w:p>
        </w:tc>
      </w:tr>
      <w:tr w:rsidR="003A6E5A" w:rsidRPr="003A6E5A" w14:paraId="712B4E8A" w14:textId="77777777" w:rsidTr="00B9136C">
        <w:tc>
          <w:tcPr>
            <w:tcW w:w="503" w:type="dxa"/>
          </w:tcPr>
          <w:p w14:paraId="60C944BE"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3</w:t>
            </w:r>
          </w:p>
        </w:tc>
        <w:tc>
          <w:tcPr>
            <w:tcW w:w="1902" w:type="dxa"/>
          </w:tcPr>
          <w:p w14:paraId="245F0969"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Улучшение качества сопровождения проектов</w:t>
            </w:r>
          </w:p>
        </w:tc>
        <w:tc>
          <w:tcPr>
            <w:tcW w:w="1134" w:type="dxa"/>
          </w:tcPr>
          <w:p w14:paraId="6CF8D98F"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21BF29AE"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Ускоренное выделение земель, подведение инфраструктуры, оптимизация разрешительных процедур</w:t>
            </w:r>
          </w:p>
        </w:tc>
        <w:tc>
          <w:tcPr>
            <w:tcW w:w="2647" w:type="dxa"/>
          </w:tcPr>
          <w:p w14:paraId="3DAEACE3"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Сокращение административных издержек, повышение удовлетворенности инвесторов</w:t>
            </w:r>
          </w:p>
        </w:tc>
      </w:tr>
      <w:tr w:rsidR="003A6E5A" w:rsidRPr="003A6E5A" w14:paraId="0FDE18DB" w14:textId="77777777" w:rsidTr="00B9136C">
        <w:tc>
          <w:tcPr>
            <w:tcW w:w="503" w:type="dxa"/>
          </w:tcPr>
          <w:p w14:paraId="2570E850"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4</w:t>
            </w:r>
          </w:p>
        </w:tc>
        <w:tc>
          <w:tcPr>
            <w:tcW w:w="1902" w:type="dxa"/>
          </w:tcPr>
          <w:p w14:paraId="778D195B"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Актуализация целевых индикаторов</w:t>
            </w:r>
          </w:p>
        </w:tc>
        <w:tc>
          <w:tcPr>
            <w:tcW w:w="1134" w:type="dxa"/>
          </w:tcPr>
          <w:p w14:paraId="7B129F28"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1470BF57"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Переход от количественных показателей (ПИИ, ИОК) к качественным метрикам – доля успешно реализованных проектов и степень удовлетворенности инвесторов</w:t>
            </w:r>
          </w:p>
        </w:tc>
        <w:tc>
          <w:tcPr>
            <w:tcW w:w="2647" w:type="dxa"/>
          </w:tcPr>
          <w:p w14:paraId="44691F2F"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Усиление ориентации на результат и качество инвестиционного процесса</w:t>
            </w:r>
          </w:p>
        </w:tc>
      </w:tr>
      <w:tr w:rsidR="003A6E5A" w:rsidRPr="003A6E5A" w14:paraId="4A3FEECB" w14:textId="77777777" w:rsidTr="00B9136C">
        <w:tc>
          <w:tcPr>
            <w:tcW w:w="503" w:type="dxa"/>
          </w:tcPr>
          <w:p w14:paraId="566C47AC"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5</w:t>
            </w:r>
          </w:p>
        </w:tc>
        <w:tc>
          <w:tcPr>
            <w:tcW w:w="1902" w:type="dxa"/>
          </w:tcPr>
          <w:p w14:paraId="13068195"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Создание региональных инвестиционных штабов</w:t>
            </w:r>
          </w:p>
        </w:tc>
        <w:tc>
          <w:tcPr>
            <w:tcW w:w="1134" w:type="dxa"/>
          </w:tcPr>
          <w:p w14:paraId="7BA5DA69"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24B8F192"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Межведомственные органы под руководством акимов с участием представителей бизнеса, квазигоссектора, прокуратуры и СПК</w:t>
            </w:r>
          </w:p>
        </w:tc>
        <w:tc>
          <w:tcPr>
            <w:tcW w:w="2647" w:type="dxa"/>
          </w:tcPr>
          <w:p w14:paraId="66183897"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Оперативное решение системных и точечных проблем при реализации инвестиционных проектов</w:t>
            </w:r>
          </w:p>
        </w:tc>
      </w:tr>
      <w:tr w:rsidR="003A6E5A" w:rsidRPr="003A6E5A" w14:paraId="4F67FF50" w14:textId="77777777" w:rsidTr="00B9136C">
        <w:tc>
          <w:tcPr>
            <w:tcW w:w="503" w:type="dxa"/>
          </w:tcPr>
          <w:p w14:paraId="11B8B7D8"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6</w:t>
            </w:r>
          </w:p>
        </w:tc>
        <w:tc>
          <w:tcPr>
            <w:tcW w:w="1902" w:type="dxa"/>
          </w:tcPr>
          <w:p w14:paraId="767181A1"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Разработка ИПР по аналогии со страновыми программами</w:t>
            </w:r>
          </w:p>
        </w:tc>
        <w:tc>
          <w:tcPr>
            <w:tcW w:w="1134" w:type="dxa"/>
          </w:tcPr>
          <w:p w14:paraId="7B86E51C"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01106B78"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Включение планов по развитию нишевых отраслей, снижению зависимости от бюджетных ИОК, стимулированию частных инвестиций</w:t>
            </w:r>
          </w:p>
        </w:tc>
        <w:tc>
          <w:tcPr>
            <w:tcW w:w="2647" w:type="dxa"/>
          </w:tcPr>
          <w:p w14:paraId="6DF79DA7"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Таргетированное развитие региональных конкурентных преимуществ</w:t>
            </w:r>
          </w:p>
        </w:tc>
      </w:tr>
      <w:tr w:rsidR="003A6E5A" w:rsidRPr="003A6E5A" w14:paraId="3957227B" w14:textId="77777777" w:rsidTr="00B9136C">
        <w:tc>
          <w:tcPr>
            <w:tcW w:w="503" w:type="dxa"/>
          </w:tcPr>
          <w:p w14:paraId="63BA77CD"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7</w:t>
            </w:r>
          </w:p>
        </w:tc>
        <w:tc>
          <w:tcPr>
            <w:tcW w:w="1902" w:type="dxa"/>
          </w:tcPr>
          <w:p w14:paraId="0392E837"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Развитие кадрового потенциала</w:t>
            </w:r>
          </w:p>
        </w:tc>
        <w:tc>
          <w:tcPr>
            <w:tcW w:w="1134" w:type="dxa"/>
          </w:tcPr>
          <w:p w14:paraId="35E3394F"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691A4F6F"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Мониторинг и устранение дефицита компетенций в сфере инвестиций, обучение персонала</w:t>
            </w:r>
          </w:p>
        </w:tc>
        <w:tc>
          <w:tcPr>
            <w:tcW w:w="2647" w:type="dxa"/>
          </w:tcPr>
          <w:p w14:paraId="316636F5"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Повышение институциональной емкости МИО в инвестиционной политике</w:t>
            </w:r>
          </w:p>
        </w:tc>
      </w:tr>
      <w:tr w:rsidR="003A6E5A" w:rsidRPr="003A6E5A" w14:paraId="3D3E41DB" w14:textId="77777777" w:rsidTr="00B9136C">
        <w:tc>
          <w:tcPr>
            <w:tcW w:w="503" w:type="dxa"/>
          </w:tcPr>
          <w:p w14:paraId="5ED29B7A"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lastRenderedPageBreak/>
              <w:t>8</w:t>
            </w:r>
          </w:p>
        </w:tc>
        <w:tc>
          <w:tcPr>
            <w:tcW w:w="1902" w:type="dxa"/>
          </w:tcPr>
          <w:p w14:paraId="50A38C82"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 xml:space="preserve">Формирование </w:t>
            </w:r>
            <w:bookmarkStart w:id="46" w:name="_Hlk202880683"/>
            <w:r w:rsidRPr="003A6E5A">
              <w:rPr>
                <w:rFonts w:ascii="Times New Roman" w:eastAsia="SimSun" w:hAnsi="Times New Roman" w:cs="Times New Roman"/>
                <w:sz w:val="20"/>
                <w:szCs w:val="20"/>
              </w:rPr>
              <w:t>Рейтинга инвестиционной привлекательности регионов</w:t>
            </w:r>
            <w:bookmarkEnd w:id="46"/>
          </w:p>
        </w:tc>
        <w:tc>
          <w:tcPr>
            <w:tcW w:w="1134" w:type="dxa"/>
          </w:tcPr>
          <w:p w14:paraId="2D52345D"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45AFA528"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Учет статистических, административных и альтернативных данных для комплексной оценки</w:t>
            </w:r>
          </w:p>
        </w:tc>
        <w:tc>
          <w:tcPr>
            <w:tcW w:w="2647" w:type="dxa"/>
          </w:tcPr>
          <w:p w14:paraId="7E5FD368"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Стимулирование конкуренции между регионами и выявление лучших практик</w:t>
            </w:r>
          </w:p>
        </w:tc>
      </w:tr>
      <w:tr w:rsidR="003A6E5A" w:rsidRPr="003A6E5A" w14:paraId="77A486E4" w14:textId="77777777" w:rsidTr="00B9136C">
        <w:tc>
          <w:tcPr>
            <w:tcW w:w="503" w:type="dxa"/>
          </w:tcPr>
          <w:p w14:paraId="187138D1"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9</w:t>
            </w:r>
          </w:p>
        </w:tc>
        <w:tc>
          <w:tcPr>
            <w:tcW w:w="1902" w:type="dxa"/>
          </w:tcPr>
          <w:p w14:paraId="4A9D5DA0" w14:textId="77777777" w:rsidR="0003217D" w:rsidRPr="003A6E5A" w:rsidRDefault="00FC275D" w:rsidP="001608EA">
            <w:pPr>
              <w:widowControl/>
              <w:spacing w:after="0" w:line="240" w:lineRule="auto"/>
              <w:rPr>
                <w:rFonts w:ascii="Times New Roman" w:hAnsi="Times New Roman" w:cs="Times New Roman"/>
                <w:sz w:val="20"/>
                <w:szCs w:val="20"/>
                <w:lang w:val="kk-KZ"/>
              </w:rPr>
            </w:pPr>
            <w:bookmarkStart w:id="47" w:name="_Hlk202878143"/>
            <w:r w:rsidRPr="003A6E5A">
              <w:rPr>
                <w:rFonts w:ascii="Times New Roman" w:eastAsia="SimSun" w:hAnsi="Times New Roman" w:cs="Times New Roman"/>
                <w:sz w:val="20"/>
                <w:szCs w:val="20"/>
              </w:rPr>
              <w:t>Отраслевой и региональный подход к привлечению инвестиций</w:t>
            </w:r>
            <w:bookmarkEnd w:id="47"/>
          </w:p>
        </w:tc>
        <w:tc>
          <w:tcPr>
            <w:tcW w:w="1134" w:type="dxa"/>
          </w:tcPr>
          <w:p w14:paraId="121DA9B4"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17042B6B"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Определение приоритетных ниш, разработка отраслевых предложений и стратегий на основе конкурентных преимуществ</w:t>
            </w:r>
          </w:p>
        </w:tc>
        <w:tc>
          <w:tcPr>
            <w:tcW w:w="2647" w:type="dxa"/>
          </w:tcPr>
          <w:p w14:paraId="16027739"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Повышение эффективности стратегического планирования и консолидации ресурсов</w:t>
            </w:r>
          </w:p>
        </w:tc>
      </w:tr>
      <w:tr w:rsidR="003A6E5A" w:rsidRPr="003A6E5A" w14:paraId="6C8691AC" w14:textId="77777777" w:rsidTr="00B9136C">
        <w:tc>
          <w:tcPr>
            <w:tcW w:w="503" w:type="dxa"/>
          </w:tcPr>
          <w:p w14:paraId="7DD7DA13"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hAnsi="Times New Roman" w:cs="Times New Roman"/>
                <w:sz w:val="20"/>
                <w:szCs w:val="20"/>
                <w:lang w:val="kk-KZ"/>
              </w:rPr>
              <w:t>10</w:t>
            </w:r>
          </w:p>
        </w:tc>
        <w:tc>
          <w:tcPr>
            <w:tcW w:w="1902" w:type="dxa"/>
          </w:tcPr>
          <w:p w14:paraId="5CD617D7"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Интеграция инвестиционных потребностей квазигоссектора</w:t>
            </w:r>
          </w:p>
        </w:tc>
        <w:tc>
          <w:tcPr>
            <w:tcW w:w="1134" w:type="dxa"/>
          </w:tcPr>
          <w:p w14:paraId="1C5D8693" w14:textId="77777777" w:rsidR="0003217D" w:rsidRPr="003A6E5A" w:rsidRDefault="00FC275D" w:rsidP="001608EA">
            <w:pPr>
              <w:spacing w:after="0" w:line="240" w:lineRule="auto"/>
              <w:rPr>
                <w:rFonts w:ascii="Times New Roman" w:hAnsi="Times New Roman" w:cs="Times New Roman"/>
              </w:rPr>
            </w:pPr>
            <w:r w:rsidRPr="003A6E5A">
              <w:rPr>
                <w:rFonts w:ascii="Times New Roman" w:hAnsi="Times New Roman" w:cs="Times New Roman"/>
                <w:sz w:val="20"/>
                <w:szCs w:val="20"/>
                <w:lang w:val="kk-KZ"/>
              </w:rPr>
              <w:t>Ежегодно</w:t>
            </w:r>
          </w:p>
        </w:tc>
        <w:tc>
          <w:tcPr>
            <w:tcW w:w="3406" w:type="dxa"/>
          </w:tcPr>
          <w:p w14:paraId="4B00655B"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Централизация запросов субъектов квазигосударственного сектора для включения в ИПР</w:t>
            </w:r>
          </w:p>
        </w:tc>
        <w:tc>
          <w:tcPr>
            <w:tcW w:w="2647" w:type="dxa"/>
          </w:tcPr>
          <w:p w14:paraId="693D377C" w14:textId="77777777" w:rsidR="0003217D" w:rsidRPr="003A6E5A" w:rsidRDefault="00FC275D" w:rsidP="001608EA">
            <w:pPr>
              <w:widowControl/>
              <w:spacing w:after="0" w:line="240" w:lineRule="auto"/>
              <w:rPr>
                <w:rFonts w:ascii="Times New Roman" w:hAnsi="Times New Roman" w:cs="Times New Roman"/>
                <w:sz w:val="20"/>
                <w:szCs w:val="20"/>
                <w:lang w:val="kk-KZ"/>
              </w:rPr>
            </w:pPr>
            <w:r w:rsidRPr="003A6E5A">
              <w:rPr>
                <w:rFonts w:ascii="Times New Roman" w:eastAsia="SimSun" w:hAnsi="Times New Roman" w:cs="Times New Roman"/>
                <w:sz w:val="20"/>
                <w:szCs w:val="20"/>
              </w:rPr>
              <w:t>Улучшение согласованности инвестиционных планов между секторами</w:t>
            </w:r>
          </w:p>
        </w:tc>
      </w:tr>
    </w:tbl>
    <w:p w14:paraId="018F5678" w14:textId="77777777" w:rsidR="0003217D" w:rsidRPr="003A6E5A" w:rsidRDefault="00FC275D" w:rsidP="001608EA">
      <w:pPr>
        <w:spacing w:after="0" w:line="240" w:lineRule="auto"/>
        <w:jc w:val="both"/>
        <w:rPr>
          <w:rFonts w:ascii="Times New Roman" w:eastAsia="Times New Roman" w:hAnsi="Times New Roman" w:cs="Times New Roman"/>
          <w:sz w:val="20"/>
          <w:szCs w:val="20"/>
          <w:lang w:eastAsia="ru-RU"/>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сделано</w:t>
      </w:r>
      <w:r w:rsidRPr="003A6E5A">
        <w:rPr>
          <w:rFonts w:ascii="Times New Roman" w:hAnsi="Times New Roman" w:cs="Times New Roman"/>
          <w:sz w:val="20"/>
          <w:szCs w:val="20"/>
        </w:rPr>
        <w:t xml:space="preserve"> автором на основе данных Концепции инвестиционной политики Р</w:t>
      </w:r>
      <w:r w:rsidRPr="003A6E5A">
        <w:rPr>
          <w:rFonts w:ascii="Times New Roman" w:hAnsi="Times New Roman" w:cs="Times New Roman"/>
          <w:sz w:val="20"/>
          <w:szCs w:val="20"/>
          <w:lang w:val="kk-KZ"/>
        </w:rPr>
        <w:t>К</w:t>
      </w:r>
      <w:r w:rsidRPr="003A6E5A">
        <w:rPr>
          <w:rFonts w:ascii="Times New Roman" w:hAnsi="Times New Roman" w:cs="Times New Roman"/>
          <w:sz w:val="20"/>
          <w:szCs w:val="20"/>
        </w:rPr>
        <w:t xml:space="preserve"> до 2029 года</w:t>
      </w:r>
    </w:p>
    <w:p w14:paraId="72F4EB1E" w14:textId="77777777" w:rsidR="0003217D" w:rsidRPr="003A6E5A" w:rsidRDefault="0003217D" w:rsidP="0060229C">
      <w:pPr>
        <w:pStyle w:val="aa"/>
        <w:spacing w:beforeAutospacing="0" w:after="0" w:afterAutospacing="0" w:line="240" w:lineRule="auto"/>
        <w:ind w:firstLine="709"/>
        <w:jc w:val="both"/>
        <w:rPr>
          <w:sz w:val="28"/>
          <w:szCs w:val="28"/>
          <w:lang w:val="ru-RU"/>
        </w:rPr>
      </w:pPr>
    </w:p>
    <w:p w14:paraId="38ECE093" w14:textId="336F6C9E" w:rsidR="0003217D" w:rsidRPr="003A6E5A" w:rsidRDefault="00FC275D" w:rsidP="0060229C">
      <w:pPr>
        <w:pStyle w:val="aa"/>
        <w:spacing w:beforeAutospacing="0" w:after="0" w:afterAutospacing="0" w:line="240" w:lineRule="auto"/>
        <w:ind w:firstLine="709"/>
        <w:jc w:val="both"/>
        <w:rPr>
          <w:sz w:val="28"/>
          <w:szCs w:val="28"/>
          <w:lang w:val="ru-RU"/>
        </w:rPr>
      </w:pPr>
      <w:r w:rsidRPr="003A6E5A">
        <w:rPr>
          <w:sz w:val="28"/>
          <w:szCs w:val="28"/>
          <w:lang w:val="ru-RU"/>
        </w:rPr>
        <w:t xml:space="preserve">Согласно данным представленный в таблице </w:t>
      </w:r>
      <w:r w:rsidR="00EC46D9" w:rsidRPr="003A6E5A">
        <w:rPr>
          <w:sz w:val="28"/>
          <w:szCs w:val="28"/>
          <w:lang w:val="ru-RU"/>
        </w:rPr>
        <w:t>2</w:t>
      </w:r>
      <w:r w:rsidR="00DA42F3" w:rsidRPr="003A6E5A">
        <w:rPr>
          <w:sz w:val="28"/>
          <w:szCs w:val="28"/>
          <w:lang w:val="ru-RU"/>
        </w:rPr>
        <w:t>2</w:t>
      </w:r>
      <w:r w:rsidRPr="003A6E5A">
        <w:rPr>
          <w:sz w:val="28"/>
          <w:szCs w:val="28"/>
          <w:lang w:val="ru-RU"/>
        </w:rPr>
        <w:t xml:space="preserve"> выделяются четыре ключевых структурных направления институционального проектирования:</w:t>
      </w:r>
    </w:p>
    <w:p w14:paraId="476DA8F2" w14:textId="77777777" w:rsidR="002065C2" w:rsidRPr="003A6E5A" w:rsidRDefault="002065C2" w:rsidP="0060229C">
      <w:pPr>
        <w:pStyle w:val="aa"/>
        <w:spacing w:beforeAutospacing="0" w:after="0" w:afterAutospacing="0" w:line="240" w:lineRule="auto"/>
        <w:ind w:firstLine="709"/>
        <w:jc w:val="both"/>
        <w:rPr>
          <w:sz w:val="28"/>
          <w:szCs w:val="28"/>
          <w:lang w:val="ru-RU"/>
        </w:rPr>
      </w:pPr>
      <w:r w:rsidRPr="003A6E5A">
        <w:rPr>
          <w:sz w:val="28"/>
          <w:szCs w:val="28"/>
          <w:lang w:val="ru-RU"/>
        </w:rPr>
        <w:t>– программно-целевое управление на мезоуровне, реализуемое посредством Инвестиционных программ регионов (ИПР). ИПР формируют основу стратегического планирования, включая оценку текущего состояния инвестиционного климата, выявление барьеров и формулирование индикативных ориентиров. Это позволяет проектировать инвестиционные траектории, адаптированные к пространственным, ресурсным и отраслевым особенностям каждого региона;</w:t>
      </w:r>
    </w:p>
    <w:p w14:paraId="54F7235B" w14:textId="77777777" w:rsidR="002065C2" w:rsidRPr="003A6E5A" w:rsidRDefault="002065C2" w:rsidP="0060229C">
      <w:pPr>
        <w:pStyle w:val="aa"/>
        <w:spacing w:beforeAutospacing="0" w:after="0" w:afterAutospacing="0" w:line="240" w:lineRule="auto"/>
        <w:ind w:firstLine="709"/>
        <w:jc w:val="both"/>
        <w:rPr>
          <w:sz w:val="28"/>
          <w:szCs w:val="28"/>
          <w:lang w:val="ru-RU"/>
        </w:rPr>
      </w:pPr>
      <w:r w:rsidRPr="003A6E5A">
        <w:rPr>
          <w:sz w:val="28"/>
          <w:szCs w:val="28"/>
          <w:lang w:val="ru-RU"/>
        </w:rPr>
        <w:t>– институциональная консолидация, представленная в виде региональных инвестиционных штабов. Эти межведомственные площадки служат механизмом горизонтальной координации между исполнительными органами власти, квазигосударственными структурами и бизнес-сообществом. Такой подход способствует снижению транзакционных издержек, усилению институциональной плотности и сокращению бюрократических барьеров при реализации проектов;</w:t>
      </w:r>
    </w:p>
    <w:p w14:paraId="281432ED" w14:textId="77777777" w:rsidR="002065C2" w:rsidRPr="003A6E5A" w:rsidRDefault="002065C2" w:rsidP="0060229C">
      <w:pPr>
        <w:pStyle w:val="aa"/>
        <w:spacing w:beforeAutospacing="0" w:after="0" w:afterAutospacing="0" w:line="240" w:lineRule="auto"/>
        <w:ind w:firstLine="709"/>
        <w:jc w:val="both"/>
        <w:rPr>
          <w:sz w:val="28"/>
          <w:szCs w:val="28"/>
          <w:lang w:val="ru-RU"/>
        </w:rPr>
      </w:pPr>
      <w:r w:rsidRPr="003A6E5A">
        <w:rPr>
          <w:sz w:val="28"/>
          <w:szCs w:val="28"/>
          <w:lang w:val="ru-RU"/>
        </w:rPr>
        <w:t>– методологическая эволюция индикаторов эффективности – от традиционных количественных метрик (ПИИ, ИОК) к качественным критериям: доля успешно реализованных проектов, уровень удовлетворённости инвесторов, институциональная гибкость региона. Данный переход соответствует принципам результативного управления (results-based management) и согласуется с аналитическими моделями Всемирного банка и ОЭСР;</w:t>
      </w:r>
    </w:p>
    <w:p w14:paraId="7DF61A53" w14:textId="5508B9E1" w:rsidR="0003217D" w:rsidRPr="003A6E5A" w:rsidRDefault="002065C2" w:rsidP="0060229C">
      <w:pPr>
        <w:pStyle w:val="aa"/>
        <w:spacing w:beforeAutospacing="0" w:after="0" w:afterAutospacing="0" w:line="240" w:lineRule="auto"/>
        <w:ind w:firstLine="709"/>
        <w:jc w:val="both"/>
        <w:rPr>
          <w:sz w:val="28"/>
          <w:szCs w:val="28"/>
          <w:lang w:val="ru-RU"/>
        </w:rPr>
      </w:pPr>
      <w:r w:rsidRPr="003A6E5A">
        <w:rPr>
          <w:sz w:val="28"/>
          <w:szCs w:val="28"/>
          <w:lang w:val="ru-RU"/>
        </w:rPr>
        <w:t>– кадровая трансформация, ориентированная на развитие компетенций в системе местного управления инвестициями. Внедрение инструментов аудита дефицита компетенций, обучение и профессиональное развитие кадров формируют основу институционального капитала на субнациональном уровне.</w:t>
      </w:r>
    </w:p>
    <w:p w14:paraId="2EAF891A" w14:textId="77777777" w:rsidR="0060229C" w:rsidRPr="003A6E5A" w:rsidRDefault="0060229C" w:rsidP="0060229C">
      <w:pPr>
        <w:pStyle w:val="aa"/>
        <w:spacing w:beforeAutospacing="0" w:after="0" w:afterAutospacing="0" w:line="240" w:lineRule="auto"/>
        <w:ind w:firstLine="709"/>
        <w:jc w:val="both"/>
        <w:rPr>
          <w:sz w:val="28"/>
          <w:szCs w:val="28"/>
          <w:lang w:val="ru-RU"/>
        </w:rPr>
      </w:pPr>
      <w:r w:rsidRPr="003A6E5A">
        <w:rPr>
          <w:sz w:val="28"/>
          <w:szCs w:val="28"/>
          <w:lang w:val="ru-RU"/>
        </w:rPr>
        <w:t>Таким образом, представленные направления институционального проектирования позволяют конкретизировать связь между положениями Концепции и детерминантами модели Портера:</w:t>
      </w:r>
    </w:p>
    <w:p w14:paraId="5F402713" w14:textId="7F452980" w:rsidR="0060229C" w:rsidRPr="003A6E5A" w:rsidRDefault="0060229C" w:rsidP="0060229C">
      <w:pPr>
        <w:pStyle w:val="aa"/>
        <w:spacing w:beforeAutospacing="0" w:after="0" w:afterAutospacing="0" w:line="240" w:lineRule="auto"/>
        <w:ind w:firstLine="709"/>
        <w:jc w:val="both"/>
        <w:rPr>
          <w:sz w:val="28"/>
          <w:szCs w:val="28"/>
          <w:lang w:val="ru-RU"/>
        </w:rPr>
      </w:pPr>
      <w:r w:rsidRPr="003A6E5A">
        <w:rPr>
          <w:sz w:val="28"/>
          <w:szCs w:val="28"/>
          <w:lang w:val="ru-RU"/>
        </w:rPr>
        <w:t>– программно-целевое управление (ИПР) и кадровая трансформация напрямую работают на совершенствование факторов производства, создавая адаптированную под регионы инфраструктуру и человеческий капитал.</w:t>
      </w:r>
    </w:p>
    <w:p w14:paraId="06DC6C62" w14:textId="544529A1" w:rsidR="0060229C" w:rsidRPr="003A6E5A" w:rsidRDefault="0060229C" w:rsidP="0060229C">
      <w:pPr>
        <w:pStyle w:val="aa"/>
        <w:spacing w:beforeAutospacing="0" w:after="0" w:afterAutospacing="0" w:line="240" w:lineRule="auto"/>
        <w:ind w:firstLine="709"/>
        <w:jc w:val="both"/>
        <w:rPr>
          <w:sz w:val="28"/>
          <w:szCs w:val="28"/>
          <w:lang w:val="ru-RU"/>
        </w:rPr>
      </w:pPr>
      <w:r w:rsidRPr="003A6E5A">
        <w:rPr>
          <w:sz w:val="28"/>
          <w:szCs w:val="28"/>
          <w:lang w:val="ru-RU"/>
        </w:rPr>
        <w:lastRenderedPageBreak/>
        <w:t>– пнституциональная консолидация (инвестиционные штабы) усиливает детерминант стратегии, структуры и соперничества, создавая платформы для кооперации и повышения конкурентной динамики.</w:t>
      </w:r>
    </w:p>
    <w:p w14:paraId="396A3DF4" w14:textId="681D3AE2" w:rsidR="0060229C" w:rsidRPr="003A6E5A" w:rsidRDefault="0060229C" w:rsidP="0060229C">
      <w:pPr>
        <w:pStyle w:val="aa"/>
        <w:spacing w:beforeAutospacing="0" w:after="0" w:afterAutospacing="0" w:line="240" w:lineRule="auto"/>
        <w:ind w:firstLine="709"/>
        <w:jc w:val="both"/>
        <w:rPr>
          <w:sz w:val="28"/>
          <w:szCs w:val="28"/>
          <w:lang w:val="ru-RU"/>
        </w:rPr>
      </w:pPr>
      <w:r w:rsidRPr="003A6E5A">
        <w:rPr>
          <w:sz w:val="28"/>
          <w:szCs w:val="28"/>
          <w:lang w:val="ru-RU"/>
        </w:rPr>
        <w:t>– методологическая эволюция индикаторов ориентирует систему на качество условий спроса, фокусируясь на удовлетворенности требовательных инвесторов.</w:t>
      </w:r>
    </w:p>
    <w:p w14:paraId="4ACFDC75" w14:textId="56AF3976" w:rsidR="002065C2" w:rsidRPr="003A6E5A" w:rsidRDefault="0060229C" w:rsidP="0060229C">
      <w:pPr>
        <w:pStyle w:val="aa"/>
        <w:spacing w:beforeAutospacing="0" w:after="0" w:afterAutospacing="0" w:line="240" w:lineRule="auto"/>
        <w:ind w:firstLine="709"/>
        <w:jc w:val="both"/>
        <w:rPr>
          <w:sz w:val="28"/>
          <w:szCs w:val="28"/>
          <w:lang w:val="ru-RU"/>
        </w:rPr>
      </w:pPr>
      <w:r w:rsidRPr="003A6E5A">
        <w:rPr>
          <w:sz w:val="28"/>
          <w:szCs w:val="28"/>
          <w:lang w:val="ru-RU"/>
        </w:rPr>
        <w:t>Программно-целевое управление, через выявление нишевых отраслей, одновременно способствует формированию родственных и поддерживающих кластеров.</w:t>
      </w:r>
    </w:p>
    <w:p w14:paraId="655CD9D0" w14:textId="2CDCC394" w:rsidR="0003217D" w:rsidRPr="003A6E5A" w:rsidRDefault="00FC275D" w:rsidP="0060229C">
      <w:pPr>
        <w:pStyle w:val="aa"/>
        <w:spacing w:beforeAutospacing="0" w:after="0" w:afterAutospacing="0" w:line="240" w:lineRule="auto"/>
        <w:ind w:firstLine="709"/>
        <w:jc w:val="both"/>
        <w:rPr>
          <w:sz w:val="28"/>
          <w:szCs w:val="28"/>
          <w:lang w:val="kk-KZ"/>
        </w:rPr>
      </w:pPr>
      <w:r w:rsidRPr="003A6E5A">
        <w:rPr>
          <w:sz w:val="28"/>
          <w:szCs w:val="28"/>
          <w:lang w:val="ru-RU"/>
        </w:rPr>
        <w:t xml:space="preserve">В Концепции инвестиционной политики </w:t>
      </w:r>
      <w:r w:rsidR="00BF39B0" w:rsidRPr="003A6E5A">
        <w:rPr>
          <w:sz w:val="28"/>
          <w:szCs w:val="28"/>
          <w:lang w:val="ru-RU"/>
        </w:rPr>
        <w:t>[</w:t>
      </w:r>
      <w:r w:rsidR="00F30397" w:rsidRPr="003A6E5A">
        <w:rPr>
          <w:sz w:val="28"/>
          <w:szCs w:val="28"/>
          <w:lang w:val="ru-RU"/>
        </w:rPr>
        <w:t>41</w:t>
      </w:r>
      <w:r w:rsidR="00BF39B0" w:rsidRPr="003A6E5A">
        <w:rPr>
          <w:sz w:val="28"/>
          <w:szCs w:val="28"/>
          <w:lang w:val="ru-RU"/>
        </w:rPr>
        <w:t>]</w:t>
      </w:r>
      <w:r w:rsidR="00A03B4C" w:rsidRPr="003A6E5A">
        <w:rPr>
          <w:sz w:val="28"/>
          <w:szCs w:val="28"/>
          <w:lang w:val="ru-RU"/>
        </w:rPr>
        <w:t xml:space="preserve"> </w:t>
      </w:r>
      <w:r w:rsidRPr="003A6E5A">
        <w:rPr>
          <w:sz w:val="28"/>
          <w:szCs w:val="28"/>
          <w:lang w:val="ru-RU"/>
        </w:rPr>
        <w:t>подчёркивается особая институциональная значимость национальной компании «</w:t>
      </w:r>
      <w:r w:rsidRPr="003A6E5A">
        <w:rPr>
          <w:sz w:val="28"/>
          <w:szCs w:val="28"/>
        </w:rPr>
        <w:t>Kazakh</w:t>
      </w:r>
      <w:r w:rsidRPr="003A6E5A">
        <w:rPr>
          <w:sz w:val="28"/>
          <w:szCs w:val="28"/>
          <w:lang w:val="ru-RU"/>
        </w:rPr>
        <w:t xml:space="preserve"> </w:t>
      </w:r>
      <w:r w:rsidRPr="003A6E5A">
        <w:rPr>
          <w:sz w:val="28"/>
          <w:szCs w:val="28"/>
        </w:rPr>
        <w:t>Invest</w:t>
      </w:r>
      <w:r w:rsidRPr="003A6E5A">
        <w:rPr>
          <w:sz w:val="28"/>
          <w:szCs w:val="28"/>
          <w:lang w:val="ru-RU"/>
        </w:rPr>
        <w:t xml:space="preserve">», которая рассматривается в качестве системообразующего звена цифровой экосистемы сопровождения инвестиций. Данная структура выполняет стратегически важные функции в обеспечении как привлечения инвестиций, так и комплексной поддержки инвесторов на всех этапах реализации проектов (см. </w:t>
      </w:r>
      <w:r w:rsidR="00685612" w:rsidRPr="003A6E5A">
        <w:rPr>
          <w:sz w:val="28"/>
          <w:szCs w:val="28"/>
          <w:lang w:val="ru-RU"/>
        </w:rPr>
        <w:t xml:space="preserve">таблицу </w:t>
      </w:r>
      <w:r w:rsidR="00BF39B0" w:rsidRPr="003A6E5A">
        <w:rPr>
          <w:sz w:val="28"/>
          <w:szCs w:val="28"/>
          <w:lang w:val="ru-RU"/>
        </w:rPr>
        <w:t>2</w:t>
      </w:r>
      <w:r w:rsidR="00DA42F3" w:rsidRPr="003A6E5A">
        <w:rPr>
          <w:sz w:val="28"/>
          <w:szCs w:val="28"/>
          <w:lang w:val="ru-RU"/>
        </w:rPr>
        <w:t>3</w:t>
      </w:r>
      <w:r w:rsidRPr="003A6E5A">
        <w:rPr>
          <w:sz w:val="28"/>
          <w:szCs w:val="28"/>
          <w:lang w:val="ru-RU"/>
        </w:rPr>
        <w:t>).</w:t>
      </w:r>
      <w:r w:rsidRPr="003A6E5A">
        <w:rPr>
          <w:sz w:val="28"/>
          <w:szCs w:val="28"/>
          <w:lang w:val="kk-KZ"/>
        </w:rPr>
        <w:t xml:space="preserve"> </w:t>
      </w:r>
      <w:r w:rsidRPr="003A6E5A">
        <w:rPr>
          <w:sz w:val="28"/>
          <w:szCs w:val="28"/>
          <w:lang w:val="ru-RU"/>
        </w:rPr>
        <w:t>Институциональная архитектура «</w:t>
      </w:r>
      <w:r w:rsidRPr="003A6E5A">
        <w:rPr>
          <w:sz w:val="28"/>
          <w:szCs w:val="28"/>
        </w:rPr>
        <w:t>Kazakh</w:t>
      </w:r>
      <w:r w:rsidRPr="003A6E5A">
        <w:rPr>
          <w:sz w:val="28"/>
          <w:szCs w:val="28"/>
          <w:lang w:val="ru-RU"/>
        </w:rPr>
        <w:t xml:space="preserve"> </w:t>
      </w:r>
      <w:r w:rsidRPr="003A6E5A">
        <w:rPr>
          <w:sz w:val="28"/>
          <w:szCs w:val="28"/>
        </w:rPr>
        <w:t>Invest</w:t>
      </w:r>
      <w:r w:rsidRPr="003A6E5A">
        <w:rPr>
          <w:sz w:val="28"/>
          <w:szCs w:val="28"/>
          <w:lang w:val="ru-RU"/>
        </w:rPr>
        <w:t>» демонстрирует ориентацию на внедрение передовых международных практик и современного подхода к инвестиционному менеджменту.</w:t>
      </w:r>
      <w:r w:rsidRPr="003A6E5A">
        <w:rPr>
          <w:sz w:val="28"/>
          <w:szCs w:val="28"/>
          <w:lang w:val="kk-KZ"/>
        </w:rPr>
        <w:t xml:space="preserve"> </w:t>
      </w:r>
    </w:p>
    <w:p w14:paraId="361CDD8D" w14:textId="77777777" w:rsidR="0003217D" w:rsidRPr="003A6E5A" w:rsidRDefault="0003217D" w:rsidP="001608EA">
      <w:pPr>
        <w:pStyle w:val="aa"/>
        <w:spacing w:beforeAutospacing="0" w:after="0" w:afterAutospacing="0" w:line="240" w:lineRule="auto"/>
        <w:ind w:firstLine="706"/>
        <w:jc w:val="both"/>
        <w:rPr>
          <w:sz w:val="28"/>
          <w:szCs w:val="28"/>
          <w:lang w:val="kk-KZ"/>
        </w:rPr>
      </w:pPr>
    </w:p>
    <w:p w14:paraId="0C6C2DA9" w14:textId="19021659" w:rsidR="0003217D" w:rsidRPr="003A6E5A" w:rsidRDefault="00FC275D" w:rsidP="001608EA">
      <w:pPr>
        <w:pStyle w:val="aa"/>
        <w:spacing w:beforeAutospacing="0" w:after="0" w:afterAutospacing="0" w:line="240" w:lineRule="auto"/>
        <w:jc w:val="both"/>
        <w:rPr>
          <w:sz w:val="28"/>
          <w:szCs w:val="28"/>
          <w:lang w:val="ru-RU"/>
        </w:rPr>
      </w:pPr>
      <w:r w:rsidRPr="003A6E5A">
        <w:rPr>
          <w:sz w:val="28"/>
          <w:szCs w:val="28"/>
          <w:lang w:val="ru-RU"/>
        </w:rPr>
        <w:t xml:space="preserve">Таблица </w:t>
      </w:r>
      <w:r w:rsidR="003D43A8" w:rsidRPr="003A6E5A">
        <w:rPr>
          <w:sz w:val="28"/>
          <w:szCs w:val="28"/>
          <w:lang w:val="ru-RU"/>
        </w:rPr>
        <w:t>2</w:t>
      </w:r>
      <w:r w:rsidR="00DA42F3" w:rsidRPr="003A6E5A">
        <w:rPr>
          <w:sz w:val="28"/>
          <w:szCs w:val="28"/>
          <w:lang w:val="ru-RU"/>
        </w:rPr>
        <w:t>3</w:t>
      </w:r>
      <w:r w:rsidRPr="003A6E5A">
        <w:rPr>
          <w:sz w:val="28"/>
          <w:szCs w:val="28"/>
          <w:lang w:val="ru-RU"/>
        </w:rPr>
        <w:t>. Инструменты и показатели поддержки инвесторов в Казахстане</w:t>
      </w:r>
    </w:p>
    <w:tbl>
      <w:tblPr>
        <w:tblStyle w:val="ac"/>
        <w:tblW w:w="9592" w:type="dxa"/>
        <w:tblLook w:val="04A0" w:firstRow="1" w:lastRow="0" w:firstColumn="1" w:lastColumn="0" w:noHBand="0" w:noVBand="1"/>
      </w:tblPr>
      <w:tblGrid>
        <w:gridCol w:w="2162"/>
        <w:gridCol w:w="3971"/>
        <w:gridCol w:w="3459"/>
      </w:tblGrid>
      <w:tr w:rsidR="00B02CF8" w:rsidRPr="003A6E5A" w14:paraId="203EC46F" w14:textId="77777777" w:rsidTr="007A319C">
        <w:tc>
          <w:tcPr>
            <w:tcW w:w="2122" w:type="dxa"/>
          </w:tcPr>
          <w:p w14:paraId="2D207227" w14:textId="77777777" w:rsidR="0003217D" w:rsidRPr="003A6E5A" w:rsidRDefault="00FC275D" w:rsidP="001608EA">
            <w:pPr>
              <w:pStyle w:val="aa"/>
              <w:spacing w:beforeAutospacing="0" w:after="0" w:afterAutospacing="0" w:line="240" w:lineRule="auto"/>
              <w:jc w:val="center"/>
              <w:rPr>
                <w:b/>
                <w:bCs/>
                <w:sz w:val="20"/>
                <w:szCs w:val="20"/>
                <w:lang w:val="ru-RU"/>
              </w:rPr>
            </w:pPr>
            <w:r w:rsidRPr="003A6E5A">
              <w:rPr>
                <w:b/>
                <w:bCs/>
                <w:sz w:val="20"/>
                <w:szCs w:val="20"/>
                <w:lang w:val="ru-RU"/>
              </w:rPr>
              <w:t>Направление</w:t>
            </w:r>
          </w:p>
        </w:tc>
        <w:tc>
          <w:tcPr>
            <w:tcW w:w="3993" w:type="dxa"/>
          </w:tcPr>
          <w:p w14:paraId="50C82021" w14:textId="77777777" w:rsidR="0003217D" w:rsidRPr="003A6E5A" w:rsidRDefault="00FC275D" w:rsidP="001608EA">
            <w:pPr>
              <w:pStyle w:val="aa"/>
              <w:spacing w:beforeAutospacing="0" w:after="0" w:afterAutospacing="0" w:line="240" w:lineRule="auto"/>
              <w:jc w:val="center"/>
              <w:rPr>
                <w:b/>
                <w:bCs/>
                <w:sz w:val="20"/>
                <w:szCs w:val="20"/>
                <w:lang w:val="ru-RU"/>
              </w:rPr>
            </w:pPr>
            <w:r w:rsidRPr="003A6E5A">
              <w:rPr>
                <w:b/>
                <w:bCs/>
                <w:sz w:val="20"/>
                <w:szCs w:val="20"/>
                <w:lang w:val="ru-RU"/>
              </w:rPr>
              <w:t>Инструменты поддержки</w:t>
            </w:r>
          </w:p>
        </w:tc>
        <w:tc>
          <w:tcPr>
            <w:tcW w:w="3477" w:type="dxa"/>
          </w:tcPr>
          <w:p w14:paraId="2885634A" w14:textId="77777777" w:rsidR="0003217D" w:rsidRPr="003A6E5A" w:rsidRDefault="00FC275D" w:rsidP="001608EA">
            <w:pPr>
              <w:pStyle w:val="aa"/>
              <w:spacing w:beforeAutospacing="0" w:after="0" w:afterAutospacing="0" w:line="240" w:lineRule="auto"/>
              <w:jc w:val="center"/>
              <w:rPr>
                <w:b/>
                <w:bCs/>
                <w:sz w:val="20"/>
                <w:szCs w:val="20"/>
                <w:lang w:val="ru-RU"/>
              </w:rPr>
            </w:pPr>
            <w:r w:rsidRPr="003A6E5A">
              <w:rPr>
                <w:b/>
                <w:bCs/>
                <w:sz w:val="20"/>
                <w:szCs w:val="20"/>
                <w:lang w:val="ru-RU"/>
              </w:rPr>
              <w:t>Конкретные меры и статистика</w:t>
            </w:r>
          </w:p>
        </w:tc>
      </w:tr>
      <w:tr w:rsidR="00B02CF8" w:rsidRPr="003A6E5A" w14:paraId="34C63FA0" w14:textId="77777777">
        <w:tc>
          <w:tcPr>
            <w:tcW w:w="9592" w:type="dxa"/>
            <w:gridSpan w:val="3"/>
          </w:tcPr>
          <w:p w14:paraId="230292CB" w14:textId="77777777" w:rsidR="0003217D" w:rsidRPr="003A6E5A" w:rsidRDefault="00FC275D" w:rsidP="001608EA">
            <w:pPr>
              <w:pStyle w:val="aa"/>
              <w:spacing w:beforeAutospacing="0" w:after="0" w:afterAutospacing="0" w:line="240" w:lineRule="auto"/>
              <w:jc w:val="center"/>
              <w:rPr>
                <w:i/>
                <w:iCs/>
                <w:sz w:val="20"/>
                <w:szCs w:val="20"/>
                <w:lang w:val="ru-RU"/>
              </w:rPr>
            </w:pPr>
            <w:r w:rsidRPr="003A6E5A">
              <w:rPr>
                <w:i/>
                <w:iCs/>
                <w:sz w:val="20"/>
                <w:szCs w:val="20"/>
                <w:lang w:val="ru-RU"/>
              </w:rPr>
              <w:t>Привлечение инвестиций</w:t>
            </w:r>
          </w:p>
        </w:tc>
      </w:tr>
      <w:tr w:rsidR="00B02CF8" w:rsidRPr="003A6E5A" w14:paraId="4A2D7090" w14:textId="77777777" w:rsidTr="007A319C">
        <w:tc>
          <w:tcPr>
            <w:tcW w:w="2122" w:type="dxa"/>
          </w:tcPr>
          <w:p w14:paraId="3483BAB6"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Интерактивная карта проектов</w:t>
            </w:r>
          </w:p>
        </w:tc>
        <w:tc>
          <w:tcPr>
            <w:tcW w:w="3993" w:type="dxa"/>
          </w:tcPr>
          <w:p w14:paraId="3C9EACF0"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Онлайн-платформа с фильтрами по отраслям и регионам</w:t>
            </w:r>
          </w:p>
        </w:tc>
        <w:tc>
          <w:tcPr>
            <w:tcW w:w="3477" w:type="dxa"/>
          </w:tcPr>
          <w:p w14:paraId="2E5D3E58"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В 2024 г. запущено 45 проектов с иностранным участием на $1.2 млрд долларов США</w:t>
            </w:r>
          </w:p>
        </w:tc>
      </w:tr>
      <w:tr w:rsidR="00B02CF8" w:rsidRPr="003A6E5A" w14:paraId="01C42EE7" w14:textId="77777777" w:rsidTr="007A319C">
        <w:tc>
          <w:tcPr>
            <w:tcW w:w="2122" w:type="dxa"/>
          </w:tcPr>
          <w:p w14:paraId="4C441FCD"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Виртуальные туры по СЭЗ и ИЗ</w:t>
            </w:r>
          </w:p>
        </w:tc>
        <w:tc>
          <w:tcPr>
            <w:tcW w:w="3993" w:type="dxa"/>
          </w:tcPr>
          <w:p w14:paraId="6C84CCFE"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3D-экскурсии по специально-экономическим зонам и индустриальным зонам</w:t>
            </w:r>
          </w:p>
        </w:tc>
        <w:tc>
          <w:tcPr>
            <w:tcW w:w="3477" w:type="dxa"/>
          </w:tcPr>
          <w:p w14:paraId="3DB91E17"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Доступно 8 СЭЗ, включая «Хоргос-Восточные ворота» и «Астана – Новый город»</w:t>
            </w:r>
          </w:p>
        </w:tc>
      </w:tr>
      <w:tr w:rsidR="00B02CF8" w:rsidRPr="003A6E5A" w14:paraId="0B22ACF3" w14:textId="77777777">
        <w:tc>
          <w:tcPr>
            <w:tcW w:w="9592" w:type="dxa"/>
            <w:gridSpan w:val="3"/>
          </w:tcPr>
          <w:p w14:paraId="5E47FF86" w14:textId="77777777" w:rsidR="0003217D" w:rsidRPr="003A6E5A" w:rsidRDefault="00FC275D" w:rsidP="001608EA">
            <w:pPr>
              <w:pStyle w:val="aa"/>
              <w:spacing w:beforeAutospacing="0" w:after="0" w:afterAutospacing="0" w:line="240" w:lineRule="auto"/>
              <w:jc w:val="center"/>
              <w:rPr>
                <w:i/>
                <w:iCs/>
                <w:sz w:val="20"/>
                <w:szCs w:val="20"/>
                <w:lang w:val="ru-RU"/>
              </w:rPr>
            </w:pPr>
            <w:r w:rsidRPr="003A6E5A">
              <w:rPr>
                <w:i/>
                <w:iCs/>
                <w:sz w:val="20"/>
                <w:szCs w:val="20"/>
                <w:lang w:val="ru-RU"/>
              </w:rPr>
              <w:t>Институциональная поддержка</w:t>
            </w:r>
          </w:p>
        </w:tc>
      </w:tr>
      <w:tr w:rsidR="00B02CF8" w:rsidRPr="003A6E5A" w14:paraId="79B1B6A7" w14:textId="77777777" w:rsidTr="007A319C">
        <w:tc>
          <w:tcPr>
            <w:tcW w:w="2122" w:type="dxa"/>
          </w:tcPr>
          <w:p w14:paraId="4C5194A8"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Бизнес-миссии</w:t>
            </w:r>
          </w:p>
        </w:tc>
        <w:tc>
          <w:tcPr>
            <w:tcW w:w="3993" w:type="dxa"/>
          </w:tcPr>
          <w:p w14:paraId="70C0DB94"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Организация встреч с потенциальными инвесторами</w:t>
            </w:r>
          </w:p>
        </w:tc>
        <w:tc>
          <w:tcPr>
            <w:tcW w:w="3477" w:type="dxa"/>
          </w:tcPr>
          <w:p w14:paraId="31B4A1D8"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В 2024 г. проведено 12 миссий в ОАЭ, Китай, ЕС</w:t>
            </w:r>
          </w:p>
        </w:tc>
      </w:tr>
      <w:tr w:rsidR="00B02CF8" w:rsidRPr="003A6E5A" w14:paraId="2B0B41D6" w14:textId="77777777" w:rsidTr="007A319C">
        <w:tc>
          <w:tcPr>
            <w:tcW w:w="2122" w:type="dxa"/>
          </w:tcPr>
          <w:p w14:paraId="31B9270B" w14:textId="77777777" w:rsidR="0003217D" w:rsidRPr="003A6E5A" w:rsidRDefault="00FC275D" w:rsidP="001608EA">
            <w:pPr>
              <w:pStyle w:val="aa"/>
              <w:spacing w:beforeAutospacing="0" w:after="0" w:afterAutospacing="0" w:line="240" w:lineRule="auto"/>
              <w:rPr>
                <w:sz w:val="20"/>
                <w:szCs w:val="20"/>
                <w:lang w:val="kk-KZ"/>
              </w:rPr>
            </w:pPr>
            <w:r w:rsidRPr="003A6E5A">
              <w:rPr>
                <w:sz w:val="20"/>
                <w:szCs w:val="20"/>
                <w:lang w:val="kk-KZ"/>
              </w:rPr>
              <w:t>Переговорные площадки</w:t>
            </w:r>
          </w:p>
        </w:tc>
        <w:tc>
          <w:tcPr>
            <w:tcW w:w="3993" w:type="dxa"/>
          </w:tcPr>
          <w:p w14:paraId="271BACEF"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Консультации по регистрации бизнеса и выбору проектов</w:t>
            </w:r>
          </w:p>
        </w:tc>
        <w:tc>
          <w:tcPr>
            <w:tcW w:w="3477" w:type="dxa"/>
          </w:tcPr>
          <w:p w14:paraId="6BC621CA"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Рассмотрено 2,357 обращений через «единое окно»</w:t>
            </w:r>
          </w:p>
        </w:tc>
      </w:tr>
      <w:tr w:rsidR="00B02CF8" w:rsidRPr="003A6E5A" w14:paraId="3F014F9D" w14:textId="77777777">
        <w:tc>
          <w:tcPr>
            <w:tcW w:w="9592" w:type="dxa"/>
            <w:gridSpan w:val="3"/>
          </w:tcPr>
          <w:p w14:paraId="69E98788" w14:textId="77777777" w:rsidR="0003217D" w:rsidRPr="003A6E5A" w:rsidRDefault="00FC275D" w:rsidP="001608EA">
            <w:pPr>
              <w:pStyle w:val="aa"/>
              <w:spacing w:beforeAutospacing="0" w:after="0" w:afterAutospacing="0" w:line="240" w:lineRule="auto"/>
              <w:jc w:val="center"/>
              <w:rPr>
                <w:b/>
                <w:bCs/>
                <w:i/>
                <w:iCs/>
                <w:sz w:val="20"/>
                <w:szCs w:val="20"/>
                <w:lang w:val="kk-KZ"/>
              </w:rPr>
            </w:pPr>
            <w:r w:rsidRPr="003A6E5A">
              <w:rPr>
                <w:rStyle w:val="ab"/>
                <w:b w:val="0"/>
                <w:bCs w:val="0"/>
                <w:i/>
                <w:iCs/>
                <w:sz w:val="20"/>
                <w:szCs w:val="20"/>
                <w:shd w:val="clear" w:color="auto" w:fill="FFFFFF"/>
              </w:rPr>
              <w:t>Аналитический хаб</w:t>
            </w:r>
          </w:p>
        </w:tc>
      </w:tr>
      <w:tr w:rsidR="00B02CF8" w:rsidRPr="003A6E5A" w14:paraId="1F8B2A42" w14:textId="77777777" w:rsidTr="007A319C">
        <w:tc>
          <w:tcPr>
            <w:tcW w:w="2122" w:type="dxa"/>
          </w:tcPr>
          <w:p w14:paraId="30580065" w14:textId="77777777" w:rsidR="0003217D" w:rsidRPr="003A6E5A" w:rsidRDefault="00FC275D" w:rsidP="001608EA">
            <w:pPr>
              <w:pStyle w:val="aa"/>
              <w:spacing w:beforeAutospacing="0" w:after="0" w:afterAutospacing="0" w:line="240" w:lineRule="auto"/>
              <w:rPr>
                <w:sz w:val="20"/>
                <w:szCs w:val="20"/>
                <w:lang w:val="kk-KZ"/>
              </w:rPr>
            </w:pPr>
            <w:r w:rsidRPr="003A6E5A">
              <w:rPr>
                <w:sz w:val="20"/>
                <w:szCs w:val="20"/>
                <w:shd w:val="clear" w:color="auto" w:fill="FFFFFF"/>
              </w:rPr>
              <w:t>Investment Dashboard</w:t>
            </w:r>
          </w:p>
        </w:tc>
        <w:tc>
          <w:tcPr>
            <w:tcW w:w="3993" w:type="dxa"/>
          </w:tcPr>
          <w:p w14:paraId="3B13EBAC"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rPr>
              <w:t>Интерактивная карта инвестиционных возможностей</w:t>
            </w:r>
          </w:p>
        </w:tc>
        <w:tc>
          <w:tcPr>
            <w:tcW w:w="3477" w:type="dxa"/>
          </w:tcPr>
          <w:p w14:paraId="0644FC2E"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rPr>
              <w:t>73 проекта соответствуют международным стандартам</w:t>
            </w:r>
          </w:p>
        </w:tc>
      </w:tr>
      <w:tr w:rsidR="00B02CF8" w:rsidRPr="003A6E5A" w14:paraId="13604EC7" w14:textId="77777777" w:rsidTr="007A319C">
        <w:tc>
          <w:tcPr>
            <w:tcW w:w="2122" w:type="dxa"/>
          </w:tcPr>
          <w:p w14:paraId="38E0ECA2" w14:textId="77777777" w:rsidR="0003217D" w:rsidRPr="003A6E5A" w:rsidRDefault="00FC275D" w:rsidP="001608EA">
            <w:pPr>
              <w:pStyle w:val="aa"/>
              <w:spacing w:beforeAutospacing="0" w:after="0" w:afterAutospacing="0" w:line="240" w:lineRule="auto"/>
              <w:rPr>
                <w:sz w:val="20"/>
                <w:szCs w:val="20"/>
                <w:lang w:val="kk-KZ"/>
              </w:rPr>
            </w:pPr>
            <w:r w:rsidRPr="003A6E5A">
              <w:rPr>
                <w:sz w:val="20"/>
                <w:szCs w:val="20"/>
                <w:shd w:val="clear" w:color="auto" w:fill="FFFFFF"/>
              </w:rPr>
              <w:t>GIS-аналитика земельных участков</w:t>
            </w:r>
          </w:p>
        </w:tc>
        <w:tc>
          <w:tcPr>
            <w:tcW w:w="3993" w:type="dxa"/>
          </w:tcPr>
          <w:p w14:paraId="27E2E7B5"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lang w:val="ru-RU"/>
              </w:rPr>
              <w:t>Данные о свободных землях с параметрами (площадь, инфраструктура)</w:t>
            </w:r>
          </w:p>
        </w:tc>
        <w:tc>
          <w:tcPr>
            <w:tcW w:w="3477" w:type="dxa"/>
          </w:tcPr>
          <w:p w14:paraId="46DFD0F6"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rPr>
              <w:t xml:space="preserve">Интеграция с ГИС </w:t>
            </w:r>
            <w:r w:rsidRPr="003A6E5A">
              <w:rPr>
                <w:sz w:val="20"/>
                <w:szCs w:val="20"/>
                <w:shd w:val="clear" w:color="auto" w:fill="FFFFFF"/>
                <w:lang w:val="ru-RU"/>
              </w:rPr>
              <w:t>«</w:t>
            </w:r>
            <w:r w:rsidRPr="003A6E5A">
              <w:rPr>
                <w:sz w:val="20"/>
                <w:szCs w:val="20"/>
                <w:shd w:val="clear" w:color="auto" w:fill="FFFFFF"/>
              </w:rPr>
              <w:t>ҚазАналитика</w:t>
            </w:r>
            <w:r w:rsidRPr="003A6E5A">
              <w:rPr>
                <w:sz w:val="20"/>
                <w:szCs w:val="20"/>
                <w:shd w:val="clear" w:color="auto" w:fill="FFFFFF"/>
                <w:lang w:val="ru-RU"/>
              </w:rPr>
              <w:t>»</w:t>
            </w:r>
          </w:p>
        </w:tc>
      </w:tr>
      <w:tr w:rsidR="00B02CF8" w:rsidRPr="003A6E5A" w14:paraId="4C515D72" w14:textId="77777777">
        <w:tc>
          <w:tcPr>
            <w:tcW w:w="9592" w:type="dxa"/>
            <w:gridSpan w:val="3"/>
          </w:tcPr>
          <w:p w14:paraId="70BAE0DC" w14:textId="77777777" w:rsidR="0003217D" w:rsidRPr="003A6E5A" w:rsidRDefault="00FC275D" w:rsidP="001608EA">
            <w:pPr>
              <w:pStyle w:val="aa"/>
              <w:spacing w:beforeAutospacing="0" w:after="0" w:afterAutospacing="0" w:line="240" w:lineRule="auto"/>
              <w:jc w:val="center"/>
              <w:rPr>
                <w:b/>
                <w:bCs/>
                <w:i/>
                <w:iCs/>
                <w:sz w:val="20"/>
                <w:szCs w:val="20"/>
                <w:lang w:val="ru-RU"/>
              </w:rPr>
            </w:pPr>
            <w:r w:rsidRPr="003A6E5A">
              <w:rPr>
                <w:rStyle w:val="ab"/>
                <w:b w:val="0"/>
                <w:bCs w:val="0"/>
                <w:i/>
                <w:iCs/>
                <w:sz w:val="20"/>
                <w:szCs w:val="20"/>
                <w:shd w:val="clear" w:color="auto" w:fill="FFFFFF"/>
              </w:rPr>
              <w:t>Финансовая поддержка</w:t>
            </w:r>
          </w:p>
        </w:tc>
      </w:tr>
      <w:tr w:rsidR="00B02CF8" w:rsidRPr="003A6E5A" w14:paraId="338C7427" w14:textId="77777777" w:rsidTr="007A319C">
        <w:tc>
          <w:tcPr>
            <w:tcW w:w="2122" w:type="dxa"/>
          </w:tcPr>
          <w:p w14:paraId="687AAC43" w14:textId="77777777" w:rsidR="0003217D" w:rsidRPr="003A6E5A" w:rsidRDefault="00FC275D" w:rsidP="001608EA">
            <w:pPr>
              <w:pStyle w:val="ds-markdown-paragraph"/>
              <w:shd w:val="clear" w:color="auto" w:fill="FFFFFF"/>
              <w:spacing w:before="0" w:beforeAutospacing="0" w:after="0" w:afterAutospacing="0"/>
              <w:rPr>
                <w:sz w:val="20"/>
                <w:szCs w:val="20"/>
              </w:rPr>
            </w:pPr>
            <w:r w:rsidRPr="003A6E5A">
              <w:rPr>
                <w:sz w:val="20"/>
                <w:szCs w:val="20"/>
              </w:rPr>
              <w:t xml:space="preserve">Налоговые льготы применяются для проектов (включенных в перечень приоритетных видов деятельности и с объемом инвестиций от 2 млн МРП </w:t>
            </w:r>
          </w:p>
        </w:tc>
        <w:tc>
          <w:tcPr>
            <w:tcW w:w="3993" w:type="dxa"/>
          </w:tcPr>
          <w:p w14:paraId="452F7BFA" w14:textId="77777777" w:rsidR="0003217D" w:rsidRPr="003A6E5A" w:rsidRDefault="00FC275D" w:rsidP="001608EA">
            <w:pPr>
              <w:pStyle w:val="aa"/>
              <w:spacing w:beforeAutospacing="0" w:after="0" w:afterAutospacing="0" w:line="240" w:lineRule="auto"/>
              <w:rPr>
                <w:b/>
                <w:bCs/>
                <w:sz w:val="20"/>
                <w:szCs w:val="20"/>
                <w:shd w:val="clear" w:color="auto" w:fill="FFFFFF"/>
                <w:lang w:val="ru-RU"/>
              </w:rPr>
            </w:pPr>
            <w:r w:rsidRPr="003A6E5A">
              <w:rPr>
                <w:rStyle w:val="ab"/>
                <w:b w:val="0"/>
                <w:bCs w:val="0"/>
                <w:sz w:val="20"/>
                <w:szCs w:val="20"/>
                <w:shd w:val="clear" w:color="auto" w:fill="FFFFFF"/>
                <w:lang w:val="ru-RU"/>
              </w:rPr>
              <w:t>КПН</w:t>
            </w:r>
            <w:r w:rsidRPr="003A6E5A">
              <w:rPr>
                <w:b/>
                <w:bCs/>
                <w:sz w:val="20"/>
                <w:szCs w:val="20"/>
                <w:shd w:val="clear" w:color="auto" w:fill="FFFFFF"/>
                <w:lang w:val="ru-RU"/>
              </w:rPr>
              <w:t xml:space="preserve">: </w:t>
            </w:r>
            <w:r w:rsidRPr="003A6E5A">
              <w:rPr>
                <w:sz w:val="20"/>
                <w:szCs w:val="20"/>
                <w:shd w:val="clear" w:color="auto" w:fill="FFFFFF"/>
                <w:lang w:val="ru-RU"/>
              </w:rPr>
              <w:t>100% освобождение</w:t>
            </w:r>
          </w:p>
          <w:p w14:paraId="49B40667" w14:textId="77777777" w:rsidR="0003217D" w:rsidRPr="003A6E5A" w:rsidRDefault="00FC275D" w:rsidP="001608EA">
            <w:pPr>
              <w:pStyle w:val="aa"/>
              <w:spacing w:beforeAutospacing="0" w:after="0" w:afterAutospacing="0" w:line="240" w:lineRule="auto"/>
              <w:rPr>
                <w:b/>
                <w:bCs/>
                <w:sz w:val="20"/>
                <w:szCs w:val="20"/>
                <w:shd w:val="clear" w:color="auto" w:fill="FFFFFF"/>
                <w:lang w:val="ru-RU"/>
              </w:rPr>
            </w:pPr>
            <w:r w:rsidRPr="003A6E5A">
              <w:rPr>
                <w:rStyle w:val="ab"/>
                <w:b w:val="0"/>
                <w:bCs w:val="0"/>
                <w:sz w:val="20"/>
                <w:szCs w:val="20"/>
                <w:shd w:val="clear" w:color="auto" w:fill="FFFFFF"/>
                <w:lang w:val="ru-RU"/>
              </w:rPr>
              <w:t>Земельный налог</w:t>
            </w:r>
            <w:r w:rsidRPr="003A6E5A">
              <w:rPr>
                <w:b/>
                <w:bCs/>
                <w:sz w:val="20"/>
                <w:szCs w:val="20"/>
                <w:shd w:val="clear" w:color="auto" w:fill="FFFFFF"/>
                <w:lang w:val="ru-RU"/>
              </w:rPr>
              <w:t xml:space="preserve">: </w:t>
            </w:r>
            <w:r w:rsidRPr="003A6E5A">
              <w:rPr>
                <w:sz w:val="20"/>
                <w:szCs w:val="20"/>
                <w:shd w:val="clear" w:color="auto" w:fill="FFFFFF"/>
                <w:lang w:val="ru-RU"/>
              </w:rPr>
              <w:t>коэффициент 0</w:t>
            </w:r>
          </w:p>
          <w:p w14:paraId="1A667C6E" w14:textId="77777777" w:rsidR="0003217D" w:rsidRPr="003A6E5A" w:rsidRDefault="00FC275D" w:rsidP="001608EA">
            <w:pPr>
              <w:pStyle w:val="aa"/>
              <w:spacing w:beforeAutospacing="0" w:after="0" w:afterAutospacing="0" w:line="240" w:lineRule="auto"/>
              <w:rPr>
                <w:sz w:val="20"/>
                <w:szCs w:val="20"/>
                <w:lang w:val="ru-RU"/>
              </w:rPr>
            </w:pPr>
            <w:r w:rsidRPr="003A6E5A">
              <w:rPr>
                <w:rStyle w:val="ab"/>
                <w:b w:val="0"/>
                <w:bCs w:val="0"/>
                <w:sz w:val="20"/>
                <w:szCs w:val="20"/>
                <w:shd w:val="clear" w:color="auto" w:fill="FFFFFF"/>
              </w:rPr>
              <w:t>Налог на имущество</w:t>
            </w:r>
            <w:r w:rsidRPr="003A6E5A">
              <w:rPr>
                <w:b/>
                <w:bCs/>
                <w:sz w:val="20"/>
                <w:szCs w:val="20"/>
                <w:shd w:val="clear" w:color="auto" w:fill="FFFFFF"/>
              </w:rPr>
              <w:t xml:space="preserve">: </w:t>
            </w:r>
            <w:r w:rsidRPr="003A6E5A">
              <w:rPr>
                <w:sz w:val="20"/>
                <w:szCs w:val="20"/>
                <w:shd w:val="clear" w:color="auto" w:fill="FFFFFF"/>
              </w:rPr>
              <w:t>ставка 0%</w:t>
            </w:r>
          </w:p>
        </w:tc>
        <w:tc>
          <w:tcPr>
            <w:tcW w:w="3477" w:type="dxa"/>
          </w:tcPr>
          <w:p w14:paraId="68C047B9"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lang w:val="ru-RU"/>
              </w:rPr>
              <w:t>Срок действия льгот: до 10 лет</w:t>
            </w:r>
          </w:p>
        </w:tc>
      </w:tr>
      <w:tr w:rsidR="00B02CF8" w:rsidRPr="003A6E5A" w14:paraId="021764FD" w14:textId="77777777" w:rsidTr="007A319C">
        <w:tc>
          <w:tcPr>
            <w:tcW w:w="2122" w:type="dxa"/>
          </w:tcPr>
          <w:p w14:paraId="2E50BDE2" w14:textId="77777777" w:rsidR="0003217D" w:rsidRPr="003A6E5A" w:rsidRDefault="00FC275D" w:rsidP="001608EA">
            <w:pPr>
              <w:pStyle w:val="aa"/>
              <w:spacing w:beforeAutospacing="0" w:after="0" w:afterAutospacing="0" w:line="240" w:lineRule="auto"/>
              <w:jc w:val="left"/>
              <w:rPr>
                <w:sz w:val="20"/>
                <w:szCs w:val="20"/>
                <w:lang w:val="ru-RU"/>
              </w:rPr>
            </w:pPr>
            <w:r w:rsidRPr="003A6E5A">
              <w:rPr>
                <w:sz w:val="20"/>
                <w:szCs w:val="20"/>
                <w:shd w:val="clear" w:color="auto" w:fill="FFFFFF"/>
              </w:rPr>
              <w:t>Субсидирование</w:t>
            </w:r>
            <w:r w:rsidRPr="003A6E5A">
              <w:rPr>
                <w:sz w:val="20"/>
                <w:szCs w:val="20"/>
                <w:shd w:val="clear" w:color="auto" w:fill="FFFFFF"/>
                <w:lang w:val="ru-RU"/>
              </w:rPr>
              <w:t xml:space="preserve"> (проектов агропромышленности)</w:t>
            </w:r>
          </w:p>
        </w:tc>
        <w:tc>
          <w:tcPr>
            <w:tcW w:w="3993" w:type="dxa"/>
          </w:tcPr>
          <w:p w14:paraId="6A91460A" w14:textId="77777777" w:rsidR="0003217D" w:rsidRPr="003A6E5A" w:rsidRDefault="00FC275D" w:rsidP="001608EA">
            <w:pPr>
              <w:pStyle w:val="aa"/>
              <w:spacing w:beforeAutospacing="0" w:after="0" w:afterAutospacing="0" w:line="240" w:lineRule="auto"/>
              <w:rPr>
                <w:sz w:val="20"/>
                <w:szCs w:val="20"/>
                <w:shd w:val="clear" w:color="auto" w:fill="FFFFFF"/>
                <w:lang w:val="ru-RU"/>
              </w:rPr>
            </w:pPr>
            <w:r w:rsidRPr="003A6E5A">
              <w:rPr>
                <w:sz w:val="20"/>
                <w:szCs w:val="20"/>
                <w:shd w:val="clear" w:color="auto" w:fill="FFFFFF"/>
                <w:lang w:val="ru-RU"/>
              </w:rPr>
              <w:t>Компенсация до 30% затрат на:</w:t>
            </w:r>
          </w:p>
          <w:p w14:paraId="6238DDA6" w14:textId="77777777" w:rsidR="0003217D" w:rsidRPr="003A6E5A" w:rsidRDefault="00FC275D" w:rsidP="001608EA">
            <w:pPr>
              <w:pStyle w:val="aa"/>
              <w:spacing w:beforeAutospacing="0" w:after="0" w:afterAutospacing="0" w:line="240" w:lineRule="auto"/>
              <w:rPr>
                <w:sz w:val="20"/>
                <w:szCs w:val="20"/>
                <w:shd w:val="clear" w:color="auto" w:fill="FFFFFF"/>
                <w:lang w:val="ru-RU"/>
              </w:rPr>
            </w:pPr>
            <w:r w:rsidRPr="003A6E5A">
              <w:rPr>
                <w:sz w:val="20"/>
                <w:szCs w:val="20"/>
                <w:shd w:val="clear" w:color="auto" w:fill="FFFFFF"/>
                <w:lang w:val="ru-RU"/>
              </w:rPr>
              <w:t>Продвижение товаров на внешние рынки</w:t>
            </w:r>
          </w:p>
          <w:p w14:paraId="3A9C1859"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rPr>
              <w:t>Инновационную деятельность</w:t>
            </w:r>
          </w:p>
        </w:tc>
        <w:tc>
          <w:tcPr>
            <w:tcW w:w="3477" w:type="dxa"/>
          </w:tcPr>
          <w:p w14:paraId="115EEF84"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shd w:val="clear" w:color="auto" w:fill="FFFFFF"/>
                <w:lang w:val="ru-RU"/>
              </w:rPr>
              <w:t>В 2024 г.: 17 млрд тенге для агропроектов</w:t>
            </w:r>
          </w:p>
        </w:tc>
      </w:tr>
    </w:tbl>
    <w:p w14:paraId="5689DCB4" w14:textId="628E28C0" w:rsidR="0003217D" w:rsidRPr="003A6E5A" w:rsidRDefault="004C4949" w:rsidP="001608EA">
      <w:pPr>
        <w:spacing w:after="0" w:line="240" w:lineRule="auto"/>
        <w:jc w:val="both"/>
        <w:rPr>
          <w:rFonts w:ascii="Times New Roman" w:eastAsia="Times New Roman" w:hAnsi="Times New Roman" w:cs="Times New Roman"/>
          <w:sz w:val="20"/>
          <w:szCs w:val="20"/>
          <w:lang w:eastAsia="ru-RU"/>
        </w:rPr>
      </w:pPr>
      <w:r w:rsidRPr="003A6E5A">
        <w:rPr>
          <w:rFonts w:ascii="Times New Roman" w:hAnsi="Times New Roman" w:cs="Times New Roman"/>
          <w:sz w:val="20"/>
          <w:szCs w:val="20"/>
          <w:lang w:val="kk-KZ"/>
        </w:rPr>
        <w:t>Примечание: таблица составлена автором исследования</w:t>
      </w:r>
      <w:r w:rsidR="00FC275D" w:rsidRPr="003A6E5A">
        <w:rPr>
          <w:rFonts w:ascii="Times New Roman" w:hAnsi="Times New Roman" w:cs="Times New Roman"/>
          <w:sz w:val="20"/>
          <w:szCs w:val="20"/>
        </w:rPr>
        <w:t xml:space="preserve"> основе данных </w:t>
      </w:r>
      <w:bookmarkStart w:id="48" w:name="_Hlk214291950"/>
      <w:r w:rsidR="00FC275D" w:rsidRPr="003A6E5A">
        <w:rPr>
          <w:rFonts w:ascii="Times New Roman" w:hAnsi="Times New Roman" w:cs="Times New Roman"/>
          <w:sz w:val="20"/>
          <w:szCs w:val="20"/>
          <w:lang w:val="en-US"/>
        </w:rPr>
        <w:t>Kazakh</w:t>
      </w:r>
      <w:r w:rsidR="00FC275D" w:rsidRPr="003A6E5A">
        <w:rPr>
          <w:rFonts w:ascii="Times New Roman" w:hAnsi="Times New Roman" w:cs="Times New Roman"/>
          <w:sz w:val="20"/>
          <w:szCs w:val="20"/>
        </w:rPr>
        <w:t xml:space="preserve"> </w:t>
      </w:r>
      <w:r w:rsidR="00FC275D" w:rsidRPr="003A6E5A">
        <w:rPr>
          <w:rFonts w:ascii="Times New Roman" w:hAnsi="Times New Roman" w:cs="Times New Roman"/>
          <w:sz w:val="20"/>
          <w:szCs w:val="20"/>
          <w:lang w:val="en-US"/>
        </w:rPr>
        <w:t>Invest</w:t>
      </w:r>
      <w:bookmarkEnd w:id="48"/>
      <w:r w:rsidR="00F30397" w:rsidRPr="003A6E5A">
        <w:rPr>
          <w:rFonts w:ascii="Times New Roman" w:hAnsi="Times New Roman" w:cs="Times New Roman"/>
          <w:sz w:val="20"/>
          <w:szCs w:val="20"/>
        </w:rPr>
        <w:t xml:space="preserve"> [</w:t>
      </w:r>
      <w:r w:rsidR="00800641" w:rsidRPr="003A6E5A">
        <w:rPr>
          <w:rFonts w:ascii="Times New Roman" w:hAnsi="Times New Roman" w:cs="Times New Roman"/>
          <w:sz w:val="20"/>
          <w:szCs w:val="20"/>
        </w:rPr>
        <w:t>15</w:t>
      </w:r>
      <w:r w:rsidR="00C96643" w:rsidRPr="003A6E5A">
        <w:rPr>
          <w:rFonts w:ascii="Times New Roman" w:hAnsi="Times New Roman" w:cs="Times New Roman"/>
          <w:sz w:val="20"/>
          <w:szCs w:val="20"/>
        </w:rPr>
        <w:t>5</w:t>
      </w:r>
      <w:r w:rsidR="00F30397" w:rsidRPr="003A6E5A">
        <w:rPr>
          <w:rFonts w:ascii="Times New Roman" w:hAnsi="Times New Roman" w:cs="Times New Roman"/>
          <w:sz w:val="20"/>
          <w:szCs w:val="20"/>
        </w:rPr>
        <w:t>]</w:t>
      </w:r>
    </w:p>
    <w:p w14:paraId="0AD41093" w14:textId="77777777" w:rsidR="007E0AA9" w:rsidRPr="003A6E5A" w:rsidRDefault="007E0AA9" w:rsidP="00455C4A">
      <w:pPr>
        <w:spacing w:after="0" w:line="240" w:lineRule="auto"/>
        <w:jc w:val="both"/>
        <w:rPr>
          <w:rFonts w:ascii="Times New Roman" w:eastAsia="Times New Roman" w:hAnsi="Times New Roman" w:cs="Times New Roman"/>
          <w:sz w:val="28"/>
          <w:szCs w:val="28"/>
          <w:lang w:eastAsia="ru-RU"/>
        </w:rPr>
      </w:pPr>
    </w:p>
    <w:p w14:paraId="406C9CCC" w14:textId="4E436705" w:rsidR="007330E3" w:rsidRPr="003A6E5A" w:rsidRDefault="008B4413" w:rsidP="00455C4A">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lastRenderedPageBreak/>
        <w:t>Таким образом, Kazakh Invest трансформируется из традиционного инвестиционного агентства в комплексную институциональную платформу, которая</w:t>
      </w:r>
      <w:r w:rsidR="007E0AA9" w:rsidRPr="003A6E5A">
        <w:rPr>
          <w:rFonts w:ascii="Times New Roman" w:eastAsia="Times New Roman" w:hAnsi="Times New Roman" w:cs="Times New Roman"/>
          <w:sz w:val="28"/>
          <w:szCs w:val="28"/>
          <w:lang w:eastAsia="ru-RU"/>
        </w:rPr>
        <w:t xml:space="preserve"> </w:t>
      </w:r>
      <w:r w:rsidR="00455C4A" w:rsidRPr="003A6E5A">
        <w:rPr>
          <w:rFonts w:ascii="Times New Roman" w:eastAsia="Times New Roman" w:hAnsi="Times New Roman" w:cs="Times New Roman"/>
          <w:sz w:val="28"/>
          <w:szCs w:val="28"/>
          <w:lang w:eastAsia="ru-RU"/>
        </w:rPr>
        <w:t>представляет собой не просто агентство по продвижению инвестиционного имиджа Казахстана, но и современную институциональную платформу, объединяющую маркетинговые, аналитические и цифровые инструменты с целью повышения результативности национальной инвестиционной политики. Через такие решения как интерактивные карты, виртуальные туры, Investment Dashboard и поддержка проектов на всех стадиях, компания формирует инфраструктуру сопровождения, соответствующую международным стандартам. Например, по сопровождению проектов Kazakh Invest, в 2022 году при содействии обеспечен ввод в эксплуатацию 46 новых проектов с иностранным участием на общую сумму $4,1 млрд., с созданием более 6 тыс. рабочих мест, среди них стоит отметить и проекты реализованные с участием ЕС (таблица 2</w:t>
      </w:r>
      <w:r w:rsidR="00DA42F3" w:rsidRPr="003A6E5A">
        <w:rPr>
          <w:rFonts w:ascii="Times New Roman" w:eastAsia="Times New Roman" w:hAnsi="Times New Roman" w:cs="Times New Roman"/>
          <w:sz w:val="28"/>
          <w:szCs w:val="28"/>
          <w:lang w:eastAsia="ru-RU"/>
        </w:rPr>
        <w:t>4</w:t>
      </w:r>
      <w:r w:rsidR="00455C4A" w:rsidRPr="003A6E5A">
        <w:rPr>
          <w:rFonts w:ascii="Times New Roman" w:eastAsia="Times New Roman" w:hAnsi="Times New Roman" w:cs="Times New Roman"/>
          <w:sz w:val="28"/>
          <w:szCs w:val="28"/>
          <w:lang w:eastAsia="ru-RU"/>
        </w:rPr>
        <w:t>).</w:t>
      </w:r>
    </w:p>
    <w:p w14:paraId="45C0E21C" w14:textId="1A2DFA78" w:rsidR="00455C4A" w:rsidRPr="003A6E5A" w:rsidRDefault="00455C4A" w:rsidP="00455C4A">
      <w:pPr>
        <w:spacing w:after="0" w:line="240" w:lineRule="auto"/>
        <w:jc w:val="both"/>
        <w:rPr>
          <w:rFonts w:ascii="Times New Roman" w:eastAsia="Times New Roman" w:hAnsi="Times New Roman" w:cs="Times New Roman"/>
          <w:sz w:val="28"/>
          <w:szCs w:val="28"/>
          <w:lang w:eastAsia="ru-RU"/>
        </w:rPr>
      </w:pPr>
    </w:p>
    <w:p w14:paraId="70EE900D" w14:textId="3B859B1A" w:rsidR="00455C4A" w:rsidRPr="003A6E5A" w:rsidRDefault="00455C4A" w:rsidP="00455C4A">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Таблица 2</w:t>
      </w:r>
      <w:r w:rsidR="00DA42F3" w:rsidRPr="003A6E5A">
        <w:rPr>
          <w:rFonts w:ascii="Times New Roman" w:eastAsia="Times New Roman" w:hAnsi="Times New Roman" w:cs="Times New Roman"/>
          <w:sz w:val="28"/>
          <w:szCs w:val="28"/>
          <w:lang w:eastAsia="ru-RU"/>
        </w:rPr>
        <w:t>4</w:t>
      </w:r>
      <w:r w:rsidRPr="003A6E5A">
        <w:rPr>
          <w:rFonts w:ascii="Times New Roman" w:eastAsia="Times New Roman" w:hAnsi="Times New Roman" w:cs="Times New Roman"/>
          <w:sz w:val="28"/>
          <w:szCs w:val="28"/>
          <w:lang w:eastAsia="ru-RU"/>
        </w:rPr>
        <w:t>. Инвестиционные проекты стран Европейского Союза в Республике Казахстан в 2022 году</w:t>
      </w:r>
    </w:p>
    <w:tbl>
      <w:tblPr>
        <w:tblStyle w:val="ac"/>
        <w:tblW w:w="0" w:type="auto"/>
        <w:tblLook w:val="04A0" w:firstRow="1" w:lastRow="0" w:firstColumn="1" w:lastColumn="0" w:noHBand="0" w:noVBand="1"/>
      </w:tblPr>
      <w:tblGrid>
        <w:gridCol w:w="388"/>
        <w:gridCol w:w="1745"/>
        <w:gridCol w:w="976"/>
        <w:gridCol w:w="1609"/>
        <w:gridCol w:w="1317"/>
        <w:gridCol w:w="1055"/>
        <w:gridCol w:w="845"/>
        <w:gridCol w:w="1657"/>
      </w:tblGrid>
      <w:tr w:rsidR="00455C4A" w:rsidRPr="003A6E5A" w14:paraId="1545F7FD" w14:textId="77777777" w:rsidTr="00455C4A">
        <w:tc>
          <w:tcPr>
            <w:tcW w:w="388" w:type="dxa"/>
            <w:vAlign w:val="center"/>
          </w:tcPr>
          <w:p w14:paraId="6C66980C" w14:textId="6FD97580"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w:t>
            </w:r>
          </w:p>
        </w:tc>
        <w:tc>
          <w:tcPr>
            <w:tcW w:w="1745" w:type="dxa"/>
            <w:vAlign w:val="center"/>
          </w:tcPr>
          <w:p w14:paraId="36E3FD4B" w14:textId="047DB015"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Название проекта</w:t>
            </w:r>
          </w:p>
        </w:tc>
        <w:tc>
          <w:tcPr>
            <w:tcW w:w="976" w:type="dxa"/>
            <w:vAlign w:val="center"/>
          </w:tcPr>
          <w:p w14:paraId="637906AD" w14:textId="3875FE48"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Инвестор</w:t>
            </w:r>
          </w:p>
        </w:tc>
        <w:tc>
          <w:tcPr>
            <w:tcW w:w="1609" w:type="dxa"/>
            <w:vAlign w:val="center"/>
          </w:tcPr>
          <w:p w14:paraId="35021249" w14:textId="69E776A7"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Партнёрская организация со стороны РК</w:t>
            </w:r>
          </w:p>
        </w:tc>
        <w:tc>
          <w:tcPr>
            <w:tcW w:w="1317" w:type="dxa"/>
            <w:vAlign w:val="center"/>
          </w:tcPr>
          <w:p w14:paraId="2B844287" w14:textId="6FBFDB21"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Место реализации</w:t>
            </w:r>
          </w:p>
        </w:tc>
        <w:tc>
          <w:tcPr>
            <w:tcW w:w="1055" w:type="dxa"/>
            <w:vAlign w:val="center"/>
          </w:tcPr>
          <w:p w14:paraId="0BF8FDE0" w14:textId="7F0EAFA0"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Стоимость проекта, млн долларов США</w:t>
            </w:r>
          </w:p>
        </w:tc>
        <w:tc>
          <w:tcPr>
            <w:tcW w:w="845" w:type="dxa"/>
            <w:vAlign w:val="center"/>
          </w:tcPr>
          <w:p w14:paraId="6A304321" w14:textId="5D171D2D"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Кол-во рабочих мест</w:t>
            </w:r>
          </w:p>
        </w:tc>
        <w:tc>
          <w:tcPr>
            <w:tcW w:w="1657" w:type="dxa"/>
            <w:vAlign w:val="center"/>
          </w:tcPr>
          <w:p w14:paraId="588C3123" w14:textId="5AC73198" w:rsidR="00455C4A" w:rsidRPr="003A6E5A" w:rsidRDefault="00455C4A" w:rsidP="00455C4A">
            <w:pPr>
              <w:spacing w:after="0" w:line="240" w:lineRule="auto"/>
              <w:jc w:val="center"/>
              <w:rPr>
                <w:rFonts w:ascii="Times New Roman" w:eastAsia="Times New Roman" w:hAnsi="Times New Roman" w:cs="Times New Roman"/>
                <w:sz w:val="20"/>
                <w:szCs w:val="28"/>
                <w:lang w:eastAsia="ru-RU"/>
              </w:rPr>
            </w:pPr>
            <w:r w:rsidRPr="003A6E5A">
              <w:rPr>
                <w:rFonts w:ascii="Times New Roman" w:eastAsia="Times New Roman" w:hAnsi="Times New Roman" w:cs="Times New Roman"/>
                <w:b/>
                <w:bCs/>
                <w:sz w:val="20"/>
                <w:szCs w:val="24"/>
              </w:rPr>
              <w:t>Производственная мощность (в год)</w:t>
            </w:r>
          </w:p>
        </w:tc>
      </w:tr>
      <w:tr w:rsidR="00455C4A" w:rsidRPr="003A6E5A" w14:paraId="2C5C37F7" w14:textId="77777777" w:rsidTr="00455C4A">
        <w:tc>
          <w:tcPr>
            <w:tcW w:w="388" w:type="dxa"/>
            <w:vAlign w:val="center"/>
          </w:tcPr>
          <w:p w14:paraId="38476A72" w14:textId="26C683CA"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1</w:t>
            </w:r>
          </w:p>
        </w:tc>
        <w:tc>
          <w:tcPr>
            <w:tcW w:w="1745" w:type="dxa"/>
            <w:vAlign w:val="center"/>
          </w:tcPr>
          <w:p w14:paraId="26CB6079" w14:textId="28BAA19E"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Модернизация производства высококачественных строительных материалов</w:t>
            </w:r>
          </w:p>
        </w:tc>
        <w:tc>
          <w:tcPr>
            <w:tcW w:w="976" w:type="dxa"/>
            <w:vAlign w:val="center"/>
          </w:tcPr>
          <w:p w14:paraId="6340B941" w14:textId="1AD6FDF2"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Saint-Gobain</w:t>
            </w:r>
            <w:r w:rsidRPr="003A6E5A">
              <w:rPr>
                <w:rFonts w:ascii="Times New Roman" w:eastAsia="Times New Roman" w:hAnsi="Times New Roman" w:cs="Times New Roman"/>
                <w:sz w:val="20"/>
                <w:szCs w:val="24"/>
              </w:rPr>
              <w:t xml:space="preserve"> (Франция)</w:t>
            </w:r>
          </w:p>
        </w:tc>
        <w:tc>
          <w:tcPr>
            <w:tcW w:w="1609" w:type="dxa"/>
            <w:vAlign w:val="center"/>
          </w:tcPr>
          <w:p w14:paraId="450FCE67" w14:textId="44D8F4B2"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АО «Жамбыл Гипс»</w:t>
            </w:r>
          </w:p>
        </w:tc>
        <w:tc>
          <w:tcPr>
            <w:tcW w:w="1317" w:type="dxa"/>
            <w:vAlign w:val="center"/>
          </w:tcPr>
          <w:p w14:paraId="0A6E0C74" w14:textId="52302AF4"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Жамбылская область, г. Тараз, ул. Толе би, 246б</w:t>
            </w:r>
          </w:p>
        </w:tc>
        <w:tc>
          <w:tcPr>
            <w:tcW w:w="1055" w:type="dxa"/>
            <w:vAlign w:val="center"/>
          </w:tcPr>
          <w:p w14:paraId="3AE0791C" w14:textId="0D42D4A9"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15</w:t>
            </w:r>
          </w:p>
        </w:tc>
        <w:tc>
          <w:tcPr>
            <w:tcW w:w="845" w:type="dxa"/>
            <w:vAlign w:val="center"/>
          </w:tcPr>
          <w:p w14:paraId="5092FF23" w14:textId="3DECA481"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50</w:t>
            </w:r>
          </w:p>
        </w:tc>
        <w:tc>
          <w:tcPr>
            <w:tcW w:w="1657" w:type="dxa"/>
            <w:vAlign w:val="center"/>
          </w:tcPr>
          <w:p w14:paraId="3252C4FF" w14:textId="3A6FB956"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270 000 тонн продукции</w:t>
            </w:r>
          </w:p>
        </w:tc>
      </w:tr>
      <w:tr w:rsidR="00455C4A" w:rsidRPr="003A6E5A" w14:paraId="0EBF8482" w14:textId="77777777" w:rsidTr="00455C4A">
        <w:tc>
          <w:tcPr>
            <w:tcW w:w="388" w:type="dxa"/>
            <w:vAlign w:val="center"/>
          </w:tcPr>
          <w:p w14:paraId="68DBC396" w14:textId="6B25F53A"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2</w:t>
            </w:r>
          </w:p>
        </w:tc>
        <w:tc>
          <w:tcPr>
            <w:tcW w:w="1745" w:type="dxa"/>
            <w:vAlign w:val="center"/>
          </w:tcPr>
          <w:p w14:paraId="51EB4EEC" w14:textId="2A3D9BDF"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Производство тракторов и комбайнов «DEUTZ FAHR»</w:t>
            </w:r>
          </w:p>
        </w:tc>
        <w:tc>
          <w:tcPr>
            <w:tcW w:w="976" w:type="dxa"/>
            <w:vAlign w:val="center"/>
          </w:tcPr>
          <w:p w14:paraId="4B3F901F" w14:textId="18917FC6"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SDF Group</w:t>
            </w:r>
            <w:r w:rsidRPr="003A6E5A">
              <w:rPr>
                <w:rFonts w:ascii="Times New Roman" w:eastAsia="Times New Roman" w:hAnsi="Times New Roman" w:cs="Times New Roman"/>
                <w:sz w:val="20"/>
                <w:szCs w:val="24"/>
              </w:rPr>
              <w:t xml:space="preserve"> (Италия)</w:t>
            </w:r>
          </w:p>
        </w:tc>
        <w:tc>
          <w:tcPr>
            <w:tcW w:w="1609" w:type="dxa"/>
            <w:vAlign w:val="center"/>
          </w:tcPr>
          <w:p w14:paraId="6088CDAD" w14:textId="20DF8687"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АО «АгромашХолдинг KZ»</w:t>
            </w:r>
          </w:p>
        </w:tc>
        <w:tc>
          <w:tcPr>
            <w:tcW w:w="1317" w:type="dxa"/>
            <w:vAlign w:val="center"/>
          </w:tcPr>
          <w:p w14:paraId="7B474C92" w14:textId="3A38BA57"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Костанайская область</w:t>
            </w:r>
          </w:p>
        </w:tc>
        <w:tc>
          <w:tcPr>
            <w:tcW w:w="1055" w:type="dxa"/>
            <w:vAlign w:val="center"/>
          </w:tcPr>
          <w:p w14:paraId="79517E5D" w14:textId="37C372AB"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1</w:t>
            </w:r>
          </w:p>
        </w:tc>
        <w:tc>
          <w:tcPr>
            <w:tcW w:w="845" w:type="dxa"/>
            <w:vAlign w:val="center"/>
          </w:tcPr>
          <w:p w14:paraId="4669A368" w14:textId="298942C9"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120</w:t>
            </w:r>
          </w:p>
        </w:tc>
        <w:tc>
          <w:tcPr>
            <w:tcW w:w="1657" w:type="dxa"/>
            <w:vAlign w:val="center"/>
          </w:tcPr>
          <w:p w14:paraId="5DAE9CBA" w14:textId="11D3E2E7"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600 единиц техники</w:t>
            </w:r>
          </w:p>
        </w:tc>
      </w:tr>
      <w:tr w:rsidR="00455C4A" w:rsidRPr="003A6E5A" w14:paraId="2C9ECCDE" w14:textId="77777777" w:rsidTr="00455C4A">
        <w:tc>
          <w:tcPr>
            <w:tcW w:w="388" w:type="dxa"/>
            <w:vAlign w:val="center"/>
          </w:tcPr>
          <w:p w14:paraId="644B2925" w14:textId="08B46F25"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3</w:t>
            </w:r>
          </w:p>
        </w:tc>
        <w:tc>
          <w:tcPr>
            <w:tcW w:w="1745" w:type="dxa"/>
            <w:vAlign w:val="center"/>
          </w:tcPr>
          <w:p w14:paraId="327659F1" w14:textId="0D188CE6"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Сборка и частичное производство винтовых насосов</w:t>
            </w:r>
          </w:p>
        </w:tc>
        <w:tc>
          <w:tcPr>
            <w:tcW w:w="976" w:type="dxa"/>
            <w:vAlign w:val="center"/>
          </w:tcPr>
          <w:p w14:paraId="016542CE" w14:textId="01E21EB6"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PCM Europa S.A.S.</w:t>
            </w:r>
            <w:r w:rsidRPr="003A6E5A">
              <w:rPr>
                <w:rFonts w:ascii="Times New Roman" w:eastAsia="Times New Roman" w:hAnsi="Times New Roman" w:cs="Times New Roman"/>
                <w:sz w:val="20"/>
                <w:szCs w:val="24"/>
              </w:rPr>
              <w:t xml:space="preserve"> (Франция)</w:t>
            </w:r>
          </w:p>
        </w:tc>
        <w:tc>
          <w:tcPr>
            <w:tcW w:w="1609" w:type="dxa"/>
            <w:vAlign w:val="center"/>
          </w:tcPr>
          <w:p w14:paraId="24C07A8E" w14:textId="5AC0E6B6"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ТОО «PCM Kazakhstan»</w:t>
            </w:r>
          </w:p>
        </w:tc>
        <w:tc>
          <w:tcPr>
            <w:tcW w:w="1317" w:type="dxa"/>
            <w:vAlign w:val="center"/>
          </w:tcPr>
          <w:p w14:paraId="072A6964" w14:textId="355FAF9C"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Мангистауская область, г. Актау, Промзона №6, зд. 9</w:t>
            </w:r>
          </w:p>
        </w:tc>
        <w:tc>
          <w:tcPr>
            <w:tcW w:w="1055" w:type="dxa"/>
            <w:vAlign w:val="center"/>
          </w:tcPr>
          <w:p w14:paraId="0119CB1B" w14:textId="612D7CB7"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5</w:t>
            </w:r>
          </w:p>
        </w:tc>
        <w:tc>
          <w:tcPr>
            <w:tcW w:w="845" w:type="dxa"/>
            <w:vAlign w:val="center"/>
          </w:tcPr>
          <w:p w14:paraId="55917541" w14:textId="71AC9520"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20</w:t>
            </w:r>
          </w:p>
        </w:tc>
        <w:tc>
          <w:tcPr>
            <w:tcW w:w="1657" w:type="dxa"/>
            <w:vAlign w:val="center"/>
          </w:tcPr>
          <w:p w14:paraId="484C27C7" w14:textId="04E1EA49"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800 насосов и 200 приводов</w:t>
            </w:r>
          </w:p>
        </w:tc>
      </w:tr>
      <w:tr w:rsidR="00455C4A" w:rsidRPr="003A6E5A" w14:paraId="2A8DA5AB" w14:textId="77777777" w:rsidTr="00455C4A">
        <w:tc>
          <w:tcPr>
            <w:tcW w:w="388" w:type="dxa"/>
            <w:vAlign w:val="center"/>
          </w:tcPr>
          <w:p w14:paraId="632636BD" w14:textId="298F73EA"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5</w:t>
            </w:r>
          </w:p>
        </w:tc>
        <w:tc>
          <w:tcPr>
            <w:tcW w:w="1745" w:type="dxa"/>
            <w:vAlign w:val="center"/>
          </w:tcPr>
          <w:p w14:paraId="4C0EE58C" w14:textId="68A2888F"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Строительство ветровой электростанции на 48 МВт</w:t>
            </w:r>
          </w:p>
        </w:tc>
        <w:tc>
          <w:tcPr>
            <w:tcW w:w="976" w:type="dxa"/>
            <w:vAlign w:val="center"/>
          </w:tcPr>
          <w:p w14:paraId="7289137C" w14:textId="6B0B2F58" w:rsidR="00455C4A" w:rsidRPr="003A6E5A" w:rsidRDefault="00455C4A" w:rsidP="00455C4A">
            <w:pPr>
              <w:spacing w:after="0" w:line="240" w:lineRule="auto"/>
              <w:rPr>
                <w:rFonts w:ascii="Times New Roman" w:eastAsia="Times New Roman" w:hAnsi="Times New Roman" w:cs="Times New Roman"/>
                <w:sz w:val="20"/>
                <w:szCs w:val="28"/>
                <w:lang w:val="en-US" w:eastAsia="ru-RU"/>
              </w:rPr>
            </w:pPr>
            <w:r w:rsidRPr="003A6E5A">
              <w:rPr>
                <w:rFonts w:ascii="Times New Roman" w:eastAsia="Times New Roman" w:hAnsi="Times New Roman" w:cs="Times New Roman"/>
                <w:bCs/>
                <w:sz w:val="20"/>
                <w:szCs w:val="24"/>
                <w:lang w:val="en-US"/>
              </w:rPr>
              <w:t>ENI / General Electric</w:t>
            </w:r>
            <w:r w:rsidRPr="003A6E5A">
              <w:rPr>
                <w:rFonts w:ascii="Times New Roman" w:eastAsia="Times New Roman" w:hAnsi="Times New Roman" w:cs="Times New Roman"/>
                <w:sz w:val="20"/>
                <w:szCs w:val="24"/>
                <w:lang w:val="en-US"/>
              </w:rPr>
              <w:t xml:space="preserve"> (</w:t>
            </w:r>
            <w:r w:rsidRPr="003A6E5A">
              <w:rPr>
                <w:rFonts w:ascii="Times New Roman" w:eastAsia="Times New Roman" w:hAnsi="Times New Roman" w:cs="Times New Roman"/>
                <w:sz w:val="20"/>
                <w:szCs w:val="24"/>
              </w:rPr>
              <w:t>Италия</w:t>
            </w:r>
            <w:r w:rsidRPr="003A6E5A">
              <w:rPr>
                <w:rFonts w:ascii="Times New Roman" w:eastAsia="Times New Roman" w:hAnsi="Times New Roman" w:cs="Times New Roman"/>
                <w:sz w:val="20"/>
                <w:szCs w:val="24"/>
                <w:lang w:val="en-US"/>
              </w:rPr>
              <w:t xml:space="preserve"> / </w:t>
            </w:r>
            <w:r w:rsidRPr="003A6E5A">
              <w:rPr>
                <w:rFonts w:ascii="Times New Roman" w:eastAsia="Times New Roman" w:hAnsi="Times New Roman" w:cs="Times New Roman"/>
                <w:sz w:val="20"/>
                <w:szCs w:val="24"/>
              </w:rPr>
              <w:t>США</w:t>
            </w:r>
            <w:r w:rsidRPr="003A6E5A">
              <w:rPr>
                <w:rFonts w:ascii="Times New Roman" w:eastAsia="Times New Roman" w:hAnsi="Times New Roman" w:cs="Times New Roman"/>
                <w:sz w:val="20"/>
                <w:szCs w:val="24"/>
                <w:lang w:val="en-US"/>
              </w:rPr>
              <w:t>)</w:t>
            </w:r>
          </w:p>
        </w:tc>
        <w:tc>
          <w:tcPr>
            <w:tcW w:w="1609" w:type="dxa"/>
            <w:vAlign w:val="center"/>
          </w:tcPr>
          <w:p w14:paraId="0FBD5DE8" w14:textId="27242C65"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ТОО «Arm Wind»</w:t>
            </w:r>
          </w:p>
        </w:tc>
        <w:tc>
          <w:tcPr>
            <w:tcW w:w="1317" w:type="dxa"/>
            <w:vAlign w:val="center"/>
          </w:tcPr>
          <w:p w14:paraId="6EC84972" w14:textId="31C7E80C"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Актюбинская область, Каргалинский район, с. Бадамша</w:t>
            </w:r>
          </w:p>
        </w:tc>
        <w:tc>
          <w:tcPr>
            <w:tcW w:w="1055" w:type="dxa"/>
            <w:vAlign w:val="center"/>
          </w:tcPr>
          <w:p w14:paraId="14B69526" w14:textId="33F9F78C"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bCs/>
                <w:sz w:val="20"/>
                <w:szCs w:val="24"/>
              </w:rPr>
              <w:t>100</w:t>
            </w:r>
          </w:p>
        </w:tc>
        <w:tc>
          <w:tcPr>
            <w:tcW w:w="845" w:type="dxa"/>
            <w:vAlign w:val="center"/>
          </w:tcPr>
          <w:p w14:paraId="3B849AA9" w14:textId="5F4817B5"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30</w:t>
            </w:r>
          </w:p>
        </w:tc>
        <w:tc>
          <w:tcPr>
            <w:tcW w:w="1657" w:type="dxa"/>
            <w:vAlign w:val="center"/>
          </w:tcPr>
          <w:p w14:paraId="692E26A6" w14:textId="6BC269A5" w:rsidR="00455C4A" w:rsidRPr="003A6E5A" w:rsidRDefault="00455C4A" w:rsidP="00455C4A">
            <w:pPr>
              <w:spacing w:after="0" w:line="240" w:lineRule="auto"/>
              <w:rPr>
                <w:rFonts w:ascii="Times New Roman" w:eastAsia="Times New Roman" w:hAnsi="Times New Roman" w:cs="Times New Roman"/>
                <w:sz w:val="20"/>
                <w:szCs w:val="28"/>
                <w:lang w:eastAsia="ru-RU"/>
              </w:rPr>
            </w:pPr>
            <w:r w:rsidRPr="003A6E5A">
              <w:rPr>
                <w:rFonts w:ascii="Times New Roman" w:eastAsia="Times New Roman" w:hAnsi="Times New Roman" w:cs="Times New Roman"/>
                <w:sz w:val="20"/>
                <w:szCs w:val="24"/>
              </w:rPr>
              <w:t>48 МВт</w:t>
            </w:r>
          </w:p>
        </w:tc>
      </w:tr>
    </w:tbl>
    <w:p w14:paraId="4167DC2D" w14:textId="3FF45664" w:rsidR="00455C4A" w:rsidRPr="003A6E5A" w:rsidRDefault="00455C4A" w:rsidP="00297B39">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w:t>
      </w:r>
      <w:r w:rsidRPr="003A6E5A">
        <w:rPr>
          <w:rFonts w:ascii="Times New Roman" w:hAnsi="Times New Roman" w:cs="Times New Roman"/>
          <w:sz w:val="20"/>
          <w:szCs w:val="20"/>
          <w:lang w:val="kk-KZ"/>
        </w:rPr>
        <w:t>сделано</w:t>
      </w:r>
      <w:r w:rsidRPr="003A6E5A">
        <w:rPr>
          <w:rFonts w:ascii="Times New Roman" w:hAnsi="Times New Roman" w:cs="Times New Roman"/>
          <w:sz w:val="20"/>
          <w:szCs w:val="20"/>
        </w:rPr>
        <w:t xml:space="preserve"> автором на основе данных «Kazakh Invest»</w:t>
      </w:r>
      <w:r w:rsidR="00800641" w:rsidRPr="003A6E5A">
        <w:rPr>
          <w:rFonts w:ascii="Times New Roman" w:hAnsi="Times New Roman" w:cs="Times New Roman"/>
          <w:sz w:val="20"/>
          <w:szCs w:val="20"/>
        </w:rPr>
        <w:t xml:space="preserve"> [40]</w:t>
      </w:r>
    </w:p>
    <w:p w14:paraId="0ACB3CEB" w14:textId="77777777" w:rsidR="00455C4A" w:rsidRPr="003A6E5A" w:rsidRDefault="00455C4A" w:rsidP="00297B39">
      <w:pPr>
        <w:spacing w:after="0" w:line="240" w:lineRule="auto"/>
        <w:jc w:val="both"/>
        <w:rPr>
          <w:rFonts w:ascii="Times New Roman" w:eastAsia="Times New Roman" w:hAnsi="Times New Roman" w:cs="Times New Roman"/>
          <w:sz w:val="28"/>
          <w:szCs w:val="28"/>
          <w:lang w:eastAsia="ru-RU"/>
        </w:rPr>
      </w:pPr>
    </w:p>
    <w:p w14:paraId="19F0C02C" w14:textId="5B7479D7" w:rsidR="007A319C" w:rsidRPr="003A6E5A" w:rsidRDefault="007A319C" w:rsidP="007A319C">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Таблица 25 демонстрирует репрезентативную выборку, позволяющую идентифицировать ключевые качественные сдвиги в структуре ПИИ стран Европейского Союза в экономику Республики Казахстан. В отличие от исторически сложившейся сырьевой ориентации, представленные проекты сконцентрированы в секторах обрабатывающей промышленности и возобновляемой энергетики, что свидетельствует о переходе к модели технологически ориентированного индустриального развития, основанной на </w:t>
      </w:r>
      <w:r w:rsidRPr="003A6E5A">
        <w:rPr>
          <w:rFonts w:ascii="Times New Roman" w:eastAsia="Times New Roman" w:hAnsi="Times New Roman" w:cs="Times New Roman"/>
          <w:sz w:val="28"/>
          <w:szCs w:val="28"/>
          <w:lang w:eastAsia="ru-RU"/>
        </w:rPr>
        <w:lastRenderedPageBreak/>
        <w:t>интеграции в глобальные цепочки создания стоимости. Качественный аспект инвестиций подчеркивается участием глобальных технологических лидеров (Saint-Gobain, SDF Group, ENI/General Electric), чье присутствие генерирует положительные экстерналии, включая трансфер передовых производственных и экологических стандартов, а также формирование высококвалифицированного человеческого капитала.</w:t>
      </w:r>
    </w:p>
    <w:p w14:paraId="53E322F0" w14:textId="77777777" w:rsidR="007E0AA9" w:rsidRPr="003A6E5A" w:rsidRDefault="007A319C" w:rsidP="007E0AA9">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Однако количественный анализ выявляет противоречивую динамику. С одной стороны, наблюдается «синдром пилотных проектов»: при совокупном объеме инвестиций в 121 млн долларов США создается лишь 220 рабочих мест, что указывает на фрагментарный характер инвестиционной экспансии. С другой стороны, в 2023 году наблюдается значительная активность на переговорном уровне - «Kazakh Invest» подписала 14 ключевых меморандумов и соглашений на сумму 1 135 млн долл. США, а также 17 коммерческих соглашений с Францией на сумму свыше 1,4 млрд долл. США в таких стратегических областях, как зеленая энергетика, АПК и здравоохранение. Этот диссонанс между скромными текущими результатами и амбициозными перспективами </w:t>
      </w:r>
      <w:r w:rsidR="007E0AA9" w:rsidRPr="003A6E5A">
        <w:rPr>
          <w:rFonts w:ascii="Times New Roman" w:eastAsia="Times New Roman" w:hAnsi="Times New Roman" w:cs="Times New Roman"/>
          <w:sz w:val="28"/>
          <w:szCs w:val="28"/>
          <w:lang w:eastAsia="ru-RU"/>
        </w:rPr>
        <w:t>подчеркивает переходный характер современного этапа сотрудничества.</w:t>
      </w:r>
    </w:p>
    <w:p w14:paraId="58CEA8DC" w14:textId="7846A51F" w:rsidR="00D46310" w:rsidRPr="003A6E5A" w:rsidRDefault="007E0AA9" w:rsidP="007E0AA9">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В развитие этого тезиса следует отметить, что представленная выборка эмпирически подтверждает переход к качественно новой парадигме сотрудничества «Казахстан-ЕС»</w:t>
      </w:r>
      <w:r w:rsidR="007A319C" w:rsidRPr="003A6E5A">
        <w:rPr>
          <w:rFonts w:ascii="Times New Roman" w:eastAsia="Times New Roman" w:hAnsi="Times New Roman" w:cs="Times New Roman"/>
          <w:sz w:val="28"/>
          <w:szCs w:val="28"/>
          <w:lang w:eastAsia="ru-RU"/>
        </w:rPr>
        <w:t xml:space="preserve">, одновременно фиксируя ее незавершенность. Противоречие между ограниченными масштабами реализованных проектов и значительным объемом новых соглашений указывает на настоятельную необходимость перехода от точечных успехов к системной инвестиционной политике, способной трансформировать подписанные меморандумы в реальные производственные мощности. </w:t>
      </w:r>
      <w:r w:rsidR="00D46310" w:rsidRPr="003A6E5A">
        <w:rPr>
          <w:rFonts w:ascii="Times New Roman" w:eastAsia="Times New Roman" w:hAnsi="Times New Roman" w:cs="Times New Roman"/>
          <w:sz w:val="28"/>
          <w:szCs w:val="28"/>
          <w:lang w:eastAsia="ru-RU"/>
        </w:rPr>
        <w:t>Именно этот императив актуализирует поиск стратегических рамок, способных преодолеть фрагментарность. На этом фоне институциональные усилия Казахстана по привлечению инвестиций демонстрируют стремление к адаптации лучших зарубежных практик, и одним из наиболее релевантных инструментов представляется концепция «умной специализации» (smart specialization), разработанная Домиником Фораем [1</w:t>
      </w:r>
      <w:r w:rsidR="00800641" w:rsidRPr="003A6E5A">
        <w:rPr>
          <w:rFonts w:ascii="Times New Roman" w:eastAsia="Times New Roman" w:hAnsi="Times New Roman" w:cs="Times New Roman"/>
          <w:sz w:val="28"/>
          <w:szCs w:val="28"/>
          <w:lang w:eastAsia="ru-RU"/>
        </w:rPr>
        <w:t>5</w:t>
      </w:r>
      <w:r w:rsidR="00C96643" w:rsidRPr="003A6E5A">
        <w:rPr>
          <w:rFonts w:ascii="Times New Roman" w:eastAsia="Times New Roman" w:hAnsi="Times New Roman" w:cs="Times New Roman"/>
          <w:sz w:val="28"/>
          <w:szCs w:val="28"/>
          <w:lang w:eastAsia="ru-RU"/>
        </w:rPr>
        <w:t>6</w:t>
      </w:r>
      <w:r w:rsidR="00D46310" w:rsidRPr="003A6E5A">
        <w:rPr>
          <w:rFonts w:ascii="Times New Roman" w:eastAsia="Times New Roman" w:hAnsi="Times New Roman" w:cs="Times New Roman"/>
          <w:sz w:val="28"/>
          <w:szCs w:val="28"/>
          <w:lang w:eastAsia="ru-RU"/>
        </w:rPr>
        <w:t>]. Ключевая идея данной концепции, широко применяемой в ЕС [1</w:t>
      </w:r>
      <w:r w:rsidR="004B0DE6" w:rsidRPr="003A6E5A">
        <w:rPr>
          <w:rFonts w:ascii="Times New Roman" w:eastAsia="Times New Roman" w:hAnsi="Times New Roman" w:cs="Times New Roman"/>
          <w:sz w:val="28"/>
          <w:szCs w:val="28"/>
          <w:lang w:eastAsia="ru-RU"/>
        </w:rPr>
        <w:t>5</w:t>
      </w:r>
      <w:r w:rsidR="00C96643" w:rsidRPr="003A6E5A">
        <w:rPr>
          <w:rFonts w:ascii="Times New Roman" w:eastAsia="Times New Roman" w:hAnsi="Times New Roman" w:cs="Times New Roman"/>
          <w:sz w:val="28"/>
          <w:szCs w:val="28"/>
          <w:lang w:eastAsia="ru-RU"/>
        </w:rPr>
        <w:t>7</w:t>
      </w:r>
      <w:r w:rsidR="00D46310" w:rsidRPr="003A6E5A">
        <w:rPr>
          <w:rFonts w:ascii="Times New Roman" w:eastAsia="Times New Roman" w:hAnsi="Times New Roman" w:cs="Times New Roman"/>
          <w:sz w:val="28"/>
          <w:szCs w:val="28"/>
          <w:lang w:eastAsia="ru-RU"/>
        </w:rPr>
        <w:t xml:space="preserve">], заключается в отказе от универсальных подходов в пользу выявления и поддержки уникальных конкурентных преимуществ регионов. Это предполагает не просто привлечение отдельных проектов, а формирование целостной инновационной экосистемы, основанной на глубокой оценке научного и предпринимательского потенциала и эффективной координации между университетами, бизнесом и государством </w:t>
      </w:r>
      <w:r w:rsidR="00B9136C" w:rsidRPr="003A6E5A">
        <w:rPr>
          <w:rFonts w:ascii="Times New Roman" w:eastAsia="Times New Roman" w:hAnsi="Times New Roman" w:cs="Times New Roman"/>
          <w:sz w:val="28"/>
          <w:szCs w:val="28"/>
          <w:lang w:eastAsia="ru-RU"/>
        </w:rPr>
        <w:t>–</w:t>
      </w:r>
      <w:r w:rsidR="00D46310" w:rsidRPr="003A6E5A">
        <w:rPr>
          <w:rFonts w:ascii="Times New Roman" w:eastAsia="Times New Roman" w:hAnsi="Times New Roman" w:cs="Times New Roman"/>
          <w:sz w:val="28"/>
          <w:szCs w:val="28"/>
          <w:lang w:eastAsia="ru-RU"/>
        </w:rPr>
        <w:t xml:space="preserve"> по модели «тройной спирали» (Triple Helix). Таким образом, имплементация принципов «умной специализации» могла бы стать следующим логическим шагом для Казахстана, позволяющим трансформировать текущие точечные инвестиционные успехи в траекторию устойчивой структурной диверсификации экономики.</w:t>
      </w:r>
    </w:p>
    <w:p w14:paraId="6571C830" w14:textId="77777777" w:rsidR="007E0AA9" w:rsidRPr="003A6E5A" w:rsidRDefault="00FC275D" w:rsidP="007E0AA9">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В казахстанских реалиях элементы этой концепции уже частично интегрированы на платформе Kazakh Invest. Наиболее развернутая информация представлена по городу Астане, где сосредоточены ключевые кластеры, </w:t>
      </w:r>
      <w:r w:rsidRPr="003A6E5A">
        <w:rPr>
          <w:rFonts w:ascii="Times New Roman" w:eastAsia="Times New Roman" w:hAnsi="Times New Roman" w:cs="Times New Roman"/>
          <w:sz w:val="28"/>
          <w:szCs w:val="28"/>
          <w:lang w:eastAsia="ru-RU"/>
        </w:rPr>
        <w:lastRenderedPageBreak/>
        <w:t xml:space="preserve">технопарки и пилотные проекты в сфере цифровой экономики. Однако в большинстве других регионов подход к специализации остаётся фрагментарным: информация либо недостаточно структурирована, либо неактуальна, что </w:t>
      </w:r>
      <w:r w:rsidR="007E0AA9" w:rsidRPr="003A6E5A">
        <w:rPr>
          <w:rFonts w:ascii="Times New Roman" w:eastAsia="Times New Roman" w:hAnsi="Times New Roman" w:cs="Times New Roman"/>
          <w:sz w:val="28"/>
          <w:szCs w:val="28"/>
          <w:lang w:eastAsia="ru-RU"/>
        </w:rPr>
        <w:t>сдерживает развитие инновационной политики на национальном уровне.</w:t>
      </w:r>
    </w:p>
    <w:p w14:paraId="7ECF22FF" w14:textId="6A6C0D34" w:rsidR="0003217D" w:rsidRPr="003A6E5A" w:rsidRDefault="007E0AA9" w:rsidP="007E0AA9">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Рассмотренные механизмы создают основу для формирования комплексного ответа на эти вызовы. Предложенные нами приоритетные меры институционального реформирования (таблица 25) представляют собой комплексную стратегию</w:t>
      </w:r>
      <w:r w:rsidR="00FC275D" w:rsidRPr="003A6E5A">
        <w:rPr>
          <w:rFonts w:ascii="Times New Roman" w:hAnsi="Times New Roman" w:cs="Times New Roman"/>
          <w:sz w:val="28"/>
          <w:szCs w:val="28"/>
          <w:shd w:val="clear" w:color="auto" w:fill="FFFFFF"/>
        </w:rPr>
        <w:t xml:space="preserve"> «умной специализации» в Казахстане, многие регионы пока не готовы к их полноценной реализации из-за ряда </w:t>
      </w:r>
      <w:r w:rsidR="00FC275D" w:rsidRPr="003A6E5A">
        <w:rPr>
          <w:rFonts w:ascii="Times New Roman" w:hAnsi="Times New Roman" w:cs="Times New Roman"/>
          <w:sz w:val="28"/>
          <w:szCs w:val="28"/>
        </w:rPr>
        <w:t>институционально-информационных ограничений:</w:t>
      </w:r>
    </w:p>
    <w:p w14:paraId="6B7E8346"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 xml:space="preserve">– </w:t>
      </w:r>
      <w:r w:rsidRPr="003A6E5A">
        <w:rPr>
          <w:rStyle w:val="ab"/>
          <w:b w:val="0"/>
          <w:bCs w:val="0"/>
          <w:sz w:val="28"/>
          <w:szCs w:val="28"/>
          <w:lang w:val="ru-RU"/>
        </w:rPr>
        <w:t>отсутствие рейтинга инвестиционной привлекательности регионов</w:t>
      </w:r>
      <w:r w:rsidRPr="003A6E5A">
        <w:rPr>
          <w:sz w:val="28"/>
          <w:szCs w:val="28"/>
          <w:lang w:val="ru-RU"/>
        </w:rPr>
        <w:t>, несмотря на прямое указание в Концепции инвестиционной политики до 2029 года, существенно снижает потенциал межрегионального сопоставления и институциональной конкуренции. Это ограничивает возможности бенчмаркинга и тормозит репликацию успешных управленческих практик;</w:t>
      </w:r>
    </w:p>
    <w:p w14:paraId="6F7F1155"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 xml:space="preserve">– </w:t>
      </w:r>
      <w:r w:rsidRPr="003A6E5A">
        <w:rPr>
          <w:rStyle w:val="ab"/>
          <w:b w:val="0"/>
          <w:bCs w:val="0"/>
          <w:sz w:val="28"/>
          <w:szCs w:val="28"/>
          <w:lang w:val="ru-RU"/>
        </w:rPr>
        <w:t>фрагментарная реализация отраслевого и регионального подхода</w:t>
      </w:r>
      <w:r w:rsidRPr="003A6E5A">
        <w:rPr>
          <w:sz w:val="28"/>
          <w:szCs w:val="28"/>
          <w:lang w:val="ru-RU"/>
        </w:rPr>
        <w:t xml:space="preserve">, декларированного в стратегических документах. На практике он частично реализуется только в Алматы и Астане, в других регионах системная интеграция отраслевых приоритетов отсутствует или представлена частично; </w:t>
      </w:r>
    </w:p>
    <w:p w14:paraId="78C8E249"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w:t>
      </w:r>
      <w:r w:rsidRPr="003A6E5A">
        <w:rPr>
          <w:rStyle w:val="ab"/>
          <w:b w:val="0"/>
          <w:bCs w:val="0"/>
          <w:sz w:val="28"/>
          <w:szCs w:val="28"/>
          <w:lang w:val="ru-RU"/>
        </w:rPr>
        <w:t xml:space="preserve"> низкая частота обновления информации</w:t>
      </w:r>
      <w:r w:rsidRPr="003A6E5A">
        <w:rPr>
          <w:sz w:val="28"/>
          <w:szCs w:val="28"/>
          <w:lang w:val="ru-RU"/>
        </w:rPr>
        <w:t xml:space="preserve"> на цифровых платформах (в большинстве случаев информация только до 2023 года), противоречащая принципам гибкого управления.</w:t>
      </w:r>
    </w:p>
    <w:p w14:paraId="4D9E06D3"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 xml:space="preserve">Кроме того, несмотря на институциональные достижения, концептуальной уязвимостью остаётся </w:t>
      </w:r>
      <w:r w:rsidRPr="003A6E5A">
        <w:rPr>
          <w:rStyle w:val="ab"/>
          <w:b w:val="0"/>
          <w:bCs w:val="0"/>
          <w:sz w:val="28"/>
          <w:szCs w:val="28"/>
          <w:lang w:val="ru-RU"/>
        </w:rPr>
        <w:t>отсутствие интеграции научно-исследовательских и опытно-конструкторских работ</w:t>
      </w:r>
      <w:r w:rsidRPr="003A6E5A">
        <w:rPr>
          <w:sz w:val="28"/>
          <w:szCs w:val="28"/>
          <w:lang w:val="ru-RU"/>
        </w:rPr>
        <w:t xml:space="preserve"> в логику инвестиционного управления. Ни структура ИПР, ни функционал инвестиционных штабов, ни система мониторинга не содержат компонентов, отражающих инновационный потенциал как один из драйверов капиталовложений.</w:t>
      </w:r>
    </w:p>
    <w:p w14:paraId="4278B3AE"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Здесь, по нашему мнению следует учесть эмпирические результаты, полученные в диссертационном исследовании на основе пространственно-временного анализа, которые подтверждают высокую значимость инновационных факторов:</w:t>
      </w:r>
    </w:p>
    <w:p w14:paraId="2B91EAAF"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 xml:space="preserve">– </w:t>
      </w:r>
      <w:r w:rsidRPr="003A6E5A">
        <w:rPr>
          <w:rStyle w:val="ab"/>
          <w:b w:val="0"/>
          <w:bCs w:val="0"/>
          <w:sz w:val="28"/>
          <w:szCs w:val="28"/>
          <w:lang w:val="ru-RU"/>
        </w:rPr>
        <w:t>увеличение внутренних затрат на НИОКР на 1% приводит к росту инвестиций в основной капитал в среднем на 0,088%</w:t>
      </w:r>
      <w:r w:rsidRPr="003A6E5A">
        <w:rPr>
          <w:sz w:val="28"/>
          <w:szCs w:val="28"/>
          <w:lang w:val="ru-RU"/>
        </w:rPr>
        <w:t xml:space="preserve"> при уровне значимости </w:t>
      </w:r>
      <w:r w:rsidRPr="003A6E5A">
        <w:rPr>
          <w:sz w:val="28"/>
          <w:szCs w:val="28"/>
        </w:rPr>
        <w:t>p</w:t>
      </w:r>
      <w:r w:rsidRPr="003A6E5A">
        <w:rPr>
          <w:sz w:val="28"/>
          <w:szCs w:val="28"/>
          <w:lang w:val="ru-RU"/>
        </w:rPr>
        <w:t xml:space="preserve"> &lt; 0,01;</w:t>
      </w:r>
    </w:p>
    <w:p w14:paraId="17E51890"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 xml:space="preserve">– </w:t>
      </w:r>
      <w:r w:rsidRPr="003A6E5A">
        <w:rPr>
          <w:rStyle w:val="ab"/>
          <w:b w:val="0"/>
          <w:bCs w:val="0"/>
          <w:sz w:val="28"/>
          <w:szCs w:val="28"/>
          <w:lang w:val="ru-RU"/>
        </w:rPr>
        <w:t>численность организаций, осуществляющих НИОКР</w:t>
      </w:r>
      <w:r w:rsidRPr="003A6E5A">
        <w:rPr>
          <w:sz w:val="28"/>
          <w:szCs w:val="28"/>
          <w:lang w:val="ru-RU"/>
        </w:rPr>
        <w:t>, оказывает положительное и статистически значимое влияние на инвестиционные потоки;</w:t>
      </w:r>
    </w:p>
    <w:p w14:paraId="4AEC0FBF" w14:textId="77777777" w:rsidR="0003217D" w:rsidRPr="003A6E5A" w:rsidRDefault="00FC275D" w:rsidP="001608EA">
      <w:pPr>
        <w:pStyle w:val="aa"/>
        <w:spacing w:beforeAutospacing="0" w:after="0" w:afterAutospacing="0" w:line="240" w:lineRule="auto"/>
        <w:ind w:firstLine="706"/>
        <w:jc w:val="both"/>
        <w:rPr>
          <w:sz w:val="28"/>
          <w:szCs w:val="28"/>
          <w:lang w:val="ru-RU"/>
        </w:rPr>
      </w:pPr>
      <w:r w:rsidRPr="003A6E5A">
        <w:rPr>
          <w:sz w:val="28"/>
          <w:szCs w:val="28"/>
          <w:lang w:val="ru-RU"/>
        </w:rPr>
        <w:t xml:space="preserve">– </w:t>
      </w:r>
      <w:r w:rsidRPr="003A6E5A">
        <w:rPr>
          <w:rStyle w:val="ab"/>
          <w:b w:val="0"/>
          <w:bCs w:val="0"/>
          <w:sz w:val="28"/>
          <w:szCs w:val="28"/>
          <w:lang w:val="ru-RU"/>
        </w:rPr>
        <w:t>ВРП на душу населения</w:t>
      </w:r>
      <w:r w:rsidRPr="003A6E5A">
        <w:rPr>
          <w:sz w:val="28"/>
          <w:szCs w:val="28"/>
          <w:lang w:val="ru-RU"/>
        </w:rPr>
        <w:t xml:space="preserve"> выступает устойчивым предиктором инвестиционной привлекательности, как отражение общего уровня развития территории.</w:t>
      </w:r>
    </w:p>
    <w:p w14:paraId="30E7C9E2" w14:textId="77777777" w:rsidR="007A319C" w:rsidRPr="003A6E5A" w:rsidRDefault="007A319C" w:rsidP="007A319C">
      <w:pPr>
        <w:pStyle w:val="aa"/>
        <w:spacing w:beforeAutospacing="0" w:after="0" w:afterAutospacing="0" w:line="240" w:lineRule="auto"/>
        <w:ind w:firstLine="709"/>
        <w:jc w:val="both"/>
        <w:rPr>
          <w:rFonts w:eastAsia="Times New Roman"/>
          <w:sz w:val="28"/>
          <w:szCs w:val="28"/>
          <w:lang w:val="ru-RU" w:eastAsia="ru-RU"/>
        </w:rPr>
      </w:pPr>
      <w:r w:rsidRPr="003A6E5A">
        <w:rPr>
          <w:rFonts w:eastAsia="Times New Roman"/>
          <w:sz w:val="28"/>
          <w:szCs w:val="28"/>
          <w:lang w:val="ru-RU" w:eastAsia="ru-RU"/>
        </w:rPr>
        <w:t xml:space="preserve">Эконометрическое моделирование подтверждает устойчивую связь между внутренними затратами на НИОКР и инвестиционной активностью. Это доказывает, что сектор исследований и разработок является не только </w:t>
      </w:r>
      <w:r w:rsidRPr="003A6E5A">
        <w:rPr>
          <w:rFonts w:eastAsia="Times New Roman"/>
          <w:sz w:val="28"/>
          <w:szCs w:val="28"/>
          <w:lang w:val="ru-RU" w:eastAsia="ru-RU"/>
        </w:rPr>
        <w:lastRenderedPageBreak/>
        <w:t>катализатором технологической модернизации, но и ключевым предиктором долгосрочного инвестиционного роста.</w:t>
      </w:r>
    </w:p>
    <w:p w14:paraId="05A44690" w14:textId="101D58B7" w:rsidR="007A319C" w:rsidRPr="003A6E5A" w:rsidRDefault="007A319C" w:rsidP="007A319C">
      <w:pPr>
        <w:pStyle w:val="aa"/>
        <w:spacing w:beforeAutospacing="0" w:after="0" w:afterAutospacing="0" w:line="240" w:lineRule="auto"/>
        <w:ind w:firstLine="709"/>
        <w:jc w:val="both"/>
        <w:rPr>
          <w:rFonts w:eastAsia="Times New Roman"/>
          <w:sz w:val="28"/>
          <w:szCs w:val="28"/>
          <w:lang w:val="ru-RU" w:eastAsia="ru-RU"/>
        </w:rPr>
      </w:pPr>
      <w:r w:rsidRPr="003A6E5A">
        <w:rPr>
          <w:rFonts w:eastAsia="Times New Roman"/>
          <w:sz w:val="28"/>
          <w:szCs w:val="28"/>
          <w:lang w:val="ru-RU" w:eastAsia="ru-RU"/>
        </w:rPr>
        <w:t>Особую актуальность в этом контексте приобретают фискальные стимулы для НИОКР. Согласно исследованию «Эрнст энд Янг», налоговые льготы были признаны респондентами одним из ключевых факторов привлечения прямых иностранных инвестиций (55 баллов из 100). Подобные меры создают институциональные предпосылки для притока капитала в инновационные проекты, что критически важно для развития ресурсодобывающих отраслей [1</w:t>
      </w:r>
      <w:r w:rsidR="00715DA8" w:rsidRPr="003A6E5A">
        <w:rPr>
          <w:rFonts w:eastAsia="Times New Roman"/>
          <w:sz w:val="28"/>
          <w:szCs w:val="28"/>
          <w:lang w:val="ru-RU" w:eastAsia="ru-RU"/>
        </w:rPr>
        <w:t>5</w:t>
      </w:r>
      <w:r w:rsidR="00C96643" w:rsidRPr="003A6E5A">
        <w:rPr>
          <w:rFonts w:eastAsia="Times New Roman"/>
          <w:sz w:val="28"/>
          <w:szCs w:val="28"/>
          <w:lang w:val="ru-RU" w:eastAsia="ru-RU"/>
        </w:rPr>
        <w:t>8</w:t>
      </w:r>
      <w:r w:rsidRPr="003A6E5A">
        <w:rPr>
          <w:rFonts w:eastAsia="Times New Roman"/>
          <w:sz w:val="28"/>
          <w:szCs w:val="28"/>
          <w:lang w:val="ru-RU" w:eastAsia="ru-RU"/>
        </w:rPr>
        <w:t>].</w:t>
      </w:r>
    </w:p>
    <w:p w14:paraId="0E5D0D1C" w14:textId="16A505BB" w:rsidR="00B6006E" w:rsidRPr="003A6E5A" w:rsidRDefault="00B6006E" w:rsidP="00B83221">
      <w:pPr>
        <w:pStyle w:val="aa"/>
        <w:spacing w:beforeAutospacing="0" w:after="0" w:afterAutospacing="0" w:line="240" w:lineRule="auto"/>
        <w:ind w:firstLine="709"/>
        <w:jc w:val="both"/>
        <w:rPr>
          <w:sz w:val="28"/>
          <w:szCs w:val="28"/>
          <w:lang w:val="ru-RU"/>
        </w:rPr>
      </w:pPr>
      <w:r w:rsidRPr="003A6E5A">
        <w:rPr>
          <w:sz w:val="28"/>
          <w:szCs w:val="28"/>
          <w:lang w:val="ru-RU"/>
        </w:rPr>
        <w:t>Однако положительное влияние фискальных стимулов во многом нивелируется существующими структурными дисфункциями национальной инновационной системы. Среди ключевых барьеров выделяются неразвитость инновационной инфраструктуры, сложности коммерциализации научных разработок, а также сохраняющаяся экономическая и политическая нестабильность, которые ограничивают отдачу от инвестиций и повышают риск их неэффективного распределения [</w:t>
      </w:r>
      <w:r w:rsidR="00C07C14" w:rsidRPr="003A6E5A">
        <w:rPr>
          <w:sz w:val="28"/>
          <w:szCs w:val="28"/>
          <w:lang w:val="ru-RU"/>
        </w:rPr>
        <w:t>1</w:t>
      </w:r>
      <w:r w:rsidR="00715DA8" w:rsidRPr="003A6E5A">
        <w:rPr>
          <w:sz w:val="28"/>
          <w:szCs w:val="28"/>
          <w:lang w:val="ru-RU"/>
        </w:rPr>
        <w:t>5</w:t>
      </w:r>
      <w:r w:rsidR="00C96643" w:rsidRPr="003A6E5A">
        <w:rPr>
          <w:sz w:val="28"/>
          <w:szCs w:val="28"/>
          <w:lang w:val="ru-RU"/>
        </w:rPr>
        <w:t>9</w:t>
      </w:r>
      <w:r w:rsidRPr="003A6E5A">
        <w:rPr>
          <w:sz w:val="28"/>
          <w:szCs w:val="28"/>
          <w:lang w:val="ru-RU"/>
        </w:rPr>
        <w:t>].</w:t>
      </w:r>
      <w:r w:rsidR="00B83221" w:rsidRPr="003A6E5A">
        <w:rPr>
          <w:sz w:val="28"/>
          <w:szCs w:val="28"/>
          <w:lang w:val="ru-RU"/>
        </w:rPr>
        <w:t xml:space="preserve"> </w:t>
      </w:r>
      <w:r w:rsidRPr="003A6E5A">
        <w:rPr>
          <w:sz w:val="28"/>
          <w:szCs w:val="28"/>
          <w:lang w:val="ru-RU"/>
        </w:rPr>
        <w:t>В то же время ряд факторов демонстрируют положительную динамику, укрепляющую технологическую и инвестиционную привлекательность Казахстана. К ним можно отнести наличие высокопроизводительных серверных мощностей, сравнительно низкие издержки на электроэнергию и благоприятные климатические условия, способствующие снижению затрат на охлаждение дата-центров [</w:t>
      </w:r>
      <w:r w:rsidR="00C07C14" w:rsidRPr="003A6E5A">
        <w:rPr>
          <w:sz w:val="28"/>
          <w:szCs w:val="28"/>
          <w:lang w:val="ru-RU"/>
        </w:rPr>
        <w:t>1</w:t>
      </w:r>
      <w:r w:rsidR="00C96643" w:rsidRPr="003A6E5A">
        <w:rPr>
          <w:sz w:val="28"/>
          <w:szCs w:val="28"/>
          <w:lang w:val="ru-RU"/>
        </w:rPr>
        <w:t>60</w:t>
      </w:r>
      <w:r w:rsidRPr="003A6E5A">
        <w:rPr>
          <w:sz w:val="28"/>
          <w:szCs w:val="28"/>
          <w:lang w:val="ru-RU"/>
        </w:rPr>
        <w:t>]. Эти преимущества позволяют формировать устойчивую базу для долгосрочного технологического развития и повышения конкурентоспособности национальной экономики.</w:t>
      </w:r>
    </w:p>
    <w:p w14:paraId="06D39639" w14:textId="6662C5A8" w:rsidR="00B83221" w:rsidRPr="003A6E5A" w:rsidRDefault="00B83221" w:rsidP="00B83221">
      <w:pPr>
        <w:spacing w:after="0" w:line="240" w:lineRule="auto"/>
        <w:ind w:firstLine="709"/>
        <w:jc w:val="both"/>
        <w:rPr>
          <w:rFonts w:ascii="Times New Roman" w:eastAsia="SimSun" w:hAnsi="Times New Roman" w:cs="Times New Roman"/>
          <w:sz w:val="28"/>
          <w:szCs w:val="28"/>
          <w:lang w:eastAsia="zh-CN"/>
        </w:rPr>
      </w:pPr>
      <w:r w:rsidRPr="003A6E5A">
        <w:rPr>
          <w:rFonts w:ascii="Times New Roman" w:eastAsia="SimSun" w:hAnsi="Times New Roman" w:cs="Times New Roman"/>
          <w:sz w:val="28"/>
          <w:szCs w:val="28"/>
          <w:lang w:eastAsia="zh-CN"/>
        </w:rPr>
        <w:t>Несмотря на признанную значимость фискальных стимулов, их практическая реализация наталкивается на ряд административных барьеров. Так, хотя 30 респондентов в исследовании EY отметили критическую важность налоговых льгот для НИОКР, параллельно была зафиксирована тенденция к усложнению процедур верификации соответствующих расходов [158]. Эта регуляторная избыточность порождает парадоксальную ситуацию: часть налогоплательщиков отказывается от использования предусмотренных законом вычетов, что в конечном итоге подрывает их финансовые возможности для реинвестирования в исследования и инновации.</w:t>
      </w:r>
      <w:r w:rsidR="00B64D51" w:rsidRPr="003A6E5A">
        <w:rPr>
          <w:rFonts w:ascii="Times New Roman" w:eastAsia="SimSun" w:hAnsi="Times New Roman" w:cs="Times New Roman"/>
          <w:sz w:val="28"/>
          <w:szCs w:val="28"/>
          <w:lang w:eastAsia="zh-CN"/>
        </w:rPr>
        <w:t xml:space="preserve"> </w:t>
      </w:r>
      <w:r w:rsidRPr="003A6E5A">
        <w:rPr>
          <w:rFonts w:ascii="Times New Roman" w:eastAsia="SimSun" w:hAnsi="Times New Roman" w:cs="Times New Roman"/>
          <w:sz w:val="28"/>
          <w:szCs w:val="28"/>
          <w:lang w:eastAsia="zh-CN"/>
        </w:rPr>
        <w:t>Следовательно, ключевой проблемой является системный разрыв между декларируемыми стратегическими целями и реальными административно-регуляторными практиками. Данное противоречие наглядно демонстрирует, что одних лишь финансовых стимулов (таких как налоговые льготы) недостаточно – они не работают в отрыве от преобразования самих институтов. Таким образом, для кардинального решения проблемы требуется не косметическая корректировка, а построение принципиально новой институциональной архитектуры инвестиционной политики. Логическим обоснованием для такого подхода служит идея, сформулированная Гэмелом и Прахаладом</w:t>
      </w:r>
      <w:r w:rsidR="00713581" w:rsidRPr="003A6E5A">
        <w:rPr>
          <w:rFonts w:ascii="Times New Roman" w:eastAsia="SimSun" w:hAnsi="Times New Roman" w:cs="Times New Roman"/>
          <w:sz w:val="28"/>
          <w:szCs w:val="28"/>
          <w:lang w:eastAsia="zh-CN"/>
        </w:rPr>
        <w:t xml:space="preserve"> [55]</w:t>
      </w:r>
      <w:r w:rsidRPr="003A6E5A">
        <w:rPr>
          <w:rFonts w:ascii="Times New Roman" w:eastAsia="SimSun" w:hAnsi="Times New Roman" w:cs="Times New Roman"/>
          <w:sz w:val="28"/>
          <w:szCs w:val="28"/>
          <w:lang w:eastAsia="zh-CN"/>
        </w:rPr>
        <w:t>: устойчивые конкурентные преимущества создаются не внешней поддержкой, а внутренними, уникальными и сложно воспроизводимыми компетенциями системы.</w:t>
      </w:r>
    </w:p>
    <w:p w14:paraId="148DAC5F" w14:textId="77777777" w:rsidR="00B83221" w:rsidRPr="003A6E5A" w:rsidRDefault="00B83221" w:rsidP="00B83221">
      <w:pPr>
        <w:spacing w:after="0" w:line="240" w:lineRule="auto"/>
        <w:ind w:firstLine="709"/>
        <w:jc w:val="both"/>
        <w:rPr>
          <w:rFonts w:ascii="Times New Roman" w:eastAsia="SimSun" w:hAnsi="Times New Roman" w:cs="Times New Roman"/>
          <w:sz w:val="28"/>
          <w:szCs w:val="28"/>
          <w:lang w:eastAsia="zh-CN"/>
        </w:rPr>
      </w:pPr>
      <w:r w:rsidRPr="003A6E5A">
        <w:rPr>
          <w:rFonts w:ascii="Times New Roman" w:eastAsia="SimSun" w:hAnsi="Times New Roman" w:cs="Times New Roman"/>
          <w:sz w:val="28"/>
          <w:szCs w:val="28"/>
          <w:lang w:eastAsia="zh-CN"/>
        </w:rPr>
        <w:lastRenderedPageBreak/>
        <w:t>Реализация этого подхода на практике означает, что институциональная архитектура должна играть роль стратегического каркаса. Такой каркас задает единый вектор для распределения ресурсов и целенаправленно формирует новые институциональные компетенции, которые обеспечат лидерство в долгосрочной перспективе.</w:t>
      </w:r>
    </w:p>
    <w:p w14:paraId="02AD9A96" w14:textId="77777777" w:rsidR="00B83221" w:rsidRPr="003A6E5A" w:rsidRDefault="00B83221" w:rsidP="00B83221">
      <w:pPr>
        <w:spacing w:after="0" w:line="240" w:lineRule="auto"/>
        <w:ind w:firstLine="709"/>
        <w:jc w:val="both"/>
        <w:rPr>
          <w:rFonts w:ascii="Times New Roman" w:eastAsia="SimSun" w:hAnsi="Times New Roman" w:cs="Times New Roman"/>
          <w:sz w:val="28"/>
          <w:szCs w:val="28"/>
          <w:lang w:eastAsia="zh-CN"/>
        </w:rPr>
      </w:pPr>
      <w:r w:rsidRPr="003A6E5A">
        <w:rPr>
          <w:rFonts w:ascii="Times New Roman" w:eastAsia="SimSun" w:hAnsi="Times New Roman" w:cs="Times New Roman"/>
          <w:sz w:val="28"/>
          <w:szCs w:val="28"/>
          <w:lang w:eastAsia="zh-CN"/>
        </w:rPr>
        <w:t>Исходя из данной концепции, приоритетными направлениями реформирования (см. таблицу 25) должны стать: устранение фрагментарности в координации субъектов инвестиционной политики, повышение качества мониторинга результативности мер поддержки, ускорение цифровизации административных процедур, а также укрепление инновационной ориентации управленческих механизмов. Именно последний аспект, связанный с эффективным использованием налоговых льгот, наиболее рельефно демонстрирует необходимость эволюции: перехода от формального стимулирования к созданию подлинно инновационной экосистемы.</w:t>
      </w:r>
    </w:p>
    <w:p w14:paraId="59101F84" w14:textId="77777777" w:rsidR="00B83221" w:rsidRPr="003A6E5A" w:rsidRDefault="00B83221" w:rsidP="00B83221">
      <w:pPr>
        <w:spacing w:after="0" w:line="240" w:lineRule="auto"/>
        <w:jc w:val="both"/>
        <w:rPr>
          <w:rFonts w:ascii="Times New Roman" w:eastAsia="SimSun" w:hAnsi="Times New Roman" w:cs="Times New Roman"/>
          <w:sz w:val="28"/>
          <w:szCs w:val="28"/>
          <w:lang w:eastAsia="zh-CN"/>
        </w:rPr>
      </w:pPr>
    </w:p>
    <w:p w14:paraId="10FD9A49" w14:textId="47795A40" w:rsidR="0003217D" w:rsidRPr="003A6E5A" w:rsidRDefault="00FC275D" w:rsidP="00B83221">
      <w:pPr>
        <w:spacing w:after="0" w:line="240" w:lineRule="auto"/>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Таблица </w:t>
      </w:r>
      <w:r w:rsidR="003D43A8" w:rsidRPr="003A6E5A">
        <w:rPr>
          <w:rFonts w:ascii="Times New Roman" w:eastAsia="Times New Roman" w:hAnsi="Times New Roman" w:cs="Times New Roman"/>
          <w:sz w:val="28"/>
          <w:szCs w:val="28"/>
          <w:lang w:val="kk-KZ" w:eastAsia="ru-RU"/>
        </w:rPr>
        <w:t>2</w:t>
      </w:r>
      <w:r w:rsidR="00DA42F3" w:rsidRPr="003A6E5A">
        <w:rPr>
          <w:rFonts w:ascii="Times New Roman" w:eastAsia="Times New Roman" w:hAnsi="Times New Roman" w:cs="Times New Roman"/>
          <w:sz w:val="28"/>
          <w:szCs w:val="28"/>
          <w:lang w:val="kk-KZ" w:eastAsia="ru-RU"/>
        </w:rPr>
        <w:t>5</w:t>
      </w:r>
      <w:r w:rsidRPr="003A6E5A">
        <w:rPr>
          <w:rFonts w:ascii="Times New Roman" w:eastAsia="Times New Roman" w:hAnsi="Times New Roman" w:cs="Times New Roman"/>
          <w:sz w:val="28"/>
          <w:szCs w:val="28"/>
          <w:lang w:eastAsia="ru-RU"/>
        </w:rPr>
        <w:t>. Приоритетные меры институционального реформирования</w:t>
      </w:r>
    </w:p>
    <w:tbl>
      <w:tblPr>
        <w:tblStyle w:val="ac"/>
        <w:tblW w:w="0" w:type="auto"/>
        <w:tblLook w:val="04A0" w:firstRow="1" w:lastRow="0" w:firstColumn="1" w:lastColumn="0" w:noHBand="0" w:noVBand="1"/>
      </w:tblPr>
      <w:tblGrid>
        <w:gridCol w:w="2405"/>
        <w:gridCol w:w="3989"/>
        <w:gridCol w:w="3198"/>
      </w:tblGrid>
      <w:tr w:rsidR="00B02CF8" w:rsidRPr="003A6E5A" w14:paraId="5B71FCB7" w14:textId="77777777" w:rsidTr="007A319C">
        <w:tc>
          <w:tcPr>
            <w:tcW w:w="2405" w:type="dxa"/>
          </w:tcPr>
          <w:p w14:paraId="6C14A5F4" w14:textId="77777777" w:rsidR="0003217D" w:rsidRPr="003A6E5A" w:rsidRDefault="00FC275D" w:rsidP="001608EA">
            <w:pPr>
              <w:pStyle w:val="aa"/>
              <w:spacing w:beforeAutospacing="0" w:after="0" w:afterAutospacing="0" w:line="240" w:lineRule="auto"/>
              <w:jc w:val="center"/>
              <w:rPr>
                <w:rFonts w:eastAsiaTheme="majorEastAsia"/>
                <w:b/>
                <w:bCs/>
                <w:sz w:val="20"/>
                <w:szCs w:val="20"/>
                <w:lang w:val="ru-RU" w:eastAsia="en-US"/>
              </w:rPr>
            </w:pPr>
            <w:r w:rsidRPr="003A6E5A">
              <w:rPr>
                <w:b/>
                <w:bCs/>
                <w:sz w:val="20"/>
                <w:szCs w:val="20"/>
                <w:lang w:val="ru-RU"/>
              </w:rPr>
              <w:t>Предлагаемые меры</w:t>
            </w:r>
          </w:p>
        </w:tc>
        <w:tc>
          <w:tcPr>
            <w:tcW w:w="3989" w:type="dxa"/>
          </w:tcPr>
          <w:p w14:paraId="6F2F6DC2" w14:textId="77777777" w:rsidR="0003217D" w:rsidRPr="003A6E5A" w:rsidRDefault="00FC275D" w:rsidP="001608EA">
            <w:pPr>
              <w:pStyle w:val="aa"/>
              <w:spacing w:beforeAutospacing="0" w:after="0" w:afterAutospacing="0" w:line="240" w:lineRule="auto"/>
              <w:jc w:val="center"/>
              <w:rPr>
                <w:rFonts w:eastAsiaTheme="majorEastAsia"/>
                <w:b/>
                <w:bCs/>
                <w:sz w:val="20"/>
                <w:szCs w:val="20"/>
                <w:lang w:val="ru-RU" w:eastAsia="en-US"/>
              </w:rPr>
            </w:pPr>
            <w:r w:rsidRPr="003A6E5A">
              <w:rPr>
                <w:b/>
                <w:bCs/>
                <w:sz w:val="20"/>
                <w:szCs w:val="20"/>
              </w:rPr>
              <w:t>Содержание меры</w:t>
            </w:r>
          </w:p>
        </w:tc>
        <w:tc>
          <w:tcPr>
            <w:tcW w:w="3198" w:type="dxa"/>
          </w:tcPr>
          <w:p w14:paraId="0992AFE1" w14:textId="77777777" w:rsidR="0003217D" w:rsidRPr="003A6E5A" w:rsidRDefault="00FC275D" w:rsidP="001608EA">
            <w:pPr>
              <w:pStyle w:val="aa"/>
              <w:spacing w:beforeAutospacing="0" w:after="0" w:afterAutospacing="0" w:line="240" w:lineRule="auto"/>
              <w:jc w:val="center"/>
              <w:rPr>
                <w:rFonts w:eastAsiaTheme="majorEastAsia"/>
                <w:b/>
                <w:bCs/>
                <w:sz w:val="20"/>
                <w:szCs w:val="20"/>
                <w:lang w:val="ru-RU" w:eastAsia="en-US"/>
              </w:rPr>
            </w:pPr>
            <w:r w:rsidRPr="003A6E5A">
              <w:rPr>
                <w:b/>
                <w:bCs/>
                <w:sz w:val="20"/>
                <w:szCs w:val="20"/>
              </w:rPr>
              <w:t>Ожидаемый эффект</w:t>
            </w:r>
          </w:p>
        </w:tc>
      </w:tr>
      <w:tr w:rsidR="00B02CF8" w:rsidRPr="003A6E5A" w14:paraId="01758888" w14:textId="77777777" w:rsidTr="007A319C">
        <w:tc>
          <w:tcPr>
            <w:tcW w:w="2405" w:type="dxa"/>
          </w:tcPr>
          <w:p w14:paraId="3EF8D83D"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Развитие концепции «умной специализации» (</w:t>
            </w:r>
            <w:r w:rsidRPr="003A6E5A">
              <w:rPr>
                <w:sz w:val="20"/>
                <w:szCs w:val="20"/>
              </w:rPr>
              <w:t>Smart</w:t>
            </w:r>
            <w:r w:rsidRPr="003A6E5A">
              <w:rPr>
                <w:sz w:val="20"/>
                <w:szCs w:val="20"/>
                <w:lang w:val="ru-RU"/>
              </w:rPr>
              <w:t xml:space="preserve"> </w:t>
            </w:r>
            <w:r w:rsidRPr="003A6E5A">
              <w:rPr>
                <w:sz w:val="20"/>
                <w:szCs w:val="20"/>
              </w:rPr>
              <w:t>Specialisation</w:t>
            </w:r>
            <w:r w:rsidRPr="003A6E5A">
              <w:rPr>
                <w:sz w:val="20"/>
                <w:szCs w:val="20"/>
                <w:lang w:val="ru-RU"/>
              </w:rPr>
              <w:t>)</w:t>
            </w:r>
          </w:p>
        </w:tc>
        <w:tc>
          <w:tcPr>
            <w:tcW w:w="3989" w:type="dxa"/>
          </w:tcPr>
          <w:p w14:paraId="6B8C7B3E"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 xml:space="preserve">Применение подхода </w:t>
            </w:r>
            <w:r w:rsidRPr="003A6E5A">
              <w:rPr>
                <w:sz w:val="20"/>
                <w:szCs w:val="20"/>
              </w:rPr>
              <w:t>Smart</w:t>
            </w:r>
            <w:r w:rsidRPr="003A6E5A">
              <w:rPr>
                <w:sz w:val="20"/>
                <w:szCs w:val="20"/>
                <w:lang w:val="ru-RU"/>
              </w:rPr>
              <w:t xml:space="preserve"> </w:t>
            </w:r>
            <w:r w:rsidRPr="003A6E5A">
              <w:rPr>
                <w:sz w:val="20"/>
                <w:szCs w:val="20"/>
              </w:rPr>
              <w:t>Specialisation</w:t>
            </w:r>
            <w:r w:rsidRPr="003A6E5A">
              <w:rPr>
                <w:sz w:val="20"/>
                <w:szCs w:val="20"/>
                <w:lang w:val="ru-RU"/>
              </w:rPr>
              <w:t xml:space="preserve"> при формировании региональных стратегий:</w:t>
            </w:r>
            <w:r w:rsidRPr="003A6E5A">
              <w:rPr>
                <w:sz w:val="20"/>
                <w:szCs w:val="20"/>
                <w:lang w:val="ru-RU"/>
              </w:rPr>
              <w:br/>
              <w:t>– выявление уникальных конкурентных преимуществ региона;</w:t>
            </w:r>
          </w:p>
          <w:p w14:paraId="0760E69F"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 концентрация ресурсов на приоритетных направлениях;</w:t>
            </w:r>
          </w:p>
          <w:p w14:paraId="2B7C2739"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 институционализация предпринимательского диалога</w:t>
            </w:r>
          </w:p>
        </w:tc>
        <w:tc>
          <w:tcPr>
            <w:tcW w:w="3198" w:type="dxa"/>
          </w:tcPr>
          <w:p w14:paraId="54F977CB"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Формирование устойчивых инвестиционно-инновационных кластеров, повышение эффективности использования ресурсов, развитие региональной специализации</w:t>
            </w:r>
          </w:p>
        </w:tc>
      </w:tr>
      <w:tr w:rsidR="00B02CF8" w:rsidRPr="003A6E5A" w14:paraId="0789EE92" w14:textId="77777777" w:rsidTr="007A319C">
        <w:tc>
          <w:tcPr>
            <w:tcW w:w="2405" w:type="dxa"/>
          </w:tcPr>
          <w:p w14:paraId="15037E75"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 xml:space="preserve">Разработка и внедрение </w:t>
            </w:r>
            <w:r w:rsidRPr="003A6E5A">
              <w:rPr>
                <w:rStyle w:val="ab"/>
                <w:b w:val="0"/>
                <w:bCs w:val="0"/>
                <w:sz w:val="20"/>
                <w:szCs w:val="20"/>
                <w:lang w:val="ru-RU"/>
              </w:rPr>
              <w:t>национального рейтинга инвестиционной привлекательности регионов</w:t>
            </w:r>
          </w:p>
        </w:tc>
        <w:tc>
          <w:tcPr>
            <w:tcW w:w="3989" w:type="dxa"/>
          </w:tcPr>
          <w:p w14:paraId="4217190F"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Формирование многофакторной модели оценки, включающей показатели:</w:t>
            </w:r>
          </w:p>
          <w:p w14:paraId="0B292F87"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 уровень развития инфраструктуры;</w:t>
            </w:r>
          </w:p>
          <w:p w14:paraId="46110C62"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 внутренние затраты на НИОКР;</w:t>
            </w:r>
          </w:p>
          <w:p w14:paraId="1714EA3D"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 административное регулирование и качество институтов;</w:t>
            </w:r>
          </w:p>
          <w:p w14:paraId="186AE973" w14:textId="77777777" w:rsidR="0003217D" w:rsidRPr="003A6E5A" w:rsidRDefault="00FC275D" w:rsidP="001608EA">
            <w:pPr>
              <w:pStyle w:val="aa"/>
              <w:spacing w:beforeAutospacing="0" w:after="0" w:afterAutospacing="0" w:line="240" w:lineRule="auto"/>
              <w:rPr>
                <w:sz w:val="20"/>
                <w:szCs w:val="20"/>
                <w:lang w:val="ru-RU"/>
              </w:rPr>
            </w:pPr>
            <w:r w:rsidRPr="003A6E5A">
              <w:rPr>
                <w:sz w:val="20"/>
                <w:szCs w:val="20"/>
                <w:lang w:val="ru-RU"/>
              </w:rPr>
              <w:t>– индекс делового доверия;</w:t>
            </w:r>
          </w:p>
          <w:p w14:paraId="588A9899" w14:textId="77777777" w:rsidR="0003217D" w:rsidRPr="003A6E5A" w:rsidRDefault="00FC275D" w:rsidP="001608EA">
            <w:pPr>
              <w:spacing w:after="0" w:line="240" w:lineRule="auto"/>
              <w:rPr>
                <w:rFonts w:ascii="Times New Roman" w:hAnsi="Times New Roman" w:cs="Times New Roman"/>
                <w:sz w:val="20"/>
                <w:szCs w:val="20"/>
              </w:rPr>
            </w:pPr>
            <w:r w:rsidRPr="003A6E5A">
              <w:rPr>
                <w:rFonts w:ascii="Times New Roman" w:hAnsi="Times New Roman" w:cs="Times New Roman"/>
                <w:sz w:val="20"/>
                <w:szCs w:val="20"/>
              </w:rPr>
              <w:t>– степень удовлетворённости инвесторов</w:t>
            </w:r>
          </w:p>
        </w:tc>
        <w:tc>
          <w:tcPr>
            <w:tcW w:w="3198" w:type="dxa"/>
          </w:tcPr>
          <w:p w14:paraId="580D0BC8"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Объективная основа для межрегионального бенчмаркинга, формирование здоровой конкуренции между регионами, стимулирование к улучшению инвестиционного климата</w:t>
            </w:r>
          </w:p>
        </w:tc>
      </w:tr>
      <w:tr w:rsidR="00B02CF8" w:rsidRPr="003A6E5A" w14:paraId="1E48DB8E" w14:textId="77777777" w:rsidTr="007A319C">
        <w:tc>
          <w:tcPr>
            <w:tcW w:w="2405" w:type="dxa"/>
          </w:tcPr>
          <w:p w14:paraId="519214A1"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Институционализация инновационной компоненты в ИПР</w:t>
            </w:r>
          </w:p>
        </w:tc>
        <w:tc>
          <w:tcPr>
            <w:tcW w:w="3989" w:type="dxa"/>
          </w:tcPr>
          <w:p w14:paraId="6C2E4A2A"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Включение в состав региональных инвестиционных программ (ИПР) следующих целевых индикаторов:</w:t>
            </w:r>
            <w:r w:rsidRPr="003A6E5A">
              <w:rPr>
                <w:sz w:val="20"/>
                <w:szCs w:val="20"/>
                <w:lang w:val="ru-RU"/>
              </w:rPr>
              <w:br/>
              <w:t>– число проектов в сфере НИОКР;</w:t>
            </w:r>
            <w:r w:rsidRPr="003A6E5A">
              <w:rPr>
                <w:sz w:val="20"/>
                <w:szCs w:val="20"/>
                <w:lang w:val="ru-RU"/>
              </w:rPr>
              <w:br/>
              <w:t>– объём инновационного экспорта;</w:t>
            </w:r>
            <w:r w:rsidRPr="003A6E5A">
              <w:rPr>
                <w:sz w:val="20"/>
                <w:szCs w:val="20"/>
                <w:lang w:val="ru-RU"/>
              </w:rPr>
              <w:br/>
              <w:t>– количество соглашений по трансферу технологий;</w:t>
            </w:r>
            <w:r w:rsidRPr="003A6E5A">
              <w:rPr>
                <w:sz w:val="20"/>
                <w:szCs w:val="20"/>
                <w:lang w:val="ru-RU"/>
              </w:rPr>
              <w:br/>
              <w:t>– участие научных и образовательных учреждений</w:t>
            </w:r>
          </w:p>
        </w:tc>
        <w:tc>
          <w:tcPr>
            <w:tcW w:w="3198" w:type="dxa"/>
          </w:tcPr>
          <w:p w14:paraId="46E019C1"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Усиление взаимосвязи между инвестиционной и научно-технологической политикой региона, продвижение инновационно-ориентированного ро</w:t>
            </w:r>
          </w:p>
        </w:tc>
      </w:tr>
      <w:tr w:rsidR="00B02CF8" w:rsidRPr="003A6E5A" w14:paraId="1770D6CD" w14:textId="77777777" w:rsidTr="007A319C">
        <w:tc>
          <w:tcPr>
            <w:tcW w:w="2405" w:type="dxa"/>
          </w:tcPr>
          <w:p w14:paraId="6C1B9347"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Создание цифровой платформы мониторинга исполнения ИПР</w:t>
            </w:r>
          </w:p>
        </w:tc>
        <w:tc>
          <w:tcPr>
            <w:tcW w:w="3989" w:type="dxa"/>
          </w:tcPr>
          <w:p w14:paraId="78EDE993"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Реализация системы на принципах открытых данных с функциями:</w:t>
            </w:r>
            <w:r w:rsidRPr="003A6E5A">
              <w:rPr>
                <w:sz w:val="20"/>
                <w:szCs w:val="20"/>
                <w:lang w:val="ru-RU"/>
              </w:rPr>
              <w:br/>
              <w:t>– интерактивной визуализации текущих показателей;</w:t>
            </w:r>
            <w:r w:rsidRPr="003A6E5A">
              <w:rPr>
                <w:sz w:val="20"/>
                <w:szCs w:val="20"/>
                <w:lang w:val="ru-RU"/>
              </w:rPr>
              <w:br/>
              <w:t>– отображения динамики проектов и индикаторов;</w:t>
            </w:r>
            <w:r w:rsidRPr="003A6E5A">
              <w:rPr>
                <w:sz w:val="20"/>
                <w:szCs w:val="20"/>
                <w:lang w:val="ru-RU"/>
              </w:rPr>
              <w:br/>
              <w:t>– получения обратной связи от инвесторов</w:t>
            </w:r>
          </w:p>
        </w:tc>
        <w:tc>
          <w:tcPr>
            <w:tcW w:w="3198" w:type="dxa"/>
          </w:tcPr>
          <w:p w14:paraId="5A26A410"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Повышение прозрачности, оперативности управленческих решений, усиление цифровизации инвестиционного администрирования</w:t>
            </w:r>
          </w:p>
        </w:tc>
      </w:tr>
      <w:tr w:rsidR="00B02CF8" w:rsidRPr="003A6E5A" w14:paraId="2F5CA089" w14:textId="77777777" w:rsidTr="007A319C">
        <w:tc>
          <w:tcPr>
            <w:tcW w:w="2405" w:type="dxa"/>
          </w:tcPr>
          <w:p w14:paraId="5EED39E8"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Улучшение национального цифрового реестра инвестиционных предложений</w:t>
            </w:r>
          </w:p>
        </w:tc>
        <w:tc>
          <w:tcPr>
            <w:tcW w:w="3989" w:type="dxa"/>
          </w:tcPr>
          <w:p w14:paraId="4DD36567"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t>Модернизация действующего реестра (</w:t>
            </w:r>
            <w:r w:rsidRPr="003A6E5A">
              <w:rPr>
                <w:sz w:val="20"/>
                <w:szCs w:val="20"/>
              </w:rPr>
              <w:t>Kazakh</w:t>
            </w:r>
            <w:r w:rsidRPr="003A6E5A">
              <w:rPr>
                <w:sz w:val="20"/>
                <w:szCs w:val="20"/>
                <w:lang w:val="ru-RU"/>
              </w:rPr>
              <w:t xml:space="preserve"> </w:t>
            </w:r>
            <w:r w:rsidRPr="003A6E5A">
              <w:rPr>
                <w:sz w:val="20"/>
                <w:szCs w:val="20"/>
              </w:rPr>
              <w:t>Invest</w:t>
            </w:r>
            <w:r w:rsidRPr="003A6E5A">
              <w:rPr>
                <w:sz w:val="20"/>
                <w:szCs w:val="20"/>
                <w:lang w:val="ru-RU"/>
              </w:rPr>
              <w:t>) с расширением функционала фильтрации:</w:t>
            </w:r>
            <w:r w:rsidRPr="003A6E5A">
              <w:rPr>
                <w:sz w:val="20"/>
                <w:szCs w:val="20"/>
                <w:lang w:val="ru-RU"/>
              </w:rPr>
              <w:br/>
              <w:t>– по регионам, отраслям, стадиям проекта, видам поддержки и формам локализации;</w:t>
            </w:r>
            <w:r w:rsidRPr="003A6E5A">
              <w:rPr>
                <w:sz w:val="20"/>
                <w:szCs w:val="20"/>
                <w:lang w:val="ru-RU"/>
              </w:rPr>
              <w:br/>
              <w:t xml:space="preserve">– добавление инструментов аналитики и </w:t>
            </w:r>
            <w:r w:rsidRPr="003A6E5A">
              <w:rPr>
                <w:sz w:val="20"/>
                <w:szCs w:val="20"/>
                <w:lang w:val="ru-RU"/>
              </w:rPr>
              <w:lastRenderedPageBreak/>
              <w:t>обратной связи</w:t>
            </w:r>
          </w:p>
        </w:tc>
        <w:tc>
          <w:tcPr>
            <w:tcW w:w="3198" w:type="dxa"/>
          </w:tcPr>
          <w:p w14:paraId="41E5FE61" w14:textId="77777777" w:rsidR="0003217D" w:rsidRPr="003A6E5A" w:rsidRDefault="00FC275D" w:rsidP="001608EA">
            <w:pPr>
              <w:pStyle w:val="aa"/>
              <w:spacing w:beforeAutospacing="0" w:after="0" w:afterAutospacing="0" w:line="240" w:lineRule="auto"/>
              <w:rPr>
                <w:rFonts w:eastAsiaTheme="majorEastAsia"/>
                <w:sz w:val="20"/>
                <w:szCs w:val="20"/>
                <w:lang w:val="ru-RU" w:eastAsia="en-US"/>
              </w:rPr>
            </w:pPr>
            <w:r w:rsidRPr="003A6E5A">
              <w:rPr>
                <w:sz w:val="20"/>
                <w:szCs w:val="20"/>
                <w:lang w:val="ru-RU"/>
              </w:rPr>
              <w:lastRenderedPageBreak/>
              <w:t>Повышение эффективности навигации для инвесторов, устранение информационных барьеров, повышение доверия к инвестиционной инфраструктуре</w:t>
            </w:r>
          </w:p>
        </w:tc>
      </w:tr>
    </w:tbl>
    <w:p w14:paraId="79D1E884" w14:textId="77777777" w:rsidR="004C4949" w:rsidRPr="003A6E5A" w:rsidRDefault="004C4949" w:rsidP="004C4949">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kk-KZ"/>
        </w:rPr>
        <w:t>Примечание: таблица составлена автором исследования</w:t>
      </w:r>
    </w:p>
    <w:p w14:paraId="5CF9EA0A" w14:textId="77777777" w:rsidR="0003217D" w:rsidRPr="003A6E5A" w:rsidRDefault="0003217D" w:rsidP="001608EA">
      <w:pPr>
        <w:spacing w:after="0" w:line="240" w:lineRule="auto"/>
        <w:ind w:firstLine="706"/>
        <w:jc w:val="both"/>
        <w:rPr>
          <w:rFonts w:ascii="Times New Roman" w:eastAsia="Times New Roman" w:hAnsi="Times New Roman" w:cs="Times New Roman"/>
          <w:sz w:val="28"/>
          <w:szCs w:val="28"/>
          <w:lang w:eastAsia="ru-RU"/>
        </w:rPr>
      </w:pPr>
    </w:p>
    <w:p w14:paraId="7A9471DF" w14:textId="0A12C255"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Предложенные нами приоритетные меры институционального реформирования </w:t>
      </w:r>
      <w:r w:rsidRPr="003A6E5A">
        <w:rPr>
          <w:rFonts w:ascii="Times New Roman" w:eastAsia="Times New Roman" w:hAnsi="Times New Roman" w:cs="Times New Roman"/>
          <w:sz w:val="28"/>
          <w:szCs w:val="28"/>
          <w:lang w:val="kk-KZ" w:eastAsia="ru-RU"/>
        </w:rPr>
        <w:t xml:space="preserve">(таблица </w:t>
      </w:r>
      <w:r w:rsidR="003D43A8" w:rsidRPr="003A6E5A">
        <w:rPr>
          <w:rFonts w:ascii="Times New Roman" w:eastAsia="Times New Roman" w:hAnsi="Times New Roman" w:cs="Times New Roman"/>
          <w:sz w:val="28"/>
          <w:szCs w:val="28"/>
          <w:lang w:val="kk-KZ" w:eastAsia="ru-RU"/>
        </w:rPr>
        <w:t>2</w:t>
      </w:r>
      <w:r w:rsidR="00DA42F3" w:rsidRPr="003A6E5A">
        <w:rPr>
          <w:rFonts w:ascii="Times New Roman" w:eastAsia="Times New Roman" w:hAnsi="Times New Roman" w:cs="Times New Roman"/>
          <w:sz w:val="28"/>
          <w:szCs w:val="28"/>
          <w:lang w:val="kk-KZ" w:eastAsia="ru-RU"/>
        </w:rPr>
        <w:t>5</w:t>
      </w:r>
      <w:r w:rsidRPr="003A6E5A">
        <w:rPr>
          <w:rFonts w:ascii="Times New Roman" w:eastAsia="Times New Roman" w:hAnsi="Times New Roman" w:cs="Times New Roman"/>
          <w:sz w:val="28"/>
          <w:szCs w:val="28"/>
          <w:lang w:val="kk-KZ" w:eastAsia="ru-RU"/>
        </w:rPr>
        <w:t xml:space="preserve">) </w:t>
      </w:r>
      <w:r w:rsidRPr="003A6E5A">
        <w:rPr>
          <w:rFonts w:ascii="Times New Roman" w:eastAsia="Times New Roman" w:hAnsi="Times New Roman" w:cs="Times New Roman"/>
          <w:sz w:val="28"/>
          <w:szCs w:val="28"/>
          <w:lang w:eastAsia="ru-RU"/>
        </w:rPr>
        <w:t>представляют собой комплексную стратегию, направленную на повышение эффективности национальной и региональной инвестиционной политики посредством устранения институциональных фрагментаций, оптимизации механизмов координации и интеграции инновационного компонента в архитектуру инвестиционного управления. В рамках данной стратегии акцент сделан на системной трансформации ключевых подсистем инвестиционного механизма, обеспечивающей их адаптивность, результативность и согласованность с лучшими международными практиками.</w:t>
      </w:r>
    </w:p>
    <w:p w14:paraId="37B2DBEA" w14:textId="2898F6BF" w:rsidR="00A03B4C" w:rsidRPr="003A6E5A" w:rsidRDefault="00A03B4C" w:rsidP="001135D2">
      <w:pPr>
        <w:spacing w:after="0" w:line="240" w:lineRule="auto"/>
        <w:ind w:firstLine="706"/>
        <w:jc w:val="both"/>
        <w:rPr>
          <w:rFonts w:ascii="Times New Roman" w:eastAsia="Times New Roman" w:hAnsi="Times New Roman" w:cs="Times New Roman"/>
          <w:sz w:val="28"/>
          <w:szCs w:val="28"/>
          <w:lang w:val="kk-KZ" w:eastAsia="ru-RU"/>
        </w:rPr>
      </w:pPr>
      <w:r w:rsidRPr="003A6E5A">
        <w:rPr>
          <w:rFonts w:ascii="Times New Roman" w:eastAsia="Times New Roman" w:hAnsi="Times New Roman" w:cs="Times New Roman"/>
          <w:sz w:val="28"/>
          <w:szCs w:val="28"/>
          <w:lang w:val="kk-KZ" w:eastAsia="ru-RU"/>
        </w:rPr>
        <w:t>Таким образом, развитие региональной инвестиционной политики невозможно без интеграции концепции «умной специализации», которая выступает одним из ключевых направлений модернизации подходов к стратегическому развитию территорий. Применительно к Казахстану и, в частности, к городу Алматы, данная концепция может служить основой для выстраивания долгосрочной стратегии инновационно-инвестиционного развития. В контексте инвестиционного сотрудничества, на примере Казахстана и Европейского союза, было показано, что именно такая форма взаимодействия стран оказывает значительное влияние на развитие цифровой экономики. Алматы, будучи крупнейшим академическим и экономическим центром страны, располагает рядом структурных и институциональных предпосылок для позиционирования в качестве пилотной площадки по реализации модели Smart City – одного из наиболее перспективных направлений умной специализации. Интеллектуальная концентрация в виде ведущих университетов, развитой IT-инфраструктуры, функционирования СЭЗ «Парк инновационных технологий», а также накопленного кадрового потенциала в сфере цифровых технологий формируют благоприятную среду для внедрения решений на основе искусственного интеллекта, цифровизации городской среды и формирования экосистемы умного города.</w:t>
      </w:r>
    </w:p>
    <w:p w14:paraId="045D6144" w14:textId="14F2840C"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Внедрение концепции умной специализации может стать ключом к укреплению экономической устойчивости Алматы и снижению его зависимости от нестабильности сырьевых рынков, переориентируя развитие на экономику знаний. Однако прогресс в этом направлении сдерживается рядом институциональных барьеров. В первую очередь </w:t>
      </w:r>
      <w:r w:rsidR="00DA42F3"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xml:space="preserve"> крайне низкий уровень финансирования НИОКР: расходы на науку в Казахстане составляют менее 0,1% ВВП</w:t>
      </w:r>
      <w:r w:rsidR="00466CB0" w:rsidRPr="003A6E5A">
        <w:rPr>
          <w:rFonts w:ascii="Times New Roman" w:eastAsia="Times New Roman" w:hAnsi="Times New Roman" w:cs="Times New Roman"/>
          <w:sz w:val="28"/>
          <w:szCs w:val="28"/>
          <w:lang w:eastAsia="ru-RU"/>
        </w:rPr>
        <w:t xml:space="preserve"> [1</w:t>
      </w:r>
      <w:r w:rsidR="00C96643" w:rsidRPr="003A6E5A">
        <w:rPr>
          <w:rFonts w:ascii="Times New Roman" w:eastAsia="Times New Roman" w:hAnsi="Times New Roman" w:cs="Times New Roman"/>
          <w:sz w:val="28"/>
          <w:szCs w:val="28"/>
          <w:lang w:eastAsia="ru-RU"/>
        </w:rPr>
        <w:t>61</w:t>
      </w:r>
      <w:r w:rsidR="00466CB0"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в то время как в странах-лидерах они достигают 3–4%. (</w:t>
      </w:r>
      <w:r w:rsidRPr="003A6E5A">
        <w:rPr>
          <w:rFonts w:ascii="Times New Roman" w:eastAsia="Times New Roman" w:hAnsi="Times New Roman" w:cs="Times New Roman"/>
          <w:sz w:val="28"/>
          <w:szCs w:val="28"/>
          <w:lang w:val="kk-KZ" w:eastAsia="ru-RU"/>
        </w:rPr>
        <w:t>Германия</w:t>
      </w:r>
      <w:r w:rsidRPr="003A6E5A">
        <w:rPr>
          <w:rFonts w:ascii="Times New Roman" w:eastAsia="Times New Roman" w:hAnsi="Times New Roman" w:cs="Times New Roman"/>
          <w:sz w:val="28"/>
          <w:szCs w:val="28"/>
          <w:lang w:eastAsia="ru-RU"/>
        </w:rPr>
        <w:t xml:space="preserve"> – </w:t>
      </w:r>
      <w:r w:rsidRPr="003A6E5A">
        <w:rPr>
          <w:rFonts w:ascii="Times New Roman" w:eastAsia="Times New Roman" w:hAnsi="Times New Roman" w:cs="Times New Roman"/>
          <w:sz w:val="28"/>
          <w:szCs w:val="28"/>
          <w:lang w:val="kk-KZ" w:eastAsia="ru-RU"/>
        </w:rPr>
        <w:t>2</w:t>
      </w:r>
      <w:r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9</w:t>
      </w: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Швеция – 3</w:t>
      </w:r>
      <w:r w:rsidRPr="003A6E5A">
        <w:rPr>
          <w:rFonts w:ascii="Times New Roman" w:eastAsia="Times New Roman" w:hAnsi="Times New Roman" w:cs="Times New Roman"/>
          <w:sz w:val="28"/>
          <w:szCs w:val="28"/>
          <w:lang w:eastAsia="ru-RU"/>
        </w:rPr>
        <w:t xml:space="preserve">%, Израиль – 4,1%) </w:t>
      </w:r>
      <w:r w:rsidR="001135D2" w:rsidRPr="003A6E5A">
        <w:rPr>
          <w:rFonts w:ascii="Times New Roman" w:eastAsia="Times New Roman" w:hAnsi="Times New Roman" w:cs="Times New Roman"/>
          <w:sz w:val="28"/>
          <w:szCs w:val="28"/>
          <w:lang w:eastAsia="ru-RU"/>
        </w:rPr>
        <w:t>[1</w:t>
      </w:r>
      <w:r w:rsidR="00C96643" w:rsidRPr="002452E6">
        <w:rPr>
          <w:rFonts w:ascii="Times New Roman" w:eastAsia="Times New Roman" w:hAnsi="Times New Roman" w:cs="Times New Roman"/>
          <w:sz w:val="28"/>
          <w:szCs w:val="28"/>
          <w:lang w:eastAsia="ru-RU"/>
        </w:rPr>
        <w:t>62</w:t>
      </w:r>
      <w:r w:rsidR="001135D2"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Также отсутствует тесное взаимодействие с другими регионами страны и недостаточно развиты партнёрские связи с глобальными технологическими корпорациями, что препятствует трансферу передовых знаний и технологий.</w:t>
      </w:r>
    </w:p>
    <w:p w14:paraId="0D691977" w14:textId="596C04F3"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Серьёзным вызовом остаётся слабая координация между ключевыми участниками инновационной экосистемы – университетами, бизнесом и государством. Взаимодействие в рамках модели «тройной спирали» во многом </w:t>
      </w:r>
      <w:r w:rsidRPr="003A6E5A">
        <w:rPr>
          <w:rFonts w:ascii="Times New Roman" w:eastAsia="Times New Roman" w:hAnsi="Times New Roman" w:cs="Times New Roman"/>
          <w:sz w:val="28"/>
          <w:szCs w:val="28"/>
          <w:lang w:eastAsia="ru-RU"/>
        </w:rPr>
        <w:lastRenderedPageBreak/>
        <w:t>носит формальный характер, без чётких механизмов совместной ответственности и без активного участия малого и среднего бизнеса в выборе приоритетных направлений развития.</w:t>
      </w:r>
    </w:p>
    <w:p w14:paraId="1402A0B5"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Устранение этих барьеров и институциональное закрепление специализации Алматы как регионального центра искусственного интеллекта (AI-хаба) должно стать стратегическим приоритетом. Это требует активизации сотрудничества с глобальными IT-компаниями, привлечения венчурных инвестиций и создания полноценной цифровой экосистемы для развития и удержания высокотехнологичных проектов. Кроме того, важно расширить применение принципов умной специализации на другие регионы Казахстана, формируя для каждого из них уникальные направления технологического роста – от агротеха до зелёной энергетики. Это позволит выстроить сбалансированную и инновационно ориентированную региональную политику на национальном уровне.</w:t>
      </w:r>
    </w:p>
    <w:p w14:paraId="43DBF541"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val="kk-KZ" w:eastAsia="ru-RU"/>
        </w:rPr>
        <w:t>Немаловажным является в</w:t>
      </w:r>
      <w:r w:rsidRPr="003A6E5A">
        <w:rPr>
          <w:rFonts w:ascii="Times New Roman" w:eastAsia="Times New Roman" w:hAnsi="Times New Roman" w:cs="Times New Roman"/>
          <w:sz w:val="28"/>
          <w:szCs w:val="28"/>
          <w:lang w:eastAsia="ru-RU"/>
        </w:rPr>
        <w:t>недрение национального рейтинга инвестиционной привлекательности регионов Казахстана</w:t>
      </w:r>
      <w:r w:rsidRPr="003A6E5A">
        <w:rPr>
          <w:rFonts w:ascii="Times New Roman" w:eastAsia="Times New Roman" w:hAnsi="Times New Roman" w:cs="Times New Roman"/>
          <w:sz w:val="28"/>
          <w:szCs w:val="28"/>
          <w:lang w:val="kk-KZ" w:eastAsia="ru-RU"/>
        </w:rPr>
        <w:t>, который</w:t>
      </w:r>
      <w:r w:rsidRPr="003A6E5A">
        <w:rPr>
          <w:rFonts w:ascii="Times New Roman" w:eastAsia="Times New Roman" w:hAnsi="Times New Roman" w:cs="Times New Roman"/>
          <w:sz w:val="28"/>
          <w:szCs w:val="28"/>
          <w:lang w:eastAsia="ru-RU"/>
        </w:rPr>
        <w:t xml:space="preserve"> представляет собой важный шаг в направлении институционального укрепления инвестиционной политики и формирования сбалансированной модели регионального развития. Такой рейтинг, базирующийся на многофакторной модели оценки, позволит не только повысить прозрачность и управляемость инвестиционных потоков, но и усилить конкурентную динамику между регионами за привлечение капитала. Он также станет инструментом стратегического анализа для государственных органов и частного сектора, а его применение будет особенно эффективно в связке с концепцией «умной специализации».</w:t>
      </w:r>
    </w:p>
    <w:p w14:paraId="685C8C9D"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Ключевым элементом предлагаемой модели рейтинга должна стать институционализация инновационной компоненты в инвестиционные программы регионов. Это предполагает включение в структуру ИПР конкретных целевых индикаторов, отражающих уровень научно-технологического развития территории: объем внутренних затрат на НИОКР, количество трансферных соглашений, степень участия вузов и научных организаций в инвестиционных проектах, инновационный экспорт. Интеграция инновационной компоненты в ИПР позволит увязать инвестиционную и научно-технологическую повестку, обеспечив тем самым не только рост валовых вложений, но и качественную трансформацию региональных экономик в направлении технологического лидерства.</w:t>
      </w:r>
    </w:p>
    <w:p w14:paraId="418B403F"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 xml:space="preserve">Таким образом, национальный рейтинг инвестиционной привлекательности регионов должен быть не просто инструментом оценки, а частью более широкой системы институционального реформирования. Он должен опираться на принципы открытости, методологической обоснованности и инновационной направленности, обеспечивая обратную связь для корректировки ИПР и содействуя формированию инновационно-инвестиционных кластеров на региональном уровне. В этом контексте особое </w:t>
      </w:r>
      <w:r w:rsidRPr="003A6E5A">
        <w:rPr>
          <w:rFonts w:ascii="Times New Roman" w:eastAsia="Times New Roman" w:hAnsi="Times New Roman" w:cs="Times New Roman"/>
          <w:sz w:val="28"/>
          <w:szCs w:val="28"/>
          <w:lang w:eastAsia="ru-RU"/>
        </w:rPr>
        <w:lastRenderedPageBreak/>
        <w:t>значение приобретает не только фиксация текущих условий, но и оценка динамики прогресса в институциональном и инновационном развитии региона.</w:t>
      </w:r>
    </w:p>
    <w:p w14:paraId="162C893B"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В условиях увеличивающегося числа инвестиционных проектов на региональном уровне остро ощущается дефицит актуальной и систематизированной информации об их реализации. Анализ данных на региональных порталах и платформе Kazakh Invest выявил, что обновления сведений о проектах часто прекращаются после 2023 года, а стадии их реализации остаются неуточненными. В этой связи целесообразно разработать и внедрить единую цифровую платформу мониторинга исполнения ИПР, основанную на принципах открытых данных и интерактивной аналитики.</w:t>
      </w:r>
    </w:p>
    <w:p w14:paraId="459955D4" w14:textId="77777777" w:rsidR="0003217D" w:rsidRPr="003A6E5A" w:rsidRDefault="00FC275D" w:rsidP="001608EA">
      <w:pPr>
        <w:spacing w:after="0" w:line="240" w:lineRule="auto"/>
        <w:ind w:firstLine="706"/>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Такая платформа должна обеспечивать визуализацию ключевых показателей инвестиционной активности: стадии проектов, объемы инвестиций, создание рабочих мест и выполнение KPI. Дашборды с возможностью фильтрации по регионам, отраслям и стадиям проектов, а также блок обратной связи для оценки удовлетворенности инвесторов создадут условия для оперативного реагирования на вызовы. Платформа будет способствовать прозрачности, цифровизации администрирования и улучшению межведомственного взаимодействия.</w:t>
      </w:r>
    </w:p>
    <w:p w14:paraId="267E851A" w14:textId="77777777" w:rsidR="0003217D" w:rsidRPr="003A6E5A" w:rsidRDefault="00FC275D" w:rsidP="00B9136C">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Параллельно с этим необходима модернизация национального цифрового инвестиционного реестра, поскольку текущий функционал платформы Kazakh Invest недостаточно гибок и не обеспечивает эффективную навигацию по проектам. Расширение фильтров поиска (по отраслям, стадии, географии, видам поддержки) и внедрение инструментов аналитики (оценка ROI, инвестиционной емкости) создаст условия для более точного подбора проектов под интересы инвесторов. Встроенные каналы коммуникации, включая мессенджеры и формы обратной связи, укрепят доверие к инвестиционной инфраструктуре.</w:t>
      </w:r>
    </w:p>
    <w:p w14:paraId="5EC4FD2D" w14:textId="070C87B2" w:rsidR="0003217D" w:rsidRPr="003A6E5A" w:rsidRDefault="00FC275D" w:rsidP="00B9136C">
      <w:pPr>
        <w:spacing w:after="0" w:line="240" w:lineRule="auto"/>
        <w:ind w:firstLine="709"/>
        <w:jc w:val="both"/>
        <w:rPr>
          <w:rFonts w:ascii="Times New Roman" w:eastAsia="Times New Roman" w:hAnsi="Times New Roman" w:cs="Times New Roman"/>
          <w:sz w:val="28"/>
          <w:szCs w:val="28"/>
          <w:lang w:eastAsia="ru-RU"/>
        </w:rPr>
      </w:pPr>
      <w:r w:rsidRPr="003A6E5A">
        <w:rPr>
          <w:rFonts w:ascii="Times New Roman" w:eastAsia="Times New Roman" w:hAnsi="Times New Roman" w:cs="Times New Roman"/>
          <w:sz w:val="28"/>
          <w:szCs w:val="28"/>
          <w:lang w:eastAsia="ru-RU"/>
        </w:rPr>
        <w:t>Предлагаемые меры соответствуют глобальным стандартам цифровой трансформации инвестиционного администрирования и сопоставимы с практиками таких стран, как Сингапур (Business Grants Portal</w:t>
      </w:r>
      <w:r w:rsidR="00FD7C2E" w:rsidRPr="003A6E5A">
        <w:rPr>
          <w:rFonts w:ascii="Times New Roman" w:eastAsia="Times New Roman" w:hAnsi="Times New Roman" w:cs="Times New Roman"/>
          <w:sz w:val="28"/>
          <w:szCs w:val="28"/>
          <w:lang w:eastAsia="ru-RU"/>
        </w:rPr>
        <w:t xml:space="preserve"> [1</w:t>
      </w:r>
      <w:r w:rsidR="00C96643" w:rsidRPr="003A6E5A">
        <w:rPr>
          <w:rFonts w:ascii="Times New Roman" w:eastAsia="Times New Roman" w:hAnsi="Times New Roman" w:cs="Times New Roman"/>
          <w:sz w:val="28"/>
          <w:szCs w:val="28"/>
          <w:lang w:eastAsia="ru-RU"/>
        </w:rPr>
        <w:t>63</w:t>
      </w:r>
      <w:r w:rsidR="00FD7C2E"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и Южная Корея (Invest KOREA</w:t>
      </w:r>
      <w:r w:rsidR="0021147C" w:rsidRPr="003A6E5A">
        <w:rPr>
          <w:rFonts w:ascii="Times New Roman" w:eastAsia="Times New Roman" w:hAnsi="Times New Roman" w:cs="Times New Roman"/>
          <w:sz w:val="28"/>
          <w:szCs w:val="28"/>
          <w:lang w:eastAsia="ru-RU"/>
        </w:rPr>
        <w:t xml:space="preserve"> [1</w:t>
      </w:r>
      <w:r w:rsidR="00C96643" w:rsidRPr="003A6E5A">
        <w:rPr>
          <w:rFonts w:ascii="Times New Roman" w:eastAsia="Times New Roman" w:hAnsi="Times New Roman" w:cs="Times New Roman"/>
          <w:sz w:val="28"/>
          <w:szCs w:val="28"/>
          <w:lang w:eastAsia="ru-RU"/>
        </w:rPr>
        <w:t>64</w:t>
      </w:r>
      <w:r w:rsidR="0021147C"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eastAsia="ru-RU"/>
        </w:rPr>
        <w:t>). Их реализация позволит Казахстану повысить привлекательность инвестиционной среды, оптимизировать управление проектами и обеспечить устойчивый рост региональных экономик. Для достижения этих целей необходимо интегрировать платформы с государственными ИТ-ресурсами, обучить персонал и наладить регулярное обновление данных на основе отзывов пользователей.</w:t>
      </w:r>
    </w:p>
    <w:p w14:paraId="7B2DE3CF" w14:textId="7E3FA142" w:rsidR="00B9136C" w:rsidRPr="003A6E5A" w:rsidRDefault="00B9136C" w:rsidP="00B9136C">
      <w:pPr>
        <w:spacing w:after="0" w:line="240" w:lineRule="auto"/>
        <w:ind w:firstLine="709"/>
        <w:jc w:val="both"/>
        <w:rPr>
          <w:rFonts w:ascii="Times New Roman" w:eastAsiaTheme="majorEastAsia" w:hAnsi="Times New Roman" w:cs="Times New Roman"/>
          <w:sz w:val="28"/>
          <w:szCs w:val="28"/>
        </w:rPr>
      </w:pPr>
      <w:bookmarkStart w:id="49" w:name="_Toc209538986"/>
      <w:r w:rsidRPr="003A6E5A">
        <w:rPr>
          <w:rFonts w:ascii="Times New Roman" w:eastAsiaTheme="majorEastAsia" w:hAnsi="Times New Roman" w:cs="Times New Roman"/>
          <w:sz w:val="28"/>
          <w:szCs w:val="28"/>
        </w:rPr>
        <w:t xml:space="preserve">Проведенный анализ региональной инвестиционной политики Казахстана выявил структурные противоречия в системе управления, проявляющиеся в институциональной </w:t>
      </w:r>
      <w:r w:rsidR="00DF61ED" w:rsidRPr="003A6E5A">
        <w:rPr>
          <w:rFonts w:ascii="Times New Roman" w:eastAsiaTheme="majorEastAsia" w:hAnsi="Times New Roman" w:cs="Times New Roman"/>
          <w:sz w:val="28"/>
          <w:szCs w:val="28"/>
        </w:rPr>
        <w:t>«</w:t>
      </w:r>
      <w:r w:rsidRPr="003A6E5A">
        <w:rPr>
          <w:rFonts w:ascii="Times New Roman" w:eastAsiaTheme="majorEastAsia" w:hAnsi="Times New Roman" w:cs="Times New Roman"/>
          <w:sz w:val="28"/>
          <w:szCs w:val="28"/>
        </w:rPr>
        <w:t>размытости</w:t>
      </w:r>
      <w:r w:rsidR="00DF61ED" w:rsidRPr="003A6E5A">
        <w:rPr>
          <w:rFonts w:ascii="Times New Roman" w:eastAsiaTheme="majorEastAsia" w:hAnsi="Times New Roman" w:cs="Times New Roman"/>
          <w:sz w:val="28"/>
          <w:szCs w:val="28"/>
        </w:rPr>
        <w:t>»</w:t>
      </w:r>
      <w:r w:rsidRPr="003A6E5A">
        <w:rPr>
          <w:rFonts w:ascii="Times New Roman" w:eastAsiaTheme="majorEastAsia" w:hAnsi="Times New Roman" w:cs="Times New Roman"/>
          <w:sz w:val="28"/>
          <w:szCs w:val="28"/>
        </w:rPr>
        <w:t xml:space="preserve"> и повышенных транзакционных издержках. Теоретическая интерпретация в рамках концепции Д. Норта демонстрирует несоответствие между нормативно закрепленной архитектурой и её практической реализацией, что выражается в дублировании функций и фрагментарности сопровождения инвестиционных проектов.</w:t>
      </w:r>
    </w:p>
    <w:p w14:paraId="77736D5E" w14:textId="328DEC2D" w:rsidR="00B9136C" w:rsidRPr="003A6E5A" w:rsidRDefault="00B9136C" w:rsidP="00B9136C">
      <w:pPr>
        <w:spacing w:after="0" w:line="240" w:lineRule="auto"/>
        <w:ind w:firstLine="709"/>
        <w:jc w:val="both"/>
        <w:rPr>
          <w:rFonts w:ascii="Times New Roman" w:eastAsiaTheme="majorEastAsia" w:hAnsi="Times New Roman" w:cs="Times New Roman"/>
          <w:sz w:val="28"/>
          <w:szCs w:val="28"/>
        </w:rPr>
      </w:pPr>
      <w:r w:rsidRPr="003A6E5A">
        <w:rPr>
          <w:rFonts w:ascii="Times New Roman" w:eastAsiaTheme="majorEastAsia" w:hAnsi="Times New Roman" w:cs="Times New Roman"/>
          <w:sz w:val="28"/>
          <w:szCs w:val="28"/>
        </w:rPr>
        <w:t>В качестве методологической альтернативы предлагается переход к интеграционной модели управления, синтезирующей организационно-</w:t>
      </w:r>
      <w:r w:rsidRPr="003A6E5A">
        <w:rPr>
          <w:rFonts w:ascii="Times New Roman" w:eastAsiaTheme="majorEastAsia" w:hAnsi="Times New Roman" w:cs="Times New Roman"/>
          <w:sz w:val="28"/>
          <w:szCs w:val="28"/>
        </w:rPr>
        <w:lastRenderedPageBreak/>
        <w:t>институциональные и экономико-регуляторные компоненты. Стратегическая трансформация предполагает имплементацию концепции «умной специализации» с дифференциацией подходов по регионам на основе детерминантов конкурентного «ромба» М. Портера.</w:t>
      </w:r>
    </w:p>
    <w:p w14:paraId="026A8BF8" w14:textId="4A32A557" w:rsidR="00B63255" w:rsidRPr="003A6E5A" w:rsidRDefault="00B9136C" w:rsidP="00B9136C">
      <w:pPr>
        <w:spacing w:after="0" w:line="240" w:lineRule="auto"/>
        <w:ind w:firstLine="709"/>
        <w:jc w:val="both"/>
        <w:rPr>
          <w:rFonts w:ascii="Times New Roman" w:eastAsia="SimSun" w:hAnsi="Times New Roman" w:cs="Times New Roman"/>
          <w:sz w:val="28"/>
          <w:szCs w:val="28"/>
          <w:lang w:eastAsia="zh-CN"/>
        </w:rPr>
      </w:pPr>
      <w:r w:rsidRPr="003A6E5A">
        <w:rPr>
          <w:rFonts w:ascii="Times New Roman" w:eastAsiaTheme="majorEastAsia" w:hAnsi="Times New Roman" w:cs="Times New Roman"/>
          <w:sz w:val="28"/>
          <w:szCs w:val="28"/>
        </w:rPr>
        <w:t>Эконометрически подтвержденная зависимость между инновационным потенциалом и инвестиционной активностью регионов актуализирует необходимость формирования целостной инвестиционно-инновационной экосистемы. Реализация предложенных мер создаст институциональные предпосылки для перехода от фрагментарного привлечения инвестиций к стратегической модернизации региональных экономик в условиях глобальных вызовов.</w:t>
      </w:r>
      <w:r w:rsidR="00B63255" w:rsidRPr="003A6E5A">
        <w:rPr>
          <w:sz w:val="28"/>
          <w:szCs w:val="28"/>
        </w:rPr>
        <w:br w:type="page"/>
      </w:r>
    </w:p>
    <w:p w14:paraId="5B167C46" w14:textId="15E1619D" w:rsidR="00CD122F" w:rsidRPr="003A6E5A" w:rsidRDefault="00CD122F" w:rsidP="001608EA">
      <w:pPr>
        <w:pStyle w:val="aa"/>
        <w:spacing w:beforeAutospacing="0" w:after="0" w:afterAutospacing="0" w:line="240" w:lineRule="auto"/>
        <w:jc w:val="center"/>
        <w:outlineLvl w:val="0"/>
        <w:rPr>
          <w:b/>
          <w:sz w:val="28"/>
          <w:szCs w:val="28"/>
          <w:lang w:val="ru-RU"/>
        </w:rPr>
      </w:pPr>
      <w:r w:rsidRPr="003A6E5A">
        <w:rPr>
          <w:b/>
          <w:sz w:val="28"/>
          <w:szCs w:val="28"/>
          <w:lang w:val="ru-RU"/>
        </w:rPr>
        <w:lastRenderedPageBreak/>
        <w:t>ЗАКЛЮЧЕНИЕ</w:t>
      </w:r>
      <w:bookmarkEnd w:id="49"/>
    </w:p>
    <w:p w14:paraId="48DE1488" w14:textId="77777777" w:rsidR="00CD122F" w:rsidRPr="003A6E5A" w:rsidRDefault="00CD122F" w:rsidP="001608EA">
      <w:pPr>
        <w:pStyle w:val="aa"/>
        <w:spacing w:beforeAutospacing="0" w:after="0" w:afterAutospacing="0" w:line="240" w:lineRule="auto"/>
        <w:jc w:val="both"/>
        <w:rPr>
          <w:sz w:val="28"/>
          <w:szCs w:val="28"/>
          <w:lang w:val="ru-RU"/>
        </w:rPr>
      </w:pPr>
    </w:p>
    <w:p w14:paraId="4A097F59" w14:textId="3D995371" w:rsidR="00685612" w:rsidRPr="003A6E5A" w:rsidRDefault="00685612" w:rsidP="00EA52F8">
      <w:pPr>
        <w:spacing w:after="0" w:line="240" w:lineRule="auto"/>
        <w:ind w:firstLine="709"/>
        <w:jc w:val="both"/>
        <w:rPr>
          <w:rFonts w:ascii="Times New Roman" w:eastAsia="Times New Roman" w:hAnsi="Times New Roman" w:cs="Times New Roman"/>
          <w:sz w:val="28"/>
          <w:szCs w:val="24"/>
          <w:lang w:val="kk-KZ"/>
        </w:rPr>
      </w:pPr>
      <w:r w:rsidRPr="003A6E5A">
        <w:rPr>
          <w:rFonts w:ascii="Times New Roman" w:eastAsia="Times New Roman" w:hAnsi="Times New Roman" w:cs="Times New Roman"/>
          <w:sz w:val="28"/>
          <w:szCs w:val="24"/>
        </w:rPr>
        <w:t>Проведённое исследование позволило комплексно оценить текущее состояние и перспективы инвестиционного сотрудничества Казахстана со странами Европейского союза, определить его приоритетные направления и выработать практические рекомендации, направленные на повышение эффективности двустороннего взаимодействия и совершенствование инвестиционного климата в регионах страны.</w:t>
      </w:r>
      <w:r w:rsidR="00550E67" w:rsidRPr="003A6E5A">
        <w:rPr>
          <w:rFonts w:ascii="Times New Roman" w:eastAsia="Times New Roman" w:hAnsi="Times New Roman" w:cs="Times New Roman"/>
          <w:sz w:val="28"/>
          <w:szCs w:val="24"/>
          <w:lang w:val="kk-KZ"/>
        </w:rPr>
        <w:t xml:space="preserve"> </w:t>
      </w:r>
      <w:r w:rsidR="008D69D9" w:rsidRPr="003A6E5A">
        <w:rPr>
          <w:rFonts w:ascii="Times New Roman" w:eastAsia="Times New Roman" w:hAnsi="Times New Roman" w:cs="Times New Roman"/>
          <w:sz w:val="28"/>
          <w:szCs w:val="24"/>
          <w:lang w:val="kk-KZ"/>
        </w:rPr>
        <w:t>В результате проведенных исследований были получены следующие ключевые результаты:</w:t>
      </w:r>
    </w:p>
    <w:p w14:paraId="0CB75ECC" w14:textId="1F78EC5D" w:rsidR="00EA52F8" w:rsidRPr="003A6E5A" w:rsidRDefault="00685612" w:rsidP="0058625E">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4"/>
        </w:rPr>
        <w:t xml:space="preserve">1. </w:t>
      </w:r>
      <w:r w:rsidR="0058625E" w:rsidRPr="003A6E5A">
        <w:rPr>
          <w:rFonts w:ascii="Times New Roman" w:eastAsia="Times New Roman" w:hAnsi="Times New Roman" w:cs="Times New Roman"/>
          <w:sz w:val="28"/>
          <w:szCs w:val="24"/>
        </w:rPr>
        <w:t xml:space="preserve">В рамках исследования был осуществлен комплексный анализ эволюции понятия «инвестиции» и форм инвестиционного сотрудничества в условиях глобализации, который позволил выявить ряд ключевых закономерностей. Установлено, что содержание данной экономико-правовой категории претерпело значительную трансформацию: от классических трактовок, акцентирующих прирост капитала (Дж.М. Кейнс), до расширенных парадигм, включающих интеллектуальный, человеческий капитал и социально-инновационные эффекты. Однако в законодательстве Республики Казахстан наблюдается противоположная тенденция к последовательному сужению легальной дефиниции, достигшей своей крайней точки в Предпринимательском кодексе, где инвестиции </w:t>
      </w:r>
      <w:r w:rsidR="00D22C8B" w:rsidRPr="003A6E5A">
        <w:rPr>
          <w:rFonts w:ascii="Times New Roman" w:eastAsia="Times New Roman" w:hAnsi="Times New Roman" w:cs="Times New Roman"/>
          <w:sz w:val="28"/>
          <w:szCs w:val="24"/>
        </w:rPr>
        <w:t>ограницены</w:t>
      </w:r>
      <w:r w:rsidR="0058625E" w:rsidRPr="003A6E5A">
        <w:rPr>
          <w:rFonts w:ascii="Times New Roman" w:eastAsia="Times New Roman" w:hAnsi="Times New Roman" w:cs="Times New Roman"/>
          <w:sz w:val="28"/>
          <w:szCs w:val="24"/>
        </w:rPr>
        <w:t xml:space="preserve"> до вложений в уставный капитал и основные активы. Это фундаментальное противоречие между экономической сущностью инвестиций и их узкой нормативной трактовкой стало результатом поэтапной трансформации национального законодательства </w:t>
      </w:r>
      <w:r w:rsidR="00D22C8B" w:rsidRPr="003A6E5A">
        <w:rPr>
          <w:rFonts w:ascii="Times New Roman" w:eastAsia="Times New Roman" w:hAnsi="Times New Roman" w:cs="Times New Roman"/>
          <w:sz w:val="28"/>
          <w:szCs w:val="24"/>
        </w:rPr>
        <w:t>–</w:t>
      </w:r>
      <w:r w:rsidR="0058625E" w:rsidRPr="003A6E5A">
        <w:rPr>
          <w:rFonts w:ascii="Times New Roman" w:eastAsia="Times New Roman" w:hAnsi="Times New Roman" w:cs="Times New Roman"/>
          <w:sz w:val="28"/>
          <w:szCs w:val="24"/>
        </w:rPr>
        <w:t xml:space="preserve"> от создания преференциальных режимов для иностранных инвесторов в 1990-е годы до унификации правил и их интеграции в общее предпринимательское право. Практическим следствием данной эволюции стало формирование фрагментированной системы инвестиционного сотрудничества, реализуемой через диверсифицированные, но несистематизированные формы (концессии, СРП, ГЧП, инвестиционные соглашения и др.), которые создают дифференцированные условия для инвесторов и порождают правовые риски, ограничивающие инвестиционную активность в инновационных и социально ориентированных секторах экономики</w:t>
      </w:r>
      <w:r w:rsidR="00EA52F8" w:rsidRPr="003A6E5A">
        <w:rPr>
          <w:rFonts w:ascii="Times New Roman" w:eastAsia="Times New Roman" w:hAnsi="Times New Roman" w:cs="Times New Roman"/>
          <w:sz w:val="28"/>
          <w:szCs w:val="28"/>
        </w:rPr>
        <w:t>.</w:t>
      </w:r>
    </w:p>
    <w:p w14:paraId="4B3B1DCD" w14:textId="46E29B79" w:rsidR="00B93926" w:rsidRPr="003A6E5A" w:rsidRDefault="00E27C18" w:rsidP="00E27C18">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bCs/>
          <w:sz w:val="28"/>
          <w:szCs w:val="28"/>
        </w:rPr>
        <w:t>2</w:t>
      </w:r>
      <w:r w:rsidR="007673B4" w:rsidRPr="003A6E5A">
        <w:rPr>
          <w:rFonts w:ascii="Times New Roman" w:eastAsia="Times New Roman" w:hAnsi="Times New Roman" w:cs="Times New Roman"/>
          <w:bCs/>
          <w:sz w:val="28"/>
          <w:szCs w:val="28"/>
        </w:rPr>
        <w:t xml:space="preserve">. </w:t>
      </w:r>
      <w:r w:rsidRPr="003A6E5A">
        <w:rPr>
          <w:rFonts w:ascii="Times New Roman" w:eastAsia="Times New Roman" w:hAnsi="Times New Roman" w:cs="Times New Roman"/>
          <w:bCs/>
          <w:sz w:val="28"/>
          <w:szCs w:val="28"/>
        </w:rPr>
        <w:t xml:space="preserve">В рамках исследования был осуществлен комплексный анализ методологических подходов к оценке инвестиционного потенциала, который выявил их значительную эволюцию </w:t>
      </w:r>
      <w:r w:rsidR="00AC3F31" w:rsidRPr="003A6E5A">
        <w:rPr>
          <w:rFonts w:ascii="Times New Roman" w:eastAsia="Times New Roman" w:hAnsi="Times New Roman" w:cs="Times New Roman"/>
          <w:bCs/>
          <w:sz w:val="28"/>
          <w:szCs w:val="28"/>
        </w:rPr>
        <w:t>–</w:t>
      </w:r>
      <w:r w:rsidRPr="003A6E5A">
        <w:rPr>
          <w:rFonts w:ascii="Times New Roman" w:eastAsia="Times New Roman" w:hAnsi="Times New Roman" w:cs="Times New Roman"/>
          <w:bCs/>
          <w:sz w:val="28"/>
          <w:szCs w:val="28"/>
        </w:rPr>
        <w:t xml:space="preserve"> от простых линейных моделей, акцентировавших макроэкономическую стабильность, к сложным системным подходам, учитывающим нелинейность, пороговые эффекты, пространственную взаимозависимость и ключевую роль институциональных и инновационных факторов. Современная методологическая рефлексия, включающая применение байесовского усреднения моделей для проверки устойчивости детерминант, выявила ограниченность традиционных финансовых коэффициентов, не способных охватить структурные и институциональные особенности, определяющие будущий потенциал. В свете данной эволюции становится очевидной необходимость разработки интегративных подходов, </w:t>
      </w:r>
      <w:r w:rsidRPr="003A6E5A">
        <w:rPr>
          <w:rFonts w:ascii="Times New Roman" w:eastAsia="Times New Roman" w:hAnsi="Times New Roman" w:cs="Times New Roman"/>
          <w:bCs/>
          <w:sz w:val="28"/>
          <w:szCs w:val="28"/>
        </w:rPr>
        <w:lastRenderedPageBreak/>
        <w:t xml:space="preserve">синтезирующих количественные и качественные методы, что находит практическое выражение в построении интегральных показателей с использованием методов многомерной статистики, таких как анализ главных компонент. Актуальность этих методов подтверждается эмпирическими данными по Казахстану, где анализ выявил значительную пространственную дифференциацию и статистически значимое превышение среднереспубликанского уровня инвестиций лишь в части регионов, что подчеркивает невозможность применения унифицированного подхода. Таким образом, совершенствование официальной методики оценки (например, Приказ МНЭ РК №5) видится в целенаправленной интеграции современных международных трендов </w:t>
      </w:r>
      <w:r w:rsidR="00D22C8B" w:rsidRPr="003A6E5A">
        <w:rPr>
          <w:rFonts w:ascii="Times New Roman" w:eastAsia="Times New Roman" w:hAnsi="Times New Roman" w:cs="Times New Roman"/>
          <w:bCs/>
          <w:sz w:val="28"/>
          <w:szCs w:val="28"/>
        </w:rPr>
        <w:t>–</w:t>
      </w:r>
      <w:r w:rsidRPr="003A6E5A">
        <w:rPr>
          <w:rFonts w:ascii="Times New Roman" w:eastAsia="Times New Roman" w:hAnsi="Times New Roman" w:cs="Times New Roman"/>
          <w:bCs/>
          <w:sz w:val="28"/>
          <w:szCs w:val="28"/>
        </w:rPr>
        <w:t xml:space="preserve"> внедрении нелинейных и пространственных моделей, смещении акцента на инновационные и институциональные индикаторы и разработке дифференцированных методик для регионов с различной специализацией, что позволит сформировать эффективную, адресную стратегию для реализации инвестиционного потенциала</w:t>
      </w:r>
      <w:r w:rsidR="007673B4" w:rsidRPr="003A6E5A">
        <w:rPr>
          <w:rFonts w:ascii="Times New Roman" w:eastAsia="Times New Roman" w:hAnsi="Times New Roman" w:cs="Times New Roman"/>
          <w:bCs/>
          <w:sz w:val="28"/>
          <w:szCs w:val="28"/>
        </w:rPr>
        <w:t>.</w:t>
      </w:r>
    </w:p>
    <w:p w14:paraId="407F9A3A" w14:textId="20FB4E40" w:rsidR="00C14F0E" w:rsidRPr="003A6E5A" w:rsidRDefault="007673B4" w:rsidP="007673B4">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 xml:space="preserve">3. </w:t>
      </w:r>
      <w:r w:rsidR="00E27C18" w:rsidRPr="003A6E5A">
        <w:rPr>
          <w:rFonts w:ascii="Times New Roman" w:eastAsia="Times New Roman" w:hAnsi="Times New Roman" w:cs="Times New Roman"/>
          <w:sz w:val="28"/>
          <w:szCs w:val="28"/>
        </w:rPr>
        <w:t>Проведенный анализ позволяет заключить, что пространственные авторегрессионные модели представляют собой методологический прорыв в инвестиционных исследованиях, преодолевающий принципиальные ограничения классических подходов. Синтез панельных и пространственных данных создает основу для выявления сложных пространственно-временных зависимостей, которые невозможно адекватно смоделировать традиционными методами. Методологический арсенал, включающий модели пространственной авторегрессии (SAR), модели пространственных ошибок (SEM) и, в особенности, модель Дарбина (SDM), позволяет не только количественно оценить прямые эффекты факторов внутри региона, но и выявить косвенные spillover-эффекты, то есть влияние изменений в одном регионе на инвестиционную активность в соседних территориях. Это принципиально важно для таких стран, как Казахстан, где регионы тесно взаимосвязаны, а инвестиционные потоки носят выраженный пространственный характер. Несмотря на существующие методологические вызовы, связанные с корректным заданием матрицы пространственных весов, выбором между фиксированными и случайными эффектами и сложностью вычислений, применение пространственных авторегрессионных моделей становится необходимым условием для получения достоверных результатов, формирования научно обоснованной региональной политики и перехода от точечного к системному анализу инвестиционных процессов в рамках единого экономического пространства.</w:t>
      </w:r>
    </w:p>
    <w:p w14:paraId="1BAD678A" w14:textId="77777777" w:rsidR="002E2D04" w:rsidRPr="003A6E5A" w:rsidRDefault="00835C20" w:rsidP="002E2D04">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 xml:space="preserve">4. </w:t>
      </w:r>
      <w:r w:rsidR="002E2D04" w:rsidRPr="003A6E5A">
        <w:rPr>
          <w:rFonts w:ascii="Times New Roman" w:eastAsia="Times New Roman" w:hAnsi="Times New Roman" w:cs="Times New Roman"/>
          <w:sz w:val="28"/>
          <w:szCs w:val="28"/>
        </w:rPr>
        <w:t xml:space="preserve">В результате проведенного анализа установлено, что эволюция инвестиционного взаимодействия между странами Центральной Азии и Европейским союзом, начавшаяся с середины 1990-х годов, демонстрирует переход от фрагментированной двусторонней модели к комплексной региональной стратегии, институционально закрепленной в рамках инициативы «Глобальные ворота». Данная инициатива создает методологические предпосылки для синергетического развития трансконтинентальных </w:t>
      </w:r>
      <w:r w:rsidR="002E2D04" w:rsidRPr="003A6E5A">
        <w:rPr>
          <w:rFonts w:ascii="Times New Roman" w:eastAsia="Times New Roman" w:hAnsi="Times New Roman" w:cs="Times New Roman"/>
          <w:sz w:val="28"/>
          <w:szCs w:val="28"/>
        </w:rPr>
        <w:lastRenderedPageBreak/>
        <w:t>логистических коридоров и стратегического сырьевого партнерства, где приоритетное значение приобретает модернизация Транскаспийского транспортного маршрута через устранение инфраструктурных ограничений и внедрение цифровых решений в таможенные процедуры, что обеспечивает снижение транзакционных издержек и повышение конкурентоспособности международной торговли. Параллельно реализуемая стратегия в области критических металлов, институционализированная через меморандумы с Казахстаном и Узбекистаном, направлена на формирование полных цепочек добавленной стоимости редкоземельных металлов - от добычи до глубокой переработки, что способствует трансформации традиционной сырьевой парадигмы сотрудничества в направлении технологической кооперации и диверсификации инвестиционных потоков. Экономическая эффективность данной модели будет определяться способностью сторон достичь баланса между императивами европейских экологических стандартов, необходимостью преодоления структурных инфраструктурных ограничений и стратегическими интересами центральноазиатских государств в модернизации перерабатывающих мощностей и интеграции в высокотехнологичные сегменты глобальных цепочек создания стоимости.</w:t>
      </w:r>
    </w:p>
    <w:p w14:paraId="11692204" w14:textId="19FB8D39" w:rsidR="002E2D04" w:rsidRPr="003A6E5A" w:rsidRDefault="002E2D04" w:rsidP="002E2D04">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sz w:val="28"/>
          <w:szCs w:val="28"/>
        </w:rPr>
        <w:t xml:space="preserve">5. В ходе исследования, применяя </w:t>
      </w:r>
      <w:bookmarkStart w:id="50" w:name="_Hlk214190826"/>
      <w:r w:rsidRPr="003A6E5A">
        <w:rPr>
          <w:rFonts w:ascii="Times New Roman" w:eastAsia="Times New Roman" w:hAnsi="Times New Roman" w:cs="Times New Roman"/>
          <w:sz w:val="28"/>
          <w:szCs w:val="28"/>
        </w:rPr>
        <w:t>современные методы пространственной эконометрики для оценки влияния пространственной автокорреляции на инвестиционный потенциал и фактические потоки инвестиций в регионах Казахстана</w:t>
      </w:r>
      <w:bookmarkEnd w:id="50"/>
      <w:r w:rsidRPr="003A6E5A">
        <w:rPr>
          <w:rFonts w:ascii="Times New Roman" w:eastAsia="Times New Roman" w:hAnsi="Times New Roman" w:cs="Times New Roman"/>
          <w:sz w:val="28"/>
          <w:szCs w:val="28"/>
        </w:rPr>
        <w:t>, было выявлено статистически значимую отрицательную пространственную автокорреляцию инвестиций в основной капитал (индекс Морана -0,303), что свидетельствует о формировании контрастных кластеров с чередованием регионов с высокими и низкими значениями инвестиционной активности. Результаты регрессионного анализа подтвердили гипотезу о положительном влиянии валового регионального продукта на душу населения (эластичность 0,90) и численности персонала в НИОКР (эластичность 0,26) на объем инвестиций, при этом пространственная модель ошибок продемонстрировала более высокую объяснительную способность (R</w:t>
      </w:r>
      <w:r w:rsidR="00D22C8B" w:rsidRPr="003A6E5A">
        <w:rPr>
          <w:rFonts w:ascii="Times New Roman" w:eastAsia="Times New Roman" w:hAnsi="Times New Roman" w:cs="Times New Roman"/>
          <w:sz w:val="28"/>
          <w:szCs w:val="28"/>
          <w:vertAlign w:val="superscript"/>
        </w:rPr>
        <w:t>2</w:t>
      </w:r>
      <w:r w:rsidRPr="003A6E5A">
        <w:rPr>
          <w:rFonts w:ascii="Times New Roman" w:eastAsia="Times New Roman" w:hAnsi="Times New Roman" w:cs="Times New Roman"/>
          <w:sz w:val="28"/>
          <w:szCs w:val="28"/>
        </w:rPr>
        <w:t xml:space="preserve"> = 0,65) по сравнению с классической регрессией. Особый интерес представляет выявленная дифференциация пространственных взаимосвязей: тогда как показатели ВРП и количества предприятий, осуществляющих НИОКР, демонстрируют положительную пространственную автокорреляцию (индексы Морана 0,274 и 0,355 соответственно), для численности научно-исследовательского персонала характерна слабая отрицательная корреляция </w:t>
      </w:r>
      <w:r w:rsidR="00D22C8B" w:rsidRPr="003A6E5A">
        <w:rPr>
          <w:rFonts w:ascii="Times New Roman" w:eastAsia="Times New Roman" w:hAnsi="Times New Roman" w:cs="Times New Roman"/>
          <w:sz w:val="28"/>
          <w:szCs w:val="28"/>
        </w:rPr>
        <w:t xml:space="preserve">         </w:t>
      </w:r>
      <w:r w:rsidRPr="003A6E5A">
        <w:rPr>
          <w:rFonts w:ascii="Times New Roman" w:eastAsia="Times New Roman" w:hAnsi="Times New Roman" w:cs="Times New Roman"/>
          <w:sz w:val="28"/>
          <w:szCs w:val="28"/>
        </w:rPr>
        <w:t xml:space="preserve">(-0,092), что указывает на неравномерное распределение человеческого капитала в региональной структуре инвестиционного процесса и подтверждает наличие существенных межрегиональных диспропорций в размещении кадрового потенциала исследовательской деятельности. Полученные результаты обосновывают необходимость учета пространственных эффектов при разработке региональной инвестиционной политики и свидетельствуют о значительном потенциале улучшения координации между регионами для преодоления выявленной пространственной разобщенности инвестиционных </w:t>
      </w:r>
      <w:r w:rsidRPr="003A6E5A">
        <w:rPr>
          <w:rFonts w:ascii="Times New Roman" w:eastAsia="Times New Roman" w:hAnsi="Times New Roman" w:cs="Times New Roman"/>
          <w:sz w:val="28"/>
          <w:szCs w:val="28"/>
        </w:rPr>
        <w:lastRenderedPageBreak/>
        <w:t>потоков через формирование механизмов перераспределения человеческого капитала и создания единого научно-инновационного пространства.</w:t>
      </w:r>
    </w:p>
    <w:p w14:paraId="4BA9482D" w14:textId="626591EE" w:rsidR="002E2D04" w:rsidRPr="003A6E5A" w:rsidRDefault="002E2D04" w:rsidP="00F9557F">
      <w:pPr>
        <w:spacing w:after="0" w:line="240" w:lineRule="auto"/>
        <w:ind w:firstLine="709"/>
        <w:jc w:val="both"/>
        <w:rPr>
          <w:rFonts w:ascii="Times New Roman" w:eastAsia="Times New Roman" w:hAnsi="Times New Roman" w:cs="Times New Roman"/>
          <w:sz w:val="28"/>
          <w:szCs w:val="24"/>
        </w:rPr>
      </w:pPr>
      <w:r w:rsidRPr="003A6E5A">
        <w:rPr>
          <w:rFonts w:ascii="Times New Roman" w:eastAsia="Times New Roman" w:hAnsi="Times New Roman" w:cs="Times New Roman"/>
          <w:sz w:val="28"/>
          <w:szCs w:val="24"/>
        </w:rPr>
        <w:t>6. В ходе исследования были достигнуты значимые результаты оценки пространственных авторегрессионных моделей на основе региональных данных Республики Казахстан. Эмпирический анализ выявил статистически значимую отрицательную пространственную автокорреляцию инвестиций в основной капитал (индекс Морана -0,303), свидетельствующую о формировании контрастных кластеров с чередованием регионов с высокими и низкими значениями инвестиционной активности. Результаты регрессионного анализа подтвердили устойчивое положительное влияние валового регионального продукта на душу населения (эластичность 0,90) и численности персонала в НИОКР (эластичность 0,26) на объем инвестиций, при этом пространственная модель ошибок продемонстрировала более высокую объяснительную способность (R² = 0,65) по сравнению с классической регрессией. Особый научный интерес представляет выявленная дифференциация пространственных взаимосвязей: тогда как показатели ВРП и количества предприятий, осуществляющих НИОКР, демонстрируют положительную пространственную автокорреляцию (индексы Морана 0,274 и 0,355 соответственно), для численности научно-исследовательского персонала характерна слабая отрицательная корреляция (-0,092), что указывает на неравномерное распределение человеческого капитала в региональной структуре инвестиционного процесса. Тест Хаусмана подтвердил предпочтительность использования моделей с фиксированными эффектами в большинстве спецификаций, при этом наиболее адекватной оказалась пространственная авторегрессионная модель с пространственными и временными фиксированными эффектами, характеризующаяся минимальными значениями информационных критериев. Полученные результаты обосновывают необходимость учета пространственных эффектов при разработке региональной инвестиционной политики и свидетельствуют о значительном потенциале улучшения координации между регионами для преодоления выявленной пространственной разобщенности инвестиционных потоков.</w:t>
      </w:r>
    </w:p>
    <w:p w14:paraId="71BBA2C3" w14:textId="77777777" w:rsidR="00F9557F" w:rsidRPr="003A6E5A" w:rsidRDefault="007673B4" w:rsidP="00F9557F">
      <w:pPr>
        <w:spacing w:after="0" w:line="240" w:lineRule="auto"/>
        <w:ind w:firstLine="709"/>
        <w:jc w:val="both"/>
        <w:rPr>
          <w:rFonts w:ascii="Times New Roman" w:eastAsia="Times New Roman" w:hAnsi="Times New Roman" w:cs="Times New Roman"/>
          <w:sz w:val="28"/>
          <w:szCs w:val="24"/>
        </w:rPr>
      </w:pPr>
      <w:r w:rsidRPr="003A6E5A">
        <w:rPr>
          <w:rFonts w:ascii="Times New Roman" w:eastAsia="Times New Roman" w:hAnsi="Times New Roman" w:cs="Times New Roman"/>
          <w:sz w:val="28"/>
          <w:szCs w:val="24"/>
        </w:rPr>
        <w:t xml:space="preserve">7. </w:t>
      </w:r>
      <w:r w:rsidR="00F9557F" w:rsidRPr="003A6E5A">
        <w:rPr>
          <w:rFonts w:ascii="Times New Roman" w:eastAsia="Times New Roman" w:hAnsi="Times New Roman" w:cs="Times New Roman"/>
          <w:sz w:val="28"/>
          <w:szCs w:val="24"/>
        </w:rPr>
        <w:t xml:space="preserve">Эмпирическое исследование позволило установить, что пространственное распределение прямых иностранных инвестиций из ЕС характеризуется выраженной асимметрией, проявляющейся в гиперконцентрации капиталовложений в ресурсно-ориентированных регионах при системном дефиците инвестиций в диверсифицированных территориях. Для верификации данной гипотезы была применена методология кластерного анализа, идентифицировавшая четыре стратегические группы стран-инвесторов: транзитные хабы с сырьевой специализацией, диверсифицированные стратегические инвесторы, нишевые инвесторы с повышенной эффективностью и проблемные активы с отрицательной доходностью. В контексте стратегического развития экономики приоритет должен быть отдан целенаправленной поддержке второго и третьего кластеров, демонстрирующих максимальный мультипликативный эффект через технологический трансфер и </w:t>
      </w:r>
      <w:r w:rsidR="00F9557F" w:rsidRPr="003A6E5A">
        <w:rPr>
          <w:rFonts w:ascii="Times New Roman" w:eastAsia="Times New Roman" w:hAnsi="Times New Roman" w:cs="Times New Roman"/>
          <w:sz w:val="28"/>
          <w:szCs w:val="24"/>
        </w:rPr>
        <w:lastRenderedPageBreak/>
        <w:t>создание добавленной стоимости в несырьевых секторах. Реализация данной стратегии требует формирования комплексной системы институциональных стимулов, включающей целевые налоговые преференции, связанные с показателями локализации, создание специализированных фондов софинансирования высокотехнологичных проектов и внедрение программ производственной кооперации, что в совокупности позволит перенаправить инвестиционные потоки из сырьевого сектора в обрабатывающие отрасли и обеспечить структурную трансформацию экономики на принципах устойчивого развития.</w:t>
      </w:r>
    </w:p>
    <w:p w14:paraId="330D5AEA" w14:textId="140B7555" w:rsidR="009B392C" w:rsidRPr="003A6E5A" w:rsidRDefault="007673B4" w:rsidP="00F9557F">
      <w:pPr>
        <w:spacing w:after="0" w:line="240" w:lineRule="auto"/>
        <w:ind w:firstLine="709"/>
        <w:jc w:val="both"/>
        <w:rPr>
          <w:rFonts w:ascii="Times New Roman" w:eastAsia="Times New Roman" w:hAnsi="Times New Roman" w:cs="Times New Roman"/>
          <w:sz w:val="28"/>
          <w:szCs w:val="24"/>
        </w:rPr>
      </w:pPr>
      <w:r w:rsidRPr="003A6E5A">
        <w:rPr>
          <w:rFonts w:ascii="Times New Roman" w:eastAsia="Times New Roman" w:hAnsi="Times New Roman" w:cs="Times New Roman"/>
          <w:sz w:val="28"/>
          <w:szCs w:val="24"/>
        </w:rPr>
        <w:t xml:space="preserve">8. </w:t>
      </w:r>
      <w:r w:rsidR="009B392C" w:rsidRPr="003A6E5A">
        <w:rPr>
          <w:rFonts w:ascii="Times New Roman" w:eastAsia="Times New Roman" w:hAnsi="Times New Roman" w:cs="Times New Roman"/>
          <w:sz w:val="28"/>
          <w:szCs w:val="24"/>
        </w:rPr>
        <w:t xml:space="preserve">Проведённый эмпирико-статистический анализ, основанный на расчёте интегральных индексов инвестиционного потенциала (ИИП₁ и ИИП₂) с применением равновесного метода и метода главных компонент, подтвердил наличие выраженной пространственной неоднородности инвестиционного развития регионов Казахстана. Установлено, что ряд территорий </w:t>
      </w:r>
      <w:r w:rsidR="00FE2A98">
        <w:rPr>
          <w:rFonts w:ascii="Times New Roman" w:eastAsia="Times New Roman" w:hAnsi="Times New Roman" w:cs="Times New Roman"/>
          <w:sz w:val="28"/>
          <w:szCs w:val="24"/>
        </w:rPr>
        <w:t>–</w:t>
      </w:r>
      <w:r w:rsidR="009B392C" w:rsidRPr="003A6E5A">
        <w:rPr>
          <w:rFonts w:ascii="Times New Roman" w:eastAsia="Times New Roman" w:hAnsi="Times New Roman" w:cs="Times New Roman"/>
          <w:sz w:val="28"/>
          <w:szCs w:val="24"/>
        </w:rPr>
        <w:t xml:space="preserve"> прежде всего Атырауская область, города Астана и Алматы </w:t>
      </w:r>
      <w:r w:rsidR="00FE2A98">
        <w:rPr>
          <w:rFonts w:ascii="Times New Roman" w:eastAsia="Times New Roman" w:hAnsi="Times New Roman" w:cs="Times New Roman"/>
          <w:sz w:val="28"/>
          <w:szCs w:val="24"/>
        </w:rPr>
        <w:t>–</w:t>
      </w:r>
      <w:r w:rsidR="009B392C" w:rsidRPr="003A6E5A">
        <w:rPr>
          <w:rFonts w:ascii="Times New Roman" w:eastAsia="Times New Roman" w:hAnsi="Times New Roman" w:cs="Times New Roman"/>
          <w:sz w:val="28"/>
          <w:szCs w:val="24"/>
        </w:rPr>
        <w:t xml:space="preserve"> характеризуются устойчивым превышением среднереспубликанского уровня инвестиций, тогда как Северо-Казахстанская, Жамбылская и Костанайская области демонстрируют статистически значимое отставание. Полученные результаты указывают на необходимость совершенствования государственной инвестиционной политики с акцентом на адресное стимулирование и институциональное выравнивание межрегиональных диспропорций.</w:t>
      </w:r>
    </w:p>
    <w:p w14:paraId="70A3BB1D" w14:textId="497DC3F5" w:rsidR="00D21848" w:rsidRPr="003A6E5A" w:rsidRDefault="007673B4" w:rsidP="00F53C6F">
      <w:pPr>
        <w:spacing w:after="0" w:line="240" w:lineRule="auto"/>
        <w:ind w:firstLine="709"/>
        <w:jc w:val="both"/>
        <w:rPr>
          <w:rFonts w:ascii="Times New Roman" w:eastAsia="Times New Roman" w:hAnsi="Times New Roman" w:cs="Times New Roman"/>
          <w:sz w:val="28"/>
          <w:szCs w:val="24"/>
        </w:rPr>
      </w:pPr>
      <w:r w:rsidRPr="003A6E5A">
        <w:rPr>
          <w:rFonts w:ascii="Times New Roman" w:eastAsia="Times New Roman" w:hAnsi="Times New Roman" w:cs="Times New Roman"/>
          <w:sz w:val="28"/>
          <w:szCs w:val="24"/>
        </w:rPr>
        <w:t xml:space="preserve">9. </w:t>
      </w:r>
      <w:r w:rsidR="00F53C6F" w:rsidRPr="003A6E5A">
        <w:rPr>
          <w:rFonts w:ascii="Times New Roman" w:eastAsia="Times New Roman" w:hAnsi="Times New Roman" w:cs="Times New Roman"/>
          <w:sz w:val="28"/>
          <w:szCs w:val="24"/>
        </w:rPr>
        <w:t xml:space="preserve">Проведенный анализ выявил системные дисфункции в региональной инвестиционной политике Казахстана, проявляющиеся в институциональной </w:t>
      </w:r>
      <w:r w:rsidR="00DA3455">
        <w:rPr>
          <w:rFonts w:ascii="Times New Roman" w:eastAsia="Times New Roman" w:hAnsi="Times New Roman" w:cs="Times New Roman"/>
          <w:sz w:val="28"/>
          <w:szCs w:val="24"/>
        </w:rPr>
        <w:t>«</w:t>
      </w:r>
      <w:r w:rsidR="00F53C6F" w:rsidRPr="003A6E5A">
        <w:rPr>
          <w:rFonts w:ascii="Times New Roman" w:eastAsia="Times New Roman" w:hAnsi="Times New Roman" w:cs="Times New Roman"/>
          <w:sz w:val="28"/>
          <w:szCs w:val="24"/>
        </w:rPr>
        <w:t>размытости</w:t>
      </w:r>
      <w:r w:rsidR="00DA3455">
        <w:rPr>
          <w:rFonts w:ascii="Times New Roman" w:eastAsia="Times New Roman" w:hAnsi="Times New Roman" w:cs="Times New Roman"/>
          <w:sz w:val="28"/>
          <w:szCs w:val="24"/>
        </w:rPr>
        <w:t>»</w:t>
      </w:r>
      <w:r w:rsidR="00F53C6F" w:rsidRPr="003A6E5A">
        <w:rPr>
          <w:rFonts w:ascii="Times New Roman" w:eastAsia="Times New Roman" w:hAnsi="Times New Roman" w:cs="Times New Roman"/>
          <w:sz w:val="28"/>
          <w:szCs w:val="24"/>
        </w:rPr>
        <w:t xml:space="preserve"> и высоких транзакционных издержках. Теоретическое осмысление в рамках концепции Д. Норта демонстрирует несоответствие между нормативно закрепленной архитектурой и её практической реализацией, что выражается в дублировании функций и фрагментарности сопровождения инвестиционных проектов. Эмпирический анализ подтвердил существенный разрыв между формальным закреплением управленческой структуры в Концепции инвестиционной политики до 2029 года и её операционной эффективностью. В качестве стратегической альтернативы предлагается переход к интеграционной модели управления, синтезирующей организационно-институциональные и экономико-регуляторные компоненты. Имплементация концепции «умной специализации» с опорой на детерминанты конкурентного «ромба» М. Портера позволит перейти к дифференцированной инвестиционной политике, учитывающей уникальные преимущества каждого региона. Реализация предложенных мер создаст институциональные предпосылки для формирования целостной инвестиционно-инновационной экосистемы, способной обеспечить переход от фрагментарного привлечения инвестиций к стратегической модернизации региональных экономик.</w:t>
      </w:r>
    </w:p>
    <w:p w14:paraId="2A982D28" w14:textId="77777777" w:rsidR="00D21848" w:rsidRPr="003A6E5A" w:rsidRDefault="00D21848" w:rsidP="00D21848">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b/>
          <w:sz w:val="28"/>
          <w:szCs w:val="24"/>
        </w:rPr>
        <w:t>Оценка полноты решений поставленных задач.</w:t>
      </w:r>
      <w:r w:rsidRPr="003A6E5A">
        <w:rPr>
          <w:rFonts w:ascii="Times New Roman" w:eastAsia="Times New Roman" w:hAnsi="Times New Roman" w:cs="Times New Roman"/>
          <w:sz w:val="28"/>
          <w:szCs w:val="24"/>
        </w:rPr>
        <w:t xml:space="preserve"> </w:t>
      </w:r>
      <w:r w:rsidR="00F9557F" w:rsidRPr="003A6E5A">
        <w:rPr>
          <w:rFonts w:ascii="Times New Roman" w:eastAsia="Times New Roman" w:hAnsi="Times New Roman" w:cs="Times New Roman"/>
          <w:sz w:val="28"/>
          <w:szCs w:val="24"/>
        </w:rPr>
        <w:t xml:space="preserve">Сформулированные в диссертационном исследовании задачи нашли комплексную реализацию в ходе проведенного анализа, который охватил как теоретические аспекты оценки инвестиционной привлекательности, так и прикладные методики их применения </w:t>
      </w:r>
      <w:r w:rsidR="00F9557F" w:rsidRPr="003A6E5A">
        <w:rPr>
          <w:rFonts w:ascii="Times New Roman" w:eastAsia="Times New Roman" w:hAnsi="Times New Roman" w:cs="Times New Roman"/>
          <w:sz w:val="28"/>
          <w:szCs w:val="24"/>
        </w:rPr>
        <w:lastRenderedPageBreak/>
        <w:t xml:space="preserve">к регионам Казахстана. Разработанный автором методический аппарат для оценки инвестиционного потенциала позволяет осуществлять не только региональный анализ, но и агрегировать полученные результаты до общегосударственного уровня, создавая тем самым целостную систему мониторинга и управления инвестиционной привлекательностью на национальном и субнациональном уровнях. Предложенные методы обеспечивают сопоставимость оценок между регионами и выявление системных диспропорций, что формирует методологическую основу для разработки дифференцированной региональной инвестиционной политики и </w:t>
      </w:r>
      <w:r w:rsidR="00F9557F" w:rsidRPr="003A6E5A">
        <w:rPr>
          <w:rFonts w:ascii="Times New Roman" w:eastAsia="Times New Roman" w:hAnsi="Times New Roman" w:cs="Times New Roman"/>
          <w:sz w:val="28"/>
          <w:szCs w:val="28"/>
        </w:rPr>
        <w:t>стратегического планирования территориального развития. Полученные результаты свидетельствуют о достижении целевых ориентиров исследования и создании научно-практического инструментария, обладающего значительным потенциалом для применения в государственном управлении и инвестиционном проектировании.</w:t>
      </w:r>
    </w:p>
    <w:p w14:paraId="7F0D651B" w14:textId="72F06325" w:rsidR="00D21848" w:rsidRPr="003A6E5A" w:rsidRDefault="00D21848" w:rsidP="00D21848">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b/>
          <w:sz w:val="28"/>
          <w:szCs w:val="28"/>
        </w:rPr>
        <w:t>Рекомендации и исходные данные по конкретному использованию результатов</w:t>
      </w:r>
      <w:r w:rsidRPr="003A6E5A">
        <w:rPr>
          <w:rFonts w:ascii="Times New Roman" w:eastAsia="Times New Roman" w:hAnsi="Times New Roman" w:cs="Times New Roman"/>
          <w:sz w:val="28"/>
          <w:szCs w:val="28"/>
        </w:rPr>
        <w:t>. Результаты исследования предназначены для практического применения государственными органами Республики Казахстан, включая АО «Kazakh Invest», Министерство национальной экономики и акиматы регионов. Для АО</w:t>
      </w:r>
      <w:r w:rsidR="00C8628D" w:rsidRPr="003A6E5A">
        <w:rPr>
          <w:rFonts w:ascii="Times New Roman" w:eastAsia="Times New Roman" w:hAnsi="Times New Roman" w:cs="Times New Roman"/>
          <w:sz w:val="28"/>
          <w:szCs w:val="28"/>
          <w:lang w:val="kk-KZ"/>
        </w:rPr>
        <w:t xml:space="preserve"> </w:t>
      </w:r>
      <w:r w:rsidRPr="003A6E5A">
        <w:rPr>
          <w:rFonts w:ascii="Times New Roman" w:eastAsia="Times New Roman" w:hAnsi="Times New Roman" w:cs="Times New Roman"/>
          <w:sz w:val="28"/>
          <w:szCs w:val="28"/>
        </w:rPr>
        <w:t xml:space="preserve">енеджмент». </w:t>
      </w:r>
    </w:p>
    <w:p w14:paraId="7484ED78" w14:textId="3CE3A62B" w:rsidR="00F9557F" w:rsidRPr="003A6E5A" w:rsidRDefault="00D21848" w:rsidP="00D21848">
      <w:pPr>
        <w:spacing w:after="0" w:line="240" w:lineRule="auto"/>
        <w:ind w:firstLine="709"/>
        <w:jc w:val="both"/>
        <w:rPr>
          <w:rFonts w:ascii="Times New Roman" w:eastAsia="Times New Roman" w:hAnsi="Times New Roman" w:cs="Times New Roman"/>
          <w:sz w:val="28"/>
          <w:szCs w:val="28"/>
        </w:rPr>
      </w:pPr>
      <w:r w:rsidRPr="003A6E5A">
        <w:rPr>
          <w:rFonts w:ascii="Times New Roman" w:eastAsia="Times New Roman" w:hAnsi="Times New Roman" w:cs="Times New Roman"/>
          <w:b/>
          <w:sz w:val="28"/>
          <w:szCs w:val="28"/>
        </w:rPr>
        <w:t>Оценка научного уровня выполненной работы в сравнении с лучшими достижениями в данной области.</w:t>
      </w:r>
      <w:r w:rsidRPr="003A6E5A">
        <w:rPr>
          <w:rFonts w:ascii="Times New Roman" w:eastAsia="Times New Roman" w:hAnsi="Times New Roman" w:cs="Times New Roman"/>
          <w:sz w:val="28"/>
          <w:szCs w:val="28"/>
        </w:rPr>
        <w:t xml:space="preserve"> Научный уровень представленной диссертации соответствует современным мировым достижениям в области пространственной эконометрики и анализа инвестиционных процессов. Исследование выполнено на уровне ведущих международных работ, использующих модели SAR, SEM и SDM. Методологический вклад заключается во внедрении для Казахстана комплекса пространственных эконометрических моделей, доказавших значимое влияние пространственных эффектов (ρ = 0,54–0,58) на распределение иностранных инвестиций. Теоретический вклад состоит в разработке оригинальной типологии стран-инвесторов ЕС и интегрального индекса инвестиционного потенциала, отражающего пространственные взаимосвязи между регионами. Практическая значимость выражается в предложении конкретных инструментов управления инвестиционными потоками, ориентированных на диверсификацию экономики и повышение эффективности инвестиционной политики. Работа восполняет существующий пробел в отечественной науке, где ранее отсутствовал комплексный анализ инвестиционного сотрудничества Казахстана с Европейским союзом с применением пространственных эконометрических методов.</w:t>
      </w:r>
    </w:p>
    <w:p w14:paraId="5937344A" w14:textId="77777777" w:rsidR="00861A04" w:rsidRPr="003A6E5A" w:rsidRDefault="00861A04" w:rsidP="00D21848">
      <w:pPr>
        <w:spacing w:after="0" w:line="240" w:lineRule="auto"/>
        <w:jc w:val="both"/>
        <w:rPr>
          <w:rFonts w:ascii="Times New Roman" w:eastAsia="Times New Roman" w:hAnsi="Times New Roman" w:cs="Times New Roman"/>
          <w:sz w:val="28"/>
          <w:szCs w:val="28"/>
        </w:rPr>
      </w:pPr>
      <w:bookmarkStart w:id="51" w:name="_Toc209538987"/>
      <w:r w:rsidRPr="003A6E5A">
        <w:rPr>
          <w:rFonts w:ascii="Times New Roman" w:eastAsia="Times New Roman" w:hAnsi="Times New Roman" w:cs="Times New Roman"/>
          <w:sz w:val="28"/>
          <w:szCs w:val="28"/>
        </w:rPr>
        <w:br w:type="page"/>
      </w:r>
    </w:p>
    <w:p w14:paraId="638CA977" w14:textId="77777777" w:rsidR="00C96643" w:rsidRPr="003A6E5A" w:rsidRDefault="00C96643" w:rsidP="00C96643">
      <w:pPr>
        <w:spacing w:after="0" w:line="240" w:lineRule="auto"/>
        <w:jc w:val="center"/>
        <w:rPr>
          <w:rFonts w:ascii="Times New Roman" w:hAnsi="Times New Roman" w:cs="Times New Roman"/>
          <w:b/>
          <w:bCs/>
          <w:sz w:val="28"/>
          <w:szCs w:val="28"/>
          <w:lang w:val="kk-KZ"/>
        </w:rPr>
      </w:pPr>
      <w:bookmarkStart w:id="52" w:name="_Hlk213060992"/>
      <w:bookmarkStart w:id="53" w:name="_Hlk214127774"/>
      <w:bookmarkStart w:id="54" w:name="_Hlk212473640"/>
      <w:r w:rsidRPr="003A6E5A">
        <w:rPr>
          <w:rFonts w:ascii="Times New Roman" w:hAnsi="Times New Roman" w:cs="Times New Roman"/>
          <w:b/>
          <w:bCs/>
          <w:sz w:val="28"/>
          <w:szCs w:val="28"/>
          <w:lang w:val="kk-KZ"/>
        </w:rPr>
        <w:t>СПИСОК ИСПОЛЬЗОВАННЫХ ИСТОЧНИКОВ</w:t>
      </w:r>
    </w:p>
    <w:p w14:paraId="264E1D23" w14:textId="77777777" w:rsidR="00C96643" w:rsidRPr="003A6E5A" w:rsidRDefault="00C96643" w:rsidP="00C96643">
      <w:pPr>
        <w:spacing w:after="0" w:line="240" w:lineRule="auto"/>
        <w:jc w:val="center"/>
        <w:rPr>
          <w:rFonts w:ascii="Times New Roman" w:hAnsi="Times New Roman" w:cs="Times New Roman"/>
          <w:bCs/>
          <w:sz w:val="28"/>
          <w:szCs w:val="28"/>
          <w:lang w:val="kk-KZ"/>
        </w:rPr>
      </w:pPr>
    </w:p>
    <w:bookmarkEnd w:id="52"/>
    <w:bookmarkEnd w:id="53"/>
    <w:p w14:paraId="1DC09891"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World Investment Report 2024 (Overview). (UNCTAD/WIR/2024 (Overview)) - 20 Jun 2024. Electronic resource. Access mode: </w:t>
      </w:r>
      <w:hyperlink r:id="rId30" w:history="1">
        <w:r w:rsidRPr="003A6E5A">
          <w:rPr>
            <w:rStyle w:val="a9"/>
            <w:rFonts w:ascii="Times New Roman" w:hAnsi="Times New Roman" w:cs="Times New Roman"/>
            <w:color w:val="auto"/>
            <w:sz w:val="28"/>
            <w:szCs w:val="28"/>
            <w:u w:val="none"/>
            <w:lang w:val="en-US"/>
          </w:rPr>
          <w:t>https://unctad.org/publication/world-investment-report-2024</w:t>
        </w:r>
      </w:hyperlink>
      <w:r w:rsidRPr="003A6E5A">
        <w:rPr>
          <w:rStyle w:val="a9"/>
          <w:rFonts w:ascii="Times New Roman" w:hAnsi="Times New Roman" w:cs="Times New Roman"/>
          <w:color w:val="auto"/>
          <w:sz w:val="28"/>
          <w:szCs w:val="28"/>
          <w:u w:val="none"/>
          <w:lang w:val="en-US"/>
        </w:rPr>
        <w:t xml:space="preserve"> (accessed: 09.07.2025)</w:t>
      </w:r>
    </w:p>
    <w:p w14:paraId="00A9A5C8"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Валовый приток прямых инвестиций в Казахстан от иностранных прямых инвесторов (по видам экономической деятельности резидентов, по странам, в разрезе регионов Казахстана). Официальный сайт </w:t>
      </w:r>
      <w:r w:rsidRPr="003A6E5A">
        <w:rPr>
          <w:rFonts w:ascii="Times New Roman" w:hAnsi="Times New Roman" w:cs="Times New Roman"/>
          <w:sz w:val="28"/>
          <w:szCs w:val="28"/>
          <w:lang w:val="kk-KZ"/>
        </w:rPr>
        <w:t xml:space="preserve">Национального Банка РК. Режим доступа: </w:t>
      </w:r>
      <w:hyperlink r:id="rId31" w:history="1">
        <w:r w:rsidRPr="003A6E5A">
          <w:rPr>
            <w:rStyle w:val="a9"/>
            <w:rFonts w:ascii="Times New Roman" w:hAnsi="Times New Roman" w:cs="Times New Roman"/>
            <w:color w:val="auto"/>
            <w:sz w:val="28"/>
            <w:szCs w:val="28"/>
            <w:u w:val="none"/>
            <w:lang w:val="kk-KZ"/>
          </w:rPr>
          <w:t>https://www.nationalbank.kz/ru/news/pryamye-investicii-po-napravleniyu-vlozheniya</w:t>
        </w:r>
      </w:hyperlink>
      <w:r w:rsidRPr="003A6E5A">
        <w:rPr>
          <w:rFonts w:ascii="Times New Roman" w:hAnsi="Times New Roman" w:cs="Times New Roman"/>
          <w:sz w:val="28"/>
          <w:szCs w:val="28"/>
        </w:rPr>
        <w:t xml:space="preserve"> </w:t>
      </w:r>
      <w:r w:rsidRPr="003A6E5A">
        <w:rPr>
          <w:rStyle w:val="a9"/>
          <w:rFonts w:ascii="Times New Roman" w:hAnsi="Times New Roman" w:cs="Times New Roman"/>
          <w:color w:val="auto"/>
          <w:sz w:val="28"/>
          <w:szCs w:val="28"/>
          <w:u w:val="none"/>
        </w:rPr>
        <w:t>(дата обращения: 02.05.2025)</w:t>
      </w:r>
    </w:p>
    <w:p w14:paraId="0749987D"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Foreign direct investment (FDI) in Uzbekistan. Lloyds Bank. Electronic resource. Access mode: </w:t>
      </w:r>
      <w:hyperlink r:id="rId32" w:anchor=":~:text=In%202023%2C%20Uzbekistan%E2%80%99s%20economy%20absorbed,%2D%20data%20U.S.%20State%20Department" w:history="1">
        <w:r w:rsidRPr="003A6E5A">
          <w:rPr>
            <w:rStyle w:val="a9"/>
            <w:rFonts w:ascii="Times New Roman" w:hAnsi="Times New Roman" w:cs="Times New Roman"/>
            <w:color w:val="auto"/>
            <w:sz w:val="28"/>
            <w:szCs w:val="28"/>
            <w:u w:val="none"/>
            <w:lang w:val="en-US"/>
          </w:rPr>
          <w:t>https://www.lloydsbanktrade.com/en/market-potential/uzbekistan/investment#:~:text=In%202023%2C%20Uzbekistan%E2%80%99s%20economy%20absorbed,%2D%20data%20U.S.%20State%20Department</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en-US"/>
        </w:rPr>
        <w:t>(accessed: 02.05.2025)</w:t>
      </w:r>
    </w:p>
    <w:p w14:paraId="2D6BBB0B" w14:textId="77777777" w:rsidR="00C96643" w:rsidRPr="003A6E5A" w:rsidRDefault="00C96643" w:rsidP="00C96643">
      <w:pPr>
        <w:pStyle w:val="ae"/>
        <w:numPr>
          <w:ilvl w:val="0"/>
          <w:numId w:val="4"/>
        </w:numPr>
        <w:spacing w:after="0" w:line="240" w:lineRule="auto"/>
        <w:ind w:left="0" w:firstLine="709"/>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 xml:space="preserve">Turkmenistan attracted $11 billion in investments in 2024. Electronic resource. Access mode: </w:t>
      </w:r>
      <w:hyperlink r:id="rId33" w:history="1">
        <w:r w:rsidRPr="003A6E5A">
          <w:rPr>
            <w:rStyle w:val="a9"/>
            <w:rFonts w:ascii="Times New Roman" w:hAnsi="Times New Roman" w:cs="Times New Roman"/>
            <w:color w:val="auto"/>
            <w:sz w:val="28"/>
            <w:szCs w:val="28"/>
            <w:u w:val="none"/>
            <w:lang w:val="en-US"/>
          </w:rPr>
          <w:t>https://www.oilgas.gov.tm/en/posts/1/13513/turkmenistan-attracted-11-billion-in-investments-in-2024</w:t>
        </w:r>
      </w:hyperlink>
      <w:r w:rsidRPr="003A6E5A">
        <w:rPr>
          <w:rFonts w:ascii="Times New Roman" w:hAnsi="Times New Roman" w:cs="Times New Roman"/>
          <w:sz w:val="28"/>
          <w:szCs w:val="28"/>
          <w:lang w:val="kk-KZ"/>
        </w:rPr>
        <w:t xml:space="preserve"> </w:t>
      </w:r>
      <w:r w:rsidRPr="003A6E5A">
        <w:rPr>
          <w:rStyle w:val="a9"/>
          <w:rFonts w:ascii="Times New Roman" w:hAnsi="Times New Roman" w:cs="Times New Roman"/>
          <w:color w:val="auto"/>
          <w:sz w:val="28"/>
          <w:szCs w:val="28"/>
          <w:u w:val="none"/>
          <w:lang w:val="en-US"/>
        </w:rPr>
        <w:t>(accessed: 07.05.2025)</w:t>
      </w:r>
    </w:p>
    <w:p w14:paraId="18F36CDA" w14:textId="77777777" w:rsidR="00C96643" w:rsidRPr="003A6E5A" w:rsidRDefault="00C96643" w:rsidP="00C96643">
      <w:pPr>
        <w:pStyle w:val="ae"/>
        <w:numPr>
          <w:ilvl w:val="0"/>
          <w:numId w:val="4"/>
        </w:numPr>
        <w:spacing w:after="0" w:line="240" w:lineRule="auto"/>
        <w:ind w:left="0" w:firstLine="709"/>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Global Gateway</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lang w:val="en-US"/>
        </w:rPr>
        <w:t xml:space="preserve">URL: </w:t>
      </w:r>
      <w:hyperlink r:id="rId34" w:history="1">
        <w:r w:rsidRPr="003A6E5A">
          <w:rPr>
            <w:rStyle w:val="a9"/>
            <w:rFonts w:ascii="Times New Roman" w:hAnsi="Times New Roman" w:cs="Times New Roman"/>
            <w:color w:val="auto"/>
            <w:sz w:val="28"/>
            <w:szCs w:val="28"/>
            <w:u w:val="none"/>
            <w:lang w:val="en-US"/>
          </w:rPr>
          <w:t>https://commission.europa.eu/strategy-and-policy/priorities-2019-2024/stronger-europe-world/global-gateway_en</w:t>
        </w:r>
      </w:hyperlink>
      <w:r w:rsidRPr="003A6E5A">
        <w:rPr>
          <w:rStyle w:val="a9"/>
          <w:rFonts w:ascii="Times New Roman" w:hAnsi="Times New Roman" w:cs="Times New Roman"/>
          <w:color w:val="auto"/>
          <w:sz w:val="28"/>
          <w:szCs w:val="28"/>
          <w:u w:val="none"/>
          <w:lang w:val="en-US"/>
        </w:rPr>
        <w:t xml:space="preserve"> (accessed: 07.05.2025)</w:t>
      </w:r>
    </w:p>
    <w:p w14:paraId="4DA3ACD7" w14:textId="77777777" w:rsidR="00C96643" w:rsidRPr="003A6E5A" w:rsidRDefault="00C96643" w:rsidP="00C96643">
      <w:pPr>
        <w:pStyle w:val="ae"/>
        <w:numPr>
          <w:ilvl w:val="0"/>
          <w:numId w:val="4"/>
        </w:numPr>
        <w:spacing w:after="0" w:line="240" w:lineRule="auto"/>
        <w:ind w:left="0" w:firstLine="709"/>
        <w:jc w:val="both"/>
        <w:rPr>
          <w:rStyle w:val="a9"/>
          <w:rFonts w:ascii="Times New Roman" w:hAnsi="Times New Roman" w:cs="Times New Roman"/>
          <w:color w:val="auto"/>
          <w:sz w:val="28"/>
          <w:szCs w:val="28"/>
          <w:u w:val="none"/>
        </w:rPr>
      </w:pPr>
      <w:r w:rsidRPr="003A6E5A">
        <w:rPr>
          <w:rFonts w:ascii="Times New Roman" w:hAnsi="Times New Roman" w:cs="Times New Roman"/>
          <w:sz w:val="28"/>
          <w:szCs w:val="28"/>
        </w:rPr>
        <w:t>Инвестиция в основной капитал. Официальный сайт Бюро национальной статистики Агентства по стратегическому планированию и реформам Республики Казахстан</w:t>
      </w:r>
      <w:r w:rsidRPr="003A6E5A">
        <w:rPr>
          <w:rFonts w:ascii="Times New Roman" w:eastAsia="SimSun" w:hAnsi="Times New Roman" w:cs="Times New Roman"/>
          <w:sz w:val="28"/>
          <w:szCs w:val="28"/>
          <w:lang w:val="kk-KZ" w:eastAsia="ru-RU"/>
        </w:rPr>
        <w:t xml:space="preserve">. Электронный ресурс. Режим доступа: </w:t>
      </w:r>
      <w:hyperlink r:id="rId35" w:history="1">
        <w:r w:rsidRPr="003A6E5A">
          <w:rPr>
            <w:rStyle w:val="a9"/>
            <w:rFonts w:ascii="Times New Roman" w:eastAsia="SimSun" w:hAnsi="Times New Roman" w:cs="Times New Roman"/>
            <w:color w:val="auto"/>
            <w:sz w:val="28"/>
            <w:szCs w:val="28"/>
            <w:u w:val="none"/>
            <w:lang w:val="kk-KZ" w:eastAsia="ru-RU"/>
          </w:rPr>
          <w:t>https://stat.gov.kz/ru/industries/business-statistics/stat-invest/publications/280553/</w:t>
        </w:r>
      </w:hyperlink>
      <w:r w:rsidRPr="003A6E5A">
        <w:rPr>
          <w:rFonts w:ascii="Times New Roman" w:eastAsia="SimSun" w:hAnsi="Times New Roman" w:cs="Times New Roman"/>
          <w:sz w:val="28"/>
          <w:szCs w:val="28"/>
          <w:lang w:eastAsia="ru-RU"/>
        </w:rPr>
        <w:t xml:space="preserve"> </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kk-KZ"/>
        </w:rPr>
        <w:t>дата обращения</w:t>
      </w:r>
      <w:r w:rsidRPr="003A6E5A">
        <w:rPr>
          <w:rStyle w:val="a9"/>
          <w:rFonts w:ascii="Times New Roman" w:hAnsi="Times New Roman" w:cs="Times New Roman"/>
          <w:color w:val="auto"/>
          <w:sz w:val="28"/>
          <w:szCs w:val="28"/>
          <w:u w:val="none"/>
        </w:rPr>
        <w:t>: 03.05.2025)</w:t>
      </w:r>
    </w:p>
    <w:p w14:paraId="1B2A9ACC"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eastAsia="SimSun" w:hAnsi="Times New Roman" w:cs="Times New Roman"/>
          <w:sz w:val="28"/>
          <w:szCs w:val="28"/>
          <w:lang w:val="kk-KZ" w:eastAsia="ru-RU"/>
        </w:rPr>
        <w:t>Keynes J.M. The General Theory of Employment, Interest and Money. – Moscow: Petrocom, 1993. – 325 p.</w:t>
      </w:r>
    </w:p>
    <w:p w14:paraId="4C814872"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Хейне П. Экономический образ мышления. – М.: Каталаксия, 1997. – 704 с. – 574-б.</w:t>
      </w:r>
    </w:p>
    <w:p w14:paraId="16C50A12"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Гитман Л.Дж., Джонк М.Д. Основы инвестирования / пер. с англ. – М.: Дело, 1999. – 93 с.</w:t>
      </w:r>
    </w:p>
    <w:p w14:paraId="2020010C"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eastAsia="SimSun" w:hAnsi="Times New Roman" w:cs="Times New Roman"/>
          <w:sz w:val="28"/>
          <w:szCs w:val="28"/>
          <w:lang w:val="kk-KZ" w:eastAsia="ru-RU"/>
        </w:rPr>
        <w:t xml:space="preserve">Laopodis N.T. Understanding investments: Theories and strategies. – Routledge, 2020. – 29 </w:t>
      </w:r>
      <w:r w:rsidRPr="003A6E5A">
        <w:rPr>
          <w:rFonts w:ascii="Times New Roman" w:eastAsia="SimSun" w:hAnsi="Times New Roman" w:cs="Times New Roman"/>
          <w:sz w:val="28"/>
          <w:szCs w:val="28"/>
          <w:lang w:val="en-US" w:eastAsia="ru-RU"/>
        </w:rPr>
        <w:t>p</w:t>
      </w:r>
      <w:r w:rsidRPr="003A6E5A">
        <w:rPr>
          <w:rFonts w:ascii="Times New Roman" w:eastAsia="SimSun" w:hAnsi="Times New Roman" w:cs="Times New Roman"/>
          <w:sz w:val="28"/>
          <w:szCs w:val="28"/>
          <w:lang w:val="kk-KZ" w:eastAsia="ru-RU"/>
        </w:rPr>
        <w:t xml:space="preserve">. – 5 </w:t>
      </w:r>
      <w:r w:rsidRPr="003A6E5A">
        <w:rPr>
          <w:rFonts w:ascii="Times New Roman" w:eastAsia="SimSun" w:hAnsi="Times New Roman" w:cs="Times New Roman"/>
          <w:sz w:val="28"/>
          <w:szCs w:val="28"/>
          <w:lang w:val="en-US" w:eastAsia="ru-RU"/>
        </w:rPr>
        <w:t>p.</w:t>
      </w:r>
    </w:p>
    <w:p w14:paraId="06D4FF28"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 xml:space="preserve">Шевченко Л.М. Финансовый механизм привлечения иностранных инвестиций в экономику России: дис… докт. юрид. наук / Л.М. Шевченко. – Саратов, 2003. – 171 с. </w:t>
      </w:r>
    </w:p>
    <w:p w14:paraId="344D542F"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Нурланова Н.К. Формирование и использование инвестиций в экономике Казахстана: стратегии и механизм. Алматы: Ғалым, 2005. – 192 с.</w:t>
      </w:r>
    </w:p>
    <w:p w14:paraId="15A360D3"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Пралиева С.Ж. Қазақстан Республикасындағы инвестициялық қызметтің қалыптасуы мен дамуы: ерекшеліктері және мәселелері. э.ғ.к. ғыл.дәр. алуға арналған дисс. – Алматы, 2008. – 159 б.</w:t>
      </w:r>
    </w:p>
    <w:p w14:paraId="37C638A6"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Сыдыкова М.Ж. Қазақстан Республикасының ауыспалы экономикасындағы инвестиция және инвестициялық саясат. Автореф. дисс. к.э.н. – Алматы, 1998. – 24 б.</w:t>
      </w:r>
    </w:p>
    <w:p w14:paraId="4A780269"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lang w:val="ru-RU"/>
        </w:rPr>
      </w:pPr>
      <w:r w:rsidRPr="003A6E5A">
        <w:rPr>
          <w:sz w:val="28"/>
          <w:szCs w:val="28"/>
          <w:lang w:val="ru-RU"/>
        </w:rPr>
        <w:t xml:space="preserve">Гуджарати Д.Н. Основы эконометрики / Д.Н. Гуджарати. </w:t>
      </w:r>
      <w:r w:rsidRPr="003A6E5A">
        <w:rPr>
          <w:sz w:val="28"/>
          <w:szCs w:val="28"/>
          <w:lang w:val="kk-KZ"/>
        </w:rPr>
        <w:t>–</w:t>
      </w:r>
      <w:r w:rsidRPr="003A6E5A">
        <w:rPr>
          <w:sz w:val="28"/>
          <w:szCs w:val="28"/>
          <w:lang w:val="ru-RU"/>
        </w:rPr>
        <w:t xml:space="preserve"> М.: Вильямс, 2021. </w:t>
      </w:r>
      <w:r w:rsidRPr="003A6E5A">
        <w:rPr>
          <w:sz w:val="28"/>
          <w:szCs w:val="28"/>
          <w:lang w:val="kk-KZ"/>
        </w:rPr>
        <w:t>–</w:t>
      </w:r>
      <w:r w:rsidRPr="003A6E5A">
        <w:rPr>
          <w:sz w:val="28"/>
          <w:szCs w:val="28"/>
          <w:lang w:val="ru-RU"/>
        </w:rPr>
        <w:t xml:space="preserve"> 720 с.</w:t>
      </w:r>
    </w:p>
    <w:p w14:paraId="79014245"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lang w:val="ru-RU"/>
        </w:rPr>
      </w:pPr>
      <w:r w:rsidRPr="003A6E5A">
        <w:rPr>
          <w:sz w:val="28"/>
          <w:szCs w:val="28"/>
          <w:lang w:val="ru-RU"/>
        </w:rPr>
        <w:t xml:space="preserve">Вулдридж Дж.М. Введение в эконометрику: современный подход / Дж. М. Вулдридж. </w:t>
      </w:r>
      <w:r w:rsidRPr="003A6E5A">
        <w:rPr>
          <w:sz w:val="28"/>
          <w:szCs w:val="28"/>
          <w:lang w:val="kk-KZ"/>
        </w:rPr>
        <w:t>–</w:t>
      </w:r>
      <w:r w:rsidRPr="003A6E5A">
        <w:rPr>
          <w:sz w:val="28"/>
          <w:szCs w:val="28"/>
          <w:lang w:val="ru-RU"/>
        </w:rPr>
        <w:t xml:space="preserve"> 5</w:t>
      </w:r>
      <w:r w:rsidRPr="003A6E5A">
        <w:rPr>
          <w:sz w:val="28"/>
          <w:szCs w:val="28"/>
          <w:lang w:val="kk-KZ"/>
        </w:rPr>
        <w:t>-</w:t>
      </w:r>
      <w:r w:rsidRPr="003A6E5A">
        <w:rPr>
          <w:sz w:val="28"/>
          <w:szCs w:val="28"/>
          <w:lang w:val="ru-RU"/>
        </w:rPr>
        <w:t xml:space="preserve">е изд. </w:t>
      </w:r>
      <w:r w:rsidRPr="003A6E5A">
        <w:rPr>
          <w:sz w:val="28"/>
          <w:szCs w:val="28"/>
          <w:lang w:val="kk-KZ"/>
        </w:rPr>
        <w:t>–</w:t>
      </w:r>
      <w:r w:rsidRPr="003A6E5A">
        <w:rPr>
          <w:sz w:val="28"/>
          <w:szCs w:val="28"/>
          <w:lang w:val="ru-RU"/>
        </w:rPr>
        <w:t xml:space="preserve"> М.: Юрайт, 2020. </w:t>
      </w:r>
      <w:r w:rsidRPr="003A6E5A">
        <w:rPr>
          <w:sz w:val="28"/>
          <w:szCs w:val="28"/>
          <w:lang w:val="kk-KZ"/>
        </w:rPr>
        <w:t>–</w:t>
      </w:r>
      <w:r w:rsidRPr="003A6E5A">
        <w:rPr>
          <w:sz w:val="28"/>
          <w:szCs w:val="28"/>
          <w:lang w:val="ru-RU"/>
        </w:rPr>
        <w:t xml:space="preserve"> 704 с.</w:t>
      </w:r>
    </w:p>
    <w:p w14:paraId="40583FE3"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lang w:val="ru-RU"/>
        </w:rPr>
      </w:pPr>
      <w:r w:rsidRPr="003A6E5A">
        <w:rPr>
          <w:sz w:val="28"/>
          <w:szCs w:val="28"/>
          <w:lang w:val="ru-RU"/>
        </w:rPr>
        <w:t xml:space="preserve">Грин В.Х. Эконометрический анализ / В.Х. Грин. </w:t>
      </w:r>
      <w:r w:rsidRPr="003A6E5A">
        <w:rPr>
          <w:sz w:val="28"/>
          <w:szCs w:val="28"/>
          <w:lang w:val="kk-KZ"/>
        </w:rPr>
        <w:t>–</w:t>
      </w:r>
      <w:r w:rsidRPr="003A6E5A">
        <w:rPr>
          <w:sz w:val="28"/>
          <w:szCs w:val="28"/>
          <w:lang w:val="ru-RU"/>
        </w:rPr>
        <w:t xml:space="preserve"> 8</w:t>
      </w:r>
      <w:r w:rsidRPr="003A6E5A">
        <w:rPr>
          <w:sz w:val="28"/>
          <w:szCs w:val="28"/>
          <w:lang w:val="kk-KZ"/>
        </w:rPr>
        <w:t>-</w:t>
      </w:r>
      <w:r w:rsidRPr="003A6E5A">
        <w:rPr>
          <w:sz w:val="28"/>
          <w:szCs w:val="28"/>
          <w:lang w:val="ru-RU"/>
        </w:rPr>
        <w:t xml:space="preserve">е изд. </w:t>
      </w:r>
      <w:r w:rsidRPr="003A6E5A">
        <w:rPr>
          <w:sz w:val="28"/>
          <w:szCs w:val="28"/>
          <w:lang w:val="kk-KZ"/>
        </w:rPr>
        <w:t>–</w:t>
      </w:r>
      <w:r w:rsidRPr="003A6E5A">
        <w:rPr>
          <w:sz w:val="28"/>
          <w:szCs w:val="28"/>
          <w:lang w:val="ru-RU"/>
        </w:rPr>
        <w:t xml:space="preserve"> М.: Вильямс, 2018. </w:t>
      </w:r>
      <w:r w:rsidRPr="003A6E5A">
        <w:rPr>
          <w:sz w:val="28"/>
          <w:szCs w:val="28"/>
          <w:lang w:val="kk-KZ"/>
        </w:rPr>
        <w:t>–</w:t>
      </w:r>
      <w:r w:rsidRPr="003A6E5A">
        <w:rPr>
          <w:sz w:val="28"/>
          <w:szCs w:val="28"/>
          <w:lang w:val="ru-RU"/>
        </w:rPr>
        <w:t xml:space="preserve"> 1064 с.</w:t>
      </w:r>
    </w:p>
    <w:p w14:paraId="1497B3D2"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lang w:val="ru-RU"/>
        </w:rPr>
      </w:pPr>
      <w:r w:rsidRPr="003A6E5A">
        <w:rPr>
          <w:sz w:val="28"/>
          <w:szCs w:val="28"/>
          <w:lang w:val="ru-RU"/>
        </w:rPr>
        <w:t xml:space="preserve">Астериу Д., Холл С.Г. Прикладная эконометрика / Д. Астериу, С.Г. Холл. </w:t>
      </w:r>
      <w:r w:rsidRPr="003A6E5A">
        <w:rPr>
          <w:sz w:val="28"/>
          <w:szCs w:val="28"/>
          <w:lang w:val="kk-KZ"/>
        </w:rPr>
        <w:t>–</w:t>
      </w:r>
      <w:r w:rsidRPr="003A6E5A">
        <w:rPr>
          <w:sz w:val="28"/>
          <w:szCs w:val="28"/>
          <w:lang w:val="ru-RU"/>
        </w:rPr>
        <w:t xml:space="preserve"> 3</w:t>
      </w:r>
      <w:r w:rsidRPr="003A6E5A">
        <w:rPr>
          <w:sz w:val="28"/>
          <w:szCs w:val="28"/>
          <w:lang w:val="kk-KZ"/>
        </w:rPr>
        <w:t>-</w:t>
      </w:r>
      <w:r w:rsidRPr="003A6E5A">
        <w:rPr>
          <w:sz w:val="28"/>
          <w:szCs w:val="28"/>
          <w:lang w:val="ru-RU"/>
        </w:rPr>
        <w:t xml:space="preserve">е изд. </w:t>
      </w:r>
      <w:r w:rsidRPr="003A6E5A">
        <w:rPr>
          <w:sz w:val="28"/>
          <w:szCs w:val="28"/>
          <w:lang w:val="kk-KZ"/>
        </w:rPr>
        <w:t>–</w:t>
      </w:r>
      <w:r w:rsidRPr="003A6E5A">
        <w:rPr>
          <w:sz w:val="28"/>
          <w:szCs w:val="28"/>
          <w:lang w:val="ru-RU"/>
        </w:rPr>
        <w:t xml:space="preserve"> М.: Инфра, 2021. </w:t>
      </w:r>
      <w:r w:rsidRPr="003A6E5A">
        <w:rPr>
          <w:sz w:val="28"/>
          <w:szCs w:val="28"/>
          <w:lang w:val="kk-KZ"/>
        </w:rPr>
        <w:t>–</w:t>
      </w:r>
      <w:r w:rsidRPr="003A6E5A">
        <w:rPr>
          <w:sz w:val="28"/>
          <w:szCs w:val="28"/>
          <w:lang w:val="ru-RU"/>
        </w:rPr>
        <w:t xml:space="preserve"> 576 с.</w:t>
      </w:r>
    </w:p>
    <w:p w14:paraId="1ADA364A"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lang w:val="ru-RU"/>
        </w:rPr>
      </w:pPr>
      <w:r w:rsidRPr="003A6E5A">
        <w:rPr>
          <w:sz w:val="28"/>
          <w:szCs w:val="28"/>
          <w:lang w:val="ru-RU"/>
        </w:rPr>
        <w:t xml:space="preserve">Рей Б., Балтаги Б.Х. (ред.). Анализ панельных данных / Б. Рей, Б.Х. Балтаги. </w:t>
      </w:r>
      <w:r w:rsidRPr="003A6E5A">
        <w:rPr>
          <w:sz w:val="28"/>
          <w:szCs w:val="28"/>
          <w:lang w:val="kk-KZ"/>
        </w:rPr>
        <w:t>–</w:t>
      </w:r>
      <w:r w:rsidRPr="003A6E5A">
        <w:rPr>
          <w:sz w:val="28"/>
          <w:szCs w:val="28"/>
          <w:lang w:val="ru-RU"/>
        </w:rPr>
        <w:t xml:space="preserve"> Нью</w:t>
      </w:r>
      <w:r w:rsidRPr="003A6E5A">
        <w:rPr>
          <w:sz w:val="28"/>
          <w:szCs w:val="28"/>
          <w:lang w:val="kk-KZ"/>
        </w:rPr>
        <w:t>-</w:t>
      </w:r>
      <w:r w:rsidRPr="003A6E5A">
        <w:rPr>
          <w:sz w:val="28"/>
          <w:szCs w:val="28"/>
          <w:lang w:val="ru-RU"/>
        </w:rPr>
        <w:t xml:space="preserve">Йорк: </w:t>
      </w:r>
      <w:r w:rsidRPr="003A6E5A">
        <w:rPr>
          <w:sz w:val="28"/>
          <w:szCs w:val="28"/>
        </w:rPr>
        <w:t>Springer</w:t>
      </w:r>
      <w:r w:rsidRPr="003A6E5A">
        <w:rPr>
          <w:sz w:val="28"/>
          <w:szCs w:val="28"/>
          <w:lang w:val="ru-RU"/>
        </w:rPr>
        <w:t xml:space="preserve"> </w:t>
      </w:r>
      <w:r w:rsidRPr="003A6E5A">
        <w:rPr>
          <w:sz w:val="28"/>
          <w:szCs w:val="28"/>
        </w:rPr>
        <w:t>Science</w:t>
      </w:r>
      <w:r w:rsidRPr="003A6E5A">
        <w:rPr>
          <w:sz w:val="28"/>
          <w:szCs w:val="28"/>
          <w:lang w:val="ru-RU"/>
        </w:rPr>
        <w:t xml:space="preserve"> &amp; </w:t>
      </w:r>
      <w:r w:rsidRPr="003A6E5A">
        <w:rPr>
          <w:sz w:val="28"/>
          <w:szCs w:val="28"/>
        </w:rPr>
        <w:t>Business</w:t>
      </w:r>
      <w:r w:rsidRPr="003A6E5A">
        <w:rPr>
          <w:sz w:val="28"/>
          <w:szCs w:val="28"/>
          <w:lang w:val="ru-RU"/>
        </w:rPr>
        <w:t xml:space="preserve"> </w:t>
      </w:r>
      <w:r w:rsidRPr="003A6E5A">
        <w:rPr>
          <w:sz w:val="28"/>
          <w:szCs w:val="28"/>
        </w:rPr>
        <w:t>Media</w:t>
      </w:r>
      <w:r w:rsidRPr="003A6E5A">
        <w:rPr>
          <w:sz w:val="28"/>
          <w:szCs w:val="28"/>
          <w:lang w:val="ru-RU"/>
        </w:rPr>
        <w:t>, 2012.</w:t>
      </w:r>
    </w:p>
    <w:p w14:paraId="406174CC"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rPr>
      </w:pPr>
      <w:r w:rsidRPr="003A6E5A">
        <w:rPr>
          <w:sz w:val="28"/>
          <w:szCs w:val="28"/>
        </w:rPr>
        <w:t xml:space="preserve">Кумбакар С.С. Efficiency estimation with heteroscedasticity in a panel data model // Applied Economics. </w:t>
      </w:r>
      <w:r w:rsidRPr="003A6E5A">
        <w:rPr>
          <w:sz w:val="28"/>
          <w:szCs w:val="28"/>
          <w:lang w:val="kk-KZ"/>
        </w:rPr>
        <w:t>–</w:t>
      </w:r>
      <w:r w:rsidRPr="003A6E5A">
        <w:rPr>
          <w:sz w:val="28"/>
          <w:szCs w:val="28"/>
        </w:rPr>
        <w:t xml:space="preserve"> 1997. </w:t>
      </w:r>
      <w:r w:rsidRPr="003A6E5A">
        <w:rPr>
          <w:sz w:val="28"/>
          <w:szCs w:val="28"/>
          <w:lang w:val="kk-KZ"/>
        </w:rPr>
        <w:t>–</w:t>
      </w:r>
      <w:r w:rsidRPr="003A6E5A">
        <w:rPr>
          <w:sz w:val="28"/>
          <w:szCs w:val="28"/>
        </w:rPr>
        <w:t xml:space="preserve"> Т. 29. </w:t>
      </w:r>
      <w:r w:rsidRPr="003A6E5A">
        <w:rPr>
          <w:sz w:val="28"/>
          <w:szCs w:val="28"/>
          <w:lang w:val="kk-KZ"/>
        </w:rPr>
        <w:t>–</w:t>
      </w:r>
      <w:r w:rsidRPr="003A6E5A">
        <w:rPr>
          <w:sz w:val="28"/>
          <w:szCs w:val="28"/>
        </w:rPr>
        <w:t xml:space="preserve"> № 3. </w:t>
      </w:r>
      <w:r w:rsidRPr="003A6E5A">
        <w:rPr>
          <w:sz w:val="28"/>
          <w:szCs w:val="28"/>
          <w:lang w:val="kk-KZ"/>
        </w:rPr>
        <w:t>–</w:t>
      </w:r>
      <w:r w:rsidRPr="003A6E5A">
        <w:rPr>
          <w:sz w:val="28"/>
          <w:szCs w:val="28"/>
        </w:rPr>
        <w:t xml:space="preserve"> С. 379–386.</w:t>
      </w:r>
    </w:p>
    <w:p w14:paraId="75CA8D9F" w14:textId="77777777" w:rsidR="00C96643" w:rsidRPr="003A6E5A" w:rsidRDefault="00C96643" w:rsidP="00C96643">
      <w:pPr>
        <w:pStyle w:val="aa"/>
        <w:numPr>
          <w:ilvl w:val="0"/>
          <w:numId w:val="4"/>
        </w:numPr>
        <w:spacing w:beforeAutospacing="0" w:after="0" w:afterAutospacing="0" w:line="240" w:lineRule="auto"/>
        <w:ind w:left="0" w:firstLine="709"/>
        <w:jc w:val="both"/>
        <w:rPr>
          <w:sz w:val="28"/>
          <w:szCs w:val="28"/>
          <w:lang w:val="ru-RU"/>
        </w:rPr>
      </w:pPr>
      <w:r w:rsidRPr="003A6E5A">
        <w:rPr>
          <w:sz w:val="28"/>
          <w:szCs w:val="28"/>
          <w:lang w:val="ru-RU"/>
        </w:rPr>
        <w:t xml:space="preserve">Марно В. Модели, основанные на панельных данных // Прикладная эконометрика. </w:t>
      </w:r>
      <w:r w:rsidRPr="003A6E5A">
        <w:rPr>
          <w:sz w:val="28"/>
          <w:szCs w:val="28"/>
          <w:lang w:val="kk-KZ"/>
        </w:rPr>
        <w:t>–</w:t>
      </w:r>
      <w:r w:rsidRPr="003A6E5A">
        <w:rPr>
          <w:sz w:val="28"/>
          <w:szCs w:val="28"/>
          <w:lang w:val="ru-RU"/>
        </w:rPr>
        <w:t xml:space="preserve"> 2006. </w:t>
      </w:r>
      <w:r w:rsidRPr="003A6E5A">
        <w:rPr>
          <w:sz w:val="28"/>
          <w:szCs w:val="28"/>
          <w:lang w:val="kk-KZ"/>
        </w:rPr>
        <w:t>–</w:t>
      </w:r>
      <w:r w:rsidRPr="003A6E5A">
        <w:rPr>
          <w:sz w:val="28"/>
          <w:szCs w:val="28"/>
          <w:lang w:val="ru-RU"/>
        </w:rPr>
        <w:t xml:space="preserve"> № 1. </w:t>
      </w:r>
      <w:r w:rsidRPr="003A6E5A">
        <w:rPr>
          <w:sz w:val="28"/>
          <w:szCs w:val="28"/>
          <w:lang w:val="kk-KZ"/>
        </w:rPr>
        <w:t>–</w:t>
      </w:r>
      <w:r w:rsidRPr="003A6E5A">
        <w:rPr>
          <w:sz w:val="28"/>
          <w:szCs w:val="28"/>
          <w:lang w:val="ru-RU"/>
        </w:rPr>
        <w:t xml:space="preserve"> С. 94</w:t>
      </w:r>
      <w:r w:rsidRPr="003A6E5A">
        <w:rPr>
          <w:sz w:val="28"/>
          <w:szCs w:val="28"/>
          <w:lang w:val="kk-KZ"/>
        </w:rPr>
        <w:t>-</w:t>
      </w:r>
      <w:r w:rsidRPr="003A6E5A">
        <w:rPr>
          <w:sz w:val="28"/>
          <w:szCs w:val="28"/>
          <w:lang w:val="ru-RU"/>
        </w:rPr>
        <w:t>135.</w:t>
      </w:r>
    </w:p>
    <w:p w14:paraId="76A812F5" w14:textId="77777777" w:rsidR="00C96643" w:rsidRPr="003A6E5A" w:rsidRDefault="00C96643" w:rsidP="00C96643">
      <w:pPr>
        <w:pStyle w:val="ae"/>
        <w:numPr>
          <w:ilvl w:val="0"/>
          <w:numId w:val="4"/>
        </w:numPr>
        <w:spacing w:after="0" w:line="240" w:lineRule="auto"/>
        <w:ind w:left="0" w:firstLine="709"/>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kk-KZ"/>
        </w:rPr>
        <w:t xml:space="preserve">Vasić B., Pekić I., Šimić G. Energy security of the European Union and corruption in Central Asia as the main challenges for the European sustainable energy future // Energy, Sustainability and Society. 2023. </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lang w:val="kk-KZ"/>
        </w:rPr>
        <w:t xml:space="preserve">Vol. 13. </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lang w:val="kk-KZ"/>
        </w:rPr>
        <w:t xml:space="preserve">No. 31. </w:t>
      </w:r>
      <w:hyperlink r:id="rId36" w:history="1">
        <w:r w:rsidRPr="003A6E5A">
          <w:rPr>
            <w:rStyle w:val="a9"/>
            <w:rFonts w:ascii="Times New Roman" w:hAnsi="Times New Roman" w:cs="Times New Roman"/>
            <w:color w:val="auto"/>
            <w:sz w:val="28"/>
            <w:szCs w:val="28"/>
            <w:u w:val="none"/>
            <w:lang w:val="kk-KZ"/>
          </w:rPr>
          <w:t>https://doi.org/10.1186/s13705-023-00406-3.</w:t>
        </w:r>
      </w:hyperlink>
    </w:p>
    <w:p w14:paraId="28EC2722"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hAnsi="Times New Roman" w:cs="Times New Roman"/>
          <w:sz w:val="28"/>
          <w:szCs w:val="28"/>
        </w:rPr>
        <w:t>Колесникова Л. С. Новая стратегия Европейского Союза в Центральной Азии и её влияние на евроазиатскую интеграцию // Постсоветские исследования. 2020. – № 2. – С. 136-144.</w:t>
      </w:r>
    </w:p>
    <w:p w14:paraId="06A60D03"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rPr>
      </w:pPr>
      <w:r w:rsidRPr="003A6E5A">
        <w:rPr>
          <w:rFonts w:ascii="Times New Roman" w:hAnsi="Times New Roman" w:cs="Times New Roman"/>
          <w:sz w:val="28"/>
          <w:szCs w:val="28"/>
        </w:rPr>
        <w:t xml:space="preserve">Лексютина Я.В. Движущие силы политики ЕС в Центральной Азии в условиях новой «Большой игры» // </w:t>
      </w:r>
      <w:r w:rsidRPr="003A6E5A">
        <w:rPr>
          <w:rStyle w:val="a3"/>
          <w:rFonts w:ascii="Times New Roman" w:hAnsi="Times New Roman" w:cs="Times New Roman"/>
          <w:i w:val="0"/>
          <w:sz w:val="28"/>
          <w:szCs w:val="28"/>
        </w:rPr>
        <w:t>Ойкумена. Регионоведческие исследования</w:t>
      </w:r>
      <w:r w:rsidRPr="003A6E5A">
        <w:rPr>
          <w:rFonts w:ascii="Times New Roman" w:hAnsi="Times New Roman" w:cs="Times New Roman"/>
          <w:sz w:val="28"/>
          <w:szCs w:val="28"/>
        </w:rPr>
        <w:t>. – 2024. – № 2(69). – С. 24-32.</w:t>
      </w:r>
    </w:p>
    <w:p w14:paraId="2B4DCE69"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Matveeva A.A new opening for EU–Central Asia relations? // Carnegie Europe. 13.04.2023. Electronic resource. Access mode: </w:t>
      </w:r>
      <w:hyperlink r:id="rId37" w:history="1">
        <w:r w:rsidRPr="003A6E5A">
          <w:rPr>
            <w:rStyle w:val="a9"/>
            <w:rFonts w:ascii="Times New Roman" w:hAnsi="Times New Roman" w:cs="Times New Roman"/>
            <w:color w:val="auto"/>
            <w:sz w:val="28"/>
            <w:szCs w:val="28"/>
            <w:u w:val="none"/>
            <w:lang w:val="en-US"/>
          </w:rPr>
          <w:t>https://carnegieeurope.eu/2023/04/13/new-opening-for-eu-central-asia-relations-pub-89454</w:t>
        </w:r>
      </w:hyperlink>
      <w:r w:rsidRPr="003A6E5A">
        <w:rPr>
          <w:rStyle w:val="a9"/>
          <w:rFonts w:ascii="Times New Roman" w:hAnsi="Times New Roman" w:cs="Times New Roman"/>
          <w:color w:val="auto"/>
          <w:sz w:val="28"/>
          <w:szCs w:val="28"/>
          <w:u w:val="none"/>
          <w:lang w:val="en-US"/>
        </w:rPr>
        <w:t xml:space="preserve"> (accessed: 08.05.2025)</w:t>
      </w:r>
    </w:p>
    <w:p w14:paraId="62F44CF6" w14:textId="77777777" w:rsidR="00C96643" w:rsidRPr="003A6E5A" w:rsidRDefault="00C96643" w:rsidP="00C96643">
      <w:pPr>
        <w:pStyle w:val="ae"/>
        <w:numPr>
          <w:ilvl w:val="0"/>
          <w:numId w:val="4"/>
        </w:numPr>
        <w:spacing w:after="0" w:line="240" w:lineRule="auto"/>
        <w:ind w:left="0" w:firstLine="709"/>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Khıtakhunov A. New phase of the European Union–Central Asia cooperation: Temporary or strategic rapprochement? // Eurasian Research Journal. – 2023. – Vol. 5. – No. 1. – pp. 26-41.</w:t>
      </w:r>
    </w:p>
    <w:p w14:paraId="513969C2" w14:textId="77777777" w:rsidR="00C96643" w:rsidRPr="003A6E5A" w:rsidRDefault="00C96643" w:rsidP="00C96643">
      <w:pPr>
        <w:numPr>
          <w:ilvl w:val="0"/>
          <w:numId w:val="4"/>
        </w:numPr>
        <w:spacing w:after="0" w:line="240" w:lineRule="auto"/>
        <w:ind w:left="0" w:firstLine="709"/>
        <w:jc w:val="both"/>
        <w:rPr>
          <w:rFonts w:ascii="Times New Roman" w:hAnsi="Times New Roman" w:cs="Times New Roman"/>
          <w:sz w:val="28"/>
          <w:szCs w:val="28"/>
          <w:lang w:val="kk-KZ"/>
        </w:rPr>
      </w:pPr>
      <w:r w:rsidRPr="003A6E5A">
        <w:rPr>
          <w:rFonts w:ascii="Times New Roman" w:eastAsia="SimSun" w:hAnsi="Times New Roman" w:cs="Times New Roman"/>
          <w:sz w:val="28"/>
          <w:szCs w:val="28"/>
          <w:shd w:val="clear" w:color="auto" w:fill="FFFFFF"/>
        </w:rPr>
        <w:t>Балега А. П</w:t>
      </w:r>
      <w:r w:rsidRPr="003A6E5A">
        <w:rPr>
          <w:rFonts w:ascii="Times New Roman" w:eastAsia="SimSun" w:hAnsi="Times New Roman" w:cs="Times New Roman"/>
          <w:sz w:val="28"/>
          <w:szCs w:val="28"/>
          <w:shd w:val="clear" w:color="auto" w:fill="FFFFFF"/>
          <w:lang w:val="kk-KZ"/>
        </w:rPr>
        <w:t>р</w:t>
      </w:r>
      <w:r w:rsidRPr="003A6E5A">
        <w:rPr>
          <w:rFonts w:ascii="Times New Roman" w:eastAsia="SimSun" w:hAnsi="Times New Roman" w:cs="Times New Roman"/>
          <w:sz w:val="28"/>
          <w:szCs w:val="28"/>
          <w:shd w:val="clear" w:color="auto" w:fill="FFFFFF"/>
        </w:rPr>
        <w:t xml:space="preserve">ямые </w:t>
      </w:r>
      <w:r w:rsidRPr="003A6E5A">
        <w:rPr>
          <w:rFonts w:ascii="Times New Roman" w:eastAsia="SimSun" w:hAnsi="Times New Roman" w:cs="Times New Roman"/>
          <w:sz w:val="28"/>
          <w:szCs w:val="28"/>
          <w:shd w:val="clear" w:color="auto" w:fill="FFFFFF"/>
          <w:lang w:val="kk-KZ"/>
        </w:rPr>
        <w:t>и</w:t>
      </w:r>
      <w:r w:rsidRPr="003A6E5A">
        <w:rPr>
          <w:rFonts w:ascii="Times New Roman" w:eastAsia="SimSun" w:hAnsi="Times New Roman" w:cs="Times New Roman"/>
          <w:sz w:val="28"/>
          <w:szCs w:val="28"/>
          <w:shd w:val="clear" w:color="auto" w:fill="FFFFFF"/>
        </w:rPr>
        <w:t xml:space="preserve">ностранные </w:t>
      </w:r>
      <w:r w:rsidRPr="003A6E5A">
        <w:rPr>
          <w:rFonts w:ascii="Times New Roman" w:eastAsia="SimSun" w:hAnsi="Times New Roman" w:cs="Times New Roman"/>
          <w:sz w:val="28"/>
          <w:szCs w:val="28"/>
          <w:shd w:val="clear" w:color="auto" w:fill="FFFFFF"/>
          <w:lang w:val="kk-KZ"/>
        </w:rPr>
        <w:t>и</w:t>
      </w:r>
      <w:r w:rsidRPr="003A6E5A">
        <w:rPr>
          <w:rFonts w:ascii="Times New Roman" w:eastAsia="SimSun" w:hAnsi="Times New Roman" w:cs="Times New Roman"/>
          <w:sz w:val="28"/>
          <w:szCs w:val="28"/>
          <w:shd w:val="clear" w:color="auto" w:fill="FFFFFF"/>
        </w:rPr>
        <w:t xml:space="preserve">нвестиции </w:t>
      </w:r>
      <w:r w:rsidRPr="003A6E5A">
        <w:rPr>
          <w:rFonts w:ascii="Times New Roman" w:eastAsia="SimSun" w:hAnsi="Times New Roman" w:cs="Times New Roman"/>
          <w:sz w:val="28"/>
          <w:szCs w:val="28"/>
          <w:shd w:val="clear" w:color="auto" w:fill="FFFFFF"/>
          <w:lang w:val="kk-KZ"/>
        </w:rPr>
        <w:t>в</w:t>
      </w:r>
      <w:r w:rsidRPr="003A6E5A">
        <w:rPr>
          <w:rFonts w:ascii="Times New Roman" w:eastAsia="SimSun" w:hAnsi="Times New Roman" w:cs="Times New Roman"/>
          <w:sz w:val="28"/>
          <w:szCs w:val="28"/>
          <w:shd w:val="clear" w:color="auto" w:fill="FFFFFF"/>
        </w:rPr>
        <w:t xml:space="preserve"> Республике Казахстан //</w:t>
      </w:r>
      <w:r w:rsidRPr="003A6E5A">
        <w:rPr>
          <w:rFonts w:ascii="Times New Roman" w:eastAsia="SimSun" w:hAnsi="Times New Roman" w:cs="Times New Roman"/>
          <w:sz w:val="28"/>
          <w:szCs w:val="28"/>
          <w:shd w:val="clear" w:color="auto" w:fill="FFFFFF"/>
          <w:lang w:val="kk-KZ"/>
        </w:rPr>
        <w:t xml:space="preserve"> </w:t>
      </w:r>
      <w:r w:rsidRPr="003A6E5A">
        <w:rPr>
          <w:rFonts w:ascii="Times New Roman" w:eastAsia="SimSun" w:hAnsi="Times New Roman" w:cs="Times New Roman"/>
          <w:sz w:val="28"/>
          <w:szCs w:val="28"/>
          <w:shd w:val="clear" w:color="auto" w:fill="FFFFFF"/>
        </w:rPr>
        <w:t>Становление и развитие предпринимательства в России: история, современность и перспективы. – 2021. – С. 17-24.</w:t>
      </w:r>
    </w:p>
    <w:p w14:paraId="229B2300" w14:textId="77777777" w:rsidR="00C96643" w:rsidRPr="003A6E5A" w:rsidRDefault="00C96643" w:rsidP="00C96643">
      <w:pPr>
        <w:numPr>
          <w:ilvl w:val="0"/>
          <w:numId w:val="4"/>
        </w:numPr>
        <w:spacing w:after="0" w:line="240" w:lineRule="auto"/>
        <w:ind w:left="0" w:firstLine="709"/>
        <w:jc w:val="both"/>
        <w:rPr>
          <w:rFonts w:ascii="Times New Roman" w:hAnsi="Times New Roman" w:cs="Times New Roman"/>
          <w:sz w:val="28"/>
          <w:szCs w:val="28"/>
          <w:lang w:val="kk-KZ"/>
        </w:rPr>
      </w:pPr>
      <w:r w:rsidRPr="003A6E5A">
        <w:rPr>
          <w:rFonts w:ascii="Times New Roman" w:eastAsia="SimSun" w:hAnsi="Times New Roman" w:cs="Times New Roman"/>
          <w:sz w:val="28"/>
          <w:szCs w:val="28"/>
          <w:shd w:val="clear" w:color="auto" w:fill="FFFFFF"/>
        </w:rPr>
        <w:t>Додонов В.Ю. Международное инвестиционное сотрудничество Казахстана: тенденции, факторы, перспективы. – Казахстанский институт стратегических исследований при Президенте Республики Казахстан, 2019.</w:t>
      </w:r>
      <w:r w:rsidRPr="003A6E5A">
        <w:rPr>
          <w:rFonts w:ascii="Times New Roman" w:eastAsia="SimSun" w:hAnsi="Times New Roman" w:cs="Times New Roman"/>
          <w:sz w:val="28"/>
          <w:szCs w:val="28"/>
          <w:shd w:val="clear" w:color="auto" w:fill="FFFFFF"/>
          <w:lang w:val="kk-KZ"/>
        </w:rPr>
        <w:t xml:space="preserve"> </w:t>
      </w:r>
      <w:r w:rsidRPr="003A6E5A">
        <w:rPr>
          <w:rFonts w:ascii="Times New Roman" w:eastAsia="SimSun" w:hAnsi="Times New Roman" w:cs="Times New Roman"/>
          <w:sz w:val="28"/>
          <w:szCs w:val="28"/>
          <w:shd w:val="clear" w:color="auto" w:fill="FFFFFF"/>
        </w:rPr>
        <w:t>–</w:t>
      </w:r>
      <w:r w:rsidRPr="003A6E5A">
        <w:rPr>
          <w:rFonts w:ascii="Times New Roman" w:eastAsia="SimSun" w:hAnsi="Times New Roman" w:cs="Times New Roman"/>
          <w:sz w:val="28"/>
          <w:szCs w:val="28"/>
          <w:shd w:val="clear" w:color="auto" w:fill="FFFFFF"/>
          <w:lang w:val="kk-KZ"/>
        </w:rPr>
        <w:t xml:space="preserve"> 208 с.</w:t>
      </w:r>
    </w:p>
    <w:p w14:paraId="349A8394" w14:textId="77777777" w:rsidR="00C96643" w:rsidRPr="003A6E5A" w:rsidRDefault="00C96643" w:rsidP="00C96643">
      <w:pPr>
        <w:numPr>
          <w:ilvl w:val="0"/>
          <w:numId w:val="4"/>
        </w:numPr>
        <w:spacing w:after="0" w:line="240" w:lineRule="auto"/>
        <w:ind w:left="0" w:firstLine="709"/>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lang w:val="en-US" w:eastAsia="ru-RU"/>
        </w:rPr>
        <w:t>Drieniková K., Zubaľová Ľ. EU Strategic Interests in Kazakhstan in the Context of Geopolitical and Geo-Economic Changes in the Region with Focus on China // AD ALTA: Journal of Interdisciplinary Research. – 2021. – Vol. 11. – № 2.</w:t>
      </w:r>
      <w:r w:rsidRPr="003A6E5A">
        <w:rPr>
          <w:rFonts w:ascii="Times New Roman" w:eastAsia="Times New Roman" w:hAnsi="Times New Roman" w:cs="Times New Roman"/>
          <w:sz w:val="28"/>
          <w:szCs w:val="28"/>
          <w:lang w:val="kk-KZ" w:eastAsia="ru-RU"/>
        </w:rPr>
        <w:t xml:space="preserve"> – </w:t>
      </w:r>
      <w:r w:rsidRPr="003A6E5A">
        <w:rPr>
          <w:rFonts w:ascii="Times New Roman" w:eastAsia="Times New Roman" w:hAnsi="Times New Roman" w:cs="Times New Roman"/>
          <w:sz w:val="28"/>
          <w:szCs w:val="28"/>
          <w:lang w:val="en-US" w:eastAsia="ru-RU"/>
        </w:rPr>
        <w:t>p. 51-57.</w:t>
      </w:r>
    </w:p>
    <w:p w14:paraId="26B690AB" w14:textId="77777777" w:rsidR="00C96643" w:rsidRPr="003A6E5A" w:rsidRDefault="00C96643" w:rsidP="00C96643">
      <w:pPr>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Demeuov N., Yesdauletova А. The current state and structure of foreign direct investment in the Republic of Kazakhstan //</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lang w:val="kk-KZ"/>
        </w:rPr>
        <w:t xml:space="preserve">Economic Series of the Bulletin of the LN Gumilyov ENU. – 2023. – №. 1. – </w:t>
      </w:r>
      <w:r w:rsidRPr="003A6E5A">
        <w:rPr>
          <w:rFonts w:ascii="Times New Roman" w:hAnsi="Times New Roman" w:cs="Times New Roman"/>
          <w:sz w:val="28"/>
          <w:szCs w:val="28"/>
          <w:lang w:val="en-US"/>
        </w:rPr>
        <w:t>p</w:t>
      </w:r>
      <w:r w:rsidRPr="003A6E5A">
        <w:rPr>
          <w:rFonts w:ascii="Times New Roman" w:hAnsi="Times New Roman" w:cs="Times New Roman"/>
          <w:sz w:val="28"/>
          <w:szCs w:val="28"/>
          <w:lang w:val="kk-KZ"/>
        </w:rPr>
        <w:t>. 34-45.</w:t>
      </w:r>
    </w:p>
    <w:p w14:paraId="44D8CA09" w14:textId="77777777" w:rsidR="00C96643" w:rsidRPr="003A6E5A" w:rsidRDefault="00C96643" w:rsidP="00C96643">
      <w:pPr>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SimSun" w:hAnsi="Times New Roman" w:cs="Times New Roman"/>
          <w:sz w:val="28"/>
          <w:szCs w:val="28"/>
          <w:shd w:val="clear" w:color="auto" w:fill="FFFFFF"/>
        </w:rPr>
        <w:t>Арупов А.А., Отарбаева А.Б. Актуальные проблемы и перспективы инвестиционного сотрудничества Казахстана и ЕС // Economics: the strategy and practice. – 2020. – Т. 15. – №. 3. – С. 97-110.</w:t>
      </w:r>
    </w:p>
    <w:p w14:paraId="4BCB93E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rPr>
      </w:pPr>
      <w:r w:rsidRPr="003A6E5A">
        <w:rPr>
          <w:rFonts w:ascii="Times New Roman" w:hAnsi="Times New Roman" w:cs="Times New Roman"/>
          <w:sz w:val="28"/>
          <w:szCs w:val="28"/>
          <w:shd w:val="clear" w:color="auto" w:fill="FFFFFF"/>
          <w:lang w:val="en-US"/>
        </w:rPr>
        <w:t xml:space="preserve">Schneider F., Frey B. S. Economic and political determinants of foreign direct investment //World development. – 1985. – </w:t>
      </w:r>
      <w:r w:rsidRPr="003A6E5A">
        <w:rPr>
          <w:rFonts w:ascii="Times New Roman" w:hAnsi="Times New Roman" w:cs="Times New Roman"/>
          <w:sz w:val="28"/>
          <w:szCs w:val="28"/>
          <w:shd w:val="clear" w:color="auto" w:fill="FFFFFF"/>
        </w:rPr>
        <w:t>Т</w:t>
      </w:r>
      <w:r w:rsidRPr="003A6E5A">
        <w:rPr>
          <w:rFonts w:ascii="Times New Roman" w:hAnsi="Times New Roman" w:cs="Times New Roman"/>
          <w:sz w:val="28"/>
          <w:szCs w:val="28"/>
          <w:shd w:val="clear" w:color="auto" w:fill="FFFFFF"/>
          <w:lang w:val="en-US"/>
        </w:rPr>
        <w:t xml:space="preserve">. 13. – №. </w:t>
      </w:r>
      <w:r w:rsidRPr="003A6E5A">
        <w:rPr>
          <w:rFonts w:ascii="Times New Roman" w:hAnsi="Times New Roman" w:cs="Times New Roman"/>
          <w:sz w:val="28"/>
          <w:szCs w:val="28"/>
          <w:shd w:val="clear" w:color="auto" w:fill="FFFFFF"/>
        </w:rPr>
        <w:t xml:space="preserve">2. – </w:t>
      </w:r>
      <w:r w:rsidRPr="003A6E5A">
        <w:rPr>
          <w:rFonts w:ascii="Times New Roman" w:hAnsi="Times New Roman" w:cs="Times New Roman"/>
          <w:sz w:val="28"/>
          <w:szCs w:val="28"/>
          <w:shd w:val="clear" w:color="auto" w:fill="FFFFFF"/>
          <w:lang w:val="en-US"/>
        </w:rPr>
        <w:t>p</w:t>
      </w:r>
      <w:r w:rsidRPr="003A6E5A">
        <w:rPr>
          <w:rFonts w:ascii="Times New Roman" w:hAnsi="Times New Roman" w:cs="Times New Roman"/>
          <w:sz w:val="28"/>
          <w:szCs w:val="28"/>
          <w:shd w:val="clear" w:color="auto" w:fill="FFFFFF"/>
        </w:rPr>
        <w:t>. 161-175.</w:t>
      </w:r>
    </w:p>
    <w:p w14:paraId="5BF626E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rPr>
      </w:pPr>
      <w:r w:rsidRPr="003A6E5A">
        <w:rPr>
          <w:rFonts w:ascii="Times New Roman" w:hAnsi="Times New Roman" w:cs="Times New Roman"/>
          <w:sz w:val="28"/>
          <w:szCs w:val="28"/>
          <w:shd w:val="clear" w:color="auto" w:fill="FFFFFF"/>
          <w:lang w:val="en-US"/>
        </w:rPr>
        <w:t xml:space="preserve">Biswas R. Determinants of foreign direct investment //Review of development economics. – 2002. – </w:t>
      </w:r>
      <w:r w:rsidRPr="003A6E5A">
        <w:rPr>
          <w:rFonts w:ascii="Times New Roman" w:hAnsi="Times New Roman" w:cs="Times New Roman"/>
          <w:sz w:val="28"/>
          <w:szCs w:val="28"/>
          <w:shd w:val="clear" w:color="auto" w:fill="FFFFFF"/>
        </w:rPr>
        <w:t>Т</w:t>
      </w:r>
      <w:r w:rsidRPr="003A6E5A">
        <w:rPr>
          <w:rFonts w:ascii="Times New Roman" w:hAnsi="Times New Roman" w:cs="Times New Roman"/>
          <w:sz w:val="28"/>
          <w:szCs w:val="28"/>
          <w:shd w:val="clear" w:color="auto" w:fill="FFFFFF"/>
          <w:lang w:val="en-US"/>
        </w:rPr>
        <w:t xml:space="preserve">. 6. – №. </w:t>
      </w:r>
      <w:r w:rsidRPr="003A6E5A">
        <w:rPr>
          <w:rFonts w:ascii="Times New Roman" w:hAnsi="Times New Roman" w:cs="Times New Roman"/>
          <w:sz w:val="28"/>
          <w:szCs w:val="28"/>
          <w:shd w:val="clear" w:color="auto" w:fill="FFFFFF"/>
        </w:rPr>
        <w:t xml:space="preserve">3. – </w:t>
      </w:r>
      <w:r w:rsidRPr="003A6E5A">
        <w:rPr>
          <w:rFonts w:ascii="Times New Roman" w:hAnsi="Times New Roman" w:cs="Times New Roman"/>
          <w:sz w:val="28"/>
          <w:szCs w:val="28"/>
          <w:shd w:val="clear" w:color="auto" w:fill="FFFFFF"/>
          <w:lang w:val="en-US"/>
        </w:rPr>
        <w:t>p</w:t>
      </w:r>
      <w:r w:rsidRPr="003A6E5A">
        <w:rPr>
          <w:rFonts w:ascii="Times New Roman" w:hAnsi="Times New Roman" w:cs="Times New Roman"/>
          <w:sz w:val="28"/>
          <w:szCs w:val="28"/>
          <w:shd w:val="clear" w:color="auto" w:fill="FFFFFF"/>
        </w:rPr>
        <w:t>. 492-504.</w:t>
      </w:r>
    </w:p>
    <w:p w14:paraId="0D3FAD9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lang w:val="en-US"/>
        </w:rPr>
      </w:pPr>
      <w:r w:rsidRPr="003A6E5A">
        <w:rPr>
          <w:rFonts w:ascii="Times New Roman" w:hAnsi="Times New Roman" w:cs="Times New Roman"/>
          <w:sz w:val="28"/>
          <w:szCs w:val="28"/>
          <w:shd w:val="clear" w:color="auto" w:fill="FFFFFF"/>
          <w:lang w:val="en-US"/>
        </w:rPr>
        <w:t>Bevan A.A., Estrin S. The determinants of foreign direct investment into European transition economies //Journal of comparative economics. – 2004. – Vol. 32. – №. 4. – p. 775-787.</w:t>
      </w:r>
    </w:p>
    <w:p w14:paraId="5EF401E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lang w:val="en-US"/>
        </w:rPr>
      </w:pPr>
      <w:r w:rsidRPr="003A6E5A">
        <w:rPr>
          <w:rFonts w:ascii="Times New Roman" w:hAnsi="Times New Roman" w:cs="Times New Roman"/>
          <w:sz w:val="28"/>
          <w:szCs w:val="28"/>
          <w:shd w:val="clear" w:color="auto" w:fill="FFFFFF"/>
          <w:lang w:val="en-US"/>
        </w:rPr>
        <w:t xml:space="preserve">Mottaleb K.A., Kalirajan K. Determinants of foreign direct investment in developing countries: A comparative analysis // Margin: The Journal of Applied Economic Research. – 2010. – </w:t>
      </w:r>
      <w:r w:rsidRPr="003A6E5A">
        <w:rPr>
          <w:rFonts w:ascii="Times New Roman" w:hAnsi="Times New Roman" w:cs="Times New Roman"/>
          <w:sz w:val="28"/>
          <w:szCs w:val="28"/>
          <w:shd w:val="clear" w:color="auto" w:fill="FFFFFF"/>
        </w:rPr>
        <w:t>Т</w:t>
      </w:r>
      <w:r w:rsidRPr="003A6E5A">
        <w:rPr>
          <w:rFonts w:ascii="Times New Roman" w:hAnsi="Times New Roman" w:cs="Times New Roman"/>
          <w:sz w:val="28"/>
          <w:szCs w:val="28"/>
          <w:shd w:val="clear" w:color="auto" w:fill="FFFFFF"/>
          <w:lang w:val="en-US"/>
        </w:rPr>
        <w:t>. 4. – №. 4. – p. 369-404.</w:t>
      </w:r>
    </w:p>
    <w:p w14:paraId="51F9D8A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lang w:val="en-US"/>
        </w:rPr>
      </w:pPr>
      <w:r w:rsidRPr="003A6E5A">
        <w:rPr>
          <w:rFonts w:ascii="Times New Roman" w:hAnsi="Times New Roman" w:cs="Times New Roman"/>
          <w:sz w:val="28"/>
          <w:szCs w:val="28"/>
          <w:shd w:val="clear" w:color="auto" w:fill="FFFFFF"/>
          <w:lang w:val="en-US"/>
        </w:rPr>
        <w:t>Blonigen B.A., Piger J. Determinants of foreign direct investment // Canadian Journal of Economics/Revue canadienne d'économique. – 2014. – Vol. 47. – №. 3. – p. 775-812.</w:t>
      </w:r>
    </w:p>
    <w:p w14:paraId="78F9616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lang w:val="en-US"/>
        </w:rPr>
      </w:pPr>
      <w:r w:rsidRPr="003A6E5A">
        <w:rPr>
          <w:rFonts w:ascii="Times New Roman" w:hAnsi="Times New Roman" w:cs="Times New Roman"/>
          <w:sz w:val="28"/>
          <w:szCs w:val="28"/>
          <w:shd w:val="clear" w:color="auto" w:fill="FFFFFF"/>
          <w:lang w:val="en-US"/>
        </w:rPr>
        <w:t>Tocar S. Determinants of foreign direct investment: A review // Review of Economic and Business Studies (REBS). – 2018. – №. 21. – p. 165-196.</w:t>
      </w:r>
    </w:p>
    <w:p w14:paraId="121B5583"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shd w:val="clear" w:color="auto" w:fill="FFFFFF"/>
          <w:lang w:val="en-US"/>
        </w:rPr>
      </w:pPr>
      <w:r w:rsidRPr="003A6E5A">
        <w:rPr>
          <w:rFonts w:ascii="Times New Roman" w:hAnsi="Times New Roman" w:cs="Times New Roman"/>
          <w:sz w:val="28"/>
          <w:szCs w:val="28"/>
          <w:shd w:val="clear" w:color="auto" w:fill="FFFFFF"/>
          <w:lang w:val="en-US"/>
        </w:rPr>
        <w:t>Jara J.J. Determinants of country competitiveness in attracting mining investments: An empirical analysis //Resources Policy. – 2017. – Vol. 52. – p. 65-71.</w:t>
      </w:r>
    </w:p>
    <w:p w14:paraId="3DAC3E02"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Petreski M. Spatial competition for FDIs in Southeast Europe // Economics Bulletin. – 2025. – Vol. 45. – №. 3. – p. 1598-1609.</w:t>
      </w:r>
    </w:p>
    <w:p w14:paraId="13D3AE24"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 xml:space="preserve">Отчеты и планы </w:t>
      </w:r>
      <w:r w:rsidRPr="003A6E5A">
        <w:rPr>
          <w:rFonts w:ascii="Times New Roman" w:hAnsi="Times New Roman" w:cs="Times New Roman"/>
          <w:sz w:val="28"/>
          <w:szCs w:val="28"/>
          <w:lang w:val="en-US"/>
        </w:rPr>
        <w:t>Kazakh</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Invest</w:t>
      </w:r>
      <w:r w:rsidRPr="003A6E5A">
        <w:rPr>
          <w:rFonts w:ascii="Times New Roman" w:hAnsi="Times New Roman" w:cs="Times New Roman"/>
          <w:sz w:val="28"/>
          <w:szCs w:val="28"/>
        </w:rPr>
        <w:t xml:space="preserve">. Электронный ресурс. Режим доступа: </w:t>
      </w:r>
      <w:hyperlink r:id="rId38" w:history="1">
        <w:r w:rsidRPr="003A6E5A">
          <w:rPr>
            <w:rStyle w:val="a9"/>
            <w:rFonts w:ascii="Times New Roman" w:hAnsi="Times New Roman" w:cs="Times New Roman"/>
            <w:color w:val="auto"/>
            <w:sz w:val="28"/>
            <w:szCs w:val="28"/>
            <w:u w:val="none"/>
          </w:rPr>
          <w:t>https://invest.gov.kz/ru/about-us/corporate-governance/reports-and-plans/</w:t>
        </w:r>
      </w:hyperlink>
      <w:r w:rsidRPr="003A6E5A">
        <w:rPr>
          <w:rFonts w:ascii="Times New Roman" w:hAnsi="Times New Roman" w:cs="Times New Roman"/>
          <w:sz w:val="28"/>
          <w:szCs w:val="28"/>
        </w:rPr>
        <w:t xml:space="preserve"> (дата обращения: 03.07.2025)</w:t>
      </w:r>
    </w:p>
    <w:p w14:paraId="3ACC65A2"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Постановление Правительства Республики Казахстан от 18 октября 2024 года № 868 «Об утверждении Концепции инвестиционной политики Республики Казахстан до 2029 года»</w:t>
      </w:r>
      <w:r w:rsidRPr="003A6E5A">
        <w:rPr>
          <w:rFonts w:ascii="Times New Roman" w:hAnsi="Times New Roman" w:cs="Times New Roman"/>
          <w:sz w:val="28"/>
          <w:szCs w:val="28"/>
          <w:lang w:val="kk-KZ"/>
        </w:rPr>
        <w:t xml:space="preserve">. Электронный ресурс. Режим доступа: </w:t>
      </w:r>
      <w:hyperlink r:id="rId39" w:history="1">
        <w:r w:rsidRPr="003A6E5A">
          <w:rPr>
            <w:rStyle w:val="a9"/>
            <w:rFonts w:ascii="Times New Roman" w:hAnsi="Times New Roman" w:cs="Times New Roman"/>
            <w:color w:val="auto"/>
            <w:sz w:val="28"/>
            <w:szCs w:val="28"/>
            <w:u w:val="none"/>
            <w:lang w:val="kk-KZ"/>
          </w:rPr>
          <w:t>https://adilet.zan.kz/rus/docs/P2400000868</w:t>
        </w:r>
      </w:hyperlink>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(дата обращения: 03.08.2025)</w:t>
      </w:r>
    </w:p>
    <w:p w14:paraId="4E63C76D"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Закон Казахской Советской Социалистической Республики от 30 ноябpя 1990 года «О свободных экономических зонах в Казахской ССР». Электронный ресурс. Режим доступа: https://adilet.zan.kz/rus/docs/Z900001200_ (дата обращения: 27.10.2025)</w:t>
      </w:r>
    </w:p>
    <w:p w14:paraId="64E676B0"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 xml:space="preserve">Закон Казахской Советской Социалистической Республики от 10 июня 1991 года «Об инвестиционной деятельности в Казахской ССР». Электронный ресурс. Режим доступа: </w:t>
      </w:r>
      <w:hyperlink r:id="rId40" w:history="1">
        <w:r w:rsidRPr="003A6E5A">
          <w:rPr>
            <w:rStyle w:val="a9"/>
            <w:rFonts w:ascii="Times New Roman" w:hAnsi="Times New Roman" w:cs="Times New Roman"/>
            <w:color w:val="auto"/>
            <w:sz w:val="28"/>
            <w:szCs w:val="28"/>
            <w:u w:val="none"/>
          </w:rPr>
          <w:t>https://adilet.zan.kz/rus/docs/Z910003200_</w:t>
        </w:r>
      </w:hyperlink>
      <w:r w:rsidRPr="003A6E5A">
        <w:rPr>
          <w:rFonts w:ascii="Times New Roman" w:hAnsi="Times New Roman" w:cs="Times New Roman"/>
          <w:sz w:val="28"/>
          <w:szCs w:val="28"/>
        </w:rPr>
        <w:t xml:space="preserve"> (дата обращения: 27.10.2025)</w:t>
      </w:r>
    </w:p>
    <w:p w14:paraId="786432D3"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Times New Roman" w:hAnsi="Times New Roman" w:cs="Times New Roman"/>
          <w:bCs/>
          <w:sz w:val="28"/>
          <w:szCs w:val="28"/>
        </w:rPr>
        <w:t xml:space="preserve">Закон РК «Об иностранных инвестициях» от 27 декабpя 1994 года № 266-XIII. </w:t>
      </w:r>
      <w:r w:rsidRPr="003A6E5A">
        <w:rPr>
          <w:rFonts w:ascii="Times New Roman" w:hAnsi="Times New Roman" w:cs="Times New Roman"/>
          <w:sz w:val="28"/>
          <w:szCs w:val="28"/>
        </w:rPr>
        <w:t xml:space="preserve">Электронный ресурс. Режим доступа: </w:t>
      </w:r>
      <w:hyperlink r:id="rId41" w:history="1">
        <w:r w:rsidRPr="003A6E5A">
          <w:rPr>
            <w:rStyle w:val="a9"/>
            <w:rFonts w:ascii="Times New Roman" w:hAnsi="Times New Roman" w:cs="Times New Roman"/>
            <w:color w:val="auto"/>
            <w:sz w:val="28"/>
            <w:szCs w:val="28"/>
            <w:u w:val="none"/>
          </w:rPr>
          <w:t>https://adilet.zan.kz/rus/docs/Z940009000_</w:t>
        </w:r>
      </w:hyperlink>
      <w:r w:rsidRPr="003A6E5A">
        <w:rPr>
          <w:rFonts w:ascii="Times New Roman" w:hAnsi="Times New Roman" w:cs="Times New Roman"/>
          <w:sz w:val="28"/>
          <w:szCs w:val="28"/>
        </w:rPr>
        <w:t xml:space="preserve"> (дата обращения: 27.10.2025)</w:t>
      </w:r>
    </w:p>
    <w:p w14:paraId="36FEB04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Times New Roman" w:hAnsi="Times New Roman" w:cs="Times New Roman"/>
          <w:sz w:val="28"/>
          <w:szCs w:val="28"/>
          <w:lang w:eastAsia="ru-RU"/>
        </w:rPr>
        <w:t xml:space="preserve">Законе РК «Об инвестициях» от 8 января 2003 года № 373. </w:t>
      </w:r>
      <w:r w:rsidRPr="003A6E5A">
        <w:rPr>
          <w:rFonts w:ascii="Times New Roman" w:hAnsi="Times New Roman" w:cs="Times New Roman"/>
          <w:sz w:val="28"/>
          <w:szCs w:val="28"/>
        </w:rPr>
        <w:t>Электронный ресурс. Режим доступа: https://adilet.zan.kz/rus/docs/Z030000373_</w:t>
      </w:r>
      <w:r w:rsidRPr="003A6E5A">
        <w:rPr>
          <w:rFonts w:ascii="Times New Roman" w:eastAsia="Times New Roman" w:hAnsi="Times New Roman" w:cs="Times New Roman"/>
          <w:sz w:val="28"/>
          <w:szCs w:val="28"/>
          <w:lang w:eastAsia="ru-RU"/>
        </w:rPr>
        <w:t xml:space="preserve"> </w:t>
      </w:r>
      <w:r w:rsidRPr="003A6E5A">
        <w:rPr>
          <w:rFonts w:ascii="Times New Roman" w:hAnsi="Times New Roman" w:cs="Times New Roman"/>
          <w:sz w:val="28"/>
          <w:szCs w:val="28"/>
        </w:rPr>
        <w:t>(дата обращения: 27.10.2025)</w:t>
      </w:r>
    </w:p>
    <w:p w14:paraId="63BD75B9"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eastAsia="Times New Roman" w:hAnsi="Times New Roman" w:cs="Times New Roman"/>
          <w:sz w:val="28"/>
          <w:szCs w:val="28"/>
          <w:lang w:eastAsia="ru-RU"/>
        </w:rPr>
        <w:t xml:space="preserve">Предпринимательский кодекс Республики Казахстан от 29 октября 2015 года № 375-V ЗРК Электронный ресурс. Режим доступа: </w:t>
      </w:r>
      <w:hyperlink r:id="rId42" w:history="1">
        <w:r w:rsidRPr="003A6E5A">
          <w:rPr>
            <w:rStyle w:val="a9"/>
            <w:rFonts w:ascii="Times New Roman" w:eastAsia="Times New Roman" w:hAnsi="Times New Roman" w:cs="Times New Roman"/>
            <w:color w:val="auto"/>
            <w:sz w:val="28"/>
            <w:szCs w:val="28"/>
            <w:u w:val="none"/>
            <w:lang w:eastAsia="ru-RU"/>
          </w:rPr>
          <w:t>https://adilet.zan.kz/rus/docs/K1500000375</w:t>
        </w:r>
      </w:hyperlink>
      <w:r w:rsidRPr="003A6E5A">
        <w:rPr>
          <w:rStyle w:val="a9"/>
          <w:rFonts w:ascii="Times New Roman" w:eastAsia="Times New Roman" w:hAnsi="Times New Roman" w:cs="Times New Roman"/>
          <w:color w:val="auto"/>
          <w:sz w:val="28"/>
          <w:szCs w:val="28"/>
          <w:u w:val="none"/>
          <w:lang w:eastAsia="ru-RU"/>
        </w:rPr>
        <w:t xml:space="preserve"> (дата обращения: 01.04.2025)</w:t>
      </w:r>
    </w:p>
    <w:p w14:paraId="765A238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 xml:space="preserve">Действующие Соглашения о поощрении и взаимной защите инвестиций, заключенные Республикой Казахстан (по состоянию на октябрь 2023 года). Электронный ресрус. Режим доступа: </w:t>
      </w:r>
      <w:hyperlink r:id="rId43" w:history="1">
        <w:r w:rsidRPr="003A6E5A">
          <w:rPr>
            <w:rStyle w:val="a9"/>
            <w:rFonts w:ascii="Times New Roman" w:hAnsi="Times New Roman" w:cs="Times New Roman"/>
            <w:color w:val="auto"/>
            <w:sz w:val="28"/>
            <w:szCs w:val="28"/>
            <w:u w:val="none"/>
          </w:rPr>
          <w:t>https://www.gov.kz/memleket/entities/invest/activities/1340?lang=ru</w:t>
        </w:r>
      </w:hyperlink>
      <w:r w:rsidRPr="003A6E5A">
        <w:rPr>
          <w:rFonts w:ascii="Times New Roman" w:hAnsi="Times New Roman" w:cs="Times New Roman"/>
          <w:sz w:val="28"/>
          <w:szCs w:val="28"/>
        </w:rPr>
        <w:t xml:space="preserve"> (дата обращения: 08.08.2025)</w:t>
      </w:r>
    </w:p>
    <w:p w14:paraId="7B12E742"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The New EU Strategy on Central Asia. Electronic resource. Access mode: </w:t>
      </w:r>
      <w:hyperlink r:id="rId44" w:history="1">
        <w:r w:rsidRPr="003A6E5A">
          <w:rPr>
            <w:rStyle w:val="a9"/>
            <w:rFonts w:ascii="Times New Roman" w:hAnsi="Times New Roman" w:cs="Times New Roman"/>
            <w:color w:val="auto"/>
            <w:sz w:val="28"/>
            <w:szCs w:val="28"/>
            <w:u w:val="none"/>
            <w:lang w:val="en-US"/>
          </w:rPr>
          <w:t>https://www.europarl.europa.eu/delegations/en/the-new-eu-strategy-on-central-asia/product-details/20200331DPU25004</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en-US"/>
        </w:rPr>
        <w:t>(accessed: 02.07.2025)</w:t>
      </w:r>
    </w:p>
    <w:p w14:paraId="1F3EC5B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Joint Roadmap for Deepening Ties between the EU and Central Asia. Electronic resource. Access mode: </w:t>
      </w:r>
      <w:hyperlink r:id="rId45" w:history="1">
        <w:r w:rsidRPr="003A6E5A">
          <w:rPr>
            <w:rStyle w:val="a9"/>
            <w:rFonts w:ascii="Times New Roman" w:hAnsi="Times New Roman" w:cs="Times New Roman"/>
            <w:color w:val="auto"/>
            <w:sz w:val="28"/>
            <w:szCs w:val="28"/>
            <w:u w:val="none"/>
            <w:lang w:val="en-US"/>
          </w:rPr>
          <w:t>https://data.consilium.europa.eu/doc/document/ST-14587-2023-INIT/en/pdf</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en-US"/>
        </w:rPr>
        <w:t>(accessed: 02.07.2025)</w:t>
      </w:r>
    </w:p>
    <w:p w14:paraId="4634B9C1"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 xml:space="preserve">Global Gateway: up to €300 billion for the European Union's strategy to boost sustainable links around the world. Electronic resource. Access mode: </w:t>
      </w:r>
      <w:hyperlink r:id="rId46" w:history="1">
        <w:r w:rsidRPr="003A6E5A">
          <w:rPr>
            <w:rStyle w:val="a9"/>
            <w:rFonts w:ascii="Times New Roman" w:hAnsi="Times New Roman" w:cs="Times New Roman"/>
            <w:color w:val="auto"/>
            <w:sz w:val="28"/>
            <w:szCs w:val="28"/>
            <w:u w:val="none"/>
            <w:lang w:val="en-US"/>
          </w:rPr>
          <w:t>https://international-partnerships.ec.europa.eu/news-and-events/news/global-gateway-eu300-billion-european-unions-strategy-boost-sustainable-links-around-world-2021-12-01_en</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en-US"/>
        </w:rPr>
        <w:t>(accessed: 02.07.2025)</w:t>
      </w:r>
    </w:p>
    <w:p w14:paraId="6FC6EFA3"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0"/>
          <w:shd w:val="clear" w:color="auto" w:fill="FFFFFF"/>
        </w:rPr>
        <w:t>Портер М. Международная конкуренция: конкурентные преимущества стран. – М.: Альпина Паблишер, 2016. – 947 с.</w:t>
      </w:r>
    </w:p>
    <w:p w14:paraId="3DE427D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Портер М</w:t>
      </w:r>
      <w:r w:rsidRPr="003A6E5A">
        <w:rPr>
          <w:rFonts w:ascii="Times New Roman" w:hAnsi="Times New Roman" w:cs="Times New Roman"/>
          <w:sz w:val="28"/>
          <w:szCs w:val="28"/>
        </w:rPr>
        <w:t>.</w:t>
      </w:r>
      <w:r w:rsidRPr="003A6E5A">
        <w:rPr>
          <w:rFonts w:ascii="Times New Roman" w:hAnsi="Times New Roman" w:cs="Times New Roman"/>
          <w:sz w:val="28"/>
          <w:szCs w:val="28"/>
          <w:shd w:val="clear" w:color="auto" w:fill="FFFFFF"/>
        </w:rPr>
        <w:t xml:space="preserve"> Конкурентная стратегия: Методика анализа отраслей и конкурентов. «Альпина Паблишер», 2015. – 453 с.</w:t>
      </w:r>
    </w:p>
    <w:p w14:paraId="74D9450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Портер М</w:t>
      </w:r>
      <w:r w:rsidRPr="003A6E5A">
        <w:rPr>
          <w:rFonts w:ascii="Times New Roman" w:hAnsi="Times New Roman" w:cs="Times New Roman"/>
          <w:sz w:val="28"/>
          <w:szCs w:val="28"/>
        </w:rPr>
        <w:t>.</w:t>
      </w:r>
      <w:r w:rsidRPr="003A6E5A">
        <w:rPr>
          <w:rFonts w:ascii="Times New Roman" w:hAnsi="Times New Roman" w:cs="Times New Roman"/>
          <w:sz w:val="28"/>
          <w:szCs w:val="28"/>
          <w:shd w:val="clear" w:color="auto" w:fill="FFFFFF"/>
        </w:rPr>
        <w:t xml:space="preserve"> </w:t>
      </w:r>
      <w:r w:rsidRPr="003A6E5A">
        <w:rPr>
          <w:rFonts w:ascii="Times New Roman" w:hAnsi="Times New Roman" w:cs="Times New Roman"/>
          <w:sz w:val="28"/>
          <w:szCs w:val="28"/>
        </w:rPr>
        <w:t>Конкурентное преимущество: Как достичь высокого результата и обеспечить его устойчивость».</w:t>
      </w:r>
      <w:r w:rsidRPr="003A6E5A">
        <w:rPr>
          <w:rFonts w:ascii="Times New Roman" w:hAnsi="Times New Roman" w:cs="Times New Roman"/>
          <w:sz w:val="28"/>
          <w:szCs w:val="28"/>
          <w:shd w:val="clear" w:color="auto" w:fill="FFFFFF"/>
        </w:rPr>
        <w:t xml:space="preserve"> «Альпина Паблишер», 2016. – 1012 с.</w:t>
      </w:r>
    </w:p>
    <w:p w14:paraId="4E3A539E" w14:textId="1DC08109"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Н</w:t>
      </w:r>
      <w:r w:rsidR="004C308E" w:rsidRPr="003A6E5A">
        <w:rPr>
          <w:rFonts w:ascii="Times New Roman" w:hAnsi="Times New Roman" w:cs="Times New Roman"/>
          <w:sz w:val="28"/>
          <w:szCs w:val="28"/>
        </w:rPr>
        <w:t>орт Д</w:t>
      </w:r>
      <w:r w:rsidRPr="003A6E5A">
        <w:rPr>
          <w:rFonts w:ascii="Times New Roman" w:hAnsi="Times New Roman" w:cs="Times New Roman"/>
          <w:sz w:val="28"/>
          <w:szCs w:val="28"/>
        </w:rPr>
        <w:t>. Институты, институциональные изменения и функционирование экономики. Пер. с англ. А.Н. Несте ренко; предисл. и науч. ред. Б.З. Мильнера. – М.: Фонд экономической книги «Начала», 1997. – 180 с.</w:t>
      </w:r>
    </w:p>
    <w:p w14:paraId="2EA6BD3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Хэмела Г., Прахалада К. Конкурируя за будущее. М.: ЗАО «Олимп-Бизнес», 2002. – 288 с.</w:t>
      </w:r>
    </w:p>
    <w:p w14:paraId="4DB611F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eastAsia="Times New Roman" w:hAnsi="Times New Roman" w:cs="Times New Roman"/>
          <w:sz w:val="28"/>
          <w:szCs w:val="28"/>
          <w:lang w:val="kk-KZ" w:eastAsia="ru-RU"/>
        </w:rPr>
        <w:t>Manciaux S. The notion of investment: new controversies //</w:t>
      </w:r>
      <w:r w:rsidRPr="003A6E5A">
        <w:rPr>
          <w:rFonts w:ascii="Times New Roman" w:eastAsia="Times New Roman" w:hAnsi="Times New Roman" w:cs="Times New Roman"/>
          <w:sz w:val="28"/>
          <w:szCs w:val="28"/>
          <w:lang w:val="en-US" w:eastAsia="ru-RU"/>
        </w:rPr>
        <w:t xml:space="preserve"> </w:t>
      </w:r>
      <w:r w:rsidRPr="003A6E5A">
        <w:rPr>
          <w:rFonts w:ascii="Times New Roman" w:eastAsia="Times New Roman" w:hAnsi="Times New Roman" w:cs="Times New Roman"/>
          <w:sz w:val="28"/>
          <w:szCs w:val="28"/>
          <w:lang w:val="kk-KZ" w:eastAsia="ru-RU"/>
        </w:rPr>
        <w:t xml:space="preserve">The Journal of World Investment &amp; Trade. – 2008. – </w:t>
      </w:r>
      <w:r w:rsidRPr="003A6E5A">
        <w:rPr>
          <w:rFonts w:ascii="Times New Roman" w:eastAsia="Times New Roman" w:hAnsi="Times New Roman" w:cs="Times New Roman"/>
          <w:sz w:val="28"/>
          <w:szCs w:val="28"/>
          <w:lang w:val="en-US" w:eastAsia="ru-RU"/>
        </w:rPr>
        <w:t>Vol</w:t>
      </w:r>
      <w:r w:rsidRPr="003A6E5A">
        <w:rPr>
          <w:rFonts w:ascii="Times New Roman" w:eastAsia="Times New Roman" w:hAnsi="Times New Roman" w:cs="Times New Roman"/>
          <w:sz w:val="28"/>
          <w:szCs w:val="28"/>
          <w:lang w:val="kk-KZ" w:eastAsia="ru-RU"/>
        </w:rPr>
        <w:t xml:space="preserve">. 9. – №. 6. – </w:t>
      </w:r>
      <w:r w:rsidRPr="003A6E5A">
        <w:rPr>
          <w:rFonts w:ascii="Times New Roman" w:eastAsia="Times New Roman" w:hAnsi="Times New Roman" w:cs="Times New Roman"/>
          <w:sz w:val="28"/>
          <w:szCs w:val="28"/>
          <w:lang w:val="en-US" w:eastAsia="ru-RU"/>
        </w:rPr>
        <w:t>p</w:t>
      </w:r>
      <w:r w:rsidRPr="003A6E5A">
        <w:rPr>
          <w:rFonts w:ascii="Times New Roman" w:eastAsia="Times New Roman" w:hAnsi="Times New Roman" w:cs="Times New Roman"/>
          <w:sz w:val="28"/>
          <w:szCs w:val="28"/>
          <w:lang w:val="kk-KZ" w:eastAsia="ru-RU"/>
        </w:rPr>
        <w:t xml:space="preserve">. </w:t>
      </w:r>
      <w:r w:rsidRPr="003A6E5A">
        <w:rPr>
          <w:rFonts w:ascii="Times New Roman" w:eastAsia="Times New Roman" w:hAnsi="Times New Roman" w:cs="Times New Roman"/>
          <w:sz w:val="28"/>
          <w:szCs w:val="28"/>
          <w:lang w:val="en-US" w:eastAsia="ru-RU"/>
        </w:rPr>
        <w:t>VII</w:t>
      </w:r>
      <w:r w:rsidRPr="003A6E5A">
        <w:rPr>
          <w:rFonts w:ascii="Times New Roman" w:eastAsia="Times New Roman" w:hAnsi="Times New Roman" w:cs="Times New Roman"/>
          <w:sz w:val="28"/>
          <w:szCs w:val="28"/>
          <w:lang w:val="kk-KZ" w:eastAsia="ru-RU"/>
        </w:rPr>
        <w:t>-466.</w:t>
      </w:r>
    </w:p>
    <w:p w14:paraId="5CDC1DE6"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Бочаров В.В. Инвестиция нарығын реттеудің қаржы-несиелік әдістері. – М.: Финансы и статистика, 1993. – 144 с.</w:t>
      </w:r>
    </w:p>
    <w:p w14:paraId="0373F35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Дмитриева</w:t>
      </w:r>
      <w:r w:rsidRPr="003A6E5A">
        <w:rPr>
          <w:rFonts w:ascii="Times New Roman" w:eastAsia="Times New Roman" w:hAnsi="Times New Roman" w:cs="Times New Roman"/>
          <w:sz w:val="28"/>
          <w:szCs w:val="28"/>
          <w:lang w:eastAsia="ru-RU"/>
        </w:rPr>
        <w:t xml:space="preserve"> </w:t>
      </w:r>
      <w:r w:rsidRPr="003A6E5A">
        <w:rPr>
          <w:rFonts w:ascii="Times New Roman" w:hAnsi="Times New Roman" w:cs="Times New Roman"/>
          <w:sz w:val="28"/>
          <w:szCs w:val="28"/>
        </w:rPr>
        <w:t xml:space="preserve">Г.К. </w:t>
      </w:r>
      <w:r w:rsidRPr="003A6E5A">
        <w:rPr>
          <w:rFonts w:ascii="Times New Roman" w:eastAsia="Times New Roman" w:hAnsi="Times New Roman" w:cs="Times New Roman"/>
          <w:sz w:val="28"/>
          <w:szCs w:val="28"/>
          <w:lang w:eastAsia="ru-RU"/>
        </w:rPr>
        <w:t xml:space="preserve">Международное частное право: Учебник для вузов», Москва: Проспект, 2005. – 688 </w:t>
      </w:r>
      <w:r w:rsidRPr="003A6E5A">
        <w:rPr>
          <w:rFonts w:ascii="Times New Roman" w:eastAsia="Times New Roman" w:hAnsi="Times New Roman" w:cs="Times New Roman"/>
          <w:sz w:val="28"/>
          <w:szCs w:val="28"/>
          <w:lang w:val="en-US" w:eastAsia="ru-RU"/>
        </w:rPr>
        <w:t>c</w:t>
      </w:r>
      <w:r w:rsidRPr="003A6E5A">
        <w:rPr>
          <w:rFonts w:ascii="Times New Roman" w:eastAsia="Times New Roman" w:hAnsi="Times New Roman" w:cs="Times New Roman"/>
          <w:sz w:val="28"/>
          <w:szCs w:val="28"/>
          <w:lang w:eastAsia="ru-RU"/>
        </w:rPr>
        <w:t>.</w:t>
      </w:r>
    </w:p>
    <w:p w14:paraId="124B5B4D"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SimSun" w:hAnsi="Times New Roman" w:cs="Times New Roman"/>
          <w:sz w:val="28"/>
          <w:szCs w:val="28"/>
          <w:lang w:eastAsia="ru-RU"/>
        </w:rPr>
        <w:t>Агапова Т.Н. Иностранные инвестиции: курс лекций / Т.Н. Агапова, С.П. Осмоловская. – Вологда, 2015. – 126 с.</w:t>
      </w:r>
    </w:p>
    <w:p w14:paraId="6FFA54C3"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 xml:space="preserve">Түзекова М.Қ. Қазақстан Республикасында инвестициялық үдерісті жетілдіру (Қарағанды облысының мысалында). э.ғ.к. ғыл.дәр. алуға арналған дисс. </w:t>
      </w:r>
      <w:r w:rsidRPr="003A6E5A">
        <w:rPr>
          <w:rFonts w:ascii="Times New Roman" w:eastAsia="SimSun" w:hAnsi="Times New Roman" w:cs="Times New Roman"/>
          <w:sz w:val="28"/>
          <w:szCs w:val="28"/>
          <w:lang w:eastAsia="ru-RU"/>
        </w:rPr>
        <w:t>–</w:t>
      </w:r>
      <w:r w:rsidRPr="003A6E5A">
        <w:rPr>
          <w:rFonts w:ascii="Times New Roman" w:eastAsia="SimSun" w:hAnsi="Times New Roman" w:cs="Times New Roman"/>
          <w:sz w:val="28"/>
          <w:szCs w:val="28"/>
          <w:lang w:val="kk-KZ" w:eastAsia="ru-RU"/>
        </w:rPr>
        <w:t xml:space="preserve"> Астана, 2008. </w:t>
      </w:r>
      <w:r w:rsidRPr="003A6E5A">
        <w:rPr>
          <w:rFonts w:ascii="Times New Roman" w:eastAsia="SimSun" w:hAnsi="Times New Roman" w:cs="Times New Roman"/>
          <w:sz w:val="28"/>
          <w:szCs w:val="28"/>
          <w:lang w:eastAsia="ru-RU"/>
        </w:rPr>
        <w:t>–</w:t>
      </w:r>
      <w:r w:rsidRPr="003A6E5A">
        <w:rPr>
          <w:rFonts w:ascii="Times New Roman" w:eastAsia="SimSun" w:hAnsi="Times New Roman" w:cs="Times New Roman"/>
          <w:sz w:val="28"/>
          <w:szCs w:val="28"/>
          <w:lang w:val="kk-KZ" w:eastAsia="ru-RU"/>
        </w:rPr>
        <w:t xml:space="preserve"> 145 б.</w:t>
      </w:r>
    </w:p>
    <w:p w14:paraId="7192BB1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SimSun" w:hAnsi="Times New Roman" w:cs="Times New Roman"/>
          <w:sz w:val="28"/>
          <w:szCs w:val="28"/>
          <w:lang w:val="kk-KZ" w:eastAsia="ru-RU"/>
        </w:rPr>
        <w:t>Сағындықова С. Иностранные инвестиции в РК. – Алматы, 1998. – 185 с.</w:t>
      </w:r>
    </w:p>
    <w:p w14:paraId="2520641B"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lang w:val="kk-KZ"/>
        </w:rPr>
        <w:t>Даулбаев</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К.Б.</w:t>
      </w:r>
      <w:r w:rsidRPr="003A6E5A">
        <w:rPr>
          <w:rFonts w:ascii="Times New Roman" w:hAnsi="Times New Roman" w:cs="Times New Roman"/>
          <w:sz w:val="28"/>
          <w:szCs w:val="28"/>
        </w:rPr>
        <w:t xml:space="preserve"> </w:t>
      </w:r>
      <w:r w:rsidRPr="003A6E5A">
        <w:rPr>
          <w:rFonts w:ascii="Times New Roman" w:eastAsia="SimSun" w:hAnsi="Times New Roman" w:cs="Times New Roman"/>
          <w:sz w:val="28"/>
          <w:szCs w:val="28"/>
          <w:lang w:val="kk-KZ" w:eastAsia="ru-RU"/>
        </w:rPr>
        <w:t>Қазақстан Республикасындағы инвестициялық қатынастар: теориясы мен тәжірибесі. э.ғ.д. ғыл.дәр. алуға арналған дисс. - Алматы, 2010. – 275 б.</w:t>
      </w:r>
    </w:p>
    <w:p w14:paraId="66AD384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Times New Roman" w:hAnsi="Times New Roman" w:cs="Times New Roman"/>
          <w:bCs/>
          <w:sz w:val="28"/>
          <w:szCs w:val="28"/>
        </w:rPr>
        <w:t>Закон РК «О государственной поддержке прямых инвестиций» от 16 июля 1997 г. N 165-I.</w:t>
      </w:r>
      <w:r w:rsidRPr="003A6E5A">
        <w:rPr>
          <w:rFonts w:ascii="Times New Roman" w:hAnsi="Times New Roman" w:cs="Times New Roman"/>
          <w:sz w:val="28"/>
          <w:szCs w:val="28"/>
        </w:rPr>
        <w:t xml:space="preserve"> Электронный ресурс. Режим доступа: https://adilet.zan.kz/rus/docs/Z970000075_</w:t>
      </w:r>
      <w:r w:rsidRPr="003A6E5A">
        <w:rPr>
          <w:rFonts w:ascii="Times New Roman" w:eastAsia="Times New Roman" w:hAnsi="Times New Roman" w:cs="Times New Roman"/>
          <w:bCs/>
          <w:sz w:val="28"/>
          <w:szCs w:val="28"/>
        </w:rPr>
        <w:t xml:space="preserve"> </w:t>
      </w:r>
      <w:r w:rsidRPr="003A6E5A">
        <w:rPr>
          <w:rFonts w:ascii="Times New Roman" w:hAnsi="Times New Roman" w:cs="Times New Roman"/>
          <w:sz w:val="28"/>
          <w:szCs w:val="28"/>
        </w:rPr>
        <w:t>(дата обращения: 27.10.2025)</w:t>
      </w:r>
    </w:p>
    <w:p w14:paraId="1E55A94F"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Style w:val="markedcontent"/>
          <w:rFonts w:ascii="Times New Roman" w:eastAsia="SimSun" w:hAnsi="Times New Roman" w:cs="Times New Roman"/>
          <w:sz w:val="28"/>
          <w:szCs w:val="28"/>
          <w:lang w:eastAsia="zh-CN"/>
        </w:rPr>
        <w:t xml:space="preserve">Сулейменов М.К., Осипов Е.Б. Обзор законодательной базы для инвестиций в нефтегазовом секторе Республики Казахстан, 2005. – С. 10. </w:t>
      </w:r>
      <w:r w:rsidRPr="003A6E5A">
        <w:rPr>
          <w:rFonts w:ascii="Times New Roman" w:hAnsi="Times New Roman" w:cs="Times New Roman"/>
          <w:sz w:val="28"/>
          <w:szCs w:val="28"/>
        </w:rPr>
        <w:t>Электронный ресурс. Режим доступа:</w:t>
      </w:r>
      <w:r w:rsidRPr="003A6E5A">
        <w:rPr>
          <w:rStyle w:val="markedcontent"/>
          <w:rFonts w:ascii="Times New Roman" w:eastAsia="SimSun" w:hAnsi="Times New Roman" w:cs="Times New Roman"/>
          <w:sz w:val="28"/>
          <w:szCs w:val="28"/>
          <w:lang w:eastAsia="zh-CN"/>
        </w:rPr>
        <w:t xml:space="preserve"> </w:t>
      </w:r>
      <w:r w:rsidRPr="003A6E5A">
        <w:rPr>
          <w:rFonts w:ascii="Times New Roman" w:hAnsi="Times New Roman" w:cs="Times New Roman"/>
          <w:sz w:val="28"/>
          <w:szCs w:val="28"/>
        </w:rPr>
        <w:t xml:space="preserve">https://www.iied.org/sites/default/files/pdfs/migrate/G02763.pdf </w:t>
      </w:r>
      <w:r w:rsidRPr="003A6E5A">
        <w:rPr>
          <w:rStyle w:val="a9"/>
          <w:rFonts w:ascii="Times New Roman" w:eastAsia="SimSun" w:hAnsi="Times New Roman" w:cs="Times New Roman"/>
          <w:color w:val="auto"/>
          <w:sz w:val="28"/>
          <w:szCs w:val="28"/>
          <w:u w:val="none"/>
          <w:lang w:eastAsia="zh-CN"/>
        </w:rPr>
        <w:t>(</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09.04.2025)</w:t>
      </w:r>
    </w:p>
    <w:p w14:paraId="574CEC2D"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hAnsi="Times New Roman" w:cs="Times New Roman"/>
          <w:sz w:val="28"/>
          <w:szCs w:val="28"/>
        </w:rPr>
        <w:t xml:space="preserve">Мороз С.П. Актуальные вопросы совершенствования инвестиционного законодательства Республики Казахстан. 03.08.2015. </w:t>
      </w:r>
      <w:hyperlink r:id="rId47" w:anchor="pos=5;-106" w:history="1">
        <w:r w:rsidRPr="003A6E5A">
          <w:rPr>
            <w:rStyle w:val="a9"/>
            <w:rFonts w:ascii="Times New Roman" w:hAnsi="Times New Roman" w:cs="Times New Roman"/>
            <w:color w:val="auto"/>
            <w:sz w:val="28"/>
            <w:szCs w:val="28"/>
            <w:u w:val="none"/>
          </w:rPr>
          <w:t>https://online.zakon.kz/Document/?doc_id=35771977&amp;pos=5;-106#pos=5;-106</w:t>
        </w:r>
      </w:hyperlink>
      <w:r w:rsidRPr="003A6E5A">
        <w:rPr>
          <w:rFonts w:ascii="Times New Roman" w:hAnsi="Times New Roman" w:cs="Times New Roman"/>
          <w:sz w:val="28"/>
          <w:szCs w:val="28"/>
        </w:rPr>
        <w:t xml:space="preserve"> </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09.04.2025)</w:t>
      </w:r>
    </w:p>
    <w:p w14:paraId="3D0D6831"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 xml:space="preserve">Постановление Правительства Республики Казахстан от 14 января 2016 года № 13 “О некоторых вопросах реализации государственной поддержки инвестиций”. Электронный ресурс. Режим доступа: </w:t>
      </w:r>
      <w:hyperlink r:id="rId48" w:history="1">
        <w:r w:rsidRPr="003A6E5A">
          <w:rPr>
            <w:rStyle w:val="a9"/>
            <w:rFonts w:ascii="Times New Roman" w:hAnsi="Times New Roman" w:cs="Times New Roman"/>
            <w:color w:val="auto"/>
            <w:sz w:val="28"/>
            <w:szCs w:val="28"/>
            <w:u w:val="none"/>
          </w:rPr>
          <w:t>https://adilet.zan.kz/rus/docs/P1600000013</w:t>
        </w:r>
      </w:hyperlink>
      <w:r w:rsidRPr="003A6E5A">
        <w:rPr>
          <w:rFonts w:ascii="Times New Roman" w:hAnsi="Times New Roman" w:cs="Times New Roman"/>
          <w:sz w:val="28"/>
          <w:szCs w:val="28"/>
        </w:rPr>
        <w:t xml:space="preserve"> (дата обращения: 27.10.2025)</w:t>
      </w:r>
    </w:p>
    <w:p w14:paraId="46630494"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lang w:val="kk-KZ"/>
        </w:rPr>
        <w:t xml:space="preserve">Увалиева С. Спасут ли экономику иностранные инвестиции или создадут «два Казахстана»? </w:t>
      </w:r>
      <w:r w:rsidRPr="003A6E5A">
        <w:rPr>
          <w:rFonts w:ascii="Times New Roman" w:hAnsi="Times New Roman" w:cs="Times New Roman"/>
          <w:sz w:val="28"/>
          <w:szCs w:val="28"/>
        </w:rPr>
        <w:t xml:space="preserve">Электронный ресурс. Режим доступа: </w:t>
      </w:r>
      <w:hyperlink r:id="rId49" w:history="1">
        <w:r w:rsidRPr="003A6E5A">
          <w:rPr>
            <w:rStyle w:val="a9"/>
            <w:rFonts w:ascii="Times New Roman" w:hAnsi="Times New Roman" w:cs="Times New Roman"/>
            <w:color w:val="auto"/>
            <w:sz w:val="28"/>
            <w:szCs w:val="28"/>
            <w:u w:val="none"/>
            <w:shd w:val="clear" w:color="auto" w:fill="FFFFFF"/>
            <w:lang w:val="kk-KZ"/>
          </w:rPr>
          <w:t>https://ratel.kz/raw/spasut_li_ekonomiku_inostrannye_investitsii_ili_sozdadut_dva_kazahstana</w:t>
        </w:r>
      </w:hyperlink>
      <w:r w:rsidRPr="003A6E5A">
        <w:rPr>
          <w:rFonts w:ascii="Times New Roman" w:hAnsi="Times New Roman" w:cs="Times New Roman"/>
          <w:sz w:val="28"/>
          <w:szCs w:val="28"/>
          <w:shd w:val="clear" w:color="auto" w:fill="FFFFFF"/>
          <w:lang w:val="kk-KZ"/>
        </w:rPr>
        <w:t xml:space="preserve"> </w:t>
      </w:r>
      <w:r w:rsidRPr="003A6E5A">
        <w:rPr>
          <w:rFonts w:ascii="Times New Roman" w:hAnsi="Times New Roman" w:cs="Times New Roman"/>
          <w:sz w:val="28"/>
          <w:szCs w:val="28"/>
        </w:rPr>
        <w:t>(дата обращения: 27.10.2025)</w:t>
      </w:r>
    </w:p>
    <w:p w14:paraId="5FB3875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Times New Roman" w:hAnsi="Times New Roman" w:cs="Times New Roman"/>
          <w:sz w:val="28"/>
          <w:szCs w:val="28"/>
          <w:lang w:eastAsia="ru-RU"/>
        </w:rPr>
        <w:t>Инвестиции и инвестиционная деятельность: учебник / Л. И. Юзвович и др. – Екатеринбург: Изд-во Урал. ун-та, 2021. –  498 с.</w:t>
      </w:r>
    </w:p>
    <w:p w14:paraId="055D06A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Сулейменов М.К. Правовое регулирование иностранных инвестиций и недропользования в Казахстане (Избранные труды). – Алматы, 2006. – 414 с.</w:t>
      </w:r>
    </w:p>
    <w:p w14:paraId="5CD5F968"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hAnsi="Times New Roman" w:cs="Times New Roman"/>
          <w:sz w:val="28"/>
          <w:szCs w:val="28"/>
          <w:lang w:val="kk-KZ"/>
        </w:rPr>
        <w:t xml:space="preserve">Инвестиционная деятельность. Официальный сайт </w:t>
      </w:r>
      <w:r w:rsidRPr="003A6E5A">
        <w:rPr>
          <w:rFonts w:ascii="Times New Roman" w:hAnsi="Times New Roman" w:cs="Times New Roman"/>
          <w:sz w:val="28"/>
          <w:szCs w:val="28"/>
          <w:lang w:val="en-US"/>
        </w:rPr>
        <w:t>Kazakh</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Invest</w:t>
      </w:r>
      <w:r w:rsidRPr="003A6E5A">
        <w:rPr>
          <w:rFonts w:ascii="Times New Roman" w:hAnsi="Times New Roman" w:cs="Times New Roman"/>
          <w:sz w:val="28"/>
          <w:szCs w:val="28"/>
        </w:rPr>
        <w:t xml:space="preserve">. Режим доступа: </w:t>
      </w:r>
      <w:hyperlink r:id="rId50" w:history="1">
        <w:r w:rsidRPr="003A6E5A">
          <w:rPr>
            <w:rStyle w:val="a9"/>
            <w:rFonts w:ascii="Times New Roman" w:hAnsi="Times New Roman" w:cs="Times New Roman"/>
            <w:color w:val="auto"/>
            <w:sz w:val="28"/>
            <w:szCs w:val="28"/>
            <w:u w:val="none"/>
          </w:rPr>
          <w:t>https://invest.gov.kz/ru/invest-guide/support/investment-activities/474/</w:t>
        </w:r>
      </w:hyperlink>
      <w:r w:rsidRPr="003A6E5A">
        <w:rPr>
          <w:rStyle w:val="a9"/>
          <w:rFonts w:ascii="Times New Roman" w:hAnsi="Times New Roman" w:cs="Times New Roman"/>
          <w:color w:val="auto"/>
          <w:sz w:val="28"/>
          <w:szCs w:val="28"/>
          <w:u w:val="none"/>
        </w:rPr>
        <w:t xml:space="preserve"> </w:t>
      </w:r>
      <w:r w:rsidRPr="003A6E5A">
        <w:rPr>
          <w:rStyle w:val="a9"/>
          <w:rFonts w:ascii="Times New Roman" w:eastAsia="SimSun" w:hAnsi="Times New Roman" w:cs="Times New Roman"/>
          <w:color w:val="auto"/>
          <w:sz w:val="28"/>
          <w:szCs w:val="28"/>
          <w:u w:val="none"/>
          <w:lang w:eastAsia="zh-CN"/>
        </w:rPr>
        <w:t>(</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07.04.2025)</w:t>
      </w:r>
    </w:p>
    <w:p w14:paraId="17CDED77" w14:textId="77777777" w:rsidR="00C96643" w:rsidRPr="003A6E5A" w:rsidRDefault="00C96643" w:rsidP="00C96643">
      <w:pPr>
        <w:pStyle w:val="ae"/>
        <w:numPr>
          <w:ilvl w:val="0"/>
          <w:numId w:val="4"/>
        </w:numPr>
        <w:spacing w:after="0" w:line="240" w:lineRule="auto"/>
        <w:ind w:left="0" w:firstLine="720"/>
        <w:jc w:val="both"/>
        <w:rPr>
          <w:rStyle w:val="markedcontent"/>
          <w:rFonts w:ascii="Times New Roman" w:hAnsi="Times New Roman" w:cs="Times New Roman"/>
          <w:sz w:val="28"/>
          <w:szCs w:val="28"/>
        </w:rPr>
      </w:pPr>
      <w:r w:rsidRPr="003A6E5A">
        <w:rPr>
          <w:rStyle w:val="markedcontent"/>
          <w:rFonts w:ascii="Times New Roman" w:eastAsia="SimSun" w:hAnsi="Times New Roman" w:cs="Times New Roman"/>
          <w:sz w:val="28"/>
          <w:szCs w:val="28"/>
          <w:lang w:val="kk-KZ" w:eastAsia="zh-CN"/>
        </w:rPr>
        <w:t>Мусабекова К.С. Организационно-правовые и практические аспекты реализации концессионных соглашений в казахстане. Central Asian Economic Review. 2019. –  №(1):1. – С. 24-133.</w:t>
      </w:r>
    </w:p>
    <w:p w14:paraId="521BAA2C"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Style w:val="markedcontent"/>
          <w:rFonts w:ascii="Times New Roman" w:eastAsia="SimSun" w:hAnsi="Times New Roman" w:cs="Times New Roman"/>
          <w:sz w:val="28"/>
          <w:szCs w:val="28"/>
          <w:lang w:val="kk-KZ" w:eastAsia="zh-CN"/>
        </w:rPr>
        <w:t xml:space="preserve">Закон «О концессиях» от 23 декабря 1991 года № 1021-XII. Электронный ресурс. Режим доступа: </w:t>
      </w:r>
      <w:hyperlink r:id="rId51" w:history="1">
        <w:r w:rsidRPr="003A6E5A">
          <w:rPr>
            <w:rStyle w:val="a9"/>
            <w:rFonts w:ascii="Times New Roman" w:eastAsia="SimSun" w:hAnsi="Times New Roman" w:cs="Times New Roman"/>
            <w:color w:val="auto"/>
            <w:sz w:val="28"/>
            <w:szCs w:val="28"/>
            <w:u w:val="none"/>
            <w:lang w:val="kk-KZ" w:eastAsia="zh-CN"/>
          </w:rPr>
          <w:t>https://online.zakon.kz/Document/?doc_id=1000820</w:t>
        </w:r>
      </w:hyperlink>
      <w:r w:rsidRPr="003A6E5A">
        <w:rPr>
          <w:rStyle w:val="markedcontent"/>
          <w:rFonts w:ascii="Times New Roman" w:eastAsia="SimSun" w:hAnsi="Times New Roman" w:cs="Times New Roman"/>
          <w:sz w:val="28"/>
          <w:szCs w:val="28"/>
          <w:lang w:eastAsia="zh-CN"/>
        </w:rPr>
        <w:t xml:space="preserve"> (</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09.04.2025)</w:t>
      </w:r>
    </w:p>
    <w:p w14:paraId="0A5C3FD1"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Style w:val="markedcontent"/>
          <w:rFonts w:ascii="Times New Roman" w:eastAsia="SimSun" w:hAnsi="Times New Roman" w:cs="Times New Roman"/>
          <w:sz w:val="28"/>
          <w:szCs w:val="28"/>
          <w:lang w:val="kk-KZ" w:eastAsia="zh-CN"/>
        </w:rPr>
        <w:t xml:space="preserve">Закон «О государственно-частном партнерстве» от 31 октября 2015 года № 379-V ЗРК. </w:t>
      </w:r>
      <w:r w:rsidRPr="003A6E5A">
        <w:rPr>
          <w:rFonts w:ascii="Times New Roman" w:eastAsia="Times New Roman" w:hAnsi="Times New Roman" w:cs="Times New Roman"/>
          <w:sz w:val="28"/>
          <w:szCs w:val="28"/>
          <w:lang w:val="kk-KZ" w:eastAsia="ru-RU"/>
        </w:rPr>
        <w:t xml:space="preserve">Электронный ресурс. Режтим доступа: </w:t>
      </w:r>
      <w:hyperlink r:id="rId52" w:history="1">
        <w:r w:rsidRPr="003A6E5A">
          <w:rPr>
            <w:rStyle w:val="a9"/>
            <w:rFonts w:ascii="Times New Roman" w:eastAsia="Times New Roman" w:hAnsi="Times New Roman" w:cs="Times New Roman"/>
            <w:color w:val="auto"/>
            <w:sz w:val="28"/>
            <w:szCs w:val="28"/>
            <w:u w:val="none"/>
            <w:lang w:val="kk-KZ" w:eastAsia="ru-RU"/>
          </w:rPr>
          <w:t>https://adilet.zan.kz/rus/docs/Z1500000379</w:t>
        </w:r>
      </w:hyperlink>
      <w:r w:rsidRPr="003A6E5A">
        <w:rPr>
          <w:rFonts w:ascii="Times New Roman" w:eastAsia="Times New Roman" w:hAnsi="Times New Roman" w:cs="Times New Roman"/>
          <w:sz w:val="28"/>
          <w:szCs w:val="28"/>
          <w:lang w:eastAsia="ru-RU"/>
        </w:rPr>
        <w:t xml:space="preserve"> </w:t>
      </w:r>
      <w:r w:rsidRPr="003A6E5A">
        <w:rPr>
          <w:rStyle w:val="a9"/>
          <w:rFonts w:ascii="Times New Roman" w:eastAsia="SimSun" w:hAnsi="Times New Roman" w:cs="Times New Roman"/>
          <w:color w:val="auto"/>
          <w:sz w:val="28"/>
          <w:szCs w:val="28"/>
          <w:u w:val="none"/>
          <w:lang w:eastAsia="zh-CN"/>
        </w:rPr>
        <w:t>(</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07.10.2025)</w:t>
      </w:r>
    </w:p>
    <w:p w14:paraId="1008E2A3"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Style w:val="markedcontent"/>
          <w:rFonts w:ascii="Times New Roman" w:eastAsia="SimSun" w:hAnsi="Times New Roman" w:cs="Times New Roman"/>
          <w:sz w:val="28"/>
          <w:szCs w:val="28"/>
          <w:lang w:val="kk-KZ" w:eastAsia="zh-CN"/>
        </w:rPr>
        <w:t xml:space="preserve">Обзор нефтяного сектора за 2023 год. Halyk Finance. </w:t>
      </w:r>
      <w:r w:rsidRPr="003A6E5A">
        <w:rPr>
          <w:rFonts w:ascii="Times New Roman" w:hAnsi="Times New Roman" w:cs="Times New Roman"/>
          <w:sz w:val="28"/>
          <w:szCs w:val="28"/>
        </w:rPr>
        <w:t>Электронный ресурс. Режим доступа:</w:t>
      </w:r>
      <w:r w:rsidRPr="003A6E5A">
        <w:rPr>
          <w:rStyle w:val="markedcontent"/>
          <w:rFonts w:ascii="Times New Roman" w:eastAsia="SimSun" w:hAnsi="Times New Roman" w:cs="Times New Roman"/>
          <w:sz w:val="28"/>
          <w:szCs w:val="28"/>
          <w:lang w:val="kk-KZ" w:eastAsia="zh-CN"/>
        </w:rPr>
        <w:t xml:space="preserve"> </w:t>
      </w:r>
      <w:hyperlink r:id="rId53" w:history="1">
        <w:r w:rsidRPr="003A6E5A">
          <w:rPr>
            <w:rStyle w:val="a9"/>
            <w:rFonts w:ascii="Times New Roman" w:eastAsia="SimSun" w:hAnsi="Times New Roman" w:cs="Times New Roman"/>
            <w:color w:val="auto"/>
            <w:sz w:val="28"/>
            <w:szCs w:val="28"/>
            <w:u w:val="none"/>
            <w:lang w:val="kk-KZ" w:eastAsia="zh-CN"/>
          </w:rPr>
          <w:t>https://halykfinance.kz/download/files/analytics/HF_-_Neftyanoy_sektor.pdf</w:t>
        </w:r>
      </w:hyperlink>
      <w:r w:rsidRPr="003A6E5A">
        <w:rPr>
          <w:rStyle w:val="a9"/>
          <w:rFonts w:ascii="Times New Roman" w:eastAsia="SimSun" w:hAnsi="Times New Roman" w:cs="Times New Roman"/>
          <w:color w:val="auto"/>
          <w:sz w:val="28"/>
          <w:szCs w:val="28"/>
          <w:u w:val="none"/>
          <w:lang w:val="kk-KZ" w:eastAsia="zh-CN"/>
        </w:rPr>
        <w:t xml:space="preserve"> </w:t>
      </w:r>
      <w:r w:rsidRPr="003A6E5A">
        <w:rPr>
          <w:rStyle w:val="a9"/>
          <w:rFonts w:ascii="Times New Roman" w:eastAsia="SimSun" w:hAnsi="Times New Roman" w:cs="Times New Roman"/>
          <w:color w:val="auto"/>
          <w:sz w:val="28"/>
          <w:szCs w:val="28"/>
          <w:u w:val="none"/>
          <w:lang w:eastAsia="zh-CN"/>
        </w:rPr>
        <w:t>(</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07.04.2025)</w:t>
      </w:r>
    </w:p>
    <w:p w14:paraId="3FEB330C"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Style w:val="markedcontent"/>
          <w:rFonts w:ascii="Times New Roman" w:eastAsia="SimSun" w:hAnsi="Times New Roman" w:cs="Times New Roman"/>
          <w:sz w:val="28"/>
          <w:szCs w:val="28"/>
          <w:lang w:val="en-US" w:eastAsia="zh-CN"/>
        </w:rPr>
        <w:t xml:space="preserve">Asian Development Bank, 2023. Public-Private Partnership Monitor Kazakhstan. </w:t>
      </w:r>
      <w:r w:rsidRPr="003A6E5A">
        <w:rPr>
          <w:rFonts w:ascii="Times New Roman" w:hAnsi="Times New Roman" w:cs="Times New Roman"/>
          <w:sz w:val="28"/>
          <w:szCs w:val="28"/>
          <w:lang w:val="en-US"/>
        </w:rPr>
        <w:t>Electronic resource. Access mode:</w:t>
      </w:r>
      <w:r w:rsidRPr="003A6E5A">
        <w:rPr>
          <w:rStyle w:val="markedcontent"/>
          <w:rFonts w:ascii="Times New Roman" w:eastAsia="SimSun" w:hAnsi="Times New Roman" w:cs="Times New Roman"/>
          <w:sz w:val="28"/>
          <w:szCs w:val="28"/>
          <w:lang w:val="en-US" w:eastAsia="zh-CN"/>
        </w:rPr>
        <w:t xml:space="preserve"> </w:t>
      </w:r>
      <w:hyperlink r:id="rId54" w:history="1">
        <w:r w:rsidRPr="003A6E5A">
          <w:rPr>
            <w:rStyle w:val="a9"/>
            <w:rFonts w:ascii="Times New Roman" w:eastAsia="SimSun" w:hAnsi="Times New Roman" w:cs="Times New Roman"/>
            <w:color w:val="auto"/>
            <w:sz w:val="28"/>
            <w:szCs w:val="28"/>
            <w:u w:val="none"/>
            <w:lang w:val="en-US" w:eastAsia="zh-CN"/>
          </w:rPr>
          <w:t>https://www.adb.org/sites/default/files/publication/850386/public-private-partnership-monitor-kazakhstan-ru.pdf</w:t>
        </w:r>
      </w:hyperlink>
      <w:r w:rsidRPr="003A6E5A">
        <w:rPr>
          <w:rStyle w:val="a9"/>
          <w:rFonts w:ascii="Times New Roman" w:eastAsia="SimSun" w:hAnsi="Times New Roman" w:cs="Times New Roman"/>
          <w:color w:val="auto"/>
          <w:sz w:val="28"/>
          <w:szCs w:val="28"/>
          <w:u w:val="none"/>
          <w:lang w:val="en-US" w:eastAsia="zh-CN"/>
        </w:rPr>
        <w:t xml:space="preserve"> </w:t>
      </w:r>
      <w:r w:rsidRPr="003A6E5A">
        <w:rPr>
          <w:rStyle w:val="a9"/>
          <w:rFonts w:ascii="Times New Roman" w:hAnsi="Times New Roman" w:cs="Times New Roman"/>
          <w:color w:val="auto"/>
          <w:sz w:val="28"/>
          <w:szCs w:val="28"/>
          <w:u w:val="none"/>
          <w:lang w:val="en-US"/>
        </w:rPr>
        <w:t>(accessed: 08.05.2025)</w:t>
      </w:r>
    </w:p>
    <w:p w14:paraId="3D12372A"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eastAsia="Times New Roman" w:hAnsi="Times New Roman" w:cs="Times New Roman"/>
          <w:sz w:val="28"/>
          <w:szCs w:val="28"/>
          <w:lang w:eastAsia="ru-RU"/>
        </w:rPr>
        <w:t xml:space="preserve">Приказ и.о. Министра иностранных дел Республики Казахстан от 17 марта 2023 года № 11-1-4/113, </w:t>
      </w:r>
      <w:r w:rsidRPr="003A6E5A">
        <w:rPr>
          <w:rFonts w:ascii="Times New Roman" w:eastAsia="Times New Roman" w:hAnsi="Times New Roman" w:cs="Times New Roman"/>
          <w:sz w:val="28"/>
          <w:szCs w:val="28"/>
          <w:lang w:val="kk-KZ" w:eastAsia="ru-RU"/>
        </w:rPr>
        <w:t xml:space="preserve">«Об </w:t>
      </w:r>
      <w:r w:rsidRPr="003A6E5A">
        <w:rPr>
          <w:rFonts w:ascii="Times New Roman" w:eastAsia="Times New Roman" w:hAnsi="Times New Roman" w:cs="Times New Roman"/>
          <w:sz w:val="28"/>
          <w:szCs w:val="28"/>
          <w:lang w:eastAsia="ru-RU"/>
        </w:rPr>
        <w:t>утвержден</w:t>
      </w:r>
      <w:r w:rsidRPr="003A6E5A">
        <w:rPr>
          <w:rFonts w:ascii="Times New Roman" w:eastAsia="Times New Roman" w:hAnsi="Times New Roman" w:cs="Times New Roman"/>
          <w:sz w:val="28"/>
          <w:szCs w:val="28"/>
          <w:lang w:val="kk-KZ" w:eastAsia="ru-RU"/>
        </w:rPr>
        <w:t>ии</w:t>
      </w:r>
      <w:r w:rsidRPr="003A6E5A">
        <w:rPr>
          <w:rFonts w:ascii="Times New Roman" w:eastAsia="Times New Roman" w:hAnsi="Times New Roman" w:cs="Times New Roman"/>
          <w:sz w:val="28"/>
          <w:szCs w:val="28"/>
          <w:lang w:eastAsia="ru-RU"/>
        </w:rPr>
        <w:t xml:space="preserve"> Правил заключения, изменения и расторжения соглашений об инвестициях</w:t>
      </w:r>
      <w:r w:rsidRPr="003A6E5A">
        <w:rPr>
          <w:rFonts w:ascii="Times New Roman" w:eastAsia="Times New Roman" w:hAnsi="Times New Roman" w:cs="Times New Roman"/>
          <w:sz w:val="28"/>
          <w:szCs w:val="28"/>
          <w:lang w:val="kk-KZ" w:eastAsia="ru-RU"/>
        </w:rPr>
        <w:t xml:space="preserve">». </w:t>
      </w:r>
      <w:r w:rsidRPr="003A6E5A">
        <w:rPr>
          <w:rFonts w:ascii="Times New Roman" w:hAnsi="Times New Roman" w:cs="Times New Roman"/>
          <w:sz w:val="28"/>
          <w:szCs w:val="28"/>
        </w:rPr>
        <w:t xml:space="preserve">Электронный ресурс. Режим доступа: </w:t>
      </w:r>
      <w:hyperlink r:id="rId55" w:history="1">
        <w:r w:rsidRPr="003A6E5A">
          <w:rPr>
            <w:rStyle w:val="a9"/>
            <w:rFonts w:ascii="Times New Roman" w:eastAsia="Times New Roman" w:hAnsi="Times New Roman" w:cs="Times New Roman"/>
            <w:color w:val="auto"/>
            <w:sz w:val="28"/>
            <w:szCs w:val="28"/>
            <w:u w:val="none"/>
            <w:lang w:val="kk-KZ" w:eastAsia="ru-RU"/>
          </w:rPr>
          <w:t>https://adilet.zan.kz/rus/docs/V2300032095</w:t>
        </w:r>
      </w:hyperlink>
      <w:r w:rsidRPr="003A6E5A">
        <w:rPr>
          <w:rStyle w:val="a9"/>
          <w:rFonts w:ascii="Times New Roman" w:eastAsia="Times New Roman" w:hAnsi="Times New Roman" w:cs="Times New Roman"/>
          <w:color w:val="auto"/>
          <w:sz w:val="28"/>
          <w:szCs w:val="28"/>
          <w:u w:val="none"/>
          <w:lang w:eastAsia="ru-RU"/>
        </w:rPr>
        <w:t xml:space="preserve"> </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kk-KZ"/>
        </w:rPr>
        <w:t xml:space="preserve">дата обращения: </w:t>
      </w:r>
      <w:r w:rsidRPr="003A6E5A">
        <w:rPr>
          <w:rStyle w:val="a9"/>
          <w:rFonts w:ascii="Times New Roman" w:hAnsi="Times New Roman" w:cs="Times New Roman"/>
          <w:color w:val="auto"/>
          <w:sz w:val="28"/>
          <w:szCs w:val="28"/>
          <w:u w:val="none"/>
        </w:rPr>
        <w:t>07.04.2025)</w:t>
      </w:r>
    </w:p>
    <w:p w14:paraId="7EDB1DFF"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eastAsia="Times New Roman" w:hAnsi="Times New Roman" w:cs="Times New Roman"/>
          <w:sz w:val="28"/>
          <w:szCs w:val="28"/>
          <w:lang w:eastAsia="ru-RU"/>
        </w:rPr>
        <w:t xml:space="preserve">Интервью о развитии ГЧП в Казахстане: состояние, тенденции и перспективы. </w:t>
      </w:r>
      <w:r w:rsidRPr="003A6E5A">
        <w:rPr>
          <w:rFonts w:ascii="Times New Roman" w:eastAsia="Times New Roman" w:hAnsi="Times New Roman" w:cs="Times New Roman"/>
          <w:sz w:val="28"/>
          <w:szCs w:val="28"/>
          <w:lang w:val="kk-KZ" w:eastAsia="ru-RU"/>
        </w:rPr>
        <w:t>Электронный ресурс. Режтим доступа:</w:t>
      </w:r>
      <w:r w:rsidRPr="003A6E5A">
        <w:rPr>
          <w:rFonts w:ascii="Times New Roman" w:eastAsia="Times New Roman" w:hAnsi="Times New Roman" w:cs="Times New Roman"/>
          <w:sz w:val="28"/>
          <w:szCs w:val="28"/>
          <w:lang w:eastAsia="ru-RU"/>
        </w:rPr>
        <w:t xml:space="preserve"> </w:t>
      </w:r>
      <w:hyperlink r:id="rId56" w:history="1">
        <w:r w:rsidRPr="003A6E5A">
          <w:rPr>
            <w:rStyle w:val="a9"/>
            <w:rFonts w:ascii="Times New Roman" w:eastAsia="Times New Roman" w:hAnsi="Times New Roman" w:cs="Times New Roman"/>
            <w:color w:val="auto"/>
            <w:sz w:val="28"/>
            <w:szCs w:val="28"/>
            <w:u w:val="none"/>
            <w:lang w:val="en-US" w:eastAsia="ru-RU"/>
          </w:rPr>
          <w:t>https</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primeminister</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kz</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ru</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news</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interviews</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intervyu</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o</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razvitie</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gchp</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v</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kazahstane</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sostoyanie</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tendencii</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i</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perspektivy</w:t>
        </w:r>
        <w:r w:rsidRPr="003A6E5A">
          <w:rPr>
            <w:rStyle w:val="a9"/>
            <w:rFonts w:ascii="Times New Roman" w:eastAsia="Times New Roman" w:hAnsi="Times New Roman" w:cs="Times New Roman"/>
            <w:color w:val="auto"/>
            <w:sz w:val="28"/>
            <w:szCs w:val="28"/>
            <w:u w:val="none"/>
            <w:lang w:eastAsia="ru-RU"/>
          </w:rPr>
          <w:t>-1053646</w:t>
        </w:r>
      </w:hyperlink>
      <w:r w:rsidRPr="003A6E5A">
        <w:rPr>
          <w:rFonts w:ascii="Times New Roman" w:eastAsia="Times New Roman" w:hAnsi="Times New Roman" w:cs="Times New Roman"/>
          <w:sz w:val="28"/>
          <w:szCs w:val="28"/>
          <w:lang w:eastAsia="ru-RU"/>
        </w:rPr>
        <w:t xml:space="preserve"> </w:t>
      </w:r>
      <w:r w:rsidRPr="003A6E5A">
        <w:rPr>
          <w:rStyle w:val="a9"/>
          <w:rFonts w:ascii="Times New Roman" w:eastAsia="SimSun" w:hAnsi="Times New Roman" w:cs="Times New Roman"/>
          <w:color w:val="auto"/>
          <w:sz w:val="28"/>
          <w:szCs w:val="28"/>
          <w:u w:val="none"/>
          <w:lang w:eastAsia="zh-CN"/>
        </w:rPr>
        <w:t>(</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07.10.2025)</w:t>
      </w:r>
    </w:p>
    <w:p w14:paraId="371AB460"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Style w:val="a9"/>
          <w:rFonts w:ascii="Times New Roman" w:hAnsi="Times New Roman" w:cs="Times New Roman"/>
          <w:color w:val="auto"/>
          <w:sz w:val="28"/>
          <w:szCs w:val="28"/>
          <w:u w:val="none"/>
          <w:lang w:val="kk-KZ"/>
        </w:rPr>
        <w:t>Приказ Министра национальной экономики Республики Казахстан от 18 января 2023 года № 5</w:t>
      </w:r>
      <w:r w:rsidRPr="003A6E5A">
        <w:rPr>
          <w:rStyle w:val="a9"/>
          <w:rFonts w:ascii="Times New Roman" w:hAnsi="Times New Roman" w:cs="Times New Roman"/>
          <w:color w:val="auto"/>
          <w:sz w:val="28"/>
          <w:szCs w:val="28"/>
          <w:u w:val="none"/>
        </w:rPr>
        <w:t xml:space="preserve"> “</w:t>
      </w:r>
      <w:r w:rsidRPr="003A6E5A">
        <w:rPr>
          <w:rStyle w:val="a9"/>
          <w:rFonts w:ascii="Times New Roman" w:hAnsi="Times New Roman" w:cs="Times New Roman"/>
          <w:color w:val="auto"/>
          <w:sz w:val="28"/>
          <w:szCs w:val="28"/>
          <w:u w:val="none"/>
          <w:lang w:val="kk-KZ"/>
        </w:rPr>
        <w:t>Об утверждении Методики оценки инвестиционной привлекательности регионов и унифицированного инвестиционного стандарта</w:t>
      </w:r>
      <w:r w:rsidRPr="003A6E5A">
        <w:rPr>
          <w:rStyle w:val="a9"/>
          <w:rFonts w:ascii="Times New Roman" w:hAnsi="Times New Roman" w:cs="Times New Roman"/>
          <w:color w:val="auto"/>
          <w:sz w:val="28"/>
          <w:szCs w:val="28"/>
          <w:u w:val="none"/>
        </w:rPr>
        <w:t xml:space="preserve">”. </w:t>
      </w:r>
      <w:r w:rsidRPr="003A6E5A">
        <w:rPr>
          <w:rFonts w:ascii="Times New Roman" w:eastAsia="Times New Roman" w:hAnsi="Times New Roman" w:cs="Times New Roman"/>
          <w:sz w:val="28"/>
          <w:szCs w:val="28"/>
          <w:lang w:val="kk-KZ" w:eastAsia="ru-RU"/>
        </w:rPr>
        <w:t>Электронный ресурс. Режтим доступа:</w:t>
      </w:r>
      <w:r w:rsidRPr="003A6E5A">
        <w:rPr>
          <w:rFonts w:ascii="Times New Roman" w:eastAsia="Times New Roman" w:hAnsi="Times New Roman" w:cs="Times New Roman"/>
          <w:sz w:val="28"/>
          <w:szCs w:val="28"/>
          <w:lang w:eastAsia="ru-RU"/>
        </w:rPr>
        <w:t xml:space="preserve"> </w:t>
      </w:r>
      <w:hyperlink r:id="rId57" w:history="1">
        <w:r w:rsidRPr="003A6E5A">
          <w:rPr>
            <w:rStyle w:val="a9"/>
            <w:rFonts w:ascii="Times New Roman" w:hAnsi="Times New Roman" w:cs="Times New Roman"/>
            <w:color w:val="auto"/>
            <w:sz w:val="28"/>
            <w:szCs w:val="28"/>
            <w:u w:val="none"/>
          </w:rPr>
          <w:t>https://adilet.zan.kz/rus/docs/V2300031722</w:t>
        </w:r>
      </w:hyperlink>
      <w:r w:rsidRPr="003A6E5A">
        <w:rPr>
          <w:rStyle w:val="a9"/>
          <w:rFonts w:ascii="Times New Roman" w:hAnsi="Times New Roman" w:cs="Times New Roman"/>
          <w:color w:val="auto"/>
          <w:sz w:val="28"/>
          <w:szCs w:val="28"/>
          <w:u w:val="none"/>
        </w:rPr>
        <w:t xml:space="preserve"> </w:t>
      </w:r>
      <w:r w:rsidRPr="003A6E5A">
        <w:rPr>
          <w:rStyle w:val="a9"/>
          <w:rFonts w:ascii="Times New Roman" w:eastAsia="SimSun" w:hAnsi="Times New Roman" w:cs="Times New Roman"/>
          <w:color w:val="auto"/>
          <w:sz w:val="28"/>
          <w:szCs w:val="28"/>
          <w:u w:val="none"/>
          <w:lang w:eastAsia="zh-CN"/>
        </w:rPr>
        <w:t>(</w:t>
      </w:r>
      <w:r w:rsidRPr="003A6E5A">
        <w:rPr>
          <w:rStyle w:val="a9"/>
          <w:rFonts w:ascii="Times New Roman" w:eastAsia="SimSun" w:hAnsi="Times New Roman" w:cs="Times New Roman"/>
          <w:color w:val="auto"/>
          <w:sz w:val="28"/>
          <w:szCs w:val="28"/>
          <w:u w:val="none"/>
          <w:lang w:val="kk-KZ" w:eastAsia="zh-CN"/>
        </w:rPr>
        <w:t xml:space="preserve">дата обращения: </w:t>
      </w:r>
      <w:r w:rsidRPr="003A6E5A">
        <w:rPr>
          <w:rStyle w:val="a9"/>
          <w:rFonts w:ascii="Times New Roman" w:eastAsia="SimSun" w:hAnsi="Times New Roman" w:cs="Times New Roman"/>
          <w:color w:val="auto"/>
          <w:sz w:val="28"/>
          <w:szCs w:val="28"/>
          <w:u w:val="none"/>
          <w:lang w:eastAsia="zh-CN"/>
        </w:rPr>
        <w:t>07.10.2025)</w:t>
      </w:r>
    </w:p>
    <w:p w14:paraId="1686A0B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Мусатова Т.Е., Желиховский Д.О. Методика прогнозирования эффективности инновационного проекта на основе экспертных оценок // Современные проблемы науки и образования. – 2015. – №. 1-1. – С. 634-634.</w:t>
      </w:r>
    </w:p>
    <w:p w14:paraId="45D05E2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Кулыгин В.В., Месропян К.Э., Патракеева О.Ю. Методика оценки крупномасштабных инвестиционных проектов межрегионального характера // Региональная экономика: теория и практика. – 2013. – №. 22. – С. 8-18.</w:t>
      </w:r>
    </w:p>
    <w:p w14:paraId="65B8D78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SimSun" w:hAnsi="Times New Roman" w:cs="Times New Roman"/>
          <w:sz w:val="28"/>
          <w:szCs w:val="28"/>
          <w:shd w:val="clear" w:color="auto" w:fill="FFFFFF"/>
          <w:lang w:val="en-US"/>
        </w:rPr>
        <w:t xml:space="preserve">Mustafakulov S. Investment attractiveness of regions: Methodic aspects of the definition and classification of impacting factors // European Scientific Journal. – 2017. – </w:t>
      </w:r>
      <w:r w:rsidRPr="003A6E5A">
        <w:rPr>
          <w:rFonts w:ascii="Times New Roman" w:eastAsia="SimSun" w:hAnsi="Times New Roman" w:cs="Times New Roman"/>
          <w:sz w:val="28"/>
          <w:szCs w:val="28"/>
          <w:shd w:val="clear" w:color="auto" w:fill="FFFFFF"/>
        </w:rPr>
        <w:t>Т</w:t>
      </w:r>
      <w:r w:rsidRPr="003A6E5A">
        <w:rPr>
          <w:rFonts w:ascii="Times New Roman" w:eastAsia="SimSun" w:hAnsi="Times New Roman" w:cs="Times New Roman"/>
          <w:sz w:val="28"/>
          <w:szCs w:val="28"/>
          <w:shd w:val="clear" w:color="auto" w:fill="FFFFFF"/>
          <w:lang w:val="en-US"/>
        </w:rPr>
        <w:t>. 13. – №. 10. – p. 433-449.</w:t>
      </w:r>
    </w:p>
    <w:p w14:paraId="7F32572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eastAsia="SimSun" w:hAnsi="Times New Roman" w:cs="Times New Roman"/>
          <w:sz w:val="28"/>
          <w:szCs w:val="28"/>
          <w:shd w:val="clear" w:color="auto" w:fill="FFFFFF"/>
          <w:lang w:val="en-US"/>
        </w:rPr>
        <w:t>Spescha A., Woerter M. Research and development as an initiator of fixed capital investment // Journal of Evolutionary Economics. – 2021. – Vol. 31. – p. 117-145.</w:t>
      </w:r>
    </w:p>
    <w:p w14:paraId="4947251A"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lang w:val="kk-KZ"/>
        </w:rPr>
        <w:t>Гришина И.В. Прогнозирование поступления инвестиций в основной капитал регионов на период до 2024 года: методы и результаты разработки территориального разреза прогноза развития России //Региональная экономика. Юг России. – 2020. – Т. 8. – №. 1. – С. 49-62.</w:t>
      </w:r>
    </w:p>
    <w:p w14:paraId="4967227F"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Закускин С.В. Анализ конкурентной ситуации посредством исследования конфигурации образов в рыночном пространстве //Креативная экономика. – 2020. – Т. 14. – №. 8. – С. 1795-1820.</w:t>
      </w:r>
    </w:p>
    <w:p w14:paraId="14A349F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lang w:val="kk-KZ"/>
        </w:rPr>
        <w:t>Жгун Т.В. Построение интегральной характеристики качества жизни субъектов Российской Федерации с помощью метода главных компонент // Экономические и социальные перемены: факты, тенденции, прогноз. – 2017. – №. 2 (50). – С. 214-235.</w:t>
      </w:r>
    </w:p>
    <w:p w14:paraId="575A3F4F"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lang w:val="kk-KZ"/>
        </w:rPr>
        <w:t>Гайдамак И.В., Хохлов А.Г. Моделирование интегральных показателей качества жизни населения юга Тюменской области // Вестник Тюменского государственного университета. – 2009. – № 6. – 2009.</w:t>
      </w:r>
    </w:p>
    <w:p w14:paraId="3C3B8FB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lang w:val="kk-KZ"/>
        </w:rPr>
        <w:t>Айвазян С.А., Мхитарян В.С. Прикладная статистика и основы эконометрики. – М.: юнити. – 1998. – Т. 1000.</w:t>
      </w:r>
      <w:r w:rsidRPr="003A6E5A">
        <w:rPr>
          <w:rFonts w:ascii="Times New Roman" w:hAnsi="Times New Roman" w:cs="Times New Roman"/>
          <w:sz w:val="28"/>
          <w:szCs w:val="28"/>
        </w:rPr>
        <w:t xml:space="preserve"> – 454 </w:t>
      </w:r>
      <w:r w:rsidRPr="003A6E5A">
        <w:rPr>
          <w:rFonts w:ascii="Times New Roman" w:hAnsi="Times New Roman" w:cs="Times New Roman"/>
          <w:sz w:val="28"/>
          <w:szCs w:val="28"/>
          <w:lang w:val="en-US"/>
        </w:rPr>
        <w:t>c</w:t>
      </w:r>
      <w:r w:rsidRPr="003A6E5A">
        <w:rPr>
          <w:rFonts w:ascii="Times New Roman" w:hAnsi="Times New Roman" w:cs="Times New Roman"/>
          <w:sz w:val="28"/>
          <w:szCs w:val="28"/>
        </w:rPr>
        <w:t>.</w:t>
      </w:r>
    </w:p>
    <w:p w14:paraId="54054D66"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Кондрашова Н.В., Данилов И.С. Совершенствование алгоритма расчета интегрального показателя устойчивого развития экономического субъекта // Современная экономика: проблемы и решения. – 2022. – Т. 5. – С. 54-66.</w:t>
      </w:r>
    </w:p>
    <w:p w14:paraId="6A772DCD"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Логинов К.К. Вычисление весовых коэффициентов в интегральном индексе экономической безопасности региона на примере Омской области // Наука о человеке: гуманитарные исследования. – 2020. – Т. 14. – №. 1. – С. 186-194.</w:t>
      </w:r>
    </w:p>
    <w:p w14:paraId="7924F2F4"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rPr>
        <w:t>Касперович Ю.А. Оценка конкурентоспособности областей республики беларусь на основе интегрального показателя // ББК 94.3 С23 Рецензенты: старший преподаватель Абакумова ЮГ; кандидат физико-математических наук Васенкова ЕИ. – 2013. – С. 353.</w:t>
      </w:r>
    </w:p>
    <w:p w14:paraId="1989608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en-US"/>
        </w:rPr>
        <w:t xml:space="preserve">Evans J.S., Hawkins N.C. The distribution of Student's t-statistic for small samples from lognormal exposure distributions // American Industrial Hygiene Association Journal. – 1988. – </w:t>
      </w:r>
      <w:r w:rsidRPr="003A6E5A">
        <w:rPr>
          <w:rFonts w:ascii="Times New Roman" w:hAnsi="Times New Roman" w:cs="Times New Roman"/>
          <w:sz w:val="28"/>
          <w:szCs w:val="28"/>
        </w:rPr>
        <w:t>Т</w:t>
      </w:r>
      <w:r w:rsidRPr="003A6E5A">
        <w:rPr>
          <w:rFonts w:ascii="Times New Roman" w:hAnsi="Times New Roman" w:cs="Times New Roman"/>
          <w:sz w:val="28"/>
          <w:szCs w:val="28"/>
          <w:lang w:val="en-US"/>
        </w:rPr>
        <w:t>. 49. – №. 10. – p. 512-515.</w:t>
      </w:r>
    </w:p>
    <w:p w14:paraId="46498F8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en-US"/>
        </w:rPr>
        <w:t>Durvasula S., Sharma S., Carter K. Correcting the t statistic for measurement error // Marketing Letters. – 2012. – Vol. 23. – p. 671-682.</w:t>
      </w:r>
    </w:p>
    <w:p w14:paraId="0F1448D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Halunga A.G., Orme C.D., Yamagata T.A Heteroskedasticity robust Breusch–Pagan test for Contemporaneous correlation in dynamic panel data models //Journal of econometrics. – 2017. – Vol. 198. – №. 2. – p. 209-230.</w:t>
      </w:r>
    </w:p>
    <w:p w14:paraId="183B6AA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White H. A heteroskedasticity-consistent covariance matrix estimator and a direct test for heteroskedasticity // Econometrica: journal of the Econometric Society. – 1980. – p. 817-838.</w:t>
      </w:r>
    </w:p>
    <w:p w14:paraId="3A773686"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shd w:val="clear" w:color="auto" w:fill="FFFFFF"/>
        </w:rPr>
        <w:t>Лопандя А.В., Немтинов В.А. Основы ГИС и цифрового тематического картографирования // Учебно-методическое пособие-Тамбов. – 2007. – 72 с.</w:t>
      </w:r>
    </w:p>
    <w:p w14:paraId="0A7392D1"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rPr>
        <w:t>Бертон</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А</w:t>
      </w:r>
      <w:r w:rsidRPr="003A6E5A">
        <w:rPr>
          <w:rFonts w:ascii="Times New Roman" w:hAnsi="Times New Roman" w:cs="Times New Roman"/>
          <w:sz w:val="28"/>
          <w:szCs w:val="28"/>
          <w:lang w:val="en-US"/>
        </w:rPr>
        <w:t>.</w:t>
      </w:r>
      <w:r w:rsidRPr="003A6E5A">
        <w:rPr>
          <w:rFonts w:ascii="Times New Roman" w:hAnsi="Times New Roman" w:cs="Times New Roman"/>
          <w:sz w:val="28"/>
          <w:szCs w:val="28"/>
        </w:rPr>
        <w:t>Л</w:t>
      </w:r>
      <w:r w:rsidRPr="003A6E5A">
        <w:rPr>
          <w:rFonts w:ascii="Times New Roman" w:hAnsi="Times New Roman" w:cs="Times New Roman"/>
          <w:sz w:val="28"/>
          <w:szCs w:val="28"/>
          <w:lang w:val="en-US"/>
        </w:rPr>
        <w:t xml:space="preserve">. OLS (Linear) regression // The encyclopedia of research methods in criminology and Criminal Justice.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2021.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Т</w:t>
      </w:r>
      <w:r w:rsidRPr="003A6E5A">
        <w:rPr>
          <w:rFonts w:ascii="Times New Roman" w:hAnsi="Times New Roman" w:cs="Times New Roman"/>
          <w:sz w:val="28"/>
          <w:szCs w:val="28"/>
          <w:lang w:val="en-US"/>
        </w:rPr>
        <w:t xml:space="preserve">. 2.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p. 509</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514.</w:t>
      </w:r>
    </w:p>
    <w:p w14:paraId="0ED41121"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 xml:space="preserve">Cameron A.C. Panel data methods for microeconometrics using Stata // West Coast Stata Users’ Group Meetings. – 2007. – </w:t>
      </w:r>
      <w:r w:rsidRPr="003A6E5A">
        <w:rPr>
          <w:rFonts w:ascii="Times New Roman" w:hAnsi="Times New Roman" w:cs="Times New Roman"/>
          <w:sz w:val="28"/>
          <w:szCs w:val="28"/>
          <w:shd w:val="clear" w:color="auto" w:fill="FFFFFF"/>
        </w:rPr>
        <w:t>Т</w:t>
      </w:r>
      <w:r w:rsidRPr="003A6E5A">
        <w:rPr>
          <w:rFonts w:ascii="Times New Roman" w:hAnsi="Times New Roman" w:cs="Times New Roman"/>
          <w:sz w:val="28"/>
          <w:szCs w:val="28"/>
          <w:shd w:val="clear" w:color="auto" w:fill="FFFFFF"/>
          <w:lang w:val="en-US"/>
        </w:rPr>
        <w:t>. 13. – 55 p.</w:t>
      </w:r>
    </w:p>
    <w:p w14:paraId="78A1D11D"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 xml:space="preserve">Лобач В.И., Меркулов Р.И., Лобач С.В. Статистическое прогнозирование панельных данных на основе моделей в пространстве состояний // Экономика, моделирование, прогнозирование. </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2019. </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 13. </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 xml:space="preserve"> С. 230</w:t>
      </w:r>
      <w:r w:rsidRPr="003A6E5A">
        <w:rPr>
          <w:rFonts w:ascii="Times New Roman" w:hAnsi="Times New Roman" w:cs="Times New Roman"/>
          <w:sz w:val="28"/>
          <w:szCs w:val="28"/>
          <w:lang w:val="kk-KZ"/>
        </w:rPr>
        <w:t>-</w:t>
      </w:r>
      <w:r w:rsidRPr="003A6E5A">
        <w:rPr>
          <w:rFonts w:ascii="Times New Roman" w:hAnsi="Times New Roman" w:cs="Times New Roman"/>
          <w:sz w:val="28"/>
          <w:szCs w:val="28"/>
        </w:rPr>
        <w:t>234.</w:t>
      </w:r>
    </w:p>
    <w:p w14:paraId="72E0333A"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rPr>
        <w:t>Бун</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М</w:t>
      </w:r>
      <w:r w:rsidRPr="003A6E5A">
        <w:rPr>
          <w:rFonts w:ascii="Times New Roman" w:hAnsi="Times New Roman" w:cs="Times New Roman"/>
          <w:sz w:val="28"/>
          <w:szCs w:val="28"/>
          <w:lang w:val="en-US"/>
        </w:rPr>
        <w:t>.</w:t>
      </w:r>
      <w:r w:rsidRPr="003A6E5A">
        <w:rPr>
          <w:rFonts w:ascii="Times New Roman" w:hAnsi="Times New Roman" w:cs="Times New Roman"/>
          <w:sz w:val="28"/>
          <w:szCs w:val="28"/>
        </w:rPr>
        <w:t>Дж</w:t>
      </w:r>
      <w:r w:rsidRPr="003A6E5A">
        <w:rPr>
          <w:rFonts w:ascii="Times New Roman" w:hAnsi="Times New Roman" w:cs="Times New Roman"/>
          <w:sz w:val="28"/>
          <w:szCs w:val="28"/>
          <w:lang w:val="en-US"/>
        </w:rPr>
        <w:t>.</w:t>
      </w:r>
      <w:r w:rsidRPr="003A6E5A">
        <w:rPr>
          <w:rFonts w:ascii="Times New Roman" w:hAnsi="Times New Roman" w:cs="Times New Roman"/>
          <w:sz w:val="28"/>
          <w:szCs w:val="28"/>
        </w:rPr>
        <w:t>Г</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Харрисон</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Т</w:t>
      </w:r>
      <w:r w:rsidRPr="003A6E5A">
        <w:rPr>
          <w:rFonts w:ascii="Times New Roman" w:hAnsi="Times New Roman" w:cs="Times New Roman"/>
          <w:sz w:val="28"/>
          <w:szCs w:val="28"/>
          <w:lang w:val="en-US"/>
        </w:rPr>
        <w:t>.</w:t>
      </w:r>
      <w:r w:rsidRPr="003A6E5A">
        <w:rPr>
          <w:rFonts w:ascii="Times New Roman" w:hAnsi="Times New Roman" w:cs="Times New Roman"/>
          <w:sz w:val="28"/>
          <w:szCs w:val="28"/>
        </w:rPr>
        <w:t>Д</w:t>
      </w:r>
      <w:r w:rsidRPr="003A6E5A">
        <w:rPr>
          <w:rFonts w:ascii="Times New Roman" w:hAnsi="Times New Roman" w:cs="Times New Roman"/>
          <w:sz w:val="28"/>
          <w:szCs w:val="28"/>
          <w:lang w:val="en-US"/>
        </w:rPr>
        <w:t xml:space="preserve">. OLS and IV estimation of regression models including endogenous interaction terms // Econometric Reviews.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2018.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Т</w:t>
      </w:r>
      <w:r w:rsidRPr="003A6E5A">
        <w:rPr>
          <w:rFonts w:ascii="Times New Roman" w:hAnsi="Times New Roman" w:cs="Times New Roman"/>
          <w:sz w:val="28"/>
          <w:szCs w:val="28"/>
          <w:lang w:val="en-US"/>
        </w:rPr>
        <w:t>. 38</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7. </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С</w:t>
      </w:r>
      <w:r w:rsidRPr="003A6E5A">
        <w:rPr>
          <w:rFonts w:ascii="Times New Roman" w:hAnsi="Times New Roman" w:cs="Times New Roman"/>
          <w:sz w:val="28"/>
          <w:szCs w:val="28"/>
          <w:lang w:val="en-US"/>
        </w:rPr>
        <w:t>. 814</w:t>
      </w:r>
      <w:r w:rsidRPr="003A6E5A">
        <w:rPr>
          <w:rFonts w:ascii="Times New Roman" w:hAnsi="Times New Roman" w:cs="Times New Roman"/>
          <w:sz w:val="28"/>
          <w:szCs w:val="28"/>
          <w:lang w:val="kk-KZ"/>
        </w:rPr>
        <w:t>-</w:t>
      </w:r>
      <w:r w:rsidRPr="003A6E5A">
        <w:rPr>
          <w:rFonts w:ascii="Times New Roman" w:hAnsi="Times New Roman" w:cs="Times New Roman"/>
          <w:sz w:val="28"/>
          <w:szCs w:val="28"/>
          <w:lang w:val="en-US"/>
        </w:rPr>
        <w:t>827.</w:t>
      </w:r>
    </w:p>
    <w:p w14:paraId="1E1A354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Vrieze S.I. Model selection and psychological theory: a discussion of the differences between the Akaike information criterion (AIC) and the Bayesian information criterion (BIC) // Psychological methods. – 2012. – Vol. 17. – №. 2. – p. 228.</w:t>
      </w:r>
    </w:p>
    <w:p w14:paraId="6E7AAC5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Berrington A., Smith P., Sturgis P. An overview of methods for the analysis of panel data. – 2006. – 57 p.</w:t>
      </w:r>
    </w:p>
    <w:p w14:paraId="7332BE13"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SimSun" w:hAnsi="Times New Roman" w:cs="Times New Roman"/>
          <w:sz w:val="28"/>
          <w:szCs w:val="28"/>
          <w:shd w:val="clear" w:color="auto" w:fill="FFFFFF"/>
        </w:rPr>
        <w:t>Гафарова Е.А. Эмпирические модели регионального экономического роста с пространственными эффектами: результаты сравнительного анализа // Вестник Пермского университета. Серия: Экономика. – 2017. – Т. 12. – №. 4. – С. 561-574.</w:t>
      </w:r>
    </w:p>
    <w:p w14:paraId="7CB2E6E5"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Calibri" w:hAnsi="Times New Roman" w:cs="Times New Roman"/>
          <w:sz w:val="28"/>
          <w:szCs w:val="28"/>
        </w:rPr>
        <w:t>Наумов И.В., Никулина Н.Л. Моделирование пространственных эффектов инновационного развития регионов России // Проблемы развития территории. 2023. – Т. 27. № 6. С. 121–140. DOI: 10.15838/ptd.2023.6.128.8</w:t>
      </w:r>
    </w:p>
    <w:p w14:paraId="7650D31A"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Anekawati A. et al. Lagrange multiplier test for spatial autoregressive model with latent variables // Symmetry. – 2020. – Vol. 12. – №. 8. – p. 1375.</w:t>
      </w:r>
    </w:p>
    <w:p w14:paraId="15BF8CA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Kokoszka P., Reimherr M. Determining the order of the functional autoregressive model // Journal of Time Series Analysis. – 2013. – Vol. 34. – №. 1. – p. 116-129.</w:t>
      </w:r>
    </w:p>
    <w:p w14:paraId="70838E0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shd w:val="clear" w:color="auto" w:fill="FFFFFF"/>
          <w:lang w:val="en-US"/>
        </w:rPr>
        <w:t>Anselin L., Arribas-Bel D. Spatial fixed effects and spatial dependence in a single cross‐section // Papers in Regional Science. – 2013. – Vol. 92. – №. 1. – p. 3-18.</w:t>
      </w:r>
    </w:p>
    <w:p w14:paraId="01ED6916"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eastAsia="Times New Roman" w:hAnsi="Times New Roman" w:cs="Times New Roman"/>
          <w:sz w:val="28"/>
          <w:szCs w:val="28"/>
          <w:lang w:eastAsia="ru-RU"/>
        </w:rPr>
        <w:t>Мурадов А.Д. Мировое хозяйство и переходная экономика, 1997. – С. 17.</w:t>
      </w:r>
    </w:p>
    <w:p w14:paraId="0BE514E3" w14:textId="77777777" w:rsidR="00C96643" w:rsidRPr="003A6E5A" w:rsidRDefault="00790CB1"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hyperlink r:id="rId58" w:history="1">
        <w:r w:rsidR="00C96643" w:rsidRPr="003A6E5A">
          <w:rPr>
            <w:rStyle w:val="a9"/>
            <w:rFonts w:ascii="Times New Roman" w:hAnsi="Times New Roman" w:cs="Times New Roman"/>
            <w:color w:val="auto"/>
            <w:sz w:val="28"/>
            <w:szCs w:val="28"/>
            <w:u w:val="none"/>
          </w:rPr>
          <w:t>Рост мировой экономики в первой половине нынешнего десятилетия может оказаться самым слабым за последние 30 лет</w:t>
        </w:r>
      </w:hyperlink>
      <w:r w:rsidR="00C96643" w:rsidRPr="003A6E5A">
        <w:rPr>
          <w:rFonts w:ascii="Times New Roman" w:hAnsi="Times New Roman" w:cs="Times New Roman"/>
          <w:iCs/>
          <w:sz w:val="28"/>
          <w:szCs w:val="28"/>
          <w:shd w:val="clear" w:color="auto" w:fill="FFFFFF"/>
        </w:rPr>
        <w:t xml:space="preserve">. </w:t>
      </w:r>
      <w:r w:rsidR="00C96643" w:rsidRPr="003A6E5A">
        <w:rPr>
          <w:rFonts w:ascii="Times New Roman" w:hAnsi="Times New Roman" w:cs="Times New Roman"/>
          <w:sz w:val="28"/>
          <w:szCs w:val="28"/>
        </w:rPr>
        <w:t xml:space="preserve">Электронный ресурс. Режим доступа: </w:t>
      </w:r>
      <w:hyperlink r:id="rId59" w:history="1">
        <w:r w:rsidR="00C96643" w:rsidRPr="003A6E5A">
          <w:rPr>
            <w:rStyle w:val="a9"/>
            <w:rFonts w:ascii="Times New Roman" w:hAnsi="Times New Roman" w:cs="Times New Roman"/>
            <w:color w:val="auto"/>
            <w:sz w:val="28"/>
            <w:szCs w:val="28"/>
            <w:u w:val="none"/>
          </w:rPr>
          <w:t>https://www.vsemirnyjbank.org/ru/news/press-release/2024/01/09/global-economic-prospects-january-2024-press-release</w:t>
        </w:r>
      </w:hyperlink>
      <w:r w:rsidR="00C96643" w:rsidRPr="003A6E5A">
        <w:rPr>
          <w:rFonts w:ascii="Times New Roman" w:hAnsi="Times New Roman" w:cs="Times New Roman"/>
          <w:sz w:val="28"/>
          <w:szCs w:val="28"/>
        </w:rPr>
        <w:t xml:space="preserve"> </w:t>
      </w:r>
      <w:r w:rsidR="00C96643" w:rsidRPr="003A6E5A">
        <w:rPr>
          <w:rStyle w:val="a9"/>
          <w:rFonts w:ascii="Times New Roman" w:hAnsi="Times New Roman" w:cs="Times New Roman"/>
          <w:color w:val="auto"/>
          <w:sz w:val="28"/>
          <w:szCs w:val="28"/>
          <w:u w:val="none"/>
        </w:rPr>
        <w:t>(</w:t>
      </w:r>
      <w:r w:rsidR="00C96643" w:rsidRPr="003A6E5A">
        <w:rPr>
          <w:rStyle w:val="a9"/>
          <w:rFonts w:ascii="Times New Roman" w:hAnsi="Times New Roman" w:cs="Times New Roman"/>
          <w:color w:val="auto"/>
          <w:sz w:val="28"/>
          <w:szCs w:val="28"/>
          <w:u w:val="none"/>
          <w:lang w:val="kk-KZ"/>
        </w:rPr>
        <w:t xml:space="preserve">дата обращения: </w:t>
      </w:r>
      <w:r w:rsidR="00C96643" w:rsidRPr="003A6E5A">
        <w:rPr>
          <w:rStyle w:val="a9"/>
          <w:rFonts w:ascii="Times New Roman" w:hAnsi="Times New Roman" w:cs="Times New Roman"/>
          <w:color w:val="auto"/>
          <w:sz w:val="28"/>
          <w:szCs w:val="28"/>
          <w:u w:val="none"/>
        </w:rPr>
        <w:t>07.04.2025)</w:t>
      </w:r>
    </w:p>
    <w:p w14:paraId="6E5EFC2A"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hAnsi="Times New Roman" w:cs="Times New Roman"/>
          <w:sz w:val="28"/>
          <w:szCs w:val="28"/>
        </w:rPr>
        <w:t xml:space="preserve">Мировое экономическое положение и перспективы по состоянию на середину 2024 года. Электронный ресурс. Режим доступа: </w:t>
      </w:r>
      <w:hyperlink r:id="rId60" w:history="1">
        <w:r w:rsidRPr="003A6E5A">
          <w:rPr>
            <w:rStyle w:val="a9"/>
            <w:rFonts w:ascii="Times New Roman" w:hAnsi="Times New Roman" w:cs="Times New Roman"/>
            <w:color w:val="auto"/>
            <w:sz w:val="28"/>
            <w:szCs w:val="28"/>
            <w:u w:val="none"/>
          </w:rPr>
          <w:t>https://docs.un.org/ru/E/2024/56</w:t>
        </w:r>
      </w:hyperlink>
      <w:r w:rsidRPr="003A6E5A">
        <w:rPr>
          <w:rStyle w:val="a9"/>
          <w:rFonts w:ascii="Times New Roman" w:hAnsi="Times New Roman" w:cs="Times New Roman"/>
          <w:color w:val="auto"/>
          <w:sz w:val="28"/>
          <w:szCs w:val="28"/>
          <w:u w:val="none"/>
        </w:rPr>
        <w:t xml:space="preserve"> (</w:t>
      </w:r>
      <w:r w:rsidRPr="003A6E5A">
        <w:rPr>
          <w:rStyle w:val="a9"/>
          <w:rFonts w:ascii="Times New Roman" w:hAnsi="Times New Roman" w:cs="Times New Roman"/>
          <w:color w:val="auto"/>
          <w:sz w:val="28"/>
          <w:szCs w:val="28"/>
          <w:u w:val="none"/>
          <w:lang w:val="kk-KZ"/>
        </w:rPr>
        <w:t xml:space="preserve">дата обращения: </w:t>
      </w:r>
      <w:r w:rsidRPr="003A6E5A">
        <w:rPr>
          <w:rStyle w:val="a9"/>
          <w:rFonts w:ascii="Times New Roman" w:hAnsi="Times New Roman" w:cs="Times New Roman"/>
          <w:color w:val="auto"/>
          <w:sz w:val="28"/>
          <w:szCs w:val="28"/>
          <w:u w:val="none"/>
        </w:rPr>
        <w:t>07.04.2025)</w:t>
      </w:r>
    </w:p>
    <w:p w14:paraId="4CFCD4D4"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Style w:val="a9"/>
          <w:rFonts w:ascii="Times New Roman" w:hAnsi="Times New Roman" w:cs="Times New Roman"/>
          <w:color w:val="auto"/>
          <w:sz w:val="28"/>
          <w:szCs w:val="28"/>
          <w:u w:val="none"/>
        </w:rPr>
        <w:t xml:space="preserve">Прямые инвестиции по направлению вложения. </w:t>
      </w:r>
      <w:r w:rsidRPr="003A6E5A">
        <w:rPr>
          <w:rFonts w:ascii="Times New Roman" w:hAnsi="Times New Roman" w:cs="Times New Roman"/>
          <w:sz w:val="28"/>
          <w:szCs w:val="28"/>
        </w:rPr>
        <w:t xml:space="preserve">Официальный сайт </w:t>
      </w:r>
      <w:r w:rsidRPr="003A6E5A">
        <w:rPr>
          <w:rFonts w:ascii="Times New Roman" w:hAnsi="Times New Roman" w:cs="Times New Roman"/>
          <w:sz w:val="28"/>
          <w:szCs w:val="28"/>
          <w:lang w:val="kk-KZ"/>
        </w:rPr>
        <w:t>Национального Банка РК. Режим доступа:</w:t>
      </w:r>
      <w:r w:rsidRPr="003A6E5A">
        <w:rPr>
          <w:rFonts w:ascii="Times New Roman" w:hAnsi="Times New Roman" w:cs="Times New Roman"/>
          <w:sz w:val="28"/>
          <w:szCs w:val="28"/>
        </w:rPr>
        <w:t xml:space="preserve"> </w:t>
      </w:r>
      <w:hyperlink r:id="rId61" w:history="1">
        <w:r w:rsidRPr="003A6E5A">
          <w:rPr>
            <w:rStyle w:val="a9"/>
            <w:rFonts w:ascii="Times New Roman" w:hAnsi="Times New Roman" w:cs="Times New Roman"/>
            <w:color w:val="auto"/>
            <w:sz w:val="28"/>
            <w:szCs w:val="28"/>
            <w:u w:val="none"/>
          </w:rPr>
          <w:t>https://nationalbank.kz/ru/news/pryamye-investicii-po-napravleniyu-vlozheniya</w:t>
        </w:r>
      </w:hyperlink>
      <w:r w:rsidRPr="003A6E5A">
        <w:rPr>
          <w:rStyle w:val="a9"/>
          <w:rFonts w:ascii="Times New Roman" w:hAnsi="Times New Roman" w:cs="Times New Roman"/>
          <w:color w:val="auto"/>
          <w:sz w:val="28"/>
          <w:szCs w:val="28"/>
          <w:u w:val="none"/>
        </w:rPr>
        <w:t xml:space="preserve"> (</w:t>
      </w:r>
      <w:r w:rsidRPr="003A6E5A">
        <w:rPr>
          <w:rStyle w:val="a9"/>
          <w:rFonts w:ascii="Times New Roman" w:hAnsi="Times New Roman" w:cs="Times New Roman"/>
          <w:color w:val="auto"/>
          <w:sz w:val="28"/>
          <w:szCs w:val="28"/>
          <w:u w:val="none"/>
          <w:lang w:val="kk-KZ"/>
        </w:rPr>
        <w:t xml:space="preserve">дата обращения: </w:t>
      </w:r>
      <w:r w:rsidRPr="003A6E5A">
        <w:rPr>
          <w:rStyle w:val="a9"/>
          <w:rFonts w:ascii="Times New Roman" w:hAnsi="Times New Roman" w:cs="Times New Roman"/>
          <w:color w:val="auto"/>
          <w:sz w:val="28"/>
          <w:szCs w:val="28"/>
          <w:u w:val="none"/>
        </w:rPr>
        <w:t>30.07.2025)</w:t>
      </w:r>
    </w:p>
    <w:p w14:paraId="1A7DA435"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rPr>
      </w:pPr>
      <w:r w:rsidRPr="003A6E5A">
        <w:rPr>
          <w:rFonts w:ascii="Times New Roman" w:hAnsi="Times New Roman" w:cs="Times New Roman"/>
          <w:sz w:val="28"/>
          <w:szCs w:val="28"/>
        </w:rPr>
        <w:t xml:space="preserve">Национальный статистический комитет Кыргызской Республики. Электронный ресурс. Режим доступа: </w:t>
      </w:r>
      <w:hyperlink r:id="rId62" w:history="1">
        <w:r w:rsidRPr="003A6E5A">
          <w:rPr>
            <w:rStyle w:val="a9"/>
            <w:rFonts w:ascii="Times New Roman" w:hAnsi="Times New Roman" w:cs="Times New Roman"/>
            <w:color w:val="auto"/>
            <w:sz w:val="28"/>
            <w:szCs w:val="28"/>
            <w:u w:val="none"/>
          </w:rPr>
          <w:t>https://stat.gov.kg/ru/statistics/investicii/</w:t>
        </w:r>
      </w:hyperlink>
      <w:r w:rsidRPr="003A6E5A">
        <w:rPr>
          <w:rFonts w:ascii="Times New Roman" w:hAnsi="Times New Roman" w:cs="Times New Roman"/>
          <w:sz w:val="28"/>
          <w:szCs w:val="28"/>
        </w:rPr>
        <w:t xml:space="preserve"> </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kk-KZ"/>
        </w:rPr>
        <w:t xml:space="preserve">дата обращения: </w:t>
      </w:r>
      <w:r w:rsidRPr="003A6E5A">
        <w:rPr>
          <w:rStyle w:val="a9"/>
          <w:rFonts w:ascii="Times New Roman" w:hAnsi="Times New Roman" w:cs="Times New Roman"/>
          <w:color w:val="auto"/>
          <w:sz w:val="28"/>
          <w:szCs w:val="28"/>
          <w:u w:val="none"/>
        </w:rPr>
        <w:t>30.07.2025)</w:t>
      </w:r>
    </w:p>
    <w:p w14:paraId="61113AE7"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rPr>
      </w:pPr>
      <w:r w:rsidRPr="003A6E5A">
        <w:rPr>
          <w:rFonts w:ascii="Times New Roman" w:hAnsi="Times New Roman" w:cs="Times New Roman"/>
          <w:sz w:val="28"/>
          <w:szCs w:val="28"/>
          <w:lang w:val="kk-KZ"/>
        </w:rPr>
        <w:t>Национальный к</w:t>
      </w:r>
      <w:r w:rsidRPr="003A6E5A">
        <w:rPr>
          <w:rFonts w:ascii="Times New Roman" w:hAnsi="Times New Roman" w:cs="Times New Roman"/>
          <w:sz w:val="28"/>
          <w:szCs w:val="28"/>
        </w:rPr>
        <w:t xml:space="preserve">омитет </w:t>
      </w:r>
      <w:r w:rsidRPr="003A6E5A">
        <w:rPr>
          <w:rFonts w:ascii="Times New Roman" w:hAnsi="Times New Roman" w:cs="Times New Roman"/>
          <w:sz w:val="28"/>
          <w:szCs w:val="28"/>
          <w:lang w:val="kk-KZ"/>
        </w:rPr>
        <w:t xml:space="preserve">Республики </w:t>
      </w:r>
      <w:r w:rsidRPr="003A6E5A">
        <w:rPr>
          <w:rFonts w:ascii="Times New Roman" w:hAnsi="Times New Roman" w:cs="Times New Roman"/>
          <w:sz w:val="28"/>
          <w:szCs w:val="28"/>
        </w:rPr>
        <w:t>Узбекистан</w:t>
      </w:r>
      <w:r w:rsidRPr="003A6E5A">
        <w:rPr>
          <w:rFonts w:ascii="Times New Roman" w:hAnsi="Times New Roman" w:cs="Times New Roman"/>
          <w:sz w:val="28"/>
          <w:szCs w:val="28"/>
          <w:lang w:val="kk-KZ"/>
        </w:rPr>
        <w:t xml:space="preserve"> по статистике. </w:t>
      </w:r>
      <w:r w:rsidRPr="003A6E5A">
        <w:rPr>
          <w:rFonts w:ascii="Times New Roman" w:hAnsi="Times New Roman" w:cs="Times New Roman"/>
          <w:sz w:val="28"/>
          <w:szCs w:val="28"/>
        </w:rPr>
        <w:t xml:space="preserve">Электронный ресурс. Режим доступа: </w:t>
      </w:r>
      <w:hyperlink r:id="rId63" w:history="1">
        <w:r w:rsidRPr="003A6E5A">
          <w:rPr>
            <w:rStyle w:val="a9"/>
            <w:rFonts w:ascii="Times New Roman" w:hAnsi="Times New Roman" w:cs="Times New Roman"/>
            <w:color w:val="auto"/>
            <w:sz w:val="28"/>
            <w:szCs w:val="28"/>
            <w:u w:val="none"/>
            <w:lang w:val="kk-KZ"/>
          </w:rPr>
          <w:t>https://stat.uz/ru/ofitsialnaya-statistika/kalendar-ofitsial-naya-statistika</w:t>
        </w:r>
      </w:hyperlink>
      <w:r w:rsidRPr="003A6E5A">
        <w:rPr>
          <w:rFonts w:ascii="Times New Roman" w:hAnsi="Times New Roman" w:cs="Times New Roman"/>
          <w:sz w:val="28"/>
          <w:szCs w:val="28"/>
        </w:rPr>
        <w:t xml:space="preserve"> </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kk-KZ"/>
        </w:rPr>
        <w:t xml:space="preserve">дата обращения: </w:t>
      </w:r>
      <w:r w:rsidRPr="003A6E5A">
        <w:rPr>
          <w:rStyle w:val="a9"/>
          <w:rFonts w:ascii="Times New Roman" w:hAnsi="Times New Roman" w:cs="Times New Roman"/>
          <w:color w:val="auto"/>
          <w:sz w:val="28"/>
          <w:szCs w:val="28"/>
          <w:u w:val="none"/>
        </w:rPr>
        <w:t>07.04.2025)</w:t>
      </w:r>
    </w:p>
    <w:p w14:paraId="6D0D8BDA"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Turkmenistan’s economic transformation: a new frontier for global investment. Electronic resource. Access mode: </w:t>
      </w:r>
      <w:hyperlink r:id="rId64" w:anchor=":~:text=In%202024%2C%20Turkmenistan%20exceeded%20its,commitment%20to%20sustaining%20economic%20momentum" w:history="1">
        <w:r w:rsidRPr="003A6E5A">
          <w:rPr>
            <w:rStyle w:val="a9"/>
            <w:rFonts w:ascii="Times New Roman" w:hAnsi="Times New Roman" w:cs="Times New Roman"/>
            <w:color w:val="auto"/>
            <w:sz w:val="28"/>
            <w:szCs w:val="28"/>
            <w:u w:val="none"/>
            <w:lang w:val="en-US"/>
          </w:rPr>
          <w:t>https://turkmenistan.gov.tm/index.php/en/post/93450/turkmenistans-economic-transformation-new-frontier-global-investment#:~:text=In%202024%2C%20Turkmenistan%20exceeded%20its,commitment%20to%20sustaining%20economic%20momentum</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09.08.2025</w:t>
      </w:r>
      <w:r w:rsidRPr="003A6E5A">
        <w:rPr>
          <w:rStyle w:val="a9"/>
          <w:rFonts w:ascii="Times New Roman" w:hAnsi="Times New Roman" w:cs="Times New Roman"/>
          <w:color w:val="auto"/>
          <w:sz w:val="28"/>
          <w:szCs w:val="28"/>
          <w:u w:val="none"/>
          <w:lang w:val="kk-KZ"/>
        </w:rPr>
        <w:t>)</w:t>
      </w:r>
    </w:p>
    <w:p w14:paraId="3BBB2587"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Tajikistan increased volume of foreign capital inflow in 2024. Electronic resource. Access mode: </w:t>
      </w:r>
      <w:hyperlink r:id="rId65" w:history="1">
        <w:r w:rsidRPr="003A6E5A">
          <w:rPr>
            <w:rStyle w:val="a9"/>
            <w:rFonts w:ascii="Times New Roman" w:hAnsi="Times New Roman" w:cs="Times New Roman"/>
            <w:color w:val="auto"/>
            <w:sz w:val="28"/>
            <w:szCs w:val="28"/>
            <w:u w:val="none"/>
            <w:lang w:val="en-US"/>
          </w:rPr>
          <w:t>https://qazinform.com/news/tajikistan-increased-volume-of-foreign-capital-inflow-in-2024-951289</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09.08.2025</w:t>
      </w:r>
      <w:r w:rsidRPr="003A6E5A">
        <w:rPr>
          <w:rStyle w:val="a9"/>
          <w:rFonts w:ascii="Times New Roman" w:hAnsi="Times New Roman" w:cs="Times New Roman"/>
          <w:color w:val="auto"/>
          <w:sz w:val="28"/>
          <w:szCs w:val="28"/>
          <w:u w:val="none"/>
          <w:lang w:val="kk-KZ"/>
        </w:rPr>
        <w:t>)</w:t>
      </w:r>
    </w:p>
    <w:p w14:paraId="159B8549"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 xml:space="preserve">Gross E. Recalibrating EU-Central Asia relations. European Union Institute for Security Studies. June 2015. – p. 1-4. Electronic resource. Access mode: </w:t>
      </w:r>
      <w:hyperlink r:id="rId66" w:history="1">
        <w:r w:rsidRPr="003A6E5A">
          <w:rPr>
            <w:rStyle w:val="a9"/>
            <w:rFonts w:ascii="Times New Roman" w:eastAsia="Times New Roman" w:hAnsi="Times New Roman" w:cs="Times New Roman"/>
            <w:color w:val="auto"/>
            <w:sz w:val="28"/>
            <w:szCs w:val="28"/>
            <w:u w:val="none"/>
            <w:lang w:val="kk-KZ" w:eastAsia="ru-RU"/>
          </w:rPr>
          <w:t>https://www.iss.europa.eu/sites/default/files/EUISSFiles/Brief_16_Central_Asia.pdf</w:t>
        </w:r>
      </w:hyperlink>
      <w:r w:rsidRPr="003A6E5A">
        <w:rPr>
          <w:rFonts w:ascii="Times New Roman" w:eastAsia="Times New Roman" w:hAnsi="Times New Roman" w:cs="Times New Roman"/>
          <w:sz w:val="28"/>
          <w:szCs w:val="28"/>
          <w:lang w:val="en-US" w:eastAsia="ru-RU"/>
        </w:rPr>
        <w:t xml:space="preserve"> </w:t>
      </w:r>
      <w:r w:rsidRPr="003A6E5A">
        <w:rPr>
          <w:rStyle w:val="a9"/>
          <w:rFonts w:ascii="Times New Roman" w:hAnsi="Times New Roman" w:cs="Times New Roman"/>
          <w:color w:val="auto"/>
          <w:sz w:val="28"/>
          <w:szCs w:val="28"/>
          <w:u w:val="none"/>
          <w:lang w:val="en-US"/>
        </w:rPr>
        <w:t>(accessed: 08.05.2025)</w:t>
      </w:r>
    </w:p>
    <w:p w14:paraId="0A5501D0"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eastAsia="Times New Roman" w:hAnsi="Times New Roman" w:cs="Times New Roman"/>
          <w:sz w:val="28"/>
          <w:szCs w:val="28"/>
          <w:lang w:val="kk-KZ" w:eastAsia="ru-RU"/>
        </w:rPr>
        <w:t>Yunusov K. Partnership and Cooperation Agreements of the European Union with Central Asian Countries. // Studii Europene, 2014. – № 1</w:t>
      </w:r>
      <w:r w:rsidRPr="003A6E5A">
        <w:rPr>
          <w:rFonts w:ascii="Times New Roman" w:eastAsia="Times New Roman" w:hAnsi="Times New Roman" w:cs="Times New Roman"/>
          <w:sz w:val="28"/>
          <w:szCs w:val="28"/>
          <w:lang w:val="en-US" w:eastAsia="ru-RU"/>
        </w:rPr>
        <w:t>. –</w:t>
      </w:r>
      <w:r w:rsidRPr="003A6E5A">
        <w:rPr>
          <w:rFonts w:ascii="Times New Roman" w:eastAsia="Times New Roman" w:hAnsi="Times New Roman" w:cs="Times New Roman"/>
          <w:sz w:val="28"/>
          <w:szCs w:val="28"/>
          <w:lang w:val="kk-KZ" w:eastAsia="ru-RU"/>
        </w:rPr>
        <w:t xml:space="preserve"> </w:t>
      </w:r>
      <w:r w:rsidRPr="003A6E5A">
        <w:rPr>
          <w:rFonts w:ascii="Times New Roman" w:eastAsia="Times New Roman" w:hAnsi="Times New Roman" w:cs="Times New Roman"/>
          <w:sz w:val="28"/>
          <w:szCs w:val="28"/>
          <w:lang w:val="en-US" w:eastAsia="ru-RU"/>
        </w:rPr>
        <w:t xml:space="preserve">p. </w:t>
      </w:r>
      <w:r w:rsidRPr="003A6E5A">
        <w:rPr>
          <w:rFonts w:ascii="Times New Roman" w:eastAsia="Times New Roman" w:hAnsi="Times New Roman" w:cs="Times New Roman"/>
          <w:sz w:val="28"/>
          <w:szCs w:val="28"/>
          <w:lang w:val="kk-KZ" w:eastAsia="ru-RU"/>
        </w:rPr>
        <w:t xml:space="preserve">9-18. </w:t>
      </w:r>
      <w:r w:rsidRPr="003A6E5A">
        <w:rPr>
          <w:rFonts w:ascii="Times New Roman" w:hAnsi="Times New Roman" w:cs="Times New Roman"/>
          <w:sz w:val="28"/>
          <w:szCs w:val="28"/>
          <w:lang w:val="en-US"/>
        </w:rPr>
        <w:t>Electonic resource. Access mode:</w:t>
      </w:r>
      <w:r w:rsidRPr="003A6E5A">
        <w:rPr>
          <w:rFonts w:ascii="Times New Roman" w:hAnsi="Times New Roman" w:cs="Times New Roman"/>
          <w:sz w:val="28"/>
          <w:szCs w:val="28"/>
          <w:lang w:val="kk-KZ"/>
        </w:rPr>
        <w:t xml:space="preserve"> </w:t>
      </w:r>
      <w:hyperlink r:id="rId67" w:history="1">
        <w:r w:rsidRPr="003A6E5A">
          <w:rPr>
            <w:rStyle w:val="a9"/>
            <w:rFonts w:ascii="Times New Roman" w:eastAsia="Times New Roman" w:hAnsi="Times New Roman" w:cs="Times New Roman"/>
            <w:color w:val="auto"/>
            <w:sz w:val="28"/>
            <w:szCs w:val="28"/>
            <w:u w:val="none"/>
            <w:lang w:val="kk-KZ" w:eastAsia="ru-RU"/>
          </w:rPr>
          <w:t>https://nbn-resolving.org/urn:nbn:de:0168-ssoar-418806</w:t>
        </w:r>
      </w:hyperlink>
      <w:r w:rsidRPr="003A6E5A">
        <w:rPr>
          <w:rStyle w:val="a9"/>
          <w:rFonts w:ascii="Times New Roman" w:eastAsia="Times New Roman" w:hAnsi="Times New Roman" w:cs="Times New Roman"/>
          <w:color w:val="auto"/>
          <w:sz w:val="28"/>
          <w:szCs w:val="28"/>
          <w:u w:val="none"/>
          <w:lang w:val="en-US" w:eastAsia="ru-RU"/>
        </w:rPr>
        <w:t xml:space="preserve"> </w:t>
      </w:r>
      <w:r w:rsidRPr="003A6E5A">
        <w:rPr>
          <w:rStyle w:val="a9"/>
          <w:rFonts w:ascii="Times New Roman" w:hAnsi="Times New Roman" w:cs="Times New Roman"/>
          <w:color w:val="auto"/>
          <w:sz w:val="28"/>
          <w:szCs w:val="28"/>
          <w:u w:val="none"/>
          <w:lang w:val="en-US"/>
        </w:rPr>
        <w:t>(accessed: 08/05/2025)</w:t>
      </w:r>
    </w:p>
    <w:p w14:paraId="7A333631"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 xml:space="preserve">Umut S. The EU-Kazakhstan Memorandum of Understanding: Effectiveness versus Opportunities. Electonic resource. Access mode: </w:t>
      </w:r>
      <w:hyperlink r:id="rId68" w:history="1">
        <w:r w:rsidRPr="003A6E5A">
          <w:rPr>
            <w:rStyle w:val="a9"/>
            <w:rFonts w:ascii="Times New Roman" w:hAnsi="Times New Roman" w:cs="Times New Roman"/>
            <w:color w:val="auto"/>
            <w:sz w:val="28"/>
            <w:szCs w:val="28"/>
            <w:u w:val="none"/>
            <w:lang w:val="en-US"/>
          </w:rPr>
          <w:t>https://eias.org/publications/op-ed/assessing-the-impact-of-the-eu-kazakhstan-memorandum-of-understand-on-critical-raw-materials/</w:t>
        </w:r>
      </w:hyperlink>
      <w:r w:rsidRPr="003A6E5A">
        <w:rPr>
          <w:rStyle w:val="a9"/>
          <w:rFonts w:ascii="Times New Roman" w:hAnsi="Times New Roman" w:cs="Times New Roman"/>
          <w:color w:val="auto"/>
          <w:sz w:val="28"/>
          <w:szCs w:val="28"/>
          <w:u w:val="none"/>
          <w:lang w:val="en-US"/>
        </w:rPr>
        <w:t xml:space="preserve"> (accessed: 08/05/2025)</w:t>
      </w:r>
    </w:p>
    <w:p w14:paraId="19B2E765"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 xml:space="preserve">Uzbekistan and EU sign Memorandum of Understanding on critical raw materials. Electonic resource. Access mode: </w:t>
      </w:r>
      <w:hyperlink r:id="rId69" w:history="1">
        <w:r w:rsidRPr="003A6E5A">
          <w:rPr>
            <w:rStyle w:val="a9"/>
            <w:rFonts w:ascii="Times New Roman" w:hAnsi="Times New Roman" w:cs="Times New Roman"/>
            <w:color w:val="auto"/>
            <w:sz w:val="28"/>
            <w:szCs w:val="28"/>
            <w:u w:val="none"/>
            <w:lang w:val="en-US"/>
          </w:rPr>
          <w:t>https://www.kun.uz/en/news/2024/04/06/uzbekistan-and-eu-sign-memorandum-of-understanding-on-critical-raw-materials</w:t>
        </w:r>
      </w:hyperlink>
      <w:r w:rsidRPr="003A6E5A">
        <w:rPr>
          <w:rStyle w:val="a9"/>
          <w:rFonts w:ascii="Times New Roman" w:hAnsi="Times New Roman" w:cs="Times New Roman"/>
          <w:color w:val="auto"/>
          <w:sz w:val="28"/>
          <w:szCs w:val="28"/>
          <w:u w:val="none"/>
          <w:lang w:val="en-US"/>
        </w:rPr>
        <w:t xml:space="preserve"> (accessed: 08/05/2025)</w:t>
      </w:r>
    </w:p>
    <w:p w14:paraId="7F63CF40"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kk-KZ"/>
        </w:rPr>
        <w:t xml:space="preserve">European Commission. Speech on EU–China relations. 30.03.2023. </w:t>
      </w:r>
      <w:r w:rsidRPr="003A6E5A">
        <w:rPr>
          <w:rFonts w:ascii="Times New Roman" w:hAnsi="Times New Roman" w:cs="Times New Roman"/>
          <w:sz w:val="28"/>
          <w:szCs w:val="28"/>
          <w:lang w:val="en-US"/>
        </w:rPr>
        <w:t>Electonic resource. Access mode:</w:t>
      </w:r>
      <w:r w:rsidRPr="003A6E5A">
        <w:rPr>
          <w:rFonts w:ascii="Times New Roman" w:hAnsi="Times New Roman" w:cs="Times New Roman"/>
          <w:sz w:val="28"/>
          <w:szCs w:val="28"/>
          <w:lang w:val="kk-KZ"/>
        </w:rPr>
        <w:t xml:space="preserve"> </w:t>
      </w:r>
      <w:hyperlink r:id="rId70" w:history="1">
        <w:r w:rsidRPr="003A6E5A">
          <w:rPr>
            <w:rStyle w:val="a9"/>
            <w:rFonts w:ascii="Times New Roman" w:hAnsi="Times New Roman" w:cs="Times New Roman"/>
            <w:color w:val="auto"/>
            <w:sz w:val="28"/>
            <w:szCs w:val="28"/>
            <w:u w:val="none"/>
            <w:lang w:val="kk-KZ"/>
          </w:rPr>
          <w:t>https://ec.europa.eu/commission/presscorner/detail/en/speech_23_2063</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en-US"/>
        </w:rPr>
        <w:t>(accessed: 08/05/2025)</w:t>
      </w:r>
    </w:p>
    <w:p w14:paraId="3312C7FB"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en-US"/>
        </w:rPr>
      </w:pPr>
      <w:r w:rsidRPr="003A6E5A">
        <w:rPr>
          <w:rFonts w:ascii="Times New Roman" w:hAnsi="Times New Roman" w:cs="Times New Roman"/>
          <w:sz w:val="28"/>
          <w:szCs w:val="28"/>
          <w:lang w:val="en-US"/>
        </w:rPr>
        <w:t xml:space="preserve">Critical Raw Materials Act. Electonic resource. Access mode: </w:t>
      </w:r>
      <w:hyperlink r:id="rId71" w:history="1">
        <w:r w:rsidRPr="003A6E5A">
          <w:rPr>
            <w:rStyle w:val="a9"/>
            <w:rFonts w:ascii="Times New Roman" w:hAnsi="Times New Roman" w:cs="Times New Roman"/>
            <w:color w:val="auto"/>
            <w:sz w:val="28"/>
            <w:szCs w:val="28"/>
            <w:u w:val="none"/>
            <w:lang w:val="en-US"/>
          </w:rPr>
          <w:t>https://single-market-economy.ec.europa.eu/sectors/raw-materials/areas-specific-interest/critical-raw-materials/critical-raw-materials-act_en</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en-US"/>
        </w:rPr>
        <w:t>(accessed: 08.05.2025)</w:t>
      </w:r>
    </w:p>
    <w:p w14:paraId="728EBA3A"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en-US"/>
        </w:rPr>
      </w:pPr>
      <w:r w:rsidRPr="003A6E5A">
        <w:rPr>
          <w:rStyle w:val="a3"/>
          <w:rFonts w:ascii="Times New Roman" w:hAnsi="Times New Roman" w:cs="Times New Roman"/>
          <w:i w:val="0"/>
          <w:sz w:val="28"/>
          <w:szCs w:val="28"/>
          <w:lang w:val="en-US"/>
        </w:rPr>
        <w:t>Reserves of Critical Raw Materials Enable Kazakhstan to Become a Leading Supplier within the Framework of the Energy Transition</w:t>
      </w:r>
      <w:r w:rsidRPr="003A6E5A">
        <w:rPr>
          <w:rFonts w:ascii="Times New Roman" w:hAnsi="Times New Roman" w:cs="Times New Roman"/>
          <w:sz w:val="28"/>
          <w:szCs w:val="28"/>
          <w:lang w:val="en-US"/>
        </w:rPr>
        <w:t xml:space="preserve">. 09.07.2024. Electonic resource. Access mode: </w:t>
      </w:r>
      <w:hyperlink r:id="rId72" w:tgtFrame="_new" w:history="1">
        <w:r w:rsidRPr="003A6E5A">
          <w:rPr>
            <w:rStyle w:val="a9"/>
            <w:rFonts w:ascii="Times New Roman" w:hAnsi="Times New Roman" w:cs="Times New Roman"/>
            <w:color w:val="auto"/>
            <w:sz w:val="28"/>
            <w:szCs w:val="28"/>
            <w:u w:val="none"/>
            <w:lang w:val="en-US"/>
          </w:rPr>
          <w:t>https://aifc.kz/ru/novosti/zapasy-kriticheski-vazhnogo-syrya-pozvolyayut-kazahstanu-stat-vedushhim-postavshhikom-v-ramkah-energeticheskogo-perehoda/</w:t>
        </w:r>
      </w:hyperlink>
      <w:r w:rsidRPr="003A6E5A">
        <w:rPr>
          <w:rStyle w:val="a9"/>
          <w:rFonts w:ascii="Times New Roman" w:hAnsi="Times New Roman" w:cs="Times New Roman"/>
          <w:color w:val="auto"/>
          <w:sz w:val="28"/>
          <w:szCs w:val="28"/>
          <w:u w:val="none"/>
          <w:lang w:val="en-US"/>
        </w:rPr>
        <w:t xml:space="preserve"> (accessed: 08/05/2025)</w:t>
      </w:r>
    </w:p>
    <w:p w14:paraId="688B3F4D"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 «Партнёрство Казахстан-ЕС по критическим минералам»</w:t>
      </w:r>
      <w:r w:rsidRPr="003A6E5A">
        <w:rPr>
          <w:rFonts w:ascii="Times New Roman" w:hAnsi="Times New Roman" w:cs="Times New Roman"/>
          <w:sz w:val="28"/>
          <w:szCs w:val="28"/>
        </w:rPr>
        <w:t>. Электронный ресурс. Режим доступа:</w:t>
      </w:r>
      <w:r w:rsidRPr="003A6E5A">
        <w:rPr>
          <w:rFonts w:ascii="Times New Roman" w:eastAsia="Times New Roman" w:hAnsi="Times New Roman" w:cs="Times New Roman"/>
          <w:sz w:val="28"/>
          <w:szCs w:val="28"/>
          <w:lang w:val="kk-KZ" w:eastAsia="ru-RU"/>
        </w:rPr>
        <w:t xml:space="preserve"> </w:t>
      </w:r>
      <w:hyperlink r:id="rId73" w:history="1">
        <w:r w:rsidRPr="003A6E5A">
          <w:rPr>
            <w:rStyle w:val="a9"/>
            <w:rFonts w:ascii="Times New Roman" w:hAnsi="Times New Roman" w:cs="Times New Roman"/>
            <w:color w:val="auto"/>
            <w:sz w:val="28"/>
            <w:szCs w:val="28"/>
            <w:u w:val="none"/>
          </w:rPr>
          <w:t>https://echo.kz/images/docs/About%20%20The%20Kazakhstan%20-%20EU%20Partnership%20on%20criticial%20raw%20materials%20_%20rus%201.pdf</w:t>
        </w:r>
      </w:hyperlink>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kk-KZ"/>
        </w:rPr>
        <w:t xml:space="preserve">дата обращения: </w:t>
      </w:r>
      <w:r w:rsidRPr="003A6E5A">
        <w:rPr>
          <w:rFonts w:ascii="Times New Roman" w:hAnsi="Times New Roman" w:cs="Times New Roman"/>
          <w:sz w:val="28"/>
          <w:szCs w:val="28"/>
        </w:rPr>
        <w:t>11.08.2025)</w:t>
      </w:r>
    </w:p>
    <w:p w14:paraId="41084D1B"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kk-KZ"/>
        </w:rPr>
      </w:pPr>
      <w:r w:rsidRPr="003A6E5A">
        <w:rPr>
          <w:rFonts w:ascii="Times New Roman" w:eastAsia="Times New Roman" w:hAnsi="Times New Roman" w:cs="Times New Roman"/>
          <w:sz w:val="28"/>
          <w:szCs w:val="28"/>
          <w:lang w:val="en-US" w:eastAsia="ru-RU"/>
        </w:rPr>
        <w:t xml:space="preserve">EU and Kazakhstan take the next step in their cooperation on critical raw materials. </w:t>
      </w:r>
      <w:r w:rsidRPr="003A6E5A">
        <w:rPr>
          <w:rFonts w:ascii="Times New Roman" w:hAnsi="Times New Roman" w:cs="Times New Roman"/>
          <w:sz w:val="28"/>
          <w:szCs w:val="28"/>
          <w:lang w:val="en-US"/>
        </w:rPr>
        <w:t xml:space="preserve">Electonic resource. Access mode: </w:t>
      </w:r>
      <w:r w:rsidRPr="003A6E5A">
        <w:rPr>
          <w:rStyle w:val="a9"/>
          <w:rFonts w:ascii="Times New Roman" w:hAnsi="Times New Roman" w:cs="Times New Roman"/>
          <w:color w:val="auto"/>
          <w:sz w:val="28"/>
          <w:szCs w:val="28"/>
          <w:u w:val="none"/>
          <w:lang w:val="en-US"/>
        </w:rPr>
        <w:t>(accessed: 08/05/2025)</w:t>
      </w:r>
      <w:r w:rsidRPr="003A6E5A">
        <w:rPr>
          <w:rFonts w:ascii="Times New Roman" w:hAnsi="Times New Roman" w:cs="Times New Roman"/>
          <w:sz w:val="28"/>
          <w:szCs w:val="28"/>
          <w:lang w:val="en-US"/>
        </w:rPr>
        <w:t>:</w:t>
      </w:r>
      <w:r w:rsidRPr="003A6E5A">
        <w:rPr>
          <w:rFonts w:ascii="Times New Roman" w:eastAsia="Times New Roman" w:hAnsi="Times New Roman" w:cs="Times New Roman"/>
          <w:sz w:val="28"/>
          <w:szCs w:val="28"/>
          <w:lang w:val="en-US" w:eastAsia="ru-RU"/>
        </w:rPr>
        <w:t xml:space="preserve"> </w:t>
      </w:r>
      <w:hyperlink r:id="rId74" w:history="1">
        <w:r w:rsidRPr="003A6E5A">
          <w:rPr>
            <w:rStyle w:val="a9"/>
            <w:rFonts w:ascii="Times New Roman" w:eastAsia="Times New Roman" w:hAnsi="Times New Roman" w:cs="Times New Roman"/>
            <w:color w:val="auto"/>
            <w:sz w:val="28"/>
            <w:szCs w:val="28"/>
            <w:u w:val="none"/>
            <w:lang w:val="en-US" w:eastAsia="ru-RU"/>
          </w:rPr>
          <w:t>https://www.eeas.europa.eu/delegations/kazakhstan/eu-and-kazakhstan-take-next-step-their-cooperation-critical-raw-materials_en</w:t>
        </w:r>
      </w:hyperlink>
      <w:r w:rsidRPr="003A6E5A">
        <w:rPr>
          <w:rStyle w:val="a9"/>
          <w:rFonts w:ascii="Times New Roman" w:eastAsia="Times New Roman" w:hAnsi="Times New Roman" w:cs="Times New Roman"/>
          <w:color w:val="auto"/>
          <w:sz w:val="28"/>
          <w:szCs w:val="28"/>
          <w:u w:val="none"/>
          <w:lang w:val="en-US" w:eastAsia="ru-RU"/>
        </w:rPr>
        <w:t xml:space="preserve"> </w:t>
      </w:r>
      <w:r w:rsidRPr="003A6E5A">
        <w:rPr>
          <w:rStyle w:val="a9"/>
          <w:rFonts w:ascii="Times New Roman" w:hAnsi="Times New Roman" w:cs="Times New Roman"/>
          <w:color w:val="auto"/>
          <w:sz w:val="28"/>
          <w:szCs w:val="28"/>
          <w:u w:val="none"/>
          <w:lang w:val="en-US"/>
        </w:rPr>
        <w:t>(accessed: 08.10.2025)</w:t>
      </w:r>
    </w:p>
    <w:p w14:paraId="7682E05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rPr>
        <w:t>Узбекистан и Южная Корея планируют совместно исследовать месторождение редких металлов</w:t>
      </w:r>
      <w:r w:rsidRPr="003A6E5A">
        <w:rPr>
          <w:rFonts w:ascii="Times New Roman" w:hAnsi="Times New Roman" w:cs="Times New Roman"/>
          <w:sz w:val="28"/>
          <w:szCs w:val="28"/>
          <w:lang w:val="kk-KZ"/>
        </w:rPr>
        <w:t xml:space="preserve">. Электронный ресурс. Режим доступа: </w:t>
      </w:r>
      <w:hyperlink r:id="rId75" w:history="1">
        <w:r w:rsidRPr="003A6E5A">
          <w:rPr>
            <w:rStyle w:val="a9"/>
            <w:rFonts w:ascii="Times New Roman" w:hAnsi="Times New Roman" w:cs="Times New Roman"/>
            <w:color w:val="auto"/>
            <w:sz w:val="28"/>
            <w:szCs w:val="28"/>
            <w:u w:val="none"/>
            <w:lang w:val="kk-KZ"/>
          </w:rPr>
          <w:t>https://rusmet.ru/press-center/uzbekistan-i-yuzhnaya-koreya-planiruyut-sovmestno-issledovat-mestorozhdenie-redkikh-metallov/</w:t>
        </w:r>
      </w:hyperlink>
      <w:r w:rsidRPr="003A6E5A">
        <w:rPr>
          <w:rFonts w:ascii="Times New Roman" w:hAnsi="Times New Roman" w:cs="Times New Roman"/>
          <w:sz w:val="28"/>
          <w:szCs w:val="28"/>
          <w:lang w:val="kk-KZ"/>
        </w:rPr>
        <w:t xml:space="preserve"> </w:t>
      </w:r>
      <w:r w:rsidRPr="003A6E5A">
        <w:rPr>
          <w:rStyle w:val="a9"/>
          <w:rFonts w:ascii="Times New Roman" w:hAnsi="Times New Roman" w:cs="Times New Roman"/>
          <w:color w:val="auto"/>
          <w:sz w:val="28"/>
          <w:szCs w:val="28"/>
          <w:u w:val="none"/>
          <w:lang w:val="kk-KZ"/>
        </w:rPr>
        <w:t>(дата обращения: 08.05.2025)</w:t>
      </w:r>
    </w:p>
    <w:p w14:paraId="15E67501"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kk-KZ"/>
        </w:rPr>
      </w:pPr>
      <w:r w:rsidRPr="003A6E5A">
        <w:rPr>
          <w:rFonts w:ascii="Times New Roman" w:hAnsi="Times New Roman" w:cs="Times New Roman"/>
          <w:sz w:val="28"/>
          <w:szCs w:val="28"/>
          <w:lang w:val="kk-KZ"/>
        </w:rPr>
        <w:t>Karsten L</w:t>
      </w:r>
      <w:r w:rsidRPr="003A6E5A">
        <w:rPr>
          <w:rFonts w:ascii="Times New Roman" w:hAnsi="Times New Roman" w:cs="Times New Roman"/>
          <w:sz w:val="28"/>
          <w:szCs w:val="28"/>
          <w:lang w:val="en-US"/>
        </w:rPr>
        <w:t>.</w:t>
      </w:r>
      <w:r w:rsidRPr="003A6E5A">
        <w:rPr>
          <w:rFonts w:ascii="Times New Roman" w:hAnsi="Times New Roman" w:cs="Times New Roman"/>
          <w:sz w:val="28"/>
          <w:szCs w:val="28"/>
          <w:lang w:val="kk-KZ"/>
        </w:rPr>
        <w:t xml:space="preserve"> Report on the EU strategy on Central Asia</w:t>
      </w:r>
      <w:r w:rsidRPr="003A6E5A">
        <w:rPr>
          <w:rFonts w:ascii="Times New Roman" w:hAnsi="Times New Roman" w:cs="Times New Roman"/>
          <w:sz w:val="28"/>
          <w:szCs w:val="28"/>
          <w:lang w:val="en-US"/>
        </w:rPr>
        <w:t xml:space="preserve">. Electronic resource. Access mode: </w:t>
      </w:r>
      <w:hyperlink r:id="rId76" w:history="1">
        <w:r w:rsidRPr="003A6E5A">
          <w:rPr>
            <w:rStyle w:val="a9"/>
            <w:rFonts w:ascii="Times New Roman" w:hAnsi="Times New Roman" w:cs="Times New Roman"/>
            <w:color w:val="auto"/>
            <w:sz w:val="28"/>
            <w:szCs w:val="28"/>
            <w:u w:val="none"/>
            <w:lang w:val="en-US"/>
          </w:rPr>
          <w:t>https://www.europarl.europa.eu/doceo/document/A-9-2023-0407_EN.html</w:t>
        </w:r>
      </w:hyperlink>
      <w:r w:rsidRPr="003A6E5A">
        <w:rPr>
          <w:rStyle w:val="a9"/>
          <w:rFonts w:ascii="Times New Roman" w:hAnsi="Times New Roman" w:cs="Times New Roman"/>
          <w:color w:val="auto"/>
          <w:sz w:val="28"/>
          <w:szCs w:val="28"/>
          <w:u w:val="none"/>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09.07.2025</w:t>
      </w:r>
      <w:r w:rsidRPr="003A6E5A">
        <w:rPr>
          <w:rStyle w:val="a9"/>
          <w:rFonts w:ascii="Times New Roman" w:hAnsi="Times New Roman" w:cs="Times New Roman"/>
          <w:color w:val="auto"/>
          <w:sz w:val="28"/>
          <w:szCs w:val="28"/>
          <w:u w:val="none"/>
          <w:lang w:val="kk-KZ"/>
        </w:rPr>
        <w:t>)</w:t>
      </w:r>
    </w:p>
    <w:p w14:paraId="45236EC5"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 xml:space="preserve">Heinecke S. EU–Central Asia Relations: New Opportunities For A Stronger Partnership? Interview With Peter Burian // EUCACIS in Brief. – 2019. – </w:t>
      </w:r>
      <w:r w:rsidRPr="003A6E5A">
        <w:rPr>
          <w:rFonts w:ascii="Times New Roman" w:hAnsi="Times New Roman" w:cs="Times New Roman"/>
          <w:sz w:val="28"/>
          <w:szCs w:val="28"/>
          <w:shd w:val="clear" w:color="auto" w:fill="FFFFFF"/>
        </w:rPr>
        <w:t>Т</w:t>
      </w:r>
      <w:r w:rsidRPr="003A6E5A">
        <w:rPr>
          <w:rFonts w:ascii="Times New Roman" w:hAnsi="Times New Roman" w:cs="Times New Roman"/>
          <w:sz w:val="28"/>
          <w:szCs w:val="28"/>
          <w:shd w:val="clear" w:color="auto" w:fill="FFFFFF"/>
          <w:lang w:val="en-US"/>
        </w:rPr>
        <w:t>. 9. – №. 7. DOI: 10.13140/RG.2.2.14467.53286</w:t>
      </w:r>
    </w:p>
    <w:p w14:paraId="7B5D5960"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kk-KZ"/>
        </w:rPr>
      </w:pPr>
      <w:r w:rsidRPr="003A6E5A">
        <w:rPr>
          <w:rFonts w:ascii="Times New Roman" w:hAnsi="Times New Roman" w:cs="Times New Roman"/>
          <w:sz w:val="28"/>
          <w:szCs w:val="28"/>
          <w:lang w:val="en-US"/>
        </w:rPr>
        <w:t xml:space="preserve">Sustainable transport connections between Europe and Central Asia // EBRD. 16.06.2023. Electronic resource. Access mode: </w:t>
      </w:r>
      <w:hyperlink r:id="rId77" w:history="1">
        <w:r w:rsidRPr="003A6E5A">
          <w:rPr>
            <w:rStyle w:val="a9"/>
            <w:rFonts w:ascii="Times New Roman" w:hAnsi="Times New Roman" w:cs="Times New Roman"/>
            <w:color w:val="auto"/>
            <w:sz w:val="28"/>
            <w:szCs w:val="28"/>
            <w:u w:val="none"/>
            <w:lang w:val="en-US"/>
          </w:rPr>
          <w:t>https://transport.ec.europa.eu/system/files/2023-</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473AA199"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kk-KZ"/>
        </w:rPr>
      </w:pPr>
      <w:r w:rsidRPr="003A6E5A">
        <w:rPr>
          <w:rFonts w:ascii="Times New Roman" w:eastAsia="Times New Roman" w:hAnsi="Times New Roman" w:cs="Times New Roman"/>
          <w:bCs/>
          <w:kern w:val="36"/>
          <w:sz w:val="28"/>
          <w:szCs w:val="28"/>
          <w:lang w:val="en-US"/>
        </w:rPr>
        <w:t xml:space="preserve">EU to allocate €12 billion investment package for Central Asia in four areas. </w:t>
      </w:r>
      <w:r w:rsidRPr="003A6E5A">
        <w:rPr>
          <w:rFonts w:ascii="Times New Roman" w:hAnsi="Times New Roman" w:cs="Times New Roman"/>
          <w:sz w:val="28"/>
          <w:szCs w:val="28"/>
          <w:lang w:val="en-US"/>
        </w:rPr>
        <w:t>Electronic resource. Access mode:</w:t>
      </w:r>
      <w:r w:rsidRPr="003A6E5A">
        <w:rPr>
          <w:rFonts w:ascii="Times New Roman" w:hAnsi="Times New Roman" w:cs="Times New Roman"/>
          <w:sz w:val="28"/>
          <w:szCs w:val="28"/>
          <w:lang w:val="kk-KZ"/>
        </w:rPr>
        <w:t xml:space="preserve"> </w:t>
      </w:r>
      <w:hyperlink r:id="rId78" w:anchor=":~:text=The%20EC%20president%20announced%20the,EU%20and%20its%20member%20states" w:history="1">
        <w:r w:rsidRPr="003A6E5A">
          <w:rPr>
            <w:rStyle w:val="a9"/>
            <w:rFonts w:ascii="Times New Roman" w:hAnsi="Times New Roman" w:cs="Times New Roman"/>
            <w:color w:val="auto"/>
            <w:sz w:val="28"/>
            <w:szCs w:val="28"/>
            <w:u w:val="none"/>
            <w:lang w:val="kk-KZ"/>
          </w:rPr>
          <w:t>https://www.gazeta.uz/en/2025/04/05/ca-eu/#:~:text=The%20EC%20president%20announced%20the,EU%20and%20its%20member%20states</w:t>
        </w:r>
      </w:hyperlink>
      <w:r w:rsidRPr="003A6E5A">
        <w:rPr>
          <w:rStyle w:val="a9"/>
          <w:rFonts w:ascii="Times New Roman" w:hAnsi="Times New Roman" w:cs="Times New Roman"/>
          <w:color w:val="auto"/>
          <w:sz w:val="28"/>
          <w:szCs w:val="28"/>
          <w:u w:val="none"/>
          <w:lang w:val="kk-KZ"/>
        </w:rPr>
        <w:t xml:space="preserve"> (</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2F564FD0"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kk-KZ"/>
        </w:rPr>
      </w:pPr>
      <w:r w:rsidRPr="003A6E5A">
        <w:rPr>
          <w:rFonts w:ascii="Times New Roman" w:hAnsi="Times New Roman" w:cs="Times New Roman"/>
          <w:sz w:val="28"/>
          <w:szCs w:val="28"/>
          <w:lang w:val="en-US"/>
        </w:rPr>
        <w:t>Annual Activity Report 2024. DG INTPA. – 63 p. Electronic resource. Access mode:</w:t>
      </w:r>
      <w:r w:rsidRPr="003A6E5A">
        <w:rPr>
          <w:rFonts w:ascii="Times New Roman" w:hAnsi="Times New Roman" w:cs="Times New Roman"/>
          <w:sz w:val="28"/>
          <w:szCs w:val="28"/>
          <w:lang w:val="kk-KZ"/>
        </w:rPr>
        <w:t xml:space="preserve"> </w:t>
      </w:r>
      <w:hyperlink r:id="rId79" w:history="1">
        <w:r w:rsidRPr="003A6E5A">
          <w:rPr>
            <w:rStyle w:val="a9"/>
            <w:rFonts w:ascii="Times New Roman" w:hAnsi="Times New Roman" w:cs="Times New Roman"/>
            <w:color w:val="auto"/>
            <w:sz w:val="28"/>
            <w:szCs w:val="28"/>
            <w:u w:val="none"/>
            <w:lang w:val="en-US"/>
          </w:rPr>
          <w:t>https://commission.europa.eu/document/download/0834fd47-c8cc-4f8a-9e9f-9afdbfed8069_en?filename=INTPA_AAR_2024_final.pdf</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1D40A140" w14:textId="77777777" w:rsidR="00C96643" w:rsidRPr="003A6E5A" w:rsidRDefault="00C96643" w:rsidP="00C96643">
      <w:pPr>
        <w:pStyle w:val="ae"/>
        <w:numPr>
          <w:ilvl w:val="0"/>
          <w:numId w:val="4"/>
        </w:numPr>
        <w:spacing w:after="0" w:line="240" w:lineRule="auto"/>
        <w:ind w:left="0" w:firstLine="720"/>
        <w:jc w:val="both"/>
        <w:rPr>
          <w:rStyle w:val="a9"/>
          <w:rFonts w:ascii="Times New Roman" w:hAnsi="Times New Roman" w:cs="Times New Roman"/>
          <w:color w:val="auto"/>
          <w:sz w:val="28"/>
          <w:szCs w:val="28"/>
          <w:u w:val="none"/>
          <w:lang w:val="kk-KZ"/>
        </w:rPr>
      </w:pPr>
      <w:r w:rsidRPr="003A6E5A">
        <w:rPr>
          <w:rFonts w:ascii="Times New Roman" w:hAnsi="Times New Roman" w:cs="Times New Roman"/>
          <w:sz w:val="28"/>
          <w:szCs w:val="28"/>
          <w:lang w:val="en-US"/>
        </w:rPr>
        <w:t>Global Gateway: EU and Central Asian countries agree on building blocks to develop the Trans-Caspian Transport Corridor. Electronic resource. Access mode:</w:t>
      </w:r>
      <w:r w:rsidRPr="003A6E5A">
        <w:rPr>
          <w:rFonts w:ascii="Times New Roman" w:hAnsi="Times New Roman" w:cs="Times New Roman"/>
          <w:sz w:val="28"/>
          <w:szCs w:val="28"/>
          <w:lang w:val="kk-KZ"/>
        </w:rPr>
        <w:t xml:space="preserve"> </w:t>
      </w:r>
      <w:hyperlink r:id="rId80" w:history="1">
        <w:r w:rsidRPr="003A6E5A">
          <w:rPr>
            <w:rStyle w:val="a9"/>
            <w:rFonts w:ascii="Times New Roman" w:hAnsi="Times New Roman" w:cs="Times New Roman"/>
            <w:color w:val="auto"/>
            <w:sz w:val="28"/>
            <w:szCs w:val="28"/>
            <w:u w:val="none"/>
            <w:lang w:val="en-US"/>
          </w:rPr>
          <w:t>https://international-partnerships.ec.europa.eu/news-and-events/news/global-gateway-eu-and-central-asian-countries-agree-building-blocks-develop-trans-caspian-transport-2024-01-30_en</w:t>
        </w:r>
      </w:hyperlink>
      <w:r w:rsidRPr="003A6E5A">
        <w:rPr>
          <w:rFonts w:ascii="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5376E10D"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Как сделать Средний коридор экономически выгодным. </w:t>
      </w:r>
      <w:r w:rsidRPr="003A6E5A">
        <w:rPr>
          <w:rFonts w:ascii="Times New Roman" w:hAnsi="Times New Roman" w:cs="Times New Roman"/>
          <w:sz w:val="28"/>
          <w:szCs w:val="28"/>
          <w:lang w:val="kk-KZ"/>
        </w:rPr>
        <w:t xml:space="preserve">Электронный ресурс. Режим доступа: </w:t>
      </w:r>
      <w:hyperlink r:id="rId81" w:history="1">
        <w:r w:rsidRPr="003A6E5A">
          <w:rPr>
            <w:rStyle w:val="a9"/>
            <w:rFonts w:ascii="Times New Roman" w:hAnsi="Times New Roman" w:cs="Times New Roman"/>
            <w:color w:val="auto"/>
            <w:sz w:val="28"/>
            <w:szCs w:val="28"/>
            <w:u w:val="none"/>
          </w:rPr>
          <w:t>https://forbes.kz/articles/kak-sdelat-sredniy-koridor-ekonomicheski-vygodnym</w:t>
        </w:r>
      </w:hyperlink>
      <w:r w:rsidRPr="003A6E5A">
        <w:rPr>
          <w:rFonts w:ascii="Times New Roman" w:hAnsi="Times New Roman" w:cs="Times New Roman"/>
          <w:sz w:val="28"/>
          <w:szCs w:val="28"/>
          <w:lang w:val="kk-KZ"/>
        </w:rPr>
        <w:t xml:space="preserve"> </w:t>
      </w:r>
      <w:r w:rsidRPr="003A6E5A">
        <w:rPr>
          <w:rStyle w:val="a9"/>
          <w:rFonts w:ascii="Times New Roman" w:hAnsi="Times New Roman" w:cs="Times New Roman"/>
          <w:color w:val="auto"/>
          <w:sz w:val="28"/>
          <w:szCs w:val="28"/>
          <w:u w:val="none"/>
          <w:lang w:val="kk-KZ"/>
        </w:rPr>
        <w:t>(дата обращения: 08.05.2025)</w:t>
      </w:r>
    </w:p>
    <w:p w14:paraId="12A4908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Encinas-Ferrer C., Villegas-Zermeño E. Foreign direct investment and gross domestic product growth //Procedia Economics and Finance. – 2015. – Vol. 24. – p. 198-207.</w:t>
      </w:r>
    </w:p>
    <w:p w14:paraId="4E497EF5"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Kaleem I., Rahman M.M., Chowdhury M.A.A. Foreign Direct Investment (FDI) and Gross Domestic Product (GDP) in Bangladesh: A Cointegration Analysis //Journal of Economics and Sustainable Development. – 2015. – Vol. 6. – №. 8. – p. 196-207.</w:t>
      </w:r>
    </w:p>
    <w:p w14:paraId="749856C4"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rPr>
        <w:t xml:space="preserve">Канева М.А., Унтура Г.А. </w:t>
      </w:r>
      <w:r w:rsidRPr="003A6E5A">
        <w:rPr>
          <w:rFonts w:ascii="Times New Roman" w:eastAsia="Times New Roman" w:hAnsi="Times New Roman" w:cs="Times New Roman"/>
          <w:iCs/>
          <w:sz w:val="28"/>
          <w:szCs w:val="28"/>
        </w:rPr>
        <w:t>Взаимосвязь НИОКР, перетоков знаний и динамики экономического роста регионов России</w:t>
      </w:r>
      <w:r w:rsidRPr="003A6E5A">
        <w:rPr>
          <w:rFonts w:ascii="Times New Roman" w:eastAsia="Times New Roman" w:hAnsi="Times New Roman" w:cs="Times New Roman"/>
          <w:sz w:val="28"/>
          <w:szCs w:val="28"/>
        </w:rPr>
        <w:t xml:space="preserve">, </w:t>
      </w:r>
      <w:r w:rsidRPr="003A6E5A">
        <w:rPr>
          <w:rFonts w:ascii="Times New Roman" w:eastAsia="Times New Roman" w:hAnsi="Times New Roman" w:cs="Times New Roman"/>
          <w:iCs/>
          <w:sz w:val="28"/>
          <w:szCs w:val="28"/>
        </w:rPr>
        <w:t>Регион: экономика и социология</w:t>
      </w:r>
      <w:r w:rsidRPr="003A6E5A">
        <w:rPr>
          <w:rFonts w:ascii="Times New Roman" w:eastAsia="Times New Roman" w:hAnsi="Times New Roman" w:cs="Times New Roman"/>
          <w:sz w:val="28"/>
          <w:szCs w:val="28"/>
        </w:rPr>
        <w:t xml:space="preserve">, 2017. – № 1. – </w:t>
      </w:r>
      <w:r w:rsidRPr="003A6E5A">
        <w:rPr>
          <w:rFonts w:ascii="Times New Roman" w:eastAsia="Times New Roman" w:hAnsi="Times New Roman" w:cs="Times New Roman"/>
          <w:sz w:val="28"/>
          <w:szCs w:val="28"/>
          <w:lang w:val="en-US"/>
        </w:rPr>
        <w:t>C</w:t>
      </w:r>
      <w:r w:rsidRPr="003A6E5A">
        <w:rPr>
          <w:rFonts w:ascii="Times New Roman" w:eastAsia="Times New Roman" w:hAnsi="Times New Roman" w:cs="Times New Roman"/>
          <w:sz w:val="28"/>
          <w:szCs w:val="28"/>
        </w:rPr>
        <w:t>. 78–100.</w:t>
      </w:r>
    </w:p>
    <w:p w14:paraId="13458E46"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Hausman J.A. Specification tests in econometrics //Econometrica: Journal of the econometric society. – 1978. – p. 1251-1271.</w:t>
      </w:r>
    </w:p>
    <w:p w14:paraId="6E6FCAA6"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Calibri" w:hAnsi="Times New Roman" w:cs="Times New Roman"/>
          <w:sz w:val="28"/>
          <w:szCs w:val="28"/>
          <w:lang w:val="kk-KZ"/>
        </w:rPr>
        <w:t xml:space="preserve">Аналитическая информация по валовому притоку иностранных прямых инвестиций. Национальный Банк Республики Казахстан, июнь 2023. </w:t>
      </w:r>
      <w:r w:rsidRPr="003A6E5A">
        <w:rPr>
          <w:rFonts w:ascii="Times New Roman" w:eastAsia="Calibri" w:hAnsi="Times New Roman" w:cs="Times New Roman"/>
          <w:sz w:val="28"/>
          <w:szCs w:val="28"/>
          <w:lang w:val="ru" w:bidi="ar"/>
        </w:rPr>
        <w:t xml:space="preserve">Электронный ресурс. </w:t>
      </w:r>
      <w:r w:rsidRPr="003A6E5A">
        <w:rPr>
          <w:rFonts w:ascii="Times New Roman" w:eastAsia="Calibri" w:hAnsi="Times New Roman" w:cs="Times New Roman"/>
          <w:sz w:val="28"/>
          <w:szCs w:val="28"/>
          <w:lang w:bidi="ar"/>
        </w:rPr>
        <w:t>Р</w:t>
      </w:r>
      <w:r w:rsidRPr="003A6E5A">
        <w:rPr>
          <w:rFonts w:ascii="Times New Roman" w:eastAsia="Calibri" w:hAnsi="Times New Roman" w:cs="Times New Roman"/>
          <w:sz w:val="28"/>
          <w:szCs w:val="28"/>
          <w:lang w:val="ru" w:bidi="ar"/>
        </w:rPr>
        <w:t>ежим доступа:</w:t>
      </w:r>
      <w:r w:rsidRPr="003A6E5A">
        <w:rPr>
          <w:rFonts w:ascii="Times New Roman" w:eastAsia="Calibri" w:hAnsi="Times New Roman" w:cs="Times New Roman"/>
          <w:sz w:val="28"/>
          <w:szCs w:val="28"/>
          <w:lang w:val="kk-KZ"/>
        </w:rPr>
        <w:t xml:space="preserve"> </w:t>
      </w:r>
      <w:hyperlink r:id="rId82" w:history="1">
        <w:r w:rsidRPr="003A6E5A">
          <w:rPr>
            <w:rStyle w:val="a9"/>
            <w:rFonts w:ascii="Times New Roman" w:eastAsia="Calibri" w:hAnsi="Times New Roman" w:cs="Times New Roman"/>
            <w:color w:val="auto"/>
            <w:sz w:val="28"/>
            <w:szCs w:val="28"/>
            <w:u w:val="none"/>
            <w:lang w:bidi="ar"/>
          </w:rPr>
          <w:t>https://www.nationalbank.kz/file/download/92277</w:t>
        </w:r>
        <w:r w:rsidRPr="003A6E5A">
          <w:rPr>
            <w:rStyle w:val="a9"/>
            <w:rFonts w:ascii="Times New Roman" w:eastAsia="Calibri" w:hAnsi="Times New Roman" w:cs="Times New Roman"/>
            <w:color w:val="auto"/>
            <w:sz w:val="28"/>
            <w:szCs w:val="28"/>
            <w:u w:val="none"/>
            <w:lang w:val="kk-KZ" w:bidi="ar"/>
          </w:rPr>
          <w:t xml:space="preserve"> </w:t>
        </w:r>
      </w:hyperlink>
      <w:r w:rsidRPr="003A6E5A">
        <w:rPr>
          <w:rFonts w:ascii="Times New Roman" w:eastAsia="Calibri" w:hAnsi="Times New Roman" w:cs="Times New Roman"/>
          <w:sz w:val="28"/>
          <w:szCs w:val="28"/>
          <w:lang w:val="ru" w:bidi="ar"/>
        </w:rPr>
        <w:t xml:space="preserve">(дата обращения: </w:t>
      </w:r>
      <w:r w:rsidRPr="003A6E5A">
        <w:rPr>
          <w:rFonts w:ascii="Times New Roman" w:eastAsia="Calibri" w:hAnsi="Times New Roman" w:cs="Times New Roman"/>
          <w:sz w:val="28"/>
          <w:szCs w:val="28"/>
          <w:lang w:val="kk-KZ" w:bidi="ar"/>
        </w:rPr>
        <w:t>23</w:t>
      </w:r>
      <w:r w:rsidRPr="003A6E5A">
        <w:rPr>
          <w:rFonts w:ascii="Times New Roman" w:eastAsia="Calibri" w:hAnsi="Times New Roman" w:cs="Times New Roman"/>
          <w:sz w:val="28"/>
          <w:szCs w:val="28"/>
          <w:lang w:val="ru" w:bidi="ar"/>
        </w:rPr>
        <w:t>.01.2025)</w:t>
      </w:r>
    </w:p>
    <w:p w14:paraId="51BE3D7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lang w:val="kk-KZ" w:eastAsia="ru-RU"/>
        </w:rPr>
        <w:t>Акопян А.Р. Особенности реализации подходов к кластеризации в экономике стран Европейского союза // Вестник университета. – 2016. – № 9. – С. 153</w:t>
      </w:r>
      <w:r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160</w:t>
      </w:r>
    </w:p>
    <w:p w14:paraId="0A49AF91"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lang w:val="kk-KZ" w:eastAsia="ru-RU"/>
        </w:rPr>
        <w:t>Малов Д.Н., Летягина Е.Н. Разработка нейросетевой модели кластеризации экономики для анализа инвестиционной привлекательности предприятий // Journal of Creative Economy. – 2019. – Т. 13. – № 8. – С. 1530-1536.</w:t>
      </w:r>
    </w:p>
    <w:p w14:paraId="47E10845"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lang w:val="kk-KZ" w:eastAsia="ru-RU"/>
        </w:rPr>
        <w:t xml:space="preserve">The European Secretariat for Cluster Analysis, ESCA. </w:t>
      </w:r>
      <w:r w:rsidRPr="003A6E5A">
        <w:rPr>
          <w:rFonts w:ascii="Times New Roman" w:hAnsi="Times New Roman" w:cs="Times New Roman"/>
          <w:sz w:val="28"/>
          <w:szCs w:val="28"/>
          <w:lang w:val="en-US"/>
        </w:rPr>
        <w:t>Electronic resource. Access mode:</w:t>
      </w:r>
      <w:r w:rsidRPr="003A6E5A">
        <w:rPr>
          <w:rFonts w:ascii="Times New Roman" w:eastAsia="Times New Roman" w:hAnsi="Times New Roman" w:cs="Times New Roman"/>
          <w:sz w:val="28"/>
          <w:szCs w:val="28"/>
          <w:lang w:val="kk-KZ" w:eastAsia="ru-RU"/>
        </w:rPr>
        <w:t xml:space="preserve"> </w:t>
      </w:r>
      <w:hyperlink r:id="rId83" w:history="1">
        <w:r w:rsidRPr="003A6E5A">
          <w:rPr>
            <w:rStyle w:val="a9"/>
            <w:rFonts w:ascii="Times New Roman" w:eastAsia="Times New Roman" w:hAnsi="Times New Roman" w:cs="Times New Roman"/>
            <w:color w:val="auto"/>
            <w:sz w:val="28"/>
            <w:szCs w:val="28"/>
            <w:u w:val="none"/>
            <w:lang w:val="kk-KZ" w:eastAsia="ru-RU"/>
          </w:rPr>
          <w:t>https://www.cluster-analysis.org/</w:t>
        </w:r>
      </w:hyperlink>
      <w:r w:rsidRPr="003A6E5A">
        <w:rPr>
          <w:rFonts w:ascii="Times New Roman" w:eastAsia="Times New Roman" w:hAnsi="Times New Roman" w:cs="Times New Roman"/>
          <w:sz w:val="28"/>
          <w:szCs w:val="28"/>
          <w:lang w:val="kk-KZ" w:eastAsia="ru-RU"/>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1F071A8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Style w:val="markedcontent"/>
          <w:rFonts w:ascii="Times New Roman" w:eastAsia="Calibri" w:hAnsi="Times New Roman" w:cs="Times New Roman"/>
          <w:sz w:val="28"/>
          <w:szCs w:val="28"/>
          <w:shd w:val="clear" w:color="auto" w:fill="FFFFFF"/>
          <w:lang w:val="ru" w:bidi="ar"/>
        </w:rPr>
        <w:t>Кудряшова И.В., Плешакова М.В. Инвестиционное сотрудничество России и ЕС // Вестник Волгоградского государственного университета. Серия 3 - 2013. - No 1 (22). – С. 229-235</w:t>
      </w:r>
    </w:p>
    <w:p w14:paraId="6E928B1B"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Calibri" w:hAnsi="Times New Roman" w:cs="Times New Roman"/>
          <w:sz w:val="28"/>
          <w:szCs w:val="28"/>
          <w:shd w:val="clear" w:color="auto" w:fill="FFFFFF"/>
          <w:lang w:val="kk-KZ" w:bidi="ar"/>
        </w:rPr>
        <w:t>Otarbayeva A., Arupov A. Анализ влияния прямых иностранных инвестиций на развитие нефтегазовой отрасли Казахстана //Journal of Economic Research &amp; Business Administration. – 2020. – Т. 134. – №. 4. – С. 66-80.</w:t>
      </w:r>
    </w:p>
    <w:p w14:paraId="06EF7CA1"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Karasayev G.M., Zhaxygeldinov Z.N., Naimanbayev B.R., Auanasova A.M., Khalidullin G.K. </w:t>
      </w:r>
      <w:r w:rsidRPr="003A6E5A">
        <w:rPr>
          <w:rFonts w:ascii="Times New Roman" w:hAnsi="Times New Roman" w:cs="Times New Roman"/>
          <w:sz w:val="28"/>
          <w:szCs w:val="28"/>
          <w:lang w:val="en-US"/>
        </w:rPr>
        <w:t>History of European Union - Kazakhstan Relations (1991-2001). Cuadernos Europeos de Deusto</w:t>
      </w:r>
      <w:r w:rsidRPr="003A6E5A">
        <w:rPr>
          <w:rFonts w:ascii="Times New Roman" w:hAnsi="Times New Roman" w:cs="Times New Roman"/>
          <w:sz w:val="28"/>
          <w:szCs w:val="28"/>
          <w:lang w:val="kk-KZ"/>
        </w:rPr>
        <w:t xml:space="preserve">. (2023, April 27). </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С</w:t>
      </w:r>
      <w:r w:rsidRPr="003A6E5A">
        <w:rPr>
          <w:rFonts w:ascii="Times New Roman" w:hAnsi="Times New Roman" w:cs="Times New Roman"/>
          <w:sz w:val="28"/>
          <w:szCs w:val="28"/>
          <w:lang w:val="en-US"/>
        </w:rPr>
        <w:t>. 183-197</w:t>
      </w:r>
    </w:p>
    <w:p w14:paraId="2C8CDCAB"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Основные показатели количества субъектов в Республике Казахстан (на 1 февраля 2025г.)</w:t>
      </w:r>
      <w:r w:rsidRPr="003A6E5A">
        <w:rPr>
          <w:rFonts w:ascii="Times New Roman" w:hAnsi="Times New Roman" w:cs="Times New Roman"/>
          <w:sz w:val="28"/>
          <w:szCs w:val="28"/>
        </w:rPr>
        <w:t>. Официальный сайт Бюро национальной статистики Агентства по стратегическому планированию и реформам Республики Казахстан</w:t>
      </w:r>
      <w:r w:rsidRPr="003A6E5A">
        <w:rPr>
          <w:rFonts w:ascii="Times New Roman" w:eastAsia="SimSun" w:hAnsi="Times New Roman" w:cs="Times New Roman"/>
          <w:sz w:val="28"/>
          <w:szCs w:val="28"/>
          <w:lang w:val="kk-KZ" w:eastAsia="ru-RU"/>
        </w:rPr>
        <w:t xml:space="preserve">. Электронный ресурс. Режим доступа: </w:t>
      </w:r>
      <w:hyperlink r:id="rId84" w:history="1">
        <w:r w:rsidRPr="003A6E5A">
          <w:rPr>
            <w:rStyle w:val="a9"/>
            <w:rFonts w:ascii="Times New Roman" w:eastAsia="SimSun" w:hAnsi="Times New Roman" w:cs="Times New Roman"/>
            <w:color w:val="auto"/>
            <w:sz w:val="28"/>
            <w:szCs w:val="28"/>
            <w:u w:val="none"/>
            <w:lang w:val="kk-KZ" w:eastAsia="ru-RU"/>
          </w:rPr>
          <w:t>https://stat.gov.kz/ru/industries/business-statistics/stat-org/publications/280793/</w:t>
        </w:r>
      </w:hyperlink>
      <w:r w:rsidRPr="003A6E5A">
        <w:rPr>
          <w:rFonts w:ascii="Times New Roman" w:eastAsia="SimSun" w:hAnsi="Times New Roman" w:cs="Times New Roman"/>
          <w:sz w:val="28"/>
          <w:szCs w:val="28"/>
          <w:lang w:val="kk-KZ" w:eastAsia="ru-RU"/>
        </w:rPr>
        <w:t xml:space="preserve"> </w:t>
      </w:r>
    </w:p>
    <w:p w14:paraId="32FA5E1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rPr>
        <w:t>Инвестиции в сердце Евразии: какие факторы влияли на привлекательность Казахстана в 2024 году? Февраль 2025 года. – 32 с.</w:t>
      </w:r>
    </w:p>
    <w:p w14:paraId="49F88D9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lang w:val="kk-KZ" w:eastAsia="ru-RU"/>
        </w:rPr>
        <w:t xml:space="preserve">Гахова Р. Почему немецкие компании задумываются о бегстве из Казахстана в Узбекистан. Электронный ресурс. Режим доступа: </w:t>
      </w:r>
      <w:hyperlink r:id="rId85" w:history="1">
        <w:r w:rsidRPr="003A6E5A">
          <w:rPr>
            <w:rStyle w:val="a9"/>
            <w:rFonts w:ascii="Times New Roman" w:eastAsia="Times New Roman" w:hAnsi="Times New Roman" w:cs="Times New Roman"/>
            <w:color w:val="auto"/>
            <w:sz w:val="28"/>
            <w:szCs w:val="28"/>
            <w:u w:val="none"/>
            <w:lang w:val="kk-KZ" w:eastAsia="ru-RU"/>
          </w:rPr>
          <w:t>https://www.caravan.kz/news/pochemu-nemeckie-kompanii-zadumyvayutsya-o-begstve-iz-kazakhstana-v-uzbekistan-956969/</w:t>
        </w:r>
      </w:hyperlink>
      <w:r w:rsidRPr="003A6E5A">
        <w:rPr>
          <w:rFonts w:ascii="Times New Roman" w:eastAsia="Times New Roman" w:hAnsi="Times New Roman" w:cs="Times New Roman"/>
          <w:sz w:val="28"/>
          <w:szCs w:val="28"/>
          <w:lang w:val="kk-KZ" w:eastAsia="ru-RU"/>
        </w:rPr>
        <w:t xml:space="preserve"> </w:t>
      </w:r>
      <w:r w:rsidRPr="003A6E5A">
        <w:rPr>
          <w:rFonts w:ascii="Times New Roman" w:hAnsi="Times New Roman" w:cs="Times New Roman"/>
          <w:sz w:val="28"/>
          <w:szCs w:val="28"/>
        </w:rPr>
        <w:t>(дата обращения: 03.07.2025)</w:t>
      </w:r>
    </w:p>
    <w:p w14:paraId="5F5DCA80" w14:textId="77777777" w:rsidR="00C96643" w:rsidRPr="003A6E5A" w:rsidRDefault="00790CB1"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hyperlink r:id="rId86" w:history="1">
        <w:r w:rsidR="00C96643" w:rsidRPr="003A6E5A">
          <w:rPr>
            <w:rStyle w:val="a9"/>
            <w:rFonts w:ascii="Times New Roman" w:hAnsi="Times New Roman" w:cs="Times New Roman"/>
            <w:color w:val="auto"/>
            <w:sz w:val="28"/>
            <w:szCs w:val="28"/>
            <w:u w:val="none"/>
          </w:rPr>
          <w:t>Приоритетные отрасли, прямые иностранные инвестиции и новые подходы – какие меры по привлечению инвестиций принимаются в Казахстане - Официальный информационный ресурс Премьер-министра Республики Казахстан</w:t>
        </w:r>
      </w:hyperlink>
      <w:r w:rsidR="00C96643" w:rsidRPr="003A6E5A">
        <w:rPr>
          <w:rStyle w:val="a9"/>
          <w:rFonts w:ascii="Times New Roman" w:hAnsi="Times New Roman" w:cs="Times New Roman"/>
          <w:color w:val="auto"/>
          <w:sz w:val="28"/>
          <w:szCs w:val="28"/>
          <w:u w:val="none"/>
        </w:rPr>
        <w:t xml:space="preserve">. </w:t>
      </w:r>
      <w:r w:rsidR="00C96643" w:rsidRPr="003A6E5A">
        <w:rPr>
          <w:rStyle w:val="a9"/>
          <w:rFonts w:ascii="Times New Roman" w:hAnsi="Times New Roman" w:cs="Times New Roman"/>
          <w:color w:val="auto"/>
          <w:sz w:val="28"/>
          <w:szCs w:val="28"/>
          <w:u w:val="none"/>
          <w:lang w:val="kk-KZ"/>
        </w:rPr>
        <w:t xml:space="preserve">Режим доступа: </w:t>
      </w:r>
      <w:hyperlink r:id="rId87" w:history="1">
        <w:r w:rsidR="00C96643" w:rsidRPr="003A6E5A">
          <w:rPr>
            <w:rStyle w:val="a9"/>
            <w:rFonts w:ascii="Times New Roman" w:hAnsi="Times New Roman" w:cs="Times New Roman"/>
            <w:color w:val="auto"/>
            <w:sz w:val="28"/>
            <w:szCs w:val="28"/>
            <w:u w:val="none"/>
          </w:rPr>
          <w:t>https://primeminister.kz/ru/news/reviews/prioritetnye-otrasli-pryamye-inostrannye-investicii-i-novye-podhody-kakie-mery-po-privlecheniyu-investiciy-prinimayutsya-v-kazahstane-3143955</w:t>
        </w:r>
      </w:hyperlink>
      <w:r w:rsidR="00C96643" w:rsidRPr="003A6E5A">
        <w:rPr>
          <w:rStyle w:val="a9"/>
          <w:rFonts w:ascii="Times New Roman" w:hAnsi="Times New Roman" w:cs="Times New Roman"/>
          <w:color w:val="auto"/>
          <w:sz w:val="28"/>
          <w:szCs w:val="28"/>
          <w:u w:val="none"/>
        </w:rPr>
        <w:t xml:space="preserve"> </w:t>
      </w:r>
      <w:r w:rsidR="00C96643" w:rsidRPr="003A6E5A">
        <w:rPr>
          <w:rFonts w:ascii="Times New Roman" w:hAnsi="Times New Roman" w:cs="Times New Roman"/>
          <w:sz w:val="28"/>
          <w:szCs w:val="28"/>
        </w:rPr>
        <w:t>(дата обращения: 03.07.2025)</w:t>
      </w:r>
    </w:p>
    <w:p w14:paraId="2C2E841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rPr>
        <w:t>Французская Orano и Казатомпром планируют запустить ураноперерабатывающий комплекс</w:t>
      </w:r>
      <w:r w:rsidRPr="003A6E5A">
        <w:rPr>
          <w:rFonts w:ascii="Times New Roman" w:hAnsi="Times New Roman" w:cs="Times New Roman"/>
          <w:sz w:val="28"/>
          <w:szCs w:val="28"/>
          <w:shd w:val="clear" w:color="auto" w:fill="FFFFFF"/>
          <w:lang w:val="kk-KZ"/>
        </w:rPr>
        <w:t xml:space="preserve">. Электронный ресурс. </w:t>
      </w:r>
      <w:r w:rsidRPr="003A6E5A">
        <w:rPr>
          <w:rStyle w:val="a9"/>
          <w:rFonts w:ascii="Times New Roman" w:hAnsi="Times New Roman" w:cs="Times New Roman"/>
          <w:color w:val="auto"/>
          <w:sz w:val="28"/>
          <w:szCs w:val="28"/>
          <w:u w:val="none"/>
          <w:lang w:val="kk-KZ"/>
        </w:rPr>
        <w:t xml:space="preserve">Режим доступа: </w:t>
      </w:r>
      <w:hyperlink r:id="rId88" w:history="1">
        <w:r w:rsidRPr="003A6E5A">
          <w:rPr>
            <w:rStyle w:val="a9"/>
            <w:rFonts w:ascii="Times New Roman" w:hAnsi="Times New Roman" w:cs="Times New Roman"/>
            <w:color w:val="auto"/>
            <w:sz w:val="28"/>
            <w:szCs w:val="28"/>
            <w:u w:val="none"/>
            <w:shd w:val="clear" w:color="auto" w:fill="FFFFFF"/>
          </w:rPr>
          <w:t>https://neftegaz.ru/news/nuclear/862180-frantsuzskaya-orano-i-kazatomprom-planiruyut-zapustit-uranopererabatyvayushchiy-kompleks-/</w:t>
        </w:r>
      </w:hyperlink>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(дата обращения: 03.07.2025)</w:t>
      </w:r>
    </w:p>
    <w:p w14:paraId="0F8F30CB"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rPr>
        <w:t>Отчет о возможных воздействиях к проекту «Обустройство месторождения Кашаган. Наращивание производительности до 450 тысяч баррелей/сутки на Морском комплексе». ТОО “</w:t>
      </w:r>
      <w:r w:rsidRPr="003A6E5A">
        <w:rPr>
          <w:rFonts w:ascii="Times New Roman" w:hAnsi="Times New Roman" w:cs="Times New Roman"/>
          <w:sz w:val="28"/>
          <w:szCs w:val="28"/>
          <w:lang w:val="en-US"/>
        </w:rPr>
        <w:t>SED</w:t>
      </w:r>
      <w:r w:rsidRPr="003A6E5A">
        <w:rPr>
          <w:rFonts w:ascii="Times New Roman" w:hAnsi="Times New Roman" w:cs="Times New Roman"/>
          <w:sz w:val="28"/>
          <w:szCs w:val="28"/>
        </w:rPr>
        <w:t xml:space="preserve">”, 2025. – 950 </w:t>
      </w:r>
      <w:r w:rsidRPr="003A6E5A">
        <w:rPr>
          <w:rFonts w:ascii="Times New Roman" w:hAnsi="Times New Roman" w:cs="Times New Roman"/>
          <w:sz w:val="28"/>
          <w:szCs w:val="28"/>
          <w:lang w:val="en-US"/>
        </w:rPr>
        <w:t>c</w:t>
      </w:r>
      <w:r w:rsidRPr="003A6E5A">
        <w:rPr>
          <w:rFonts w:ascii="Times New Roman" w:hAnsi="Times New Roman" w:cs="Times New Roman"/>
          <w:sz w:val="28"/>
          <w:szCs w:val="28"/>
        </w:rPr>
        <w:t xml:space="preserve">. Электронный ресурс. </w:t>
      </w:r>
      <w:r w:rsidRPr="003A6E5A">
        <w:rPr>
          <w:rFonts w:ascii="Times New Roman" w:hAnsi="Times New Roman" w:cs="Times New Roman"/>
          <w:sz w:val="28"/>
          <w:szCs w:val="28"/>
          <w:lang w:val="kk-KZ"/>
        </w:rPr>
        <w:t xml:space="preserve">Режим доступа: </w:t>
      </w:r>
      <w:hyperlink r:id="rId89" w:history="1">
        <w:r w:rsidRPr="003A6E5A">
          <w:rPr>
            <w:rStyle w:val="a9"/>
            <w:rFonts w:ascii="Times New Roman" w:hAnsi="Times New Roman" w:cs="Times New Roman"/>
            <w:color w:val="auto"/>
            <w:sz w:val="28"/>
            <w:szCs w:val="28"/>
            <w:u w:val="none"/>
            <w:lang w:val="en-US"/>
          </w:rPr>
          <w:t>file:///C:/Users/user/Downloads/_gluster_2025_3_18_3d8fd6505a78591e9f62d430ba1574a5_original.20048653.pdf</w:t>
        </w:r>
      </w:hyperlink>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дата</w:t>
      </w:r>
      <w:r w:rsidRPr="003A6E5A">
        <w:rPr>
          <w:rFonts w:ascii="Times New Roman" w:hAnsi="Times New Roman" w:cs="Times New Roman"/>
          <w:sz w:val="28"/>
          <w:szCs w:val="28"/>
          <w:lang w:val="en-US"/>
        </w:rPr>
        <w:t xml:space="preserve"> </w:t>
      </w:r>
      <w:r w:rsidRPr="003A6E5A">
        <w:rPr>
          <w:rFonts w:ascii="Times New Roman" w:hAnsi="Times New Roman" w:cs="Times New Roman"/>
          <w:sz w:val="28"/>
          <w:szCs w:val="28"/>
        </w:rPr>
        <w:t>обращения</w:t>
      </w:r>
      <w:r w:rsidRPr="003A6E5A">
        <w:rPr>
          <w:rFonts w:ascii="Times New Roman" w:hAnsi="Times New Roman" w:cs="Times New Roman"/>
          <w:sz w:val="28"/>
          <w:szCs w:val="28"/>
          <w:lang w:val="en-US"/>
        </w:rPr>
        <w:t>: 03.10.2025)</w:t>
      </w:r>
    </w:p>
    <w:p w14:paraId="034F9093"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Основание ТОО «Lucent Petroleum». </w:t>
      </w:r>
      <w:r w:rsidRPr="003A6E5A">
        <w:rPr>
          <w:rFonts w:ascii="Times New Roman" w:hAnsi="Times New Roman" w:cs="Times New Roman"/>
          <w:sz w:val="28"/>
          <w:szCs w:val="28"/>
        </w:rPr>
        <w:t xml:space="preserve">Электронный ресурс. </w:t>
      </w:r>
      <w:r w:rsidRPr="003A6E5A">
        <w:rPr>
          <w:rFonts w:ascii="Times New Roman" w:hAnsi="Times New Roman" w:cs="Times New Roman"/>
          <w:sz w:val="28"/>
          <w:szCs w:val="28"/>
          <w:lang w:val="kk-KZ"/>
        </w:rPr>
        <w:t xml:space="preserve">Режим доступа: </w:t>
      </w:r>
      <w:hyperlink r:id="rId90" w:history="1">
        <w:r w:rsidRPr="003A6E5A">
          <w:rPr>
            <w:rStyle w:val="a9"/>
            <w:rFonts w:ascii="Times New Roman" w:hAnsi="Times New Roman" w:cs="Times New Roman"/>
            <w:color w:val="auto"/>
            <w:sz w:val="28"/>
            <w:szCs w:val="28"/>
            <w:u w:val="none"/>
            <w:lang w:val="kk-KZ"/>
          </w:rPr>
          <w:t>https://lucentpetroleum.com/ru/%d0%be-%d0%bd%d0%b0%d1%81/%d0%b8%d1%81%d1%82%d0%be%d1%80%d0%b8%d1%8f-%d1%80%d0%b0%d0%b1%d0%be%d1%82/</w:t>
        </w:r>
      </w:hyperlink>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rPr>
        <w:t>дата обращения: 03.10.2025)</w:t>
      </w:r>
    </w:p>
    <w:p w14:paraId="1E6A0D0E"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rPr>
        <w:t>Нурбосынова Ж.Н., Сутбаева Р.О., Казанбаева Ж.С., Мангибаева Д.Д. Роль иностранных инвестиций в повышении инвестиционной привлекательности регионов РК. // Қазақ экономика, қаржы және халықаралық сауда университетінің Жаршысы, 2025 ‒ №1 (58). – С.18-25.</w:t>
      </w:r>
    </w:p>
    <w:p w14:paraId="658387A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rPr>
        <w:t xml:space="preserve">Атырауская область. </w:t>
      </w:r>
      <w:r w:rsidRPr="003A6E5A">
        <w:rPr>
          <w:rFonts w:ascii="Times New Roman" w:hAnsi="Times New Roman" w:cs="Times New Roman"/>
          <w:sz w:val="28"/>
          <w:szCs w:val="28"/>
          <w:lang w:val="kk-KZ"/>
        </w:rPr>
        <w:t xml:space="preserve">Официальный сайт </w:t>
      </w:r>
      <w:r w:rsidRPr="003A6E5A">
        <w:rPr>
          <w:rFonts w:ascii="Times New Roman" w:hAnsi="Times New Roman" w:cs="Times New Roman"/>
          <w:sz w:val="28"/>
          <w:szCs w:val="28"/>
          <w:lang w:val="en-US"/>
        </w:rPr>
        <w:t>Kazakh</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Invest</w:t>
      </w:r>
      <w:r w:rsidRPr="003A6E5A">
        <w:rPr>
          <w:rFonts w:ascii="Times New Roman" w:hAnsi="Times New Roman" w:cs="Times New Roman"/>
          <w:sz w:val="28"/>
          <w:szCs w:val="28"/>
        </w:rPr>
        <w:t xml:space="preserve">. Режим доступа: </w:t>
      </w:r>
      <w:hyperlink r:id="rId91" w:history="1">
        <w:r w:rsidRPr="003A6E5A">
          <w:rPr>
            <w:rStyle w:val="a9"/>
            <w:rFonts w:ascii="Times New Roman" w:hAnsi="Times New Roman" w:cs="Times New Roman"/>
            <w:color w:val="auto"/>
            <w:sz w:val="28"/>
            <w:szCs w:val="28"/>
            <w:u w:val="none"/>
            <w:lang w:val="en-US"/>
          </w:rPr>
          <w:t>https</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atyrau</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invest</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gov</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kz</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ru</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doing</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business</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here</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intro</w:t>
        </w:r>
        <w:r w:rsidRPr="003A6E5A">
          <w:rPr>
            <w:rStyle w:val="a9"/>
            <w:rFonts w:ascii="Times New Roman" w:hAnsi="Times New Roman" w:cs="Times New Roman"/>
            <w:color w:val="auto"/>
            <w:sz w:val="28"/>
            <w:szCs w:val="28"/>
            <w:u w:val="none"/>
          </w:rPr>
          <w:t>/</w:t>
        </w:r>
      </w:hyperlink>
      <w:r w:rsidRPr="003A6E5A">
        <w:rPr>
          <w:rFonts w:ascii="Times New Roman" w:hAnsi="Times New Roman" w:cs="Times New Roman"/>
          <w:sz w:val="28"/>
          <w:szCs w:val="28"/>
        </w:rPr>
        <w:t xml:space="preserve"> (дата обращения: 03.07.2025)</w:t>
      </w:r>
    </w:p>
    <w:p w14:paraId="01F84A5F"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SimSun" w:hAnsi="Times New Roman" w:cs="Times New Roman"/>
          <w:kern w:val="44"/>
          <w:sz w:val="28"/>
          <w:szCs w:val="28"/>
          <w:lang w:val="kk-KZ" w:eastAsia="zh-CN"/>
        </w:rPr>
        <w:t xml:space="preserve">О Концепции по переходу Республики Казахстан к </w:t>
      </w:r>
      <w:r w:rsidRPr="003A6E5A">
        <w:rPr>
          <w:rFonts w:ascii="Times New Roman" w:eastAsia="SimSun" w:hAnsi="Times New Roman" w:cs="Times New Roman"/>
          <w:kern w:val="44"/>
          <w:sz w:val="28"/>
          <w:szCs w:val="28"/>
          <w:lang w:eastAsia="zh-CN"/>
        </w:rPr>
        <w:t>“</w:t>
      </w:r>
      <w:r w:rsidRPr="003A6E5A">
        <w:rPr>
          <w:rFonts w:ascii="Times New Roman" w:eastAsia="SimSun" w:hAnsi="Times New Roman" w:cs="Times New Roman"/>
          <w:kern w:val="44"/>
          <w:sz w:val="28"/>
          <w:szCs w:val="28"/>
          <w:lang w:val="kk-KZ" w:eastAsia="zh-CN"/>
        </w:rPr>
        <w:t>зеленой экономике</w:t>
      </w:r>
      <w:r w:rsidRPr="003A6E5A">
        <w:rPr>
          <w:rFonts w:ascii="Times New Roman" w:eastAsia="SimSun" w:hAnsi="Times New Roman" w:cs="Times New Roman"/>
          <w:kern w:val="44"/>
          <w:sz w:val="28"/>
          <w:szCs w:val="28"/>
          <w:lang w:eastAsia="zh-CN"/>
        </w:rPr>
        <w:t xml:space="preserve">” </w:t>
      </w:r>
      <w:r w:rsidRPr="003A6E5A">
        <w:rPr>
          <w:rFonts w:ascii="Times New Roman" w:eastAsia="SimSun" w:hAnsi="Times New Roman" w:cs="Times New Roman"/>
          <w:kern w:val="44"/>
          <w:sz w:val="28"/>
          <w:szCs w:val="28"/>
          <w:lang w:val="kk-KZ" w:eastAsia="zh-CN"/>
        </w:rPr>
        <w:t>Указ Президента Республики Казахстан от 30 мая 2013 года № 577</w:t>
      </w:r>
      <w:r w:rsidRPr="003A6E5A">
        <w:rPr>
          <w:rFonts w:ascii="Times New Roman" w:eastAsia="SimSun" w:hAnsi="Times New Roman" w:cs="Times New Roman"/>
          <w:kern w:val="44"/>
          <w:sz w:val="28"/>
          <w:szCs w:val="28"/>
          <w:lang w:eastAsia="zh-CN"/>
        </w:rPr>
        <w:t xml:space="preserve">. Электронный ресурс. Режим доступа: </w:t>
      </w:r>
      <w:hyperlink r:id="rId92" w:history="1">
        <w:r w:rsidRPr="003A6E5A">
          <w:rPr>
            <w:rStyle w:val="a9"/>
            <w:rFonts w:ascii="Times New Roman" w:eastAsia="SimSun" w:hAnsi="Times New Roman" w:cs="Times New Roman"/>
            <w:color w:val="auto"/>
            <w:kern w:val="44"/>
            <w:sz w:val="28"/>
            <w:szCs w:val="28"/>
            <w:u w:val="none"/>
            <w:lang w:eastAsia="zh-CN"/>
          </w:rPr>
          <w:t>https://adilet.zan.kz/rus/docs/U1300000577</w:t>
        </w:r>
      </w:hyperlink>
      <w:r w:rsidRPr="003A6E5A">
        <w:rPr>
          <w:rFonts w:ascii="Times New Roman" w:eastAsia="SimSun" w:hAnsi="Times New Roman" w:cs="Times New Roman"/>
          <w:kern w:val="44"/>
          <w:sz w:val="28"/>
          <w:szCs w:val="28"/>
          <w:lang w:eastAsia="zh-CN"/>
        </w:rPr>
        <w:t xml:space="preserve"> </w:t>
      </w:r>
      <w:r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 xml:space="preserve">дата обращения: </w:t>
      </w:r>
      <w:r w:rsidRPr="003A6E5A">
        <w:rPr>
          <w:rFonts w:ascii="Times New Roman" w:eastAsia="Times New Roman" w:hAnsi="Times New Roman" w:cs="Times New Roman"/>
          <w:sz w:val="28"/>
          <w:szCs w:val="28"/>
          <w:lang w:eastAsia="ru-RU"/>
        </w:rPr>
        <w:t>06.07.2025)</w:t>
      </w:r>
    </w:p>
    <w:p w14:paraId="2D49C82C"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Шеврон в Казахстане. </w:t>
      </w:r>
      <w:r w:rsidRPr="003A6E5A">
        <w:rPr>
          <w:rFonts w:ascii="Times New Roman" w:eastAsia="SimSun" w:hAnsi="Times New Roman" w:cs="Times New Roman"/>
          <w:kern w:val="44"/>
          <w:sz w:val="28"/>
          <w:szCs w:val="28"/>
          <w:lang w:eastAsia="zh-CN"/>
        </w:rPr>
        <w:t xml:space="preserve">Электронный ресурс. Режим доступа: </w:t>
      </w:r>
      <w:hyperlink r:id="rId93" w:history="1">
        <w:r w:rsidRPr="003A6E5A">
          <w:rPr>
            <w:rStyle w:val="a9"/>
            <w:rFonts w:ascii="Times New Roman" w:hAnsi="Times New Roman" w:cs="Times New Roman"/>
            <w:color w:val="auto"/>
            <w:sz w:val="28"/>
            <w:szCs w:val="28"/>
            <w:u w:val="none"/>
            <w:lang w:val="kk-KZ"/>
          </w:rPr>
          <w:t>https://fic.kz/ru/kfica/members/9</w:t>
        </w:r>
      </w:hyperlink>
      <w:r w:rsidRPr="003A6E5A">
        <w:rPr>
          <w:rFonts w:ascii="Times New Roman" w:hAnsi="Times New Roman" w:cs="Times New Roman"/>
          <w:sz w:val="28"/>
          <w:szCs w:val="28"/>
          <w:lang w:val="kk-KZ"/>
        </w:rPr>
        <w:t xml:space="preserve"> </w:t>
      </w:r>
      <w:r w:rsidRPr="003A6E5A">
        <w:rPr>
          <w:rFonts w:ascii="Times New Roman" w:eastAsia="Times New Roman" w:hAnsi="Times New Roman" w:cs="Times New Roman"/>
          <w:sz w:val="28"/>
          <w:szCs w:val="28"/>
          <w:lang w:eastAsia="ru-RU"/>
        </w:rPr>
        <w:t>(</w:t>
      </w:r>
      <w:r w:rsidRPr="003A6E5A">
        <w:rPr>
          <w:rFonts w:ascii="Times New Roman" w:eastAsia="Times New Roman" w:hAnsi="Times New Roman" w:cs="Times New Roman"/>
          <w:sz w:val="28"/>
          <w:szCs w:val="28"/>
          <w:lang w:val="kk-KZ" w:eastAsia="ru-RU"/>
        </w:rPr>
        <w:t xml:space="preserve">дата обращения: </w:t>
      </w:r>
      <w:r w:rsidRPr="003A6E5A">
        <w:rPr>
          <w:rFonts w:ascii="Times New Roman" w:eastAsia="Times New Roman" w:hAnsi="Times New Roman" w:cs="Times New Roman"/>
          <w:sz w:val="28"/>
          <w:szCs w:val="28"/>
          <w:lang w:eastAsia="ru-RU"/>
        </w:rPr>
        <w:t>06.07.2025)</w:t>
      </w:r>
    </w:p>
    <w:p w14:paraId="0291198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SimSun" w:hAnsi="Times New Roman" w:cs="Times New Roman"/>
          <w:sz w:val="28"/>
          <w:szCs w:val="28"/>
          <w:shd w:val="clear" w:color="auto" w:fill="FFFFFF"/>
          <w:lang w:val="en-US"/>
        </w:rPr>
        <w:t xml:space="preserve">Brown D.P., Sappington D.E.M. Vertical integration and capacity investment in the electricity sector // Journal of Economics &amp; Management Strategy. – 2022. – </w:t>
      </w:r>
      <w:r w:rsidRPr="003A6E5A">
        <w:rPr>
          <w:rFonts w:ascii="Times New Roman" w:eastAsia="SimSun" w:hAnsi="Times New Roman" w:cs="Times New Roman"/>
          <w:sz w:val="28"/>
          <w:szCs w:val="28"/>
          <w:shd w:val="clear" w:color="auto" w:fill="FFFFFF"/>
        </w:rPr>
        <w:t>Т</w:t>
      </w:r>
      <w:r w:rsidRPr="003A6E5A">
        <w:rPr>
          <w:rFonts w:ascii="Times New Roman" w:eastAsia="SimSun" w:hAnsi="Times New Roman" w:cs="Times New Roman"/>
          <w:sz w:val="28"/>
          <w:szCs w:val="28"/>
          <w:shd w:val="clear" w:color="auto" w:fill="FFFFFF"/>
          <w:lang w:val="en-US"/>
        </w:rPr>
        <w:t xml:space="preserve">. 31. – №. 1. – </w:t>
      </w:r>
      <w:r w:rsidRPr="003A6E5A">
        <w:rPr>
          <w:rFonts w:ascii="Times New Roman" w:eastAsia="SimSun" w:hAnsi="Times New Roman" w:cs="Times New Roman"/>
          <w:sz w:val="28"/>
          <w:szCs w:val="28"/>
          <w:shd w:val="clear" w:color="auto" w:fill="FFFFFF"/>
        </w:rPr>
        <w:t>С</w:t>
      </w:r>
      <w:r w:rsidRPr="003A6E5A">
        <w:rPr>
          <w:rFonts w:ascii="Times New Roman" w:eastAsia="SimSun" w:hAnsi="Times New Roman" w:cs="Times New Roman"/>
          <w:sz w:val="28"/>
          <w:szCs w:val="28"/>
          <w:shd w:val="clear" w:color="auto" w:fill="FFFFFF"/>
          <w:lang w:val="en-US"/>
        </w:rPr>
        <w:t>. 193-226.</w:t>
      </w:r>
    </w:p>
    <w:p w14:paraId="138D1CD9"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Меры государственной поддержки</w:t>
      </w:r>
      <w:r w:rsidRPr="003A6E5A">
        <w:rPr>
          <w:rFonts w:ascii="Times New Roman" w:hAnsi="Times New Roman" w:cs="Times New Roman"/>
          <w:sz w:val="28"/>
          <w:szCs w:val="28"/>
        </w:rPr>
        <w:t xml:space="preserve">. Официальный сайт Kazakh Invest. Режим доступа: </w:t>
      </w:r>
      <w:hyperlink r:id="rId94" w:history="1">
        <w:r w:rsidRPr="003A6E5A">
          <w:rPr>
            <w:rStyle w:val="a9"/>
            <w:rFonts w:ascii="Times New Roman" w:hAnsi="Times New Roman" w:cs="Times New Roman"/>
            <w:color w:val="auto"/>
            <w:sz w:val="28"/>
            <w:szCs w:val="28"/>
            <w:u w:val="none"/>
          </w:rPr>
          <w:t>https://invest.gov.kz/ru/invest-guide/support/</w:t>
        </w:r>
      </w:hyperlink>
      <w:r w:rsidRPr="003A6E5A">
        <w:rPr>
          <w:rFonts w:ascii="Times New Roman" w:hAnsi="Times New Roman" w:cs="Times New Roman"/>
          <w:sz w:val="28"/>
          <w:szCs w:val="28"/>
        </w:rPr>
        <w:t xml:space="preserve"> (дата обращения: 03.07.2025)</w:t>
      </w:r>
    </w:p>
    <w:p w14:paraId="27986B4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shd w:val="clear" w:color="auto" w:fill="FFFFFF"/>
          <w:lang w:val="en-US"/>
        </w:rPr>
        <w:t>Foray D. et al. Guide to research and innovation strategies for smart specialisations. – 2012. – 126 p.</w:t>
      </w:r>
    </w:p>
    <w:p w14:paraId="1D586759" w14:textId="77777777" w:rsidR="00C96643" w:rsidRPr="003A6E5A" w:rsidRDefault="00C96643" w:rsidP="00C96643">
      <w:pPr>
        <w:pStyle w:val="ae"/>
        <w:numPr>
          <w:ilvl w:val="0"/>
          <w:numId w:val="4"/>
        </w:numPr>
        <w:spacing w:after="0" w:line="240" w:lineRule="auto"/>
        <w:ind w:left="0" w:firstLine="720"/>
        <w:jc w:val="both"/>
        <w:outlineLvl w:val="1"/>
        <w:rPr>
          <w:rFonts w:ascii="Times New Roman" w:eastAsia="Times New Roman" w:hAnsi="Times New Roman" w:cs="Times New Roman"/>
          <w:sz w:val="28"/>
          <w:szCs w:val="28"/>
          <w:lang w:val="en-US"/>
        </w:rPr>
      </w:pPr>
      <w:r w:rsidRPr="003A6E5A">
        <w:rPr>
          <w:rFonts w:ascii="Times New Roman" w:eastAsia="Times New Roman" w:hAnsi="Times New Roman" w:cs="Times New Roman"/>
          <w:sz w:val="28"/>
          <w:szCs w:val="28"/>
          <w:lang w:val="en-US"/>
        </w:rPr>
        <w:t xml:space="preserve">What is the New European Innovation Agenda? </w:t>
      </w:r>
      <w:hyperlink r:id="rId95" w:history="1">
        <w:r w:rsidRPr="003A6E5A">
          <w:rPr>
            <w:rStyle w:val="a9"/>
            <w:rFonts w:ascii="Times New Roman" w:eastAsia="Times New Roman" w:hAnsi="Times New Roman" w:cs="Times New Roman"/>
            <w:color w:val="auto"/>
            <w:sz w:val="28"/>
            <w:szCs w:val="28"/>
            <w:u w:val="none"/>
            <w:lang w:val="en-US"/>
          </w:rPr>
          <w:t>https://research-and-innovation.ec.europa.eu/strategy/support-policy-making/shaping-eu-research-and-innovation-policy/new-european-innovation-agenda_en</w:t>
        </w:r>
      </w:hyperlink>
      <w:r w:rsidRPr="003A6E5A">
        <w:rPr>
          <w:rFonts w:ascii="Times New Roman" w:eastAsia="Times New Roman" w:hAnsi="Times New Roman" w:cs="Times New Roman"/>
          <w:sz w:val="28"/>
          <w:szCs w:val="28"/>
          <w:lang w:val="en-US"/>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63819207" w14:textId="77777777" w:rsidR="00C96643" w:rsidRPr="003A6E5A" w:rsidRDefault="00C96643" w:rsidP="00C96643">
      <w:pPr>
        <w:pStyle w:val="ae"/>
        <w:numPr>
          <w:ilvl w:val="0"/>
          <w:numId w:val="4"/>
        </w:numPr>
        <w:spacing w:after="0" w:line="240" w:lineRule="auto"/>
        <w:ind w:left="0" w:firstLine="720"/>
        <w:jc w:val="both"/>
        <w:outlineLvl w:val="1"/>
        <w:rPr>
          <w:rFonts w:ascii="Times New Roman" w:eastAsia="Times New Roman" w:hAnsi="Times New Roman" w:cs="Times New Roman"/>
          <w:sz w:val="28"/>
          <w:szCs w:val="28"/>
        </w:rPr>
      </w:pPr>
      <w:r w:rsidRPr="003A6E5A">
        <w:rPr>
          <w:rFonts w:ascii="Times New Roman" w:hAnsi="Times New Roman" w:cs="Times New Roman"/>
          <w:sz w:val="28"/>
          <w:szCs w:val="28"/>
        </w:rPr>
        <w:t xml:space="preserve">Инвестиции в сердце Евразии: какие факторы влияли на привлекательность Казахстана в 2024 году? Февраль 2025 года. – С. 23. Электронный ресурс. Режим доступа: </w:t>
      </w:r>
      <w:hyperlink r:id="rId96" w:tgtFrame="_new" w:history="1">
        <w:r w:rsidRPr="003A6E5A">
          <w:rPr>
            <w:rStyle w:val="a9"/>
            <w:rFonts w:ascii="Times New Roman" w:hAnsi="Times New Roman" w:cs="Times New Roman"/>
            <w:color w:val="auto"/>
            <w:sz w:val="28"/>
            <w:szCs w:val="28"/>
            <w:u w:val="none"/>
            <w:lang w:val="en-US"/>
          </w:rPr>
          <w:t>https</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www</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ey</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com</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content</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dam</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ey</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unified</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site</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ey</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com</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ru</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kz</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newsroom</w:t>
        </w:r>
        <w:r w:rsidRPr="003A6E5A">
          <w:rPr>
            <w:rStyle w:val="a9"/>
            <w:rFonts w:ascii="Times New Roman" w:hAnsi="Times New Roman" w:cs="Times New Roman"/>
            <w:color w:val="auto"/>
            <w:sz w:val="28"/>
            <w:szCs w:val="28"/>
            <w:u w:val="none"/>
          </w:rPr>
          <w:t>/2025/</w:t>
        </w:r>
        <w:r w:rsidRPr="003A6E5A">
          <w:rPr>
            <w:rStyle w:val="a9"/>
            <w:rFonts w:ascii="Times New Roman" w:hAnsi="Times New Roman" w:cs="Times New Roman"/>
            <w:color w:val="auto"/>
            <w:sz w:val="28"/>
            <w:szCs w:val="28"/>
            <w:u w:val="none"/>
            <w:lang w:val="en-US"/>
          </w:rPr>
          <w:t>ey</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kazakhstan</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investment</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attractiveness</w:t>
        </w:r>
        <w:r w:rsidRPr="003A6E5A">
          <w:rPr>
            <w:rStyle w:val="a9"/>
            <w:rFonts w:ascii="Times New Roman" w:hAnsi="Times New Roman" w:cs="Times New Roman"/>
            <w:color w:val="auto"/>
            <w:sz w:val="28"/>
            <w:szCs w:val="28"/>
            <w:u w:val="none"/>
          </w:rPr>
          <w:t>-</w:t>
        </w:r>
        <w:r w:rsidRPr="003A6E5A">
          <w:rPr>
            <w:rStyle w:val="a9"/>
            <w:rFonts w:ascii="Times New Roman" w:hAnsi="Times New Roman" w:cs="Times New Roman"/>
            <w:color w:val="auto"/>
            <w:sz w:val="28"/>
            <w:szCs w:val="28"/>
            <w:u w:val="none"/>
            <w:lang w:val="en-US"/>
          </w:rPr>
          <w:t>survey</w:t>
        </w:r>
        <w:r w:rsidRPr="003A6E5A">
          <w:rPr>
            <w:rStyle w:val="a9"/>
            <w:rFonts w:ascii="Times New Roman" w:hAnsi="Times New Roman" w:cs="Times New Roman"/>
            <w:color w:val="auto"/>
            <w:sz w:val="28"/>
            <w:szCs w:val="28"/>
            <w:u w:val="none"/>
          </w:rPr>
          <w:t>-2024.</w:t>
        </w:r>
        <w:r w:rsidRPr="003A6E5A">
          <w:rPr>
            <w:rStyle w:val="a9"/>
            <w:rFonts w:ascii="Times New Roman" w:hAnsi="Times New Roman" w:cs="Times New Roman"/>
            <w:color w:val="auto"/>
            <w:sz w:val="28"/>
            <w:szCs w:val="28"/>
            <w:u w:val="none"/>
            <w:lang w:val="en-US"/>
          </w:rPr>
          <w:t>pdf</w:t>
        </w:r>
      </w:hyperlink>
      <w:r w:rsidRPr="003A6E5A">
        <w:rPr>
          <w:rFonts w:ascii="Times New Roman" w:hAnsi="Times New Roman" w:cs="Times New Roman"/>
          <w:sz w:val="28"/>
          <w:szCs w:val="28"/>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rPr>
        <w:t>дата обращения: 09.06.2025</w:t>
      </w:r>
      <w:r w:rsidRPr="003A6E5A">
        <w:rPr>
          <w:rStyle w:val="a9"/>
          <w:rFonts w:ascii="Times New Roman" w:hAnsi="Times New Roman" w:cs="Times New Roman"/>
          <w:color w:val="auto"/>
          <w:sz w:val="28"/>
          <w:szCs w:val="28"/>
          <w:u w:val="none"/>
          <w:lang w:val="kk-KZ"/>
        </w:rPr>
        <w:t>)</w:t>
      </w:r>
    </w:p>
    <w:p w14:paraId="7CCC086E" w14:textId="77777777" w:rsidR="00C96643" w:rsidRPr="003A6E5A" w:rsidRDefault="00C96643" w:rsidP="00C96643">
      <w:pPr>
        <w:pStyle w:val="ae"/>
        <w:numPr>
          <w:ilvl w:val="0"/>
          <w:numId w:val="4"/>
        </w:numPr>
        <w:spacing w:after="0" w:line="240" w:lineRule="auto"/>
        <w:ind w:left="0" w:firstLine="720"/>
        <w:jc w:val="both"/>
        <w:outlineLvl w:val="1"/>
        <w:rPr>
          <w:rFonts w:ascii="Times New Roman" w:eastAsia="Times New Roman" w:hAnsi="Times New Roman" w:cs="Times New Roman"/>
          <w:sz w:val="28"/>
          <w:szCs w:val="28"/>
          <w:lang w:val="en-US"/>
        </w:rPr>
      </w:pPr>
      <w:r w:rsidRPr="003A6E5A">
        <w:rPr>
          <w:rFonts w:ascii="Times New Roman" w:hAnsi="Times New Roman" w:cs="Times New Roman"/>
          <w:sz w:val="28"/>
          <w:szCs w:val="28"/>
          <w:lang w:val="en-US"/>
        </w:rPr>
        <w:t xml:space="preserve">Otarbayeva A.B. et al. </w:t>
      </w:r>
      <w:r w:rsidRPr="003A6E5A">
        <w:rPr>
          <w:rStyle w:val="a3"/>
          <w:rFonts w:ascii="Times New Roman" w:hAnsi="Times New Roman" w:cs="Times New Roman"/>
          <w:i w:val="0"/>
          <w:sz w:val="28"/>
          <w:szCs w:val="28"/>
          <w:lang w:val="en-US"/>
        </w:rPr>
        <w:t>Investment cooperation as a digital economy development method for the Republic of Kazakhstan and the EU</w:t>
      </w:r>
      <w:r w:rsidRPr="003A6E5A">
        <w:rPr>
          <w:rFonts w:ascii="Times New Roman" w:hAnsi="Times New Roman" w:cs="Times New Roman"/>
          <w:sz w:val="28"/>
          <w:szCs w:val="28"/>
          <w:lang w:val="en-US"/>
        </w:rPr>
        <w:t xml:space="preserve"> // </w:t>
      </w:r>
      <w:r w:rsidRPr="003A6E5A">
        <w:rPr>
          <w:rStyle w:val="a3"/>
          <w:rFonts w:ascii="Times New Roman" w:hAnsi="Times New Roman" w:cs="Times New Roman"/>
          <w:i w:val="0"/>
          <w:sz w:val="28"/>
          <w:szCs w:val="28"/>
          <w:lang w:val="en-US"/>
        </w:rPr>
        <w:t>World Development Perspectives</w:t>
      </w:r>
      <w:r w:rsidRPr="003A6E5A">
        <w:rPr>
          <w:rFonts w:ascii="Times New Roman" w:hAnsi="Times New Roman" w:cs="Times New Roman"/>
          <w:sz w:val="28"/>
          <w:szCs w:val="28"/>
          <w:lang w:val="en-US"/>
        </w:rPr>
        <w:t xml:space="preserve">. – 2024. – </w:t>
      </w:r>
      <w:r w:rsidRPr="003A6E5A">
        <w:rPr>
          <w:rFonts w:ascii="Times New Roman" w:hAnsi="Times New Roman" w:cs="Times New Roman"/>
          <w:sz w:val="28"/>
          <w:szCs w:val="28"/>
        </w:rPr>
        <w:t>Т</w:t>
      </w:r>
      <w:r w:rsidRPr="003A6E5A">
        <w:rPr>
          <w:rFonts w:ascii="Times New Roman" w:hAnsi="Times New Roman" w:cs="Times New Roman"/>
          <w:sz w:val="28"/>
          <w:szCs w:val="28"/>
          <w:lang w:val="en-US"/>
        </w:rPr>
        <w:t>. 36. – P. 100636.</w:t>
      </w:r>
    </w:p>
    <w:p w14:paraId="3A6C67C3" w14:textId="77777777" w:rsidR="00C96643" w:rsidRPr="003A6E5A" w:rsidRDefault="00C96643" w:rsidP="00C96643">
      <w:pPr>
        <w:pStyle w:val="ae"/>
        <w:numPr>
          <w:ilvl w:val="0"/>
          <w:numId w:val="4"/>
        </w:numPr>
        <w:spacing w:after="0" w:line="240" w:lineRule="auto"/>
        <w:ind w:left="0" w:firstLine="720"/>
        <w:jc w:val="both"/>
        <w:outlineLvl w:val="1"/>
        <w:rPr>
          <w:rFonts w:ascii="Times New Roman" w:eastAsia="Times New Roman" w:hAnsi="Times New Roman" w:cs="Times New Roman"/>
          <w:sz w:val="28"/>
          <w:szCs w:val="28"/>
        </w:rPr>
      </w:pPr>
      <w:r w:rsidRPr="003A6E5A">
        <w:rPr>
          <w:rFonts w:ascii="Times New Roman" w:hAnsi="Times New Roman" w:cs="Times New Roman"/>
          <w:sz w:val="28"/>
          <w:szCs w:val="28"/>
        </w:rPr>
        <w:t xml:space="preserve">Отарбаева А.Б., Арупов А.А., Абайдуллаева М.М. </w:t>
      </w:r>
      <w:r w:rsidRPr="003A6E5A">
        <w:rPr>
          <w:rStyle w:val="a3"/>
          <w:rFonts w:ascii="Times New Roman" w:hAnsi="Times New Roman" w:cs="Times New Roman"/>
          <w:i w:val="0"/>
          <w:sz w:val="28"/>
          <w:szCs w:val="28"/>
        </w:rPr>
        <w:t>Иностранные инвесторы и инвестиционная привлекательность в сфере цифровой экономики в постсоветских государствах</w:t>
      </w:r>
      <w:r w:rsidRPr="003A6E5A">
        <w:rPr>
          <w:rFonts w:ascii="Times New Roman" w:hAnsi="Times New Roman" w:cs="Times New Roman"/>
          <w:sz w:val="28"/>
          <w:szCs w:val="28"/>
        </w:rPr>
        <w:t xml:space="preserve"> // </w:t>
      </w:r>
      <w:r w:rsidRPr="003A6E5A">
        <w:rPr>
          <w:rStyle w:val="a3"/>
          <w:rFonts w:ascii="Times New Roman" w:hAnsi="Times New Roman" w:cs="Times New Roman"/>
          <w:i w:val="0"/>
          <w:sz w:val="28"/>
          <w:szCs w:val="28"/>
        </w:rPr>
        <w:t>Вестник университета «Туран»</w:t>
      </w:r>
      <w:r w:rsidRPr="003A6E5A">
        <w:rPr>
          <w:rFonts w:ascii="Times New Roman" w:hAnsi="Times New Roman" w:cs="Times New Roman"/>
          <w:sz w:val="28"/>
          <w:szCs w:val="28"/>
        </w:rPr>
        <w:t>. – 2020. – № 4. – С. 165-172.</w:t>
      </w:r>
    </w:p>
    <w:p w14:paraId="6BD56ACB" w14:textId="77777777" w:rsidR="00C96643" w:rsidRPr="003A6E5A" w:rsidRDefault="00C96643" w:rsidP="00C96643">
      <w:pPr>
        <w:pStyle w:val="ae"/>
        <w:numPr>
          <w:ilvl w:val="0"/>
          <w:numId w:val="4"/>
        </w:numPr>
        <w:shd w:val="clear" w:color="auto" w:fill="FFFFFF"/>
        <w:spacing w:after="0" w:line="240" w:lineRule="auto"/>
        <w:ind w:left="0" w:firstLine="720"/>
        <w:jc w:val="both"/>
        <w:outlineLvl w:val="0"/>
        <w:rPr>
          <w:rFonts w:ascii="Times New Roman" w:eastAsia="Times New Roman" w:hAnsi="Times New Roman" w:cs="Times New Roman"/>
          <w:kern w:val="36"/>
          <w:sz w:val="28"/>
          <w:szCs w:val="28"/>
        </w:rPr>
      </w:pPr>
      <w:r w:rsidRPr="003A6E5A">
        <w:rPr>
          <w:rFonts w:ascii="Times New Roman" w:eastAsia="Times New Roman" w:hAnsi="Times New Roman" w:cs="Times New Roman"/>
          <w:kern w:val="36"/>
          <w:sz w:val="28"/>
          <w:szCs w:val="28"/>
        </w:rPr>
        <w:t xml:space="preserve">Казахстан в разы отстает от развитых стран по доле НИОКР в ВВП – сенатор. Электронный ресурс. Режим доступа. </w:t>
      </w:r>
      <w:hyperlink r:id="rId97" w:history="1">
        <w:r w:rsidRPr="003A6E5A">
          <w:rPr>
            <w:rStyle w:val="a9"/>
            <w:rFonts w:ascii="Times New Roman" w:hAnsi="Times New Roman" w:cs="Times New Roman"/>
            <w:color w:val="auto"/>
            <w:sz w:val="28"/>
            <w:szCs w:val="28"/>
            <w:u w:val="none"/>
          </w:rPr>
          <w:t>https://kaztag.kz/en/news/kazakhstan-v-razy-otstaet-ot-razvitykh-stran-po-dole-niokr-v-vvp-senator</w:t>
        </w:r>
      </w:hyperlink>
      <w:r w:rsidRPr="003A6E5A">
        <w:rPr>
          <w:rFonts w:ascii="Times New Roman" w:hAnsi="Times New Roman" w:cs="Times New Roman"/>
          <w:sz w:val="28"/>
          <w:szCs w:val="28"/>
        </w:rPr>
        <w:t xml:space="preserve"> (дата обращения: 15.10.2025)</w:t>
      </w:r>
    </w:p>
    <w:p w14:paraId="756EEE78"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eastAsia="Times New Roman" w:hAnsi="Times New Roman" w:cs="Times New Roman"/>
          <w:sz w:val="28"/>
          <w:szCs w:val="28"/>
          <w:lang w:eastAsia="ru-RU"/>
        </w:rPr>
        <w:t xml:space="preserve">Затраты на исследования и разработки в процентах от ВВП, %. </w:t>
      </w:r>
      <w:r w:rsidRPr="003A6E5A">
        <w:rPr>
          <w:rFonts w:ascii="Times New Roman" w:eastAsia="Times New Roman" w:hAnsi="Times New Roman" w:cs="Times New Roman"/>
          <w:sz w:val="28"/>
          <w:szCs w:val="28"/>
          <w:lang w:val="kk-KZ" w:eastAsia="ru-RU"/>
        </w:rPr>
        <w:t>Официальный сайт</w:t>
      </w: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en-US" w:eastAsia="ru-RU"/>
        </w:rPr>
        <w:t>UNECE</w:t>
      </w:r>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Режим доступа</w:t>
      </w:r>
      <w:r w:rsidRPr="003A6E5A">
        <w:rPr>
          <w:rFonts w:ascii="Times New Roman" w:eastAsia="Times New Roman" w:hAnsi="Times New Roman" w:cs="Times New Roman"/>
          <w:sz w:val="28"/>
          <w:szCs w:val="28"/>
          <w:lang w:eastAsia="ru-RU"/>
        </w:rPr>
        <w:t xml:space="preserve">: </w:t>
      </w:r>
      <w:hyperlink r:id="rId98" w:history="1">
        <w:r w:rsidRPr="003A6E5A">
          <w:rPr>
            <w:rStyle w:val="a9"/>
            <w:rFonts w:ascii="Times New Roman" w:eastAsia="Times New Roman" w:hAnsi="Times New Roman" w:cs="Times New Roman"/>
            <w:color w:val="auto"/>
            <w:sz w:val="28"/>
            <w:szCs w:val="28"/>
            <w:u w:val="none"/>
            <w:lang w:val="en-US" w:eastAsia="ru-RU"/>
          </w:rPr>
          <w:t>https</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w</w:t>
        </w:r>
        <w:r w:rsidRPr="003A6E5A">
          <w:rPr>
            <w:rStyle w:val="a9"/>
            <w:rFonts w:ascii="Times New Roman" w:eastAsia="Times New Roman" w:hAnsi="Times New Roman" w:cs="Times New Roman"/>
            <w:color w:val="auto"/>
            <w:sz w:val="28"/>
            <w:szCs w:val="28"/>
            <w:u w:val="none"/>
            <w:lang w:eastAsia="ru-RU"/>
          </w:rPr>
          <w:t>3.</w:t>
        </w:r>
        <w:r w:rsidRPr="003A6E5A">
          <w:rPr>
            <w:rStyle w:val="a9"/>
            <w:rFonts w:ascii="Times New Roman" w:eastAsia="Times New Roman" w:hAnsi="Times New Roman" w:cs="Times New Roman"/>
            <w:color w:val="auto"/>
            <w:sz w:val="28"/>
            <w:szCs w:val="28"/>
            <w:u w:val="none"/>
            <w:lang w:val="en-US" w:eastAsia="ru-RU"/>
          </w:rPr>
          <w:t>unece</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org</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SDG</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ru</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Indicator</w:t>
        </w:r>
        <w:r w:rsidRPr="003A6E5A">
          <w:rPr>
            <w:rStyle w:val="a9"/>
            <w:rFonts w:ascii="Times New Roman" w:eastAsia="Times New Roman" w:hAnsi="Times New Roman" w:cs="Times New Roman"/>
            <w:color w:val="auto"/>
            <w:sz w:val="28"/>
            <w:szCs w:val="28"/>
            <w:u w:val="none"/>
            <w:lang w:eastAsia="ru-RU"/>
          </w:rPr>
          <w:t>?</w:t>
        </w:r>
        <w:r w:rsidRPr="003A6E5A">
          <w:rPr>
            <w:rStyle w:val="a9"/>
            <w:rFonts w:ascii="Times New Roman" w:eastAsia="Times New Roman" w:hAnsi="Times New Roman" w:cs="Times New Roman"/>
            <w:color w:val="auto"/>
            <w:sz w:val="28"/>
            <w:szCs w:val="28"/>
            <w:u w:val="none"/>
            <w:lang w:val="en-US" w:eastAsia="ru-RU"/>
          </w:rPr>
          <w:t>id</w:t>
        </w:r>
        <w:r w:rsidRPr="003A6E5A">
          <w:rPr>
            <w:rStyle w:val="a9"/>
            <w:rFonts w:ascii="Times New Roman" w:eastAsia="Times New Roman" w:hAnsi="Times New Roman" w:cs="Times New Roman"/>
            <w:color w:val="auto"/>
            <w:sz w:val="28"/>
            <w:szCs w:val="28"/>
            <w:u w:val="none"/>
            <w:lang w:eastAsia="ru-RU"/>
          </w:rPr>
          <w:t>=123</w:t>
        </w:r>
      </w:hyperlink>
      <w:r w:rsidRPr="003A6E5A">
        <w:rPr>
          <w:rFonts w:ascii="Times New Roman" w:eastAsia="Times New Roman" w:hAnsi="Times New Roman" w:cs="Times New Roman"/>
          <w:sz w:val="28"/>
          <w:szCs w:val="28"/>
          <w:lang w:eastAsia="ru-RU"/>
        </w:rPr>
        <w:t xml:space="preserve"> (</w:t>
      </w:r>
      <w:r w:rsidRPr="003A6E5A">
        <w:rPr>
          <w:rFonts w:ascii="Times New Roman" w:eastAsia="Times New Roman" w:hAnsi="Times New Roman" w:cs="Times New Roman"/>
          <w:sz w:val="28"/>
          <w:szCs w:val="28"/>
          <w:lang w:val="kk-KZ" w:eastAsia="ru-RU"/>
        </w:rPr>
        <w:t xml:space="preserve">дата обращения: </w:t>
      </w:r>
      <w:r w:rsidRPr="003A6E5A">
        <w:rPr>
          <w:rFonts w:ascii="Times New Roman" w:eastAsia="Times New Roman" w:hAnsi="Times New Roman" w:cs="Times New Roman"/>
          <w:sz w:val="28"/>
          <w:szCs w:val="28"/>
          <w:lang w:eastAsia="ru-RU"/>
        </w:rPr>
        <w:t>06.07.2025)</w:t>
      </w:r>
    </w:p>
    <w:p w14:paraId="3BBF7432" w14:textId="77777777" w:rsidR="00C96643" w:rsidRPr="003A6E5A" w:rsidRDefault="00C96643" w:rsidP="00C96643">
      <w:pPr>
        <w:pStyle w:val="ae"/>
        <w:numPr>
          <w:ilvl w:val="0"/>
          <w:numId w:val="4"/>
        </w:numPr>
        <w:spacing w:after="0" w:line="240" w:lineRule="auto"/>
        <w:ind w:left="0" w:firstLine="720"/>
        <w:jc w:val="both"/>
        <w:rPr>
          <w:rFonts w:ascii="Times New Roman" w:hAnsi="Times New Roman" w:cs="Times New Roman"/>
          <w:sz w:val="28"/>
          <w:szCs w:val="28"/>
          <w:lang w:val="kk-KZ"/>
        </w:rPr>
      </w:pPr>
      <w:r w:rsidRPr="003A6E5A">
        <w:rPr>
          <w:rFonts w:ascii="Times New Roman" w:hAnsi="Times New Roman" w:cs="Times New Roman"/>
          <w:sz w:val="28"/>
          <w:szCs w:val="28"/>
          <w:lang w:val="kk-KZ"/>
        </w:rPr>
        <w:t xml:space="preserve">Global Investor Programme. </w:t>
      </w:r>
      <w:r w:rsidRPr="003A6E5A">
        <w:rPr>
          <w:rFonts w:ascii="Times New Roman" w:hAnsi="Times New Roman" w:cs="Times New Roman"/>
          <w:sz w:val="28"/>
          <w:szCs w:val="28"/>
          <w:lang w:val="en-US"/>
        </w:rPr>
        <w:t>Electronic resource. Access mode:</w:t>
      </w:r>
      <w:r w:rsidRPr="003A6E5A">
        <w:rPr>
          <w:rFonts w:ascii="Times New Roman" w:hAnsi="Times New Roman" w:cs="Times New Roman"/>
          <w:sz w:val="28"/>
          <w:szCs w:val="28"/>
          <w:lang w:val="kk-KZ"/>
        </w:rPr>
        <w:t xml:space="preserve">  </w:t>
      </w:r>
      <w:hyperlink r:id="rId99" w:history="1">
        <w:r w:rsidRPr="003A6E5A">
          <w:rPr>
            <w:rStyle w:val="a9"/>
            <w:rFonts w:ascii="Times New Roman" w:hAnsi="Times New Roman" w:cs="Times New Roman"/>
            <w:color w:val="auto"/>
            <w:sz w:val="28"/>
            <w:szCs w:val="28"/>
            <w:u w:val="none"/>
            <w:lang w:val="kk-KZ"/>
          </w:rPr>
          <w:t>https://www.edb.gov.sg/en/incentives-and-programmes/global-investor-programme.html</w:t>
        </w:r>
      </w:hyperlink>
      <w:r w:rsidRPr="003A6E5A">
        <w:rPr>
          <w:rFonts w:ascii="Times New Roman" w:hAnsi="Times New Roman" w:cs="Times New Roman"/>
          <w:sz w:val="28"/>
          <w:szCs w:val="28"/>
          <w:lang w:val="kk-KZ"/>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3AD96CB8" w14:textId="77777777" w:rsidR="00C96643" w:rsidRPr="003A6E5A" w:rsidRDefault="00C96643" w:rsidP="00C96643">
      <w:pPr>
        <w:pStyle w:val="ae"/>
        <w:numPr>
          <w:ilvl w:val="0"/>
          <w:numId w:val="4"/>
        </w:numPr>
        <w:spacing w:after="0" w:line="240" w:lineRule="auto"/>
        <w:ind w:left="0" w:firstLine="720"/>
        <w:jc w:val="both"/>
        <w:outlineLvl w:val="1"/>
        <w:rPr>
          <w:rFonts w:ascii="Times New Roman" w:eastAsia="SimSun" w:hAnsi="Times New Roman" w:cs="Times New Roman"/>
          <w:b/>
          <w:kern w:val="44"/>
          <w:sz w:val="28"/>
          <w:szCs w:val="28"/>
          <w:lang w:val="kk-KZ" w:eastAsia="zh-CN"/>
        </w:rPr>
      </w:pPr>
      <w:r w:rsidRPr="003A6E5A">
        <w:rPr>
          <w:rFonts w:ascii="Times New Roman" w:hAnsi="Times New Roman" w:cs="Times New Roman"/>
          <w:sz w:val="28"/>
          <w:szCs w:val="28"/>
          <w:lang w:val="kk-KZ"/>
        </w:rPr>
        <w:t xml:space="preserve">Finding Business Opportunities in Korea. </w:t>
      </w:r>
      <w:r w:rsidRPr="003A6E5A">
        <w:rPr>
          <w:rFonts w:ascii="Times New Roman" w:hAnsi="Times New Roman" w:cs="Times New Roman"/>
          <w:sz w:val="28"/>
          <w:szCs w:val="28"/>
          <w:lang w:val="en-US"/>
        </w:rPr>
        <w:t>Electronic resource. Access mode:</w:t>
      </w:r>
      <w:r w:rsidRPr="003A6E5A">
        <w:rPr>
          <w:rFonts w:ascii="Times New Roman" w:hAnsi="Times New Roman" w:cs="Times New Roman"/>
          <w:sz w:val="28"/>
          <w:szCs w:val="28"/>
          <w:lang w:val="kk-KZ"/>
        </w:rPr>
        <w:t xml:space="preserve"> </w:t>
      </w:r>
      <w:hyperlink r:id="rId100" w:history="1">
        <w:r w:rsidRPr="003A6E5A">
          <w:rPr>
            <w:rStyle w:val="a9"/>
            <w:rFonts w:ascii="Times New Roman" w:hAnsi="Times New Roman" w:cs="Times New Roman"/>
            <w:color w:val="auto"/>
            <w:sz w:val="28"/>
            <w:szCs w:val="28"/>
            <w:u w:val="none"/>
            <w:lang w:val="kk-KZ"/>
          </w:rPr>
          <w:t>https://www.investkorea.org/ik-en/index.do</w:t>
        </w:r>
      </w:hyperlink>
      <w:r w:rsidRPr="003A6E5A">
        <w:rPr>
          <w:rFonts w:ascii="Times New Roman" w:hAnsi="Times New Roman" w:cs="Times New Roman"/>
          <w:sz w:val="28"/>
          <w:szCs w:val="28"/>
          <w:lang w:val="kk-KZ"/>
        </w:rPr>
        <w:t xml:space="preserve"> </w:t>
      </w:r>
      <w:r w:rsidRPr="003A6E5A">
        <w:rPr>
          <w:rStyle w:val="a9"/>
          <w:rFonts w:ascii="Times New Roman" w:hAnsi="Times New Roman" w:cs="Times New Roman"/>
          <w:color w:val="auto"/>
          <w:sz w:val="28"/>
          <w:szCs w:val="28"/>
          <w:u w:val="none"/>
          <w:lang w:val="kk-KZ"/>
        </w:rPr>
        <w:t>(</w:t>
      </w:r>
      <w:r w:rsidRPr="003A6E5A">
        <w:rPr>
          <w:rStyle w:val="a9"/>
          <w:rFonts w:ascii="Times New Roman" w:hAnsi="Times New Roman" w:cs="Times New Roman"/>
          <w:color w:val="auto"/>
          <w:sz w:val="28"/>
          <w:szCs w:val="28"/>
          <w:u w:val="none"/>
          <w:lang w:val="en-US"/>
        </w:rPr>
        <w:t>accessed: 09.06.2025</w:t>
      </w:r>
      <w:r w:rsidRPr="003A6E5A">
        <w:rPr>
          <w:rStyle w:val="a9"/>
          <w:rFonts w:ascii="Times New Roman" w:hAnsi="Times New Roman" w:cs="Times New Roman"/>
          <w:color w:val="auto"/>
          <w:sz w:val="28"/>
          <w:szCs w:val="28"/>
          <w:u w:val="none"/>
          <w:lang w:val="kk-KZ"/>
        </w:rPr>
        <w:t>)</w:t>
      </w:r>
    </w:p>
    <w:p w14:paraId="422C9E6B" w14:textId="77777777" w:rsidR="00C96643" w:rsidRPr="003A6E5A" w:rsidRDefault="00C96643" w:rsidP="00C96643">
      <w:pPr>
        <w:rPr>
          <w:lang w:val="kk-KZ"/>
        </w:rPr>
      </w:pPr>
    </w:p>
    <w:p w14:paraId="10E76776" w14:textId="24DFB3BA" w:rsidR="0080081E" w:rsidRPr="003A6E5A" w:rsidRDefault="0080081E" w:rsidP="00A81FB6">
      <w:pPr>
        <w:pStyle w:val="ae"/>
        <w:numPr>
          <w:ilvl w:val="0"/>
          <w:numId w:val="4"/>
        </w:numPr>
        <w:spacing w:after="0" w:line="240" w:lineRule="auto"/>
        <w:ind w:left="0" w:firstLine="709"/>
        <w:jc w:val="both"/>
        <w:outlineLvl w:val="1"/>
        <w:rPr>
          <w:rFonts w:ascii="Times New Roman" w:eastAsia="SimSun" w:hAnsi="Times New Roman" w:cs="Times New Roman"/>
          <w:b/>
          <w:kern w:val="44"/>
          <w:sz w:val="28"/>
          <w:szCs w:val="28"/>
          <w:lang w:val="kk-KZ" w:eastAsia="zh-CN"/>
        </w:rPr>
      </w:pPr>
      <w:r w:rsidRPr="003A6E5A">
        <w:rPr>
          <w:rFonts w:ascii="Times New Roman" w:hAnsi="Times New Roman" w:cs="Times New Roman"/>
          <w:bCs/>
          <w:sz w:val="28"/>
          <w:szCs w:val="28"/>
          <w:lang w:val="kk-KZ"/>
        </w:rPr>
        <w:br w:type="page"/>
      </w:r>
    </w:p>
    <w:bookmarkEnd w:id="54"/>
    <w:p w14:paraId="76E7C111" w14:textId="36630C9B" w:rsidR="0003217D" w:rsidRPr="003A6E5A" w:rsidRDefault="00FC275D" w:rsidP="001608EA">
      <w:pPr>
        <w:pStyle w:val="1-"/>
        <w:spacing w:beforeAutospacing="0" w:after="0" w:afterAutospacing="0" w:line="240" w:lineRule="auto"/>
        <w:jc w:val="center"/>
        <w:rPr>
          <w:rFonts w:ascii="Times New Roman" w:hAnsi="Times New Roman" w:hint="default"/>
          <w:bCs w:val="0"/>
          <w:sz w:val="28"/>
          <w:szCs w:val="28"/>
          <w:lang w:val="ru-RU"/>
        </w:rPr>
      </w:pPr>
      <w:r w:rsidRPr="003A6E5A">
        <w:rPr>
          <w:rFonts w:ascii="Times New Roman" w:hAnsi="Times New Roman" w:hint="default"/>
          <w:bCs w:val="0"/>
          <w:sz w:val="28"/>
          <w:szCs w:val="28"/>
          <w:lang w:val="ru-RU"/>
        </w:rPr>
        <w:t>ПРИЛОЖЕНИЯ</w:t>
      </w:r>
      <w:bookmarkEnd w:id="4"/>
      <w:bookmarkEnd w:id="51"/>
    </w:p>
    <w:p w14:paraId="33E6B152" w14:textId="77777777" w:rsidR="0003217D" w:rsidRPr="003A6E5A" w:rsidRDefault="0003217D" w:rsidP="001608EA">
      <w:pPr>
        <w:spacing w:after="0" w:line="240" w:lineRule="auto"/>
        <w:rPr>
          <w:rFonts w:ascii="Times New Roman" w:hAnsi="Times New Roman" w:cs="Times New Roman"/>
          <w:sz w:val="28"/>
          <w:szCs w:val="28"/>
        </w:rPr>
      </w:pPr>
    </w:p>
    <w:p w14:paraId="342D7247" w14:textId="77777777" w:rsidR="0003217D" w:rsidRPr="003A6E5A" w:rsidRDefault="00FC275D" w:rsidP="001608EA">
      <w:pPr>
        <w:pStyle w:val="2-"/>
        <w:spacing w:before="0" w:line="240" w:lineRule="auto"/>
        <w:jc w:val="center"/>
        <w:rPr>
          <w:rFonts w:ascii="Times New Roman" w:hAnsi="Times New Roman" w:cs="Times New Roman"/>
          <w:color w:val="auto"/>
          <w:sz w:val="28"/>
          <w:szCs w:val="28"/>
        </w:rPr>
      </w:pPr>
      <w:bookmarkStart w:id="55" w:name="_Toc209538988"/>
      <w:r w:rsidRPr="003A6E5A">
        <w:rPr>
          <w:rFonts w:ascii="Times New Roman" w:hAnsi="Times New Roman" w:cs="Times New Roman"/>
          <w:b/>
          <w:color w:val="auto"/>
          <w:sz w:val="28"/>
          <w:szCs w:val="28"/>
        </w:rPr>
        <w:t>Приложение А</w:t>
      </w:r>
      <w:r w:rsidRPr="003A6E5A">
        <w:rPr>
          <w:rFonts w:ascii="Times New Roman" w:hAnsi="Times New Roman" w:cs="Times New Roman"/>
          <w:color w:val="auto"/>
          <w:sz w:val="28"/>
          <w:szCs w:val="28"/>
        </w:rPr>
        <w:t xml:space="preserve">. </w:t>
      </w:r>
      <w:bookmarkStart w:id="56" w:name="_Hlk213275842"/>
      <w:r w:rsidRPr="003A6E5A">
        <w:rPr>
          <w:rFonts w:ascii="Times New Roman" w:hAnsi="Times New Roman" w:cs="Times New Roman"/>
          <w:color w:val="auto"/>
          <w:sz w:val="28"/>
          <w:szCs w:val="28"/>
        </w:rPr>
        <w:t>Команды в пакете STATA для определения спецификации моделей пространственной авторегрессии</w:t>
      </w:r>
      <w:bookmarkEnd w:id="55"/>
    </w:p>
    <w:bookmarkEnd w:id="56"/>
    <w:p w14:paraId="4E85DF50" w14:textId="77777777" w:rsidR="0003217D" w:rsidRPr="003A6E5A" w:rsidRDefault="0003217D" w:rsidP="001608EA">
      <w:pPr>
        <w:spacing w:after="0" w:line="240" w:lineRule="auto"/>
        <w:rPr>
          <w:rFonts w:ascii="Times New Roman" w:hAnsi="Times New Roman" w:cs="Times New Roman"/>
          <w:sz w:val="28"/>
          <w:szCs w:val="28"/>
        </w:rPr>
      </w:pPr>
    </w:p>
    <w:p w14:paraId="00D4F1E2"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spmat dta W m*, normalize(row)</w:t>
      </w:r>
    </w:p>
    <w:p w14:paraId="04501B3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spmat summarize W</w:t>
      </w:r>
    </w:p>
    <w:p w14:paraId="10308B4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spmat summarize W, links</w:t>
      </w:r>
    </w:p>
    <w:p w14:paraId="315B417F"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spmat summarize W, links detail</w:t>
      </w:r>
    </w:p>
    <w:p w14:paraId="14EC6988"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use "C:\Users\ishuo\Desktop\18.12.2024.dta"</w:t>
      </w:r>
    </w:p>
    <w:p w14:paraId="4C993B88"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global id Region</w:t>
      </w:r>
    </w:p>
    <w:p w14:paraId="2D8DA1EE"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global t Year</w:t>
      </w:r>
    </w:p>
    <w:p w14:paraId="2D89F2E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global ylist LNIFC</w:t>
      </w:r>
    </w:p>
    <w:p w14:paraId="2038D17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lobal xlist LNGRP LNPERD LNAVIP LNIRDC LNAMNW</w:t>
      </w:r>
    </w:p>
    <w:p w14:paraId="3EC9005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Set data as panel data</w:t>
      </w:r>
    </w:p>
    <w:p w14:paraId="401E432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sort $id $t</w:t>
      </w:r>
    </w:p>
    <w:p w14:paraId="6403D2B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xtset $id $t</w:t>
      </w:r>
    </w:p>
    <w:p w14:paraId="01B78742"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xtdescribe</w:t>
      </w:r>
    </w:p>
    <w:p w14:paraId="78CC9B1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xtsum $id $t $ylist $xlist</w:t>
      </w:r>
    </w:p>
    <w:p w14:paraId="5C675A7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Pooled OLS estimator</w:t>
      </w:r>
    </w:p>
    <w:p w14:paraId="04074BC0"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reg $ylist $xlist</w:t>
      </w:r>
    </w:p>
    <w:p w14:paraId="26F1AC2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vif</w:t>
      </w:r>
    </w:p>
    <w:p w14:paraId="20668F91" w14:textId="77777777" w:rsidR="0003217D" w:rsidRPr="003A6E5A" w:rsidRDefault="00FC275D" w:rsidP="001608EA">
      <w:pPr>
        <w:spacing w:after="0" w:line="240" w:lineRule="auto"/>
        <w:rPr>
          <w:rFonts w:ascii="Times New Roman" w:eastAsia="SimSun" w:hAnsi="Times New Roman" w:cs="Times New Roman"/>
          <w:sz w:val="28"/>
          <w:szCs w:val="28"/>
          <w:lang w:val="en-US"/>
        </w:rPr>
      </w:pPr>
      <w:r w:rsidRPr="003A6E5A">
        <w:rPr>
          <w:rFonts w:ascii="Times New Roman" w:eastAsia="SimSun" w:hAnsi="Times New Roman" w:cs="Times New Roman"/>
          <w:sz w:val="28"/>
          <w:szCs w:val="28"/>
          <w:lang w:val="en-US"/>
        </w:rPr>
        <w:t>pwcorr LNIFC LNIRDC LNGRPPC, star(5)</w:t>
      </w:r>
    </w:p>
    <w:p w14:paraId="199E6C05" w14:textId="77777777" w:rsidR="0003217D" w:rsidRPr="003A6E5A" w:rsidRDefault="00FC275D" w:rsidP="001608EA">
      <w:pPr>
        <w:pStyle w:val="aa"/>
        <w:spacing w:beforeAutospacing="0" w:after="0" w:afterAutospacing="0" w:line="240" w:lineRule="auto"/>
        <w:rPr>
          <w:sz w:val="28"/>
          <w:szCs w:val="28"/>
        </w:rPr>
      </w:pPr>
      <w:r w:rsidRPr="003A6E5A">
        <w:rPr>
          <w:rFonts w:eastAsia="Segoe UI"/>
          <w:sz w:val="28"/>
          <w:szCs w:val="28"/>
        </w:rPr>
        <w:t>pwcorr LNIFC LNIRDC LNGRPPC LNNECORD, star(5)</w:t>
      </w:r>
    </w:p>
    <w:p w14:paraId="6DA2B41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xtreg LNIFC LNIRDC LNNS, fe</w:t>
      </w:r>
    </w:p>
    <w:p w14:paraId="15E399A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578A06E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estimates store fixed</w:t>
      </w:r>
    </w:p>
    <w:p w14:paraId="65380CC8"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xtreg LNIFC LNIRDC LNNS, re</w:t>
      </w:r>
    </w:p>
    <w:p w14:paraId="324F435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hausman fixed ., sigmamore</w:t>
      </w:r>
    </w:p>
    <w:p w14:paraId="25D6ABD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Spatial Durbin Model model (SDM)</w:t>
      </w:r>
    </w:p>
    <w:p w14:paraId="378BCF32"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with random-effects</w:t>
      </w:r>
    </w:p>
    <w:p w14:paraId="0998747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wmat(W) model(sdm) re vce(cluster Region) nolog</w:t>
      </w:r>
    </w:p>
    <w:p w14:paraId="38B83DF7"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0F2DEC9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with spatial fixed-effects</w:t>
      </w:r>
    </w:p>
    <w:p w14:paraId="6FD96D9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LNNECORD, wmat(W) model(sdm) fe type(ind) vce(cluster Region) nolog</w:t>
      </w:r>
    </w:p>
    <w:p w14:paraId="034DF77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611AB63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testing the appropriateness of a random-effects variant using the Robust Hausman test </w:t>
      </w:r>
    </w:p>
    <w:p w14:paraId="58CE3C98"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(example: if Prob&gt;=chi2 = 0.0000 -&gt; p-value lower than one percent -&gt; we strongly reject the null hypothesis -&gt; use fixed-effects)</w:t>
      </w:r>
    </w:p>
    <w:p w14:paraId="7AF77C6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Hausman test</w:t>
      </w:r>
    </w:p>
    <w:p w14:paraId="036CEF9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LNNECORD, wmat(W) model(sdm) hausman nolog</w:t>
      </w:r>
    </w:p>
    <w:p w14:paraId="05310C5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with spatial fixed-effects (data transformed according to Lee and Yu (2010))</w:t>
      </w:r>
    </w:p>
    <w:p w14:paraId="45B22E5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LNNECORD, wmat(W) model(sdm) fe type(ind, leeyu) vce(cluster Region) nolog</w:t>
      </w:r>
    </w:p>
    <w:p w14:paraId="5FA8417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54E4D3E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testing the appropriateness of a random-effects variant using the Robust Hausman test </w:t>
      </w:r>
    </w:p>
    <w:p w14:paraId="69A295BE"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(example: if Prob&gt;=chi2 = 0.0000 -&gt; p-value lower than one percent -&gt; we strongly reject the null hypothesis -&gt; use fixed-effects)</w:t>
      </w:r>
    </w:p>
    <w:p w14:paraId="1D577CC8"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Hausman test</w:t>
      </w:r>
    </w:p>
    <w:p w14:paraId="405AC79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LNNECORD, wmat(W) model(sdm) hausman nolog</w:t>
      </w:r>
    </w:p>
    <w:p w14:paraId="75A6E76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with time fixed-effects</w:t>
      </w:r>
    </w:p>
    <w:p w14:paraId="1F076F0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xsmle LNIFC LNGRPPC LNAVIP LNIRDC LNIAE, wmat(W) model(sdm) fe type(time) vce(cluster Region) nolog</w:t>
      </w:r>
    </w:p>
    <w:p w14:paraId="7B3BEE1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452A7E57"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testing the appropriateness of a random-effects variant using the Robust Hausman test </w:t>
      </w:r>
    </w:p>
    <w:p w14:paraId="0A3DA54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(example: if Prob&gt;=chi2 = 0.0000 -&gt; p-value lower than one percent -&gt; we strongly reject the null hypothesis -&gt; use fixed-effects)</w:t>
      </w:r>
    </w:p>
    <w:p w14:paraId="79F9535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Hausman test</w:t>
      </w:r>
    </w:p>
    <w:p w14:paraId="6CFE978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LNAVIP LNIRDC LNIAE, wmat(W) model(sdm) hausman nolog</w:t>
      </w:r>
    </w:p>
    <w:p w14:paraId="7E070F8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with spatial and time fixed-effects</w:t>
      </w:r>
    </w:p>
    <w:p w14:paraId="6FEC460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wmat(W) model(sdm) fe type(both) vce(cluster Region) nolog</w:t>
      </w:r>
    </w:p>
    <w:p w14:paraId="5648329E"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2ACAC5C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testing the appropriateness of a random-effects variant using the Robust Hausman test </w:t>
      </w:r>
    </w:p>
    <w:p w14:paraId="4011DF6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(example: if Prob&gt;=chi2 = 0.0000 -&gt; p-value lower than one percent -&gt; we strongly reject the null hypothesis -&gt; use fixed-effects)</w:t>
      </w:r>
    </w:p>
    <w:p w14:paraId="08B414D0"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Hausman test</w:t>
      </w:r>
    </w:p>
    <w:p w14:paraId="7F8F315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wmat(W) model(sdm) hausman nolog</w:t>
      </w:r>
    </w:p>
    <w:p w14:paraId="33650F9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SDM without direct, indirect and total effects</w:t>
      </w:r>
    </w:p>
    <w:p w14:paraId="471472E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LNIRDC, wmat(W)</w:t>
      </w:r>
    </w:p>
    <w:p w14:paraId="7689716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model(sdm) noeffects nolog</w:t>
      </w:r>
    </w:p>
    <w:p w14:paraId="11D0093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74FEF8A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Spatial-AutoRegressive model (SAR)</w:t>
      </w:r>
    </w:p>
    <w:p w14:paraId="7496A8F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with random-effects</w:t>
      </w:r>
    </w:p>
    <w:p w14:paraId="52DCD47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wmat(W) model(sar) re vce(cluster Region) nolog</w:t>
      </w:r>
    </w:p>
    <w:p w14:paraId="7CD0814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65FC274E"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with spatial fixed-effects</w:t>
      </w:r>
    </w:p>
    <w:p w14:paraId="157CC34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wmat(W) model(sar) fe type(ind) vce(cluster Region) nolog</w:t>
      </w:r>
    </w:p>
    <w:p w14:paraId="6E5BB8B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4FC9C9A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with spatial fixed-effects (data transformed according to Lee and Yu (2010))</w:t>
      </w:r>
    </w:p>
    <w:p w14:paraId="0B49D3A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 xsmle LNIFC LNIRDC, wmat(W) model(sar) fe type(ind, leeyu) vce(cluster Region) nolog</w:t>
      </w:r>
    </w:p>
    <w:p w14:paraId="2A4A5CAE"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01D247F8"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with time fixed-effects</w:t>
      </w:r>
    </w:p>
    <w:p w14:paraId="7B1FB6E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LNAMNW, wmat(W) model(sar) fe type(time) vce(cluster Region) nolog</w:t>
      </w:r>
    </w:p>
    <w:p w14:paraId="0AB7C20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469AC9A0"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with spatial and time fixed-effects</w:t>
      </w:r>
    </w:p>
    <w:p w14:paraId="3B35E57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LNGRPPC, wmat(W) model(sar) fe type(both) vce(cluster Region) nolog</w:t>
      </w:r>
    </w:p>
    <w:p w14:paraId="1DB157CF"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3782558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without direct, indirect and total effects</w:t>
      </w:r>
    </w:p>
    <w:p w14:paraId="1E18C24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wmat(W) model(sar) noeffects vce(cluster Region) nolog</w:t>
      </w:r>
    </w:p>
    <w:p w14:paraId="36E24FF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2322DB0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Spatial error model (SEM)</w:t>
      </w:r>
    </w:p>
    <w:p w14:paraId="0B3A422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SEM with random-effects</w:t>
      </w:r>
    </w:p>
    <w:p w14:paraId="550900D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emat(W) model(sem) re vce(cluster Region) nolog</w:t>
      </w:r>
    </w:p>
    <w:p w14:paraId="55718800"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7F7B50A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SEM with spatial fixed-effects</w:t>
      </w:r>
    </w:p>
    <w:p w14:paraId="38D2CD2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emat(W) model(sem) fe type(ind) vce(cluster Region) nolog (model 20)</w:t>
      </w:r>
    </w:p>
    <w:p w14:paraId="0A15E00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044084F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SEM with spatial fixed-effects (data transformed according to Lee and Yu (2010))</w:t>
      </w:r>
    </w:p>
    <w:p w14:paraId="3A39234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emat(W) model(sem) fe type(ind, leeyu) vce(cluster Region) nolog (model  21)</w:t>
      </w:r>
    </w:p>
    <w:p w14:paraId="3D0B8C8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7F1AC4D2"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Hausman test (model 12)</w:t>
      </w:r>
    </w:p>
    <w:p w14:paraId="40FDABD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wmat(W) model(sar) hausman nolog</w:t>
      </w:r>
    </w:p>
    <w:p w14:paraId="5EB550C2"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Hausman test (model 13)</w:t>
      </w:r>
    </w:p>
    <w:p w14:paraId="6CE80887"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wmat(W) model(sar) hausman nolog</w:t>
      </w:r>
    </w:p>
    <w:p w14:paraId="1C9C0C0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Hausman test (model 14)</w:t>
      </w:r>
    </w:p>
    <w:p w14:paraId="2985E1B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LNAMNW, wmat(W) model(sar) hausman nolog</w:t>
      </w:r>
    </w:p>
    <w:p w14:paraId="1031621B"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SAR Hausman test (model 15)</w:t>
      </w:r>
    </w:p>
    <w:p w14:paraId="518D6ED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LNGRPPC, wmat(W) model(sar) hausman nolog</w:t>
      </w:r>
    </w:p>
    <w:p w14:paraId="39E2F1F2"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SEM Hausman test (model 18)</w:t>
      </w:r>
    </w:p>
    <w:p w14:paraId="5268ACB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wmat(W) model(sar) hausman nolog</w:t>
      </w:r>
    </w:p>
    <w:p w14:paraId="14B63C6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SEM Hausman test (model 19)</w:t>
      </w:r>
    </w:p>
    <w:p w14:paraId="2E38DC9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wmat(W) model(sar) hausman nolog</w:t>
      </w:r>
    </w:p>
    <w:p w14:paraId="56727EA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SEM Hausman test (model 20)</w:t>
      </w:r>
    </w:p>
    <w:p w14:paraId="01713CDD"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xsmle LNIFC LNIRDC LNNECORD LNGRPPC, emat(W) model(sem) hausman nolog </w:t>
      </w:r>
    </w:p>
    <w:p w14:paraId="7038913F"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emat(W) model(sem) hausman nolog (model 21)</w:t>
      </w:r>
    </w:p>
    <w:p w14:paraId="4529091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Spatial-Autoregressive with Spatially Autocorrelated Errors model (SAC) (also known as the SARAR model or Kelejian-Prucha model)</w:t>
      </w:r>
    </w:p>
    <w:p w14:paraId="524F59DA"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SAC with spatial fixed-effects</w:t>
      </w:r>
    </w:p>
    <w:p w14:paraId="4936E280"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wmat(W) emat(W) model(sac) fe type(ind) vce(cluster Region) nolog</w:t>
      </w:r>
    </w:p>
    <w:p w14:paraId="599C2E54"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57AA2096"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SAC with spatial fixed-effects (data transformed according to Lee and Yu (2010))</w:t>
      </w:r>
    </w:p>
    <w:p w14:paraId="34B0ECB1"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wmat(W)</w:t>
      </w:r>
      <w:r w:rsidRPr="003A6E5A">
        <w:rPr>
          <w:rFonts w:ascii="Times New Roman" w:hAnsi="Times New Roman" w:cs="Times New Roman"/>
          <w:sz w:val="28"/>
          <w:szCs w:val="28"/>
          <w:lang w:val="kk-KZ"/>
        </w:rPr>
        <w:t xml:space="preserve"> </w:t>
      </w:r>
      <w:r w:rsidRPr="003A6E5A">
        <w:rPr>
          <w:rFonts w:ascii="Times New Roman" w:hAnsi="Times New Roman" w:cs="Times New Roman"/>
          <w:sz w:val="28"/>
          <w:szCs w:val="28"/>
          <w:lang w:val="en-US"/>
        </w:rPr>
        <w:t>emat(W) model(sac) fe type(ind, leeyu) vce(cluster Region) nolog</w:t>
      </w:r>
    </w:p>
    <w:p w14:paraId="0274FFBF"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5D83F3C3"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SAC Hausman test</w:t>
      </w:r>
    </w:p>
    <w:p w14:paraId="2A2B749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LNNECORD LNGRPPC, wmat(W) emat(W) model(sac) hausman nolog</w:t>
      </w:r>
    </w:p>
    <w:p w14:paraId="60244275"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SAC with spatial fixed-effects (data transformed according to Lee and Yu (2010))</w:t>
      </w:r>
    </w:p>
    <w:p w14:paraId="6A16638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LNGRPPC LNAMNW LNNECORD, wmat(W) emat(W) model(sac) fe type(time) vce(cluster Region) nolog (model 22)</w:t>
      </w:r>
    </w:p>
    <w:p w14:paraId="77F5613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estat ic</w:t>
      </w:r>
    </w:p>
    <w:p w14:paraId="1B9FBB79"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 SAC with spatial and time fixed-effects</w:t>
      </w:r>
    </w:p>
    <w:p w14:paraId="59E7DCDC" w14:textId="77777777" w:rsidR="0003217D" w:rsidRPr="003A6E5A" w:rsidRDefault="00FC275D" w:rsidP="001608EA">
      <w:pPr>
        <w:spacing w:after="0" w:line="240" w:lineRule="auto"/>
        <w:rPr>
          <w:rFonts w:ascii="Times New Roman" w:hAnsi="Times New Roman" w:cs="Times New Roman"/>
          <w:sz w:val="28"/>
          <w:szCs w:val="28"/>
          <w:lang w:val="en-US"/>
        </w:rPr>
      </w:pPr>
      <w:r w:rsidRPr="003A6E5A">
        <w:rPr>
          <w:rFonts w:ascii="Times New Roman" w:hAnsi="Times New Roman" w:cs="Times New Roman"/>
          <w:sz w:val="28"/>
          <w:szCs w:val="28"/>
          <w:lang w:val="en-US"/>
        </w:rPr>
        <w:t>xsmle LNIFC LNIRDC LNGRPPC, wmat(W) emat(W) model(sac) fe type(both) vce(cluster Region) nolog (model 23)</w:t>
      </w:r>
    </w:p>
    <w:p w14:paraId="2F10BDD6" w14:textId="77777777" w:rsidR="0003217D" w:rsidRPr="003A6E5A" w:rsidRDefault="00FC275D" w:rsidP="001608EA">
      <w:pPr>
        <w:spacing w:after="0" w:line="240" w:lineRule="auto"/>
        <w:rPr>
          <w:rFonts w:ascii="Times New Roman" w:hAnsi="Times New Roman" w:cs="Times New Roman"/>
          <w:sz w:val="28"/>
          <w:szCs w:val="28"/>
        </w:rPr>
      </w:pPr>
      <w:r w:rsidRPr="003A6E5A">
        <w:rPr>
          <w:rFonts w:ascii="Times New Roman" w:hAnsi="Times New Roman" w:cs="Times New Roman"/>
          <w:sz w:val="28"/>
          <w:szCs w:val="28"/>
          <w:lang w:val="en-US"/>
        </w:rPr>
        <w:t>estat</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ic</w:t>
      </w:r>
    </w:p>
    <w:p w14:paraId="0C7F7B32" w14:textId="77777777" w:rsidR="001D2E9A" w:rsidRPr="003A6E5A" w:rsidRDefault="001D2E9A">
      <w:pPr>
        <w:spacing w:after="0" w:line="240" w:lineRule="auto"/>
        <w:rPr>
          <w:rFonts w:ascii="Times New Roman" w:hAnsi="Times New Roman" w:cs="Times New Roman"/>
          <w:sz w:val="28"/>
          <w:szCs w:val="28"/>
        </w:rPr>
      </w:pPr>
      <w:bookmarkStart w:id="57" w:name="_Toc209538989"/>
      <w:r w:rsidRPr="003A6E5A">
        <w:rPr>
          <w:rFonts w:ascii="Times New Roman" w:hAnsi="Times New Roman" w:cs="Times New Roman"/>
          <w:sz w:val="28"/>
          <w:szCs w:val="28"/>
        </w:rPr>
        <w:br w:type="page"/>
      </w:r>
    </w:p>
    <w:p w14:paraId="77D5EBDE" w14:textId="7F0C0DEF" w:rsidR="0003217D" w:rsidRPr="003A6E5A" w:rsidRDefault="008A7163" w:rsidP="001608EA">
      <w:pPr>
        <w:pStyle w:val="2-"/>
        <w:spacing w:before="0" w:line="240" w:lineRule="auto"/>
        <w:jc w:val="center"/>
        <w:rPr>
          <w:rFonts w:ascii="Times New Roman" w:hAnsi="Times New Roman" w:cs="Times New Roman"/>
          <w:color w:val="auto"/>
          <w:sz w:val="28"/>
          <w:szCs w:val="28"/>
        </w:rPr>
      </w:pPr>
      <w:r w:rsidRPr="003A6E5A">
        <w:rPr>
          <w:rFonts w:ascii="Times New Roman" w:hAnsi="Times New Roman" w:cs="Times New Roman"/>
          <w:b/>
          <w:color w:val="auto"/>
          <w:sz w:val="28"/>
          <w:szCs w:val="28"/>
        </w:rPr>
        <w:t>П</w:t>
      </w:r>
      <w:r w:rsidR="00FC275D" w:rsidRPr="003A6E5A">
        <w:rPr>
          <w:rFonts w:ascii="Times New Roman" w:hAnsi="Times New Roman" w:cs="Times New Roman"/>
          <w:b/>
          <w:color w:val="auto"/>
          <w:sz w:val="28"/>
          <w:szCs w:val="28"/>
        </w:rPr>
        <w:t xml:space="preserve">риложение </w:t>
      </w:r>
      <w:r w:rsidR="00FC275D" w:rsidRPr="003A6E5A">
        <w:rPr>
          <w:rFonts w:ascii="Times New Roman" w:hAnsi="Times New Roman" w:cs="Times New Roman"/>
          <w:b/>
          <w:color w:val="auto"/>
          <w:sz w:val="28"/>
          <w:szCs w:val="28"/>
          <w:lang w:val="kk-KZ"/>
        </w:rPr>
        <w:t>Б</w:t>
      </w:r>
      <w:r w:rsidR="00FC275D" w:rsidRPr="003A6E5A">
        <w:rPr>
          <w:rFonts w:ascii="Times New Roman" w:hAnsi="Times New Roman" w:cs="Times New Roman"/>
          <w:b/>
          <w:color w:val="auto"/>
          <w:sz w:val="28"/>
          <w:szCs w:val="28"/>
        </w:rPr>
        <w:t>.</w:t>
      </w:r>
      <w:r w:rsidR="00FC275D" w:rsidRPr="003A6E5A">
        <w:rPr>
          <w:rFonts w:ascii="Times New Roman" w:hAnsi="Times New Roman" w:cs="Times New Roman"/>
          <w:color w:val="auto"/>
          <w:sz w:val="28"/>
          <w:szCs w:val="28"/>
        </w:rPr>
        <w:t xml:space="preserve"> Команды в пакете STATA для расчета весовых коэффициентов методом главных компонент</w:t>
      </w:r>
      <w:bookmarkEnd w:id="57"/>
    </w:p>
    <w:p w14:paraId="64C6989C" w14:textId="77777777" w:rsidR="0003217D" w:rsidRPr="003A6E5A" w:rsidRDefault="0003217D" w:rsidP="001608EA">
      <w:pPr>
        <w:spacing w:after="0" w:line="240" w:lineRule="auto"/>
        <w:jc w:val="both"/>
        <w:rPr>
          <w:rFonts w:ascii="Times New Roman" w:hAnsi="Times New Roman" w:cs="Times New Roman"/>
          <w:sz w:val="28"/>
          <w:szCs w:val="28"/>
        </w:rPr>
      </w:pPr>
    </w:p>
    <w:p w14:paraId="31D98758"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use C:\Users\ishuo\Downloads\Aina_Otarbayeva\10.01.2025.dta</w:t>
      </w:r>
    </w:p>
    <w:p w14:paraId="0129F95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keep if ID == 1</w:t>
      </w:r>
    </w:p>
    <w:p w14:paraId="424E2A55"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xlist NPERD AVIP IRDC AMNW NECORD IAE NS GRPPC</w:t>
      </w:r>
    </w:p>
    <w:p w14:paraId="4BBAE887"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id ID</w:t>
      </w:r>
    </w:p>
    <w:p w14:paraId="5C776CB1"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describe $xlist</w:t>
      </w:r>
    </w:p>
    <w:p w14:paraId="6C91A07C"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summarize $xlist</w:t>
      </w:r>
    </w:p>
    <w:p w14:paraId="29C69B4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pwcorr $xlist, sig</w:t>
      </w:r>
    </w:p>
    <w:p w14:paraId="433EB6CC"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Principal component analysis (PCA)</w:t>
      </w:r>
    </w:p>
    <w:p w14:paraId="57F7941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IRDC NECORD IAE NS GRPPC</w:t>
      </w:r>
    </w:p>
    <w:p w14:paraId="4FF80F7D"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AMNV</w:t>
      </w:r>
    </w:p>
    <w:p w14:paraId="7A771AE7"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AVIP IRDC AMNW NECORD NS GRPPC</w:t>
      </w:r>
    </w:p>
    <w:p w14:paraId="465010B8"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AMNW NECORD NS GRPPC</w:t>
      </w:r>
    </w:p>
    <w:p w14:paraId="089E45FA"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IRDC IAE</w:t>
      </w:r>
    </w:p>
    <w:p w14:paraId="3AEF4736"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AMNW NS GRPPC</w:t>
      </w:r>
    </w:p>
    <w:p w14:paraId="088BAFB9"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IRDC NECORD IAE</w:t>
      </w:r>
    </w:p>
    <w:p w14:paraId="71E0FC29"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AVIP AMNW GRPPC</w:t>
      </w:r>
    </w:p>
    <w:p w14:paraId="5F369453"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IRDC NECORD IAE NS</w:t>
      </w:r>
    </w:p>
    <w:p w14:paraId="4BE50F7D"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AMNW NECORD IAE GRPPC</w:t>
      </w:r>
    </w:p>
    <w:p w14:paraId="2D90185C"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IRDC NS</w:t>
      </w:r>
    </w:p>
    <w:p w14:paraId="0C03551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IRDC AMNW NECORD NS GRPPC</w:t>
      </w:r>
    </w:p>
    <w:p w14:paraId="76E5359D"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IAE</w:t>
      </w:r>
    </w:p>
    <w:p w14:paraId="5246C072"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clear all</w:t>
      </w:r>
    </w:p>
    <w:p w14:paraId="7F51AB5A"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use C:\Users\ishuo\Downloads\Aina_Otarbayeva\10.01.2025.dta</w:t>
      </w:r>
    </w:p>
    <w:p w14:paraId="7B27A902"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keep if ID == 2</w:t>
      </w:r>
    </w:p>
    <w:p w14:paraId="3B8BA1B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xlist NPERD AVIP IRDC AMNW NECORD IAE NS GRPPC</w:t>
      </w:r>
    </w:p>
    <w:p w14:paraId="76C8E524"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id ID</w:t>
      </w:r>
    </w:p>
    <w:p w14:paraId="140B7E3B"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describe $xlist</w:t>
      </w:r>
    </w:p>
    <w:p w14:paraId="17F6637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summarize $xlist</w:t>
      </w:r>
    </w:p>
    <w:p w14:paraId="6253AC3E"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pwcorr $xlist, sig</w:t>
      </w:r>
    </w:p>
    <w:p w14:paraId="3F03ADB3"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Principal component analysis (PCA)</w:t>
      </w:r>
    </w:p>
    <w:p w14:paraId="0B2B8A71"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NECORD IAE</w:t>
      </w:r>
    </w:p>
    <w:p w14:paraId="206ABF6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IRDC AMNW NS GRPPC NPERD</w:t>
      </w:r>
    </w:p>
    <w:p w14:paraId="3A3EC982"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IRDC AMNW NS GRPPC NECORD IAE</w:t>
      </w:r>
    </w:p>
    <w:p w14:paraId="15C5654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AVIP IRDC AMNW NECORD IAE NS GRPPC</w:t>
      </w:r>
    </w:p>
    <w:p w14:paraId="50CC3C73"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NS GRPPC</w:t>
      </w:r>
    </w:p>
    <w:p w14:paraId="4637DCD2"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AVIP IRDC AMNW NECORD IAE</w:t>
      </w:r>
    </w:p>
    <w:p w14:paraId="681F4458"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NS NPERD</w:t>
      </w:r>
    </w:p>
    <w:p w14:paraId="128DDEEE"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IRDC AMNW NECORD IAE GRPPC</w:t>
      </w:r>
    </w:p>
    <w:p w14:paraId="67AE06B5"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AMNW IAE GRPPC</w:t>
      </w:r>
    </w:p>
    <w:p w14:paraId="1A443B14"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IRDC NS NECORD</w:t>
      </w:r>
    </w:p>
    <w:p w14:paraId="469B2244"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IRDC AMNW IAE NS</w:t>
      </w:r>
    </w:p>
    <w:p w14:paraId="487E66CA"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AVIP NECORD GRPPC</w:t>
      </w:r>
    </w:p>
    <w:p w14:paraId="343A364A"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keep if ID == 3</w:t>
      </w:r>
    </w:p>
    <w:p w14:paraId="384185BB"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xlist NPERD AVIP IRDC AMNW NECORD IAE NS GRPPC</w:t>
      </w:r>
    </w:p>
    <w:p w14:paraId="44B43066"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id ID</w:t>
      </w:r>
    </w:p>
    <w:p w14:paraId="4FB18E3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describe $xlist</w:t>
      </w:r>
    </w:p>
    <w:p w14:paraId="69AAF4E1"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summarize $xlist</w:t>
      </w:r>
    </w:p>
    <w:p w14:paraId="5E814E74"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pwcorr $xlist, sig</w:t>
      </w:r>
    </w:p>
    <w:p w14:paraId="21AB9581"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Principal component analysis (PCA)</w:t>
      </w:r>
    </w:p>
    <w:p w14:paraId="4E9335C7"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$xlist</w:t>
      </w:r>
    </w:p>
    <w:p w14:paraId="0082EAD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clear all</w:t>
      </w:r>
    </w:p>
    <w:p w14:paraId="3976E709"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use C:\Users\ishuo\Downloads\Aina_Otarbayeva\10.01.2025.dta</w:t>
      </w:r>
    </w:p>
    <w:p w14:paraId="218A03F6"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keep if ID == 4 </w:t>
      </w:r>
    </w:p>
    <w:p w14:paraId="46C6C271"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xlist NPERD AVIP IRDC AMNW NECORD IAE NS GRPPC</w:t>
      </w:r>
    </w:p>
    <w:p w14:paraId="521E4D3B"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global id ID</w:t>
      </w:r>
    </w:p>
    <w:p w14:paraId="6F85A4A7"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describe $xlist</w:t>
      </w:r>
    </w:p>
    <w:p w14:paraId="750A7ACC"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summarize $xlist</w:t>
      </w:r>
    </w:p>
    <w:p w14:paraId="2E15E61D"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pwcorr $xlist, sig</w:t>
      </w:r>
    </w:p>
    <w:p w14:paraId="19299FB5"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Principal component analysis (PCA)</w:t>
      </w:r>
    </w:p>
    <w:p w14:paraId="6CE0ACEE"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IAE NECORD IRDC</w:t>
      </w:r>
    </w:p>
    <w:p w14:paraId="02571FEC"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GRPPC NS AMNW AVIP NPERD</w:t>
      </w:r>
    </w:p>
    <w:p w14:paraId="63706524"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GRPPC NS NECORD AMNW IRDC NPERD</w:t>
      </w:r>
    </w:p>
    <w:p w14:paraId="69E5101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IAE AVIP</w:t>
      </w:r>
    </w:p>
    <w:p w14:paraId="13A61B91"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GRPPC NS IRDC</w:t>
      </w:r>
    </w:p>
    <w:p w14:paraId="667C56C6"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IAE NECORD AMNW AVIP NPERD</w:t>
      </w:r>
    </w:p>
    <w:p w14:paraId="4B19E69C"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pca GRPPC NS NECORD </w:t>
      </w:r>
    </w:p>
    <w:p w14:paraId="3BB0D21A"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NPERD AVIP IAE IRDC AMNW</w:t>
      </w:r>
    </w:p>
    <w:p w14:paraId="09790AB6"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pca IAE NECORD AMNW NPERD IRDC GRPPC NS </w:t>
      </w:r>
    </w:p>
    <w:p w14:paraId="039CA4BD"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IAE NECORD IRDC AVIP</w:t>
      </w:r>
    </w:p>
    <w:p w14:paraId="2B68981D"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pca GRPPC NS AMNW NPERD </w:t>
      </w:r>
    </w:p>
    <w:p w14:paraId="66A065E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GRPPC NECORD AMNW IRDC</w:t>
      </w:r>
    </w:p>
    <w:p w14:paraId="32713E4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NS IAE AVIP NPERD</w:t>
      </w:r>
    </w:p>
    <w:p w14:paraId="3D7020CF"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GRPPC AMNW</w:t>
      </w:r>
    </w:p>
    <w:p w14:paraId="11A78350"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pca NS IAE NECORD IRDC AVIP NPERD</w:t>
      </w:r>
    </w:p>
    <w:p w14:paraId="62654CEE" w14:textId="77777777" w:rsidR="0003217D" w:rsidRPr="003A6E5A" w:rsidRDefault="00FC275D" w:rsidP="001608EA">
      <w:pPr>
        <w:spacing w:after="0" w:line="240" w:lineRule="auto"/>
        <w:jc w:val="both"/>
        <w:rPr>
          <w:rFonts w:ascii="Times New Roman" w:hAnsi="Times New Roman" w:cs="Times New Roman"/>
          <w:sz w:val="28"/>
          <w:szCs w:val="28"/>
          <w:lang w:val="en-US"/>
        </w:rPr>
      </w:pPr>
      <w:r w:rsidRPr="003A6E5A">
        <w:rPr>
          <w:rFonts w:ascii="Times New Roman" w:hAnsi="Times New Roman" w:cs="Times New Roman"/>
          <w:sz w:val="28"/>
          <w:szCs w:val="28"/>
          <w:lang w:val="en-US"/>
        </w:rPr>
        <w:t xml:space="preserve">pca GRPPC NS AMNW IRDC AVIP NPERD </w:t>
      </w:r>
    </w:p>
    <w:p w14:paraId="6345417E" w14:textId="77777777"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en-US"/>
        </w:rPr>
        <w:t>pca</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IAE</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NECORD</w:t>
      </w:r>
    </w:p>
    <w:p w14:paraId="3E3FFFE5" w14:textId="5732A916" w:rsidR="0003217D"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lang w:val="en-US"/>
        </w:rPr>
        <w:t>clear</w:t>
      </w:r>
      <w:r w:rsidRPr="003A6E5A">
        <w:rPr>
          <w:rFonts w:ascii="Times New Roman" w:hAnsi="Times New Roman" w:cs="Times New Roman"/>
          <w:sz w:val="28"/>
          <w:szCs w:val="28"/>
        </w:rPr>
        <w:t xml:space="preserve"> </w:t>
      </w:r>
      <w:r w:rsidRPr="003A6E5A">
        <w:rPr>
          <w:rFonts w:ascii="Times New Roman" w:hAnsi="Times New Roman" w:cs="Times New Roman"/>
          <w:sz w:val="28"/>
          <w:szCs w:val="28"/>
          <w:lang w:val="en-US"/>
        </w:rPr>
        <w:t>all</w:t>
      </w:r>
    </w:p>
    <w:p w14:paraId="75308AA6" w14:textId="77777777" w:rsidR="009C6427" w:rsidRPr="003A6E5A" w:rsidRDefault="009C6427">
      <w:pPr>
        <w:spacing w:after="0" w:line="240" w:lineRule="auto"/>
        <w:rPr>
          <w:rFonts w:ascii="Times New Roman" w:hAnsi="Times New Roman" w:cs="Times New Roman"/>
          <w:sz w:val="28"/>
          <w:szCs w:val="28"/>
        </w:rPr>
      </w:pPr>
      <w:bookmarkStart w:id="58" w:name="_Toc209538990"/>
      <w:r w:rsidRPr="003A6E5A">
        <w:rPr>
          <w:rFonts w:ascii="Times New Roman" w:hAnsi="Times New Roman" w:cs="Times New Roman"/>
          <w:sz w:val="28"/>
          <w:szCs w:val="28"/>
        </w:rPr>
        <w:br w:type="page"/>
      </w:r>
    </w:p>
    <w:p w14:paraId="3848CEEE" w14:textId="245F4040" w:rsidR="0003217D" w:rsidRPr="003A6E5A" w:rsidRDefault="00FC275D" w:rsidP="001608EA">
      <w:pPr>
        <w:pStyle w:val="2-"/>
        <w:spacing w:before="0" w:line="240" w:lineRule="auto"/>
        <w:jc w:val="center"/>
        <w:rPr>
          <w:rFonts w:ascii="Times New Roman" w:hAnsi="Times New Roman" w:cs="Times New Roman"/>
          <w:color w:val="auto"/>
          <w:sz w:val="28"/>
          <w:szCs w:val="28"/>
        </w:rPr>
      </w:pPr>
      <w:r w:rsidRPr="003A6E5A">
        <w:rPr>
          <w:rFonts w:ascii="Times New Roman" w:hAnsi="Times New Roman" w:cs="Times New Roman"/>
          <w:b/>
          <w:color w:val="auto"/>
          <w:sz w:val="28"/>
          <w:szCs w:val="28"/>
        </w:rPr>
        <w:t xml:space="preserve">Приложение </w:t>
      </w:r>
      <w:r w:rsidRPr="003A6E5A">
        <w:rPr>
          <w:rFonts w:ascii="Times New Roman" w:hAnsi="Times New Roman" w:cs="Times New Roman"/>
          <w:b/>
          <w:color w:val="auto"/>
          <w:sz w:val="28"/>
          <w:szCs w:val="28"/>
          <w:lang w:val="en-US"/>
        </w:rPr>
        <w:t>B</w:t>
      </w:r>
      <w:r w:rsidRPr="003A6E5A">
        <w:rPr>
          <w:rFonts w:ascii="Times New Roman" w:hAnsi="Times New Roman" w:cs="Times New Roman"/>
          <w:b/>
          <w:color w:val="auto"/>
          <w:sz w:val="28"/>
          <w:szCs w:val="28"/>
        </w:rPr>
        <w:t>.</w:t>
      </w:r>
      <w:r w:rsidRPr="003A6E5A">
        <w:rPr>
          <w:rFonts w:ascii="Times New Roman" w:hAnsi="Times New Roman" w:cs="Times New Roman"/>
          <w:color w:val="auto"/>
          <w:sz w:val="28"/>
          <w:szCs w:val="28"/>
        </w:rPr>
        <w:t xml:space="preserve"> </w:t>
      </w:r>
      <w:bookmarkEnd w:id="58"/>
      <w:r w:rsidR="00BC56E5" w:rsidRPr="003A6E5A">
        <w:rPr>
          <w:rFonts w:ascii="Times New Roman" w:hAnsi="Times New Roman" w:cs="Times New Roman"/>
          <w:color w:val="auto"/>
          <w:sz w:val="28"/>
          <w:szCs w:val="28"/>
          <w:lang w:val="kk-KZ"/>
        </w:rPr>
        <w:t>Результаты диагностики мультиколлинеарности и корреляционного анализа переменных регрессионной модели инвестиций в основной капитал регионов Казахстана</w:t>
      </w:r>
    </w:p>
    <w:p w14:paraId="5C375906" w14:textId="77777777" w:rsidR="0003217D" w:rsidRPr="003A6E5A" w:rsidRDefault="0003217D" w:rsidP="001608EA">
      <w:pPr>
        <w:spacing w:after="0" w:line="240" w:lineRule="auto"/>
        <w:jc w:val="center"/>
        <w:rPr>
          <w:rFonts w:ascii="Times New Roman" w:hAnsi="Times New Roman" w:cs="Times New Roman"/>
          <w:sz w:val="28"/>
          <w:szCs w:val="28"/>
        </w:rPr>
      </w:pPr>
    </w:p>
    <w:p w14:paraId="525F2FD8" w14:textId="77777777" w:rsidR="0003217D" w:rsidRPr="003A6E5A" w:rsidRDefault="00FC275D" w:rsidP="001608EA">
      <w:pPr>
        <w:spacing w:after="0" w:line="240" w:lineRule="auto"/>
        <w:rPr>
          <w:rFonts w:ascii="Times New Roman" w:hAnsi="Times New Roman" w:cs="Times New Roman"/>
        </w:rPr>
      </w:pPr>
      <w:r w:rsidRPr="003A6E5A">
        <w:rPr>
          <w:rFonts w:ascii="Times New Roman" w:eastAsia="SimSun" w:hAnsi="Times New Roman" w:cs="Times New Roman"/>
          <w:noProof/>
          <w:sz w:val="24"/>
          <w:szCs w:val="24"/>
          <w:lang w:val="en-US" w:eastAsia="zh-CN" w:bidi="ar"/>
        </w:rPr>
        <w:drawing>
          <wp:inline distT="0" distB="0" distL="114300" distR="114300" wp14:anchorId="50F2A826" wp14:editId="0829A27C">
            <wp:extent cx="3177540" cy="2361565"/>
            <wp:effectExtent l="0" t="0" r="3810" b="635"/>
            <wp:docPr id="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G_256"/>
                    <pic:cNvPicPr>
                      <a:picLocks noChangeAspect="1"/>
                    </pic:cNvPicPr>
                  </pic:nvPicPr>
                  <pic:blipFill>
                    <a:blip r:embed="rId101"/>
                    <a:stretch>
                      <a:fillRect/>
                    </a:stretch>
                  </pic:blipFill>
                  <pic:spPr>
                    <a:xfrm>
                      <a:off x="0" y="0"/>
                      <a:ext cx="3188136" cy="2369748"/>
                    </a:xfrm>
                    <a:prstGeom prst="rect">
                      <a:avLst/>
                    </a:prstGeom>
                    <a:noFill/>
                    <a:ln w="9525">
                      <a:noFill/>
                    </a:ln>
                  </pic:spPr>
                </pic:pic>
              </a:graphicData>
            </a:graphic>
          </wp:inline>
        </w:drawing>
      </w:r>
    </w:p>
    <w:p w14:paraId="28BB4431" w14:textId="77777777"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Примечание: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=12.8 -</m:t>
        </m:r>
      </m:oMath>
      <w:r w:rsidRPr="003A6E5A">
        <w:rPr>
          <w:rFonts w:ascii="Times New Roman" w:hAnsi="Times New Roman" w:cs="Times New Roman"/>
          <w:sz w:val="20"/>
          <w:szCs w:val="20"/>
        </w:rPr>
        <w:t xml:space="preserve"> высокая мультиколлинеарность переменной «количество предприятий, осуществляющих НИОКР»,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=6.42 -</m:t>
        </m:r>
      </m:oMath>
      <w:r w:rsidRPr="003A6E5A">
        <w:rPr>
          <w:rFonts w:ascii="Times New Roman" w:hAnsi="Times New Roman" w:cs="Times New Roman"/>
          <w:sz w:val="20"/>
          <w:szCs w:val="20"/>
        </w:rPr>
        <w:t xml:space="preserve"> умеренно высокая мультиколлинеарность переменной «среднемесячная зар</w:t>
      </w:r>
      <w:r w:rsidRPr="003A6E5A">
        <w:rPr>
          <w:rFonts w:ascii="Times New Roman" w:hAnsi="Times New Roman" w:cs="Times New Roman"/>
          <w:sz w:val="20"/>
          <w:szCs w:val="20"/>
          <w:lang w:val="kk-KZ"/>
        </w:rPr>
        <w:t>а</w:t>
      </w:r>
      <w:r w:rsidRPr="003A6E5A">
        <w:rPr>
          <w:rFonts w:ascii="Times New Roman" w:hAnsi="Times New Roman" w:cs="Times New Roman"/>
          <w:sz w:val="20"/>
          <w:szCs w:val="20"/>
        </w:rPr>
        <w:t xml:space="preserve">ботная плата»,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=5.03 -</m:t>
        </m:r>
      </m:oMath>
      <w:r w:rsidRPr="003A6E5A">
        <w:rPr>
          <w:rFonts w:ascii="Times New Roman" w:hAnsi="Times New Roman" w:cs="Times New Roman"/>
          <w:sz w:val="20"/>
          <w:szCs w:val="20"/>
        </w:rPr>
        <w:t xml:space="preserve"> граница допустимого уровня переменной «валовой региональный продукт на душу населения»,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=4.59 -</m:t>
        </m:r>
      </m:oMath>
      <w:r w:rsidRPr="003A6E5A">
        <w:rPr>
          <w:rFonts w:ascii="Times New Roman" w:hAnsi="Times New Roman" w:cs="Times New Roman"/>
          <w:sz w:val="20"/>
          <w:szCs w:val="20"/>
        </w:rPr>
        <w:t xml:space="preserve"> приемлемо для переменной «внутренние затраты на НИОКР»,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=4.44 -</m:t>
        </m:r>
      </m:oMath>
      <w:r w:rsidRPr="003A6E5A">
        <w:rPr>
          <w:rFonts w:ascii="Times New Roman" w:hAnsi="Times New Roman" w:cs="Times New Roman"/>
          <w:sz w:val="20"/>
          <w:szCs w:val="20"/>
        </w:rPr>
        <w:t xml:space="preserve"> приемлемо для переменной «инновационная активность предприятий»,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=4.37 -</m:t>
        </m:r>
      </m:oMath>
      <w:r w:rsidRPr="003A6E5A">
        <w:rPr>
          <w:rFonts w:ascii="Times New Roman" w:hAnsi="Times New Roman" w:cs="Times New Roman"/>
          <w:sz w:val="20"/>
          <w:szCs w:val="20"/>
        </w:rPr>
        <w:t xml:space="preserve"> приемлемо для переменной «число студентов»,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=1.65 -</m:t>
        </m:r>
      </m:oMath>
      <w:r w:rsidRPr="003A6E5A">
        <w:rPr>
          <w:rFonts w:ascii="Times New Roman" w:hAnsi="Times New Roman" w:cs="Times New Roman"/>
          <w:sz w:val="20"/>
          <w:szCs w:val="20"/>
        </w:rPr>
        <w:t xml:space="preserve"> приемлемо для переменной «объем инновационной продукции». Среднее значение </w:t>
      </w:r>
      <m:oMath>
        <m:r>
          <m:rPr>
            <m:sty m:val="p"/>
          </m:rPr>
          <w:rPr>
            <w:rFonts w:ascii="Cambria Math" w:hAnsi="Cambria Math" w:cs="Times New Roman"/>
            <w:sz w:val="20"/>
            <w:szCs w:val="20"/>
            <w:lang w:val="en-US"/>
          </w:rPr>
          <m:t>VIF</m:t>
        </m:r>
        <m:r>
          <m:rPr>
            <m:sty m:val="p"/>
          </m:rPr>
          <w:rPr>
            <w:rFonts w:ascii="Cambria Math" w:hAnsi="Cambria Math" w:cs="Times New Roman"/>
            <w:sz w:val="20"/>
            <w:szCs w:val="20"/>
          </w:rPr>
          <m:t>=5.62 -</m:t>
        </m:r>
      </m:oMath>
      <w:r w:rsidRPr="003A6E5A">
        <w:rPr>
          <w:rFonts w:ascii="Times New Roman" w:hAnsi="Times New Roman" w:cs="Times New Roman"/>
          <w:sz w:val="20"/>
          <w:szCs w:val="20"/>
        </w:rPr>
        <w:t xml:space="preserve"> немного выше желаемого (обычно меньше 5), но не критично.</w:t>
      </w:r>
    </w:p>
    <w:p w14:paraId="3333D3A8" w14:textId="77777777"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в статистической программе </w:t>
      </w:r>
      <w:r w:rsidRPr="003A6E5A">
        <w:rPr>
          <w:rFonts w:ascii="Times New Roman" w:hAnsi="Times New Roman" w:cs="Times New Roman"/>
          <w:sz w:val="20"/>
          <w:szCs w:val="20"/>
          <w:lang w:val="en-US"/>
        </w:rPr>
        <w:t>STATA</w:t>
      </w:r>
    </w:p>
    <w:p w14:paraId="664BB549" w14:textId="77777777" w:rsidR="0003217D" w:rsidRPr="003A6E5A" w:rsidRDefault="0003217D" w:rsidP="001608EA">
      <w:pPr>
        <w:spacing w:after="0" w:line="240" w:lineRule="auto"/>
        <w:jc w:val="both"/>
        <w:rPr>
          <w:rFonts w:ascii="Times New Roman" w:hAnsi="Times New Roman" w:cs="Times New Roman"/>
          <w:sz w:val="20"/>
          <w:szCs w:val="20"/>
        </w:rPr>
      </w:pPr>
    </w:p>
    <w:p w14:paraId="0176A8E2" w14:textId="77777777" w:rsidR="0003217D" w:rsidRPr="003A6E5A" w:rsidRDefault="00FC275D" w:rsidP="001608EA">
      <w:pPr>
        <w:spacing w:after="0" w:line="240" w:lineRule="auto"/>
        <w:rPr>
          <w:rFonts w:ascii="Times New Roman" w:hAnsi="Times New Roman" w:cs="Times New Roman"/>
        </w:rPr>
      </w:pPr>
      <w:r w:rsidRPr="003A6E5A">
        <w:rPr>
          <w:rFonts w:ascii="Times New Roman" w:eastAsia="SimSun" w:hAnsi="Times New Roman" w:cs="Times New Roman"/>
          <w:noProof/>
          <w:sz w:val="24"/>
          <w:szCs w:val="24"/>
          <w:lang w:val="en-US" w:eastAsia="zh-CN" w:bidi="ar"/>
        </w:rPr>
        <w:drawing>
          <wp:inline distT="0" distB="0" distL="114300" distR="114300" wp14:anchorId="404B1902" wp14:editId="1C0B30C7">
            <wp:extent cx="3358515" cy="1494790"/>
            <wp:effectExtent l="0" t="0" r="0" b="0"/>
            <wp:docPr id="1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IMG_256"/>
                    <pic:cNvPicPr>
                      <a:picLocks noChangeAspect="1"/>
                    </pic:cNvPicPr>
                  </pic:nvPicPr>
                  <pic:blipFill>
                    <a:blip r:embed="rId102"/>
                    <a:stretch>
                      <a:fillRect/>
                    </a:stretch>
                  </pic:blipFill>
                  <pic:spPr>
                    <a:xfrm>
                      <a:off x="0" y="0"/>
                      <a:ext cx="3364785" cy="1497514"/>
                    </a:xfrm>
                    <a:prstGeom prst="rect">
                      <a:avLst/>
                    </a:prstGeom>
                    <a:noFill/>
                    <a:ln w="9525">
                      <a:noFill/>
                    </a:ln>
                  </pic:spPr>
                </pic:pic>
              </a:graphicData>
            </a:graphic>
          </wp:inline>
        </w:drawing>
      </w:r>
    </w:p>
    <w:p w14:paraId="4039A724" w14:textId="77777777"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en-US"/>
        </w:rPr>
        <w:t>LNIFC</w:t>
      </w:r>
      <w:r w:rsidRPr="003A6E5A">
        <w:rPr>
          <w:rFonts w:ascii="Times New Roman" w:hAnsi="Times New Roman" w:cs="Times New Roman"/>
          <w:sz w:val="20"/>
          <w:szCs w:val="20"/>
        </w:rPr>
        <w:t xml:space="preserve"> - л</w:t>
      </w:r>
      <w:r w:rsidRPr="003A6E5A">
        <w:rPr>
          <w:rFonts w:ascii="Times New Roman" w:hAnsi="Times New Roman" w:cs="Times New Roman"/>
          <w:sz w:val="20"/>
          <w:szCs w:val="20"/>
          <w:lang w:val="kk-KZ"/>
        </w:rPr>
        <w:t>огарифм инвестиции в основной капитал</w:t>
      </w:r>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LNIRDC</w:t>
      </w:r>
      <w:r w:rsidRPr="003A6E5A">
        <w:rPr>
          <w:rFonts w:ascii="Times New Roman" w:hAnsi="Times New Roman" w:cs="Times New Roman"/>
          <w:sz w:val="20"/>
          <w:szCs w:val="20"/>
        </w:rPr>
        <w:t xml:space="preserve"> </w:t>
      </w:r>
      <w:r w:rsidRPr="003A6E5A">
        <w:rPr>
          <w:rFonts w:ascii="Times New Roman" w:hAnsi="Times New Roman" w:cs="Times New Roman"/>
          <w:sz w:val="28"/>
          <w:szCs w:val="28"/>
        </w:rPr>
        <w:t>–</w:t>
      </w:r>
      <w:r w:rsidRPr="003A6E5A">
        <w:rPr>
          <w:rFonts w:ascii="Times New Roman" w:hAnsi="Times New Roman" w:cs="Times New Roman"/>
          <w:sz w:val="20"/>
          <w:szCs w:val="20"/>
        </w:rPr>
        <w:t xml:space="preserve"> логарифм внутренних затрат на НИОКР, </w:t>
      </w:r>
      <w:r w:rsidRPr="003A6E5A">
        <w:rPr>
          <w:rFonts w:ascii="Times New Roman" w:hAnsi="Times New Roman" w:cs="Times New Roman"/>
          <w:sz w:val="20"/>
          <w:szCs w:val="20"/>
          <w:lang w:val="en-US"/>
        </w:rPr>
        <w:t>LNGRPPC</w:t>
      </w:r>
      <w:r w:rsidRPr="003A6E5A">
        <w:rPr>
          <w:rFonts w:ascii="Times New Roman" w:hAnsi="Times New Roman" w:cs="Times New Roman"/>
          <w:sz w:val="20"/>
          <w:szCs w:val="20"/>
        </w:rPr>
        <w:t xml:space="preserve"> - логарифм валовый регионального продукта на душу населения</w:t>
      </w:r>
    </w:p>
    <w:p w14:paraId="7ECDDD07" w14:textId="77777777"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rPr>
        <w:t xml:space="preserve">Источник: расчеты автора в статистической программе </w:t>
      </w:r>
      <w:r w:rsidRPr="003A6E5A">
        <w:rPr>
          <w:rFonts w:ascii="Times New Roman" w:hAnsi="Times New Roman" w:cs="Times New Roman"/>
          <w:sz w:val="20"/>
          <w:szCs w:val="20"/>
          <w:lang w:val="en-US"/>
        </w:rPr>
        <w:t>STATA</w:t>
      </w:r>
    </w:p>
    <w:p w14:paraId="3AA54FC0" w14:textId="77777777" w:rsidR="0003217D" w:rsidRPr="003A6E5A" w:rsidRDefault="0003217D" w:rsidP="001608EA">
      <w:pPr>
        <w:spacing w:after="0" w:line="240" w:lineRule="auto"/>
        <w:jc w:val="both"/>
        <w:rPr>
          <w:rFonts w:ascii="Times New Roman" w:hAnsi="Times New Roman" w:cs="Times New Roman"/>
          <w:sz w:val="20"/>
          <w:szCs w:val="20"/>
        </w:rPr>
      </w:pPr>
    </w:p>
    <w:p w14:paraId="72F15C7A" w14:textId="77777777" w:rsidR="0003217D" w:rsidRPr="003A6E5A" w:rsidRDefault="00FC275D" w:rsidP="001608EA">
      <w:pPr>
        <w:spacing w:after="0" w:line="240" w:lineRule="auto"/>
        <w:rPr>
          <w:rFonts w:ascii="Times New Roman" w:hAnsi="Times New Roman" w:cs="Times New Roman"/>
        </w:rPr>
      </w:pPr>
      <w:r w:rsidRPr="003A6E5A">
        <w:rPr>
          <w:rFonts w:ascii="Times New Roman" w:eastAsia="SimSun" w:hAnsi="Times New Roman" w:cs="Times New Roman"/>
          <w:noProof/>
          <w:sz w:val="24"/>
          <w:szCs w:val="24"/>
          <w:lang w:val="en-US" w:eastAsia="zh-CN" w:bidi="ar"/>
        </w:rPr>
        <w:drawing>
          <wp:inline distT="0" distB="0" distL="114300" distR="114300" wp14:anchorId="745B0DF8" wp14:editId="6433CE77">
            <wp:extent cx="4083050" cy="1620520"/>
            <wp:effectExtent l="0" t="0" r="0" b="0"/>
            <wp:docPr id="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IMG_256"/>
                    <pic:cNvPicPr>
                      <a:picLocks noChangeAspect="1"/>
                    </pic:cNvPicPr>
                  </pic:nvPicPr>
                  <pic:blipFill>
                    <a:blip r:embed="rId103"/>
                    <a:stretch>
                      <a:fillRect/>
                    </a:stretch>
                  </pic:blipFill>
                  <pic:spPr>
                    <a:xfrm>
                      <a:off x="0" y="0"/>
                      <a:ext cx="4094220" cy="1624978"/>
                    </a:xfrm>
                    <a:prstGeom prst="rect">
                      <a:avLst/>
                    </a:prstGeom>
                    <a:noFill/>
                    <a:ln w="9525">
                      <a:noFill/>
                    </a:ln>
                  </pic:spPr>
                </pic:pic>
              </a:graphicData>
            </a:graphic>
          </wp:inline>
        </w:drawing>
      </w:r>
    </w:p>
    <w:p w14:paraId="3075AB75" w14:textId="77777777" w:rsidR="0003217D" w:rsidRPr="003A6E5A" w:rsidRDefault="00FC275D" w:rsidP="001608EA">
      <w:pPr>
        <w:spacing w:after="0" w:line="240" w:lineRule="auto"/>
        <w:jc w:val="both"/>
        <w:rPr>
          <w:rFonts w:ascii="Times New Roman" w:hAnsi="Times New Roman" w:cs="Times New Roman"/>
          <w:sz w:val="20"/>
          <w:szCs w:val="20"/>
        </w:rPr>
      </w:pPr>
      <w:r w:rsidRPr="003A6E5A">
        <w:rPr>
          <w:rFonts w:ascii="Times New Roman" w:hAnsi="Times New Roman" w:cs="Times New Roman"/>
          <w:sz w:val="20"/>
          <w:szCs w:val="20"/>
          <w:lang w:val="en-US"/>
        </w:rPr>
        <w:t>LNIFC</w:t>
      </w:r>
      <w:r w:rsidRPr="003A6E5A">
        <w:rPr>
          <w:rFonts w:ascii="Times New Roman" w:hAnsi="Times New Roman" w:cs="Times New Roman"/>
          <w:sz w:val="20"/>
          <w:szCs w:val="20"/>
        </w:rPr>
        <w:t xml:space="preserve"> </w:t>
      </w:r>
      <w:r w:rsidRPr="003A6E5A">
        <w:rPr>
          <w:rFonts w:ascii="Times New Roman" w:hAnsi="Times New Roman" w:cs="Times New Roman"/>
          <w:sz w:val="28"/>
          <w:szCs w:val="28"/>
        </w:rPr>
        <w:t>–</w:t>
      </w:r>
      <w:r w:rsidRPr="003A6E5A">
        <w:rPr>
          <w:rFonts w:ascii="Times New Roman" w:hAnsi="Times New Roman" w:cs="Times New Roman"/>
          <w:sz w:val="20"/>
          <w:szCs w:val="20"/>
        </w:rPr>
        <w:t xml:space="preserve"> л</w:t>
      </w:r>
      <w:r w:rsidRPr="003A6E5A">
        <w:rPr>
          <w:rFonts w:ascii="Times New Roman" w:hAnsi="Times New Roman" w:cs="Times New Roman"/>
          <w:sz w:val="20"/>
          <w:szCs w:val="20"/>
          <w:lang w:val="kk-KZ"/>
        </w:rPr>
        <w:t>огарифм инвестиции в основной капитал</w:t>
      </w:r>
      <w:r w:rsidRPr="003A6E5A">
        <w:rPr>
          <w:rFonts w:ascii="Times New Roman" w:hAnsi="Times New Roman" w:cs="Times New Roman"/>
          <w:sz w:val="20"/>
          <w:szCs w:val="20"/>
        </w:rPr>
        <w:t xml:space="preserve">, </w:t>
      </w:r>
      <w:r w:rsidRPr="003A6E5A">
        <w:rPr>
          <w:rFonts w:ascii="Times New Roman" w:hAnsi="Times New Roman" w:cs="Times New Roman"/>
          <w:sz w:val="20"/>
          <w:szCs w:val="20"/>
          <w:lang w:val="en-US"/>
        </w:rPr>
        <w:t>LNIRDC</w:t>
      </w:r>
      <w:r w:rsidRPr="003A6E5A">
        <w:rPr>
          <w:rFonts w:ascii="Times New Roman" w:hAnsi="Times New Roman" w:cs="Times New Roman"/>
          <w:sz w:val="20"/>
          <w:szCs w:val="20"/>
        </w:rPr>
        <w:t xml:space="preserve"> </w:t>
      </w:r>
      <w:r w:rsidRPr="003A6E5A">
        <w:rPr>
          <w:rFonts w:ascii="Times New Roman" w:hAnsi="Times New Roman" w:cs="Times New Roman"/>
          <w:sz w:val="28"/>
          <w:szCs w:val="28"/>
        </w:rPr>
        <w:t>–</w:t>
      </w:r>
      <w:r w:rsidRPr="003A6E5A">
        <w:rPr>
          <w:rFonts w:ascii="Times New Roman" w:hAnsi="Times New Roman" w:cs="Times New Roman"/>
          <w:sz w:val="20"/>
          <w:szCs w:val="20"/>
        </w:rPr>
        <w:t xml:space="preserve"> логарифм внутренних затрат на НИОКР, </w:t>
      </w:r>
      <w:r w:rsidRPr="003A6E5A">
        <w:rPr>
          <w:rFonts w:ascii="Times New Roman" w:hAnsi="Times New Roman" w:cs="Times New Roman"/>
          <w:sz w:val="20"/>
          <w:szCs w:val="20"/>
          <w:lang w:val="en-US"/>
        </w:rPr>
        <w:t>LNGRPPC</w:t>
      </w:r>
      <w:r w:rsidRPr="003A6E5A">
        <w:rPr>
          <w:rFonts w:ascii="Times New Roman" w:hAnsi="Times New Roman" w:cs="Times New Roman"/>
          <w:sz w:val="20"/>
          <w:szCs w:val="20"/>
        </w:rPr>
        <w:t xml:space="preserve"> </w:t>
      </w:r>
      <w:r w:rsidRPr="003A6E5A">
        <w:rPr>
          <w:rFonts w:ascii="Times New Roman" w:hAnsi="Times New Roman" w:cs="Times New Roman"/>
          <w:sz w:val="28"/>
          <w:szCs w:val="28"/>
        </w:rPr>
        <w:t>–</w:t>
      </w:r>
      <w:r w:rsidRPr="003A6E5A">
        <w:rPr>
          <w:rFonts w:ascii="Times New Roman" w:hAnsi="Times New Roman" w:cs="Times New Roman"/>
          <w:sz w:val="20"/>
          <w:szCs w:val="20"/>
        </w:rPr>
        <w:t xml:space="preserve"> логарифм валовый регионального продукта на душу населения, </w:t>
      </w:r>
      <w:r w:rsidRPr="003A6E5A">
        <w:rPr>
          <w:rFonts w:ascii="Times New Roman" w:hAnsi="Times New Roman" w:cs="Times New Roman"/>
          <w:sz w:val="20"/>
          <w:szCs w:val="20"/>
          <w:lang w:val="en-US"/>
        </w:rPr>
        <w:t>LNNECORD</w:t>
      </w:r>
      <w:r w:rsidRPr="003A6E5A">
        <w:rPr>
          <w:rFonts w:ascii="Times New Roman" w:hAnsi="Times New Roman" w:cs="Times New Roman"/>
          <w:sz w:val="20"/>
          <w:szCs w:val="20"/>
        </w:rPr>
        <w:t xml:space="preserve"> </w:t>
      </w:r>
      <w:r w:rsidRPr="003A6E5A">
        <w:rPr>
          <w:rFonts w:ascii="Times New Roman" w:hAnsi="Times New Roman" w:cs="Times New Roman"/>
          <w:sz w:val="28"/>
          <w:szCs w:val="28"/>
        </w:rPr>
        <w:t>–</w:t>
      </w:r>
      <w:r w:rsidRPr="003A6E5A">
        <w:rPr>
          <w:rFonts w:ascii="Times New Roman" w:hAnsi="Times New Roman" w:cs="Times New Roman"/>
          <w:sz w:val="20"/>
          <w:szCs w:val="20"/>
        </w:rPr>
        <w:t xml:space="preserve"> логарифм, количество предприятий, осуществлявших НИОКР</w:t>
      </w:r>
    </w:p>
    <w:p w14:paraId="2D3F7A27" w14:textId="77777777" w:rsidR="0003217D" w:rsidRPr="003A6E5A" w:rsidRDefault="00FC275D" w:rsidP="001608EA">
      <w:pPr>
        <w:spacing w:after="0" w:line="240" w:lineRule="auto"/>
        <w:jc w:val="both"/>
        <w:rPr>
          <w:rFonts w:ascii="Times New Roman" w:hAnsi="Times New Roman" w:cs="Times New Roman"/>
          <w:b/>
          <w:bCs/>
          <w:sz w:val="28"/>
          <w:szCs w:val="28"/>
        </w:rPr>
      </w:pPr>
      <w:r w:rsidRPr="003A6E5A">
        <w:rPr>
          <w:rFonts w:ascii="Times New Roman" w:hAnsi="Times New Roman" w:cs="Times New Roman"/>
          <w:sz w:val="20"/>
          <w:szCs w:val="20"/>
        </w:rPr>
        <w:t xml:space="preserve">Источник: расчеты автора в статистической программе </w:t>
      </w:r>
      <w:r w:rsidRPr="003A6E5A">
        <w:rPr>
          <w:rFonts w:ascii="Times New Roman" w:hAnsi="Times New Roman" w:cs="Times New Roman"/>
          <w:sz w:val="20"/>
          <w:szCs w:val="20"/>
          <w:lang w:val="en-US"/>
        </w:rPr>
        <w:t>STATA</w:t>
      </w:r>
      <w:r w:rsidRPr="003A6E5A">
        <w:rPr>
          <w:rFonts w:ascii="Times New Roman" w:hAnsi="Times New Roman" w:cs="Times New Roman"/>
          <w:sz w:val="20"/>
          <w:szCs w:val="20"/>
        </w:rPr>
        <w:br w:type="page"/>
      </w:r>
    </w:p>
    <w:p w14:paraId="773DEB0E" w14:textId="77777777" w:rsidR="0003217D" w:rsidRPr="003A6E5A" w:rsidRDefault="0003217D" w:rsidP="001608EA">
      <w:pPr>
        <w:spacing w:after="0" w:line="240" w:lineRule="auto"/>
        <w:outlineLvl w:val="1"/>
        <w:rPr>
          <w:rFonts w:ascii="Times New Roman" w:hAnsi="Times New Roman" w:cs="Times New Roman"/>
          <w:b/>
          <w:bCs/>
          <w:sz w:val="32"/>
          <w:szCs w:val="32"/>
        </w:rPr>
        <w:sectPr w:rsidR="0003217D" w:rsidRPr="003A6E5A" w:rsidSect="000E57C1">
          <w:footerReference w:type="default" r:id="rId104"/>
          <w:pgSz w:w="11906" w:h="16838"/>
          <w:pgMar w:top="1138" w:right="605" w:bottom="1138" w:left="1699" w:header="706" w:footer="706" w:gutter="0"/>
          <w:cols w:space="708"/>
          <w:titlePg/>
          <w:docGrid w:linePitch="360"/>
        </w:sectPr>
      </w:pPr>
    </w:p>
    <w:p w14:paraId="1D6F5D77" w14:textId="63DC6118" w:rsidR="0003217D" w:rsidRPr="003A6E5A" w:rsidRDefault="00FC275D" w:rsidP="001608EA">
      <w:pPr>
        <w:spacing w:after="0" w:line="240" w:lineRule="auto"/>
        <w:jc w:val="center"/>
        <w:rPr>
          <w:rFonts w:ascii="Times New Roman" w:hAnsi="Times New Roman" w:cs="Times New Roman"/>
          <w:b/>
          <w:bCs/>
          <w:sz w:val="28"/>
          <w:szCs w:val="28"/>
        </w:rPr>
      </w:pPr>
      <w:r w:rsidRPr="003A6E5A">
        <w:rPr>
          <w:rFonts w:ascii="Times New Roman" w:hAnsi="Times New Roman" w:cs="Times New Roman"/>
          <w:b/>
          <w:bCs/>
          <w:sz w:val="28"/>
          <w:szCs w:val="28"/>
        </w:rPr>
        <w:t xml:space="preserve">Приложение </w:t>
      </w:r>
      <w:r w:rsidR="009C6427" w:rsidRPr="003A6E5A">
        <w:rPr>
          <w:rFonts w:ascii="Times New Roman" w:hAnsi="Times New Roman" w:cs="Times New Roman"/>
          <w:b/>
          <w:bCs/>
          <w:sz w:val="28"/>
          <w:szCs w:val="28"/>
          <w:lang w:val="kk-KZ"/>
        </w:rPr>
        <w:t>Г</w:t>
      </w:r>
      <w:r w:rsidRPr="003A6E5A">
        <w:rPr>
          <w:rFonts w:ascii="Times New Roman" w:hAnsi="Times New Roman" w:cs="Times New Roman"/>
          <w:b/>
          <w:bCs/>
          <w:sz w:val="28"/>
          <w:szCs w:val="28"/>
        </w:rPr>
        <w:t xml:space="preserve">. </w:t>
      </w:r>
      <w:r w:rsidR="009C6427" w:rsidRPr="003A6E5A">
        <w:rPr>
          <w:rFonts w:ascii="Times New Roman" w:hAnsi="Times New Roman" w:cs="Times New Roman"/>
          <w:bCs/>
          <w:sz w:val="28"/>
          <w:szCs w:val="28"/>
          <w:lang w:val="kk-KZ"/>
        </w:rPr>
        <w:t>Схема взаимосвязи факторов и институтов в механизме формирования инвестиционной активности</w:t>
      </w:r>
    </w:p>
    <w:p w14:paraId="54616EED" w14:textId="77777777" w:rsidR="0003217D" w:rsidRPr="003A6E5A" w:rsidRDefault="0003217D" w:rsidP="001608EA">
      <w:pPr>
        <w:spacing w:after="0" w:line="240" w:lineRule="auto"/>
        <w:rPr>
          <w:rFonts w:ascii="Times New Roman" w:eastAsia="SimSun" w:hAnsi="Times New Roman" w:cs="Times New Roman"/>
          <w:sz w:val="24"/>
          <w:szCs w:val="24"/>
          <w:lang w:eastAsia="zh-CN" w:bidi="ar"/>
        </w:rPr>
      </w:pPr>
    </w:p>
    <w:p w14:paraId="38E96BFD" w14:textId="77777777" w:rsidR="0003217D" w:rsidRPr="003A6E5A" w:rsidRDefault="00FC275D" w:rsidP="001608EA">
      <w:pPr>
        <w:spacing w:after="0" w:line="240" w:lineRule="auto"/>
        <w:rPr>
          <w:rFonts w:ascii="Times New Roman" w:hAnsi="Times New Roman" w:cs="Times New Roman"/>
        </w:rPr>
      </w:pPr>
      <w:r w:rsidRPr="003A6E5A">
        <w:rPr>
          <w:rFonts w:ascii="Times New Roman" w:eastAsia="SimSun" w:hAnsi="Times New Roman" w:cs="Times New Roman"/>
          <w:noProof/>
          <w:sz w:val="24"/>
          <w:szCs w:val="24"/>
          <w:lang w:val="en-US" w:eastAsia="zh-CN" w:bidi="ar"/>
        </w:rPr>
        <w:drawing>
          <wp:inline distT="0" distB="0" distL="114300" distR="114300" wp14:anchorId="3284904F" wp14:editId="22A101D0">
            <wp:extent cx="8929370" cy="4658360"/>
            <wp:effectExtent l="0" t="0" r="1270" b="5080"/>
            <wp:docPr id="1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descr="IMG_256"/>
                    <pic:cNvPicPr>
                      <a:picLocks noChangeAspect="1"/>
                    </pic:cNvPicPr>
                  </pic:nvPicPr>
                  <pic:blipFill>
                    <a:blip r:embed="rId105"/>
                    <a:stretch>
                      <a:fillRect/>
                    </a:stretch>
                  </pic:blipFill>
                  <pic:spPr>
                    <a:xfrm>
                      <a:off x="0" y="0"/>
                      <a:ext cx="8929370" cy="4658360"/>
                    </a:xfrm>
                    <a:prstGeom prst="rect">
                      <a:avLst/>
                    </a:prstGeom>
                    <a:noFill/>
                    <a:ln w="9525">
                      <a:noFill/>
                    </a:ln>
                  </pic:spPr>
                </pic:pic>
              </a:graphicData>
            </a:graphic>
          </wp:inline>
        </w:drawing>
      </w:r>
    </w:p>
    <w:p w14:paraId="6DE0A658" w14:textId="4C31699B" w:rsidR="0061056A" w:rsidRPr="003A6E5A" w:rsidRDefault="00FC275D" w:rsidP="001608EA">
      <w:pPr>
        <w:spacing w:after="0" w:line="240" w:lineRule="auto"/>
        <w:jc w:val="both"/>
        <w:rPr>
          <w:rFonts w:ascii="Times New Roman" w:hAnsi="Times New Roman" w:cs="Times New Roman"/>
          <w:sz w:val="28"/>
          <w:szCs w:val="28"/>
        </w:rPr>
      </w:pPr>
      <w:r w:rsidRPr="003A6E5A">
        <w:rPr>
          <w:rFonts w:ascii="Times New Roman" w:hAnsi="Times New Roman" w:cs="Times New Roman"/>
          <w:sz w:val="28"/>
          <w:szCs w:val="28"/>
        </w:rPr>
        <w:t>Схема механизма формирования инвестиционной активности</w:t>
      </w:r>
    </w:p>
    <w:p w14:paraId="78DD03F8" w14:textId="2DCFBBD4" w:rsidR="00491251" w:rsidRPr="003A6E5A" w:rsidRDefault="00491251" w:rsidP="00491251">
      <w:pPr>
        <w:spacing w:after="0" w:line="240" w:lineRule="auto"/>
        <w:jc w:val="both"/>
        <w:rPr>
          <w:rFonts w:ascii="Times New Roman" w:hAnsi="Times New Roman" w:cs="Times New Roman"/>
          <w:b/>
          <w:bCs/>
          <w:sz w:val="28"/>
          <w:szCs w:val="28"/>
        </w:rPr>
      </w:pPr>
      <w:r w:rsidRPr="003A6E5A">
        <w:rPr>
          <w:rFonts w:ascii="Times New Roman" w:hAnsi="Times New Roman" w:cs="Times New Roman"/>
          <w:sz w:val="20"/>
          <w:szCs w:val="20"/>
        </w:rPr>
        <w:br w:type="page"/>
      </w:r>
    </w:p>
    <w:p w14:paraId="51EE4365" w14:textId="77777777" w:rsidR="00491251" w:rsidRPr="003A6E5A" w:rsidRDefault="00491251" w:rsidP="00491251">
      <w:pPr>
        <w:spacing w:after="0" w:line="240" w:lineRule="auto"/>
        <w:outlineLvl w:val="1"/>
        <w:rPr>
          <w:rFonts w:ascii="Times New Roman" w:hAnsi="Times New Roman" w:cs="Times New Roman"/>
          <w:b/>
          <w:bCs/>
          <w:sz w:val="32"/>
          <w:szCs w:val="32"/>
        </w:rPr>
        <w:sectPr w:rsidR="00491251" w:rsidRPr="003A6E5A" w:rsidSect="00491251">
          <w:footerReference w:type="default" r:id="rId106"/>
          <w:pgSz w:w="16838" w:h="11906" w:orient="landscape"/>
          <w:pgMar w:top="1699" w:right="1138" w:bottom="605" w:left="1138" w:header="706" w:footer="706" w:gutter="0"/>
          <w:cols w:space="708"/>
          <w:titlePg/>
          <w:docGrid w:linePitch="360"/>
        </w:sectPr>
      </w:pPr>
    </w:p>
    <w:p w14:paraId="36D961B2" w14:textId="7ADFAC16" w:rsidR="0061056A" w:rsidRPr="003A6E5A" w:rsidRDefault="0061056A" w:rsidP="0061056A">
      <w:pPr>
        <w:spacing w:after="0" w:line="240" w:lineRule="auto"/>
        <w:jc w:val="center"/>
        <w:rPr>
          <w:rFonts w:ascii="Times New Roman" w:hAnsi="Times New Roman" w:cs="Times New Roman"/>
          <w:bCs/>
          <w:sz w:val="28"/>
          <w:szCs w:val="28"/>
          <w:lang w:val="kk-KZ"/>
        </w:rPr>
      </w:pPr>
      <w:r w:rsidRPr="003A6E5A">
        <w:rPr>
          <w:rFonts w:ascii="Times New Roman" w:hAnsi="Times New Roman" w:cs="Times New Roman"/>
          <w:b/>
          <w:bCs/>
          <w:sz w:val="28"/>
          <w:szCs w:val="28"/>
        </w:rPr>
        <w:t xml:space="preserve">Приложение </w:t>
      </w:r>
      <w:r w:rsidRPr="003A6E5A">
        <w:rPr>
          <w:rFonts w:ascii="Times New Roman" w:hAnsi="Times New Roman" w:cs="Times New Roman"/>
          <w:b/>
          <w:bCs/>
          <w:sz w:val="28"/>
          <w:szCs w:val="28"/>
          <w:lang w:val="kk-KZ"/>
        </w:rPr>
        <w:t>Д</w:t>
      </w:r>
      <w:r w:rsidRPr="003A6E5A">
        <w:rPr>
          <w:rFonts w:ascii="Times New Roman" w:hAnsi="Times New Roman" w:cs="Times New Roman"/>
          <w:b/>
          <w:bCs/>
          <w:sz w:val="28"/>
          <w:szCs w:val="28"/>
        </w:rPr>
        <w:t xml:space="preserve">. </w:t>
      </w:r>
      <w:r w:rsidRPr="003A6E5A">
        <w:rPr>
          <w:rFonts w:ascii="Times New Roman" w:hAnsi="Times New Roman" w:cs="Times New Roman"/>
          <w:bCs/>
          <w:sz w:val="28"/>
          <w:szCs w:val="28"/>
          <w:lang w:val="kk-KZ"/>
        </w:rPr>
        <w:t>Список переменных, использованных в моделях</w:t>
      </w:r>
    </w:p>
    <w:p w14:paraId="32BFAC56" w14:textId="7E432E70" w:rsidR="0061056A" w:rsidRPr="003A6E5A" w:rsidRDefault="0061056A" w:rsidP="0061056A">
      <w:pPr>
        <w:spacing w:after="0" w:line="240" w:lineRule="auto"/>
        <w:jc w:val="center"/>
        <w:rPr>
          <w:rFonts w:ascii="Times New Roman" w:hAnsi="Times New Roman" w:cs="Times New Roman"/>
          <w:b/>
          <w:bCs/>
          <w:sz w:val="28"/>
          <w:szCs w:val="28"/>
        </w:rPr>
      </w:pPr>
    </w:p>
    <w:tbl>
      <w:tblPr>
        <w:tblStyle w:val="ac"/>
        <w:tblW w:w="0" w:type="auto"/>
        <w:tblLook w:val="04A0" w:firstRow="1" w:lastRow="0" w:firstColumn="1" w:lastColumn="0" w:noHBand="0" w:noVBand="1"/>
      </w:tblPr>
      <w:tblGrid>
        <w:gridCol w:w="501"/>
        <w:gridCol w:w="2090"/>
        <w:gridCol w:w="2011"/>
        <w:gridCol w:w="2187"/>
        <w:gridCol w:w="2803"/>
      </w:tblGrid>
      <w:tr w:rsidR="00B02CF8" w:rsidRPr="003A6E5A" w14:paraId="2BA3C0D8" w14:textId="77777777" w:rsidTr="0061056A">
        <w:tc>
          <w:tcPr>
            <w:tcW w:w="562" w:type="dxa"/>
          </w:tcPr>
          <w:p w14:paraId="635EE2B3" w14:textId="49FA3139" w:rsidR="0061056A" w:rsidRPr="003A6E5A" w:rsidRDefault="0061056A" w:rsidP="0061056A">
            <w:pPr>
              <w:spacing w:after="0" w:line="240" w:lineRule="auto"/>
              <w:jc w:val="center"/>
              <w:rPr>
                <w:rFonts w:ascii="Times New Roman" w:hAnsi="Times New Roman" w:cs="Times New Roman"/>
                <w:bCs/>
                <w:sz w:val="28"/>
                <w:szCs w:val="28"/>
              </w:rPr>
            </w:pPr>
            <w:r w:rsidRPr="003A6E5A">
              <w:rPr>
                <w:rFonts w:ascii="Times New Roman" w:hAnsi="Times New Roman" w:cs="Times New Roman"/>
                <w:bCs/>
                <w:sz w:val="28"/>
                <w:szCs w:val="28"/>
              </w:rPr>
              <w:t>№</w:t>
            </w:r>
          </w:p>
        </w:tc>
        <w:tc>
          <w:tcPr>
            <w:tcW w:w="2552" w:type="dxa"/>
          </w:tcPr>
          <w:p w14:paraId="68F1654A" w14:textId="41090479" w:rsidR="0061056A" w:rsidRPr="003A6E5A" w:rsidRDefault="00491251" w:rsidP="0061056A">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Наименование переменной</w:t>
            </w:r>
          </w:p>
        </w:tc>
        <w:tc>
          <w:tcPr>
            <w:tcW w:w="3685" w:type="dxa"/>
          </w:tcPr>
          <w:p w14:paraId="4A2BEA62" w14:textId="42E51207" w:rsidR="0061056A" w:rsidRPr="003A6E5A" w:rsidRDefault="0061056A" w:rsidP="0061056A">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Временной интервал</w:t>
            </w:r>
          </w:p>
        </w:tc>
        <w:tc>
          <w:tcPr>
            <w:tcW w:w="4841" w:type="dxa"/>
          </w:tcPr>
          <w:p w14:paraId="11CB8706" w14:textId="0B50ED5A" w:rsidR="0061056A" w:rsidRPr="003A6E5A" w:rsidRDefault="0061056A" w:rsidP="0061056A">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Единица измерения</w:t>
            </w:r>
          </w:p>
        </w:tc>
        <w:tc>
          <w:tcPr>
            <w:tcW w:w="2911" w:type="dxa"/>
          </w:tcPr>
          <w:p w14:paraId="4807A75A" w14:textId="1E7ED408" w:rsidR="0061056A" w:rsidRPr="003A6E5A" w:rsidRDefault="0061056A" w:rsidP="0061056A">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Нормализация</w:t>
            </w:r>
          </w:p>
        </w:tc>
      </w:tr>
      <w:tr w:rsidR="00B02CF8" w:rsidRPr="003A6E5A" w14:paraId="313F62CE" w14:textId="77777777" w:rsidTr="0061056A">
        <w:tc>
          <w:tcPr>
            <w:tcW w:w="562" w:type="dxa"/>
          </w:tcPr>
          <w:p w14:paraId="4429FA2E" w14:textId="1E3F451B" w:rsidR="0061056A" w:rsidRPr="003A6E5A" w:rsidRDefault="0061056A" w:rsidP="0061056A">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1</w:t>
            </w:r>
          </w:p>
        </w:tc>
        <w:tc>
          <w:tcPr>
            <w:tcW w:w="2552" w:type="dxa"/>
          </w:tcPr>
          <w:p w14:paraId="7DC6EBFF" w14:textId="7A3C8A5B" w:rsidR="0061056A" w:rsidRPr="003A6E5A" w:rsidRDefault="0061056A" w:rsidP="0061056A">
            <w:pPr>
              <w:spacing w:after="0" w:line="240" w:lineRule="auto"/>
              <w:rPr>
                <w:rFonts w:ascii="Times New Roman" w:hAnsi="Times New Roman" w:cs="Times New Roman"/>
                <w:bCs/>
                <w:sz w:val="28"/>
                <w:szCs w:val="28"/>
                <w:lang w:val="en-US"/>
              </w:rPr>
            </w:pPr>
            <w:r w:rsidRPr="003A6E5A">
              <w:rPr>
                <w:rFonts w:ascii="Times New Roman" w:hAnsi="Times New Roman" w:cs="Times New Roman"/>
                <w:bCs/>
                <w:sz w:val="28"/>
                <w:szCs w:val="28"/>
                <w:lang w:val="en-US"/>
              </w:rPr>
              <w:t>IFC</w:t>
            </w:r>
          </w:p>
        </w:tc>
        <w:tc>
          <w:tcPr>
            <w:tcW w:w="3685" w:type="dxa"/>
          </w:tcPr>
          <w:p w14:paraId="196F9D24" w14:textId="6E7B69C0" w:rsidR="0061056A" w:rsidRPr="003A6E5A" w:rsidRDefault="0061056A" w:rsidP="0061056A">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w:t>
            </w:r>
            <w:r w:rsidR="00491251" w:rsidRPr="003A6E5A">
              <w:rPr>
                <w:rFonts w:ascii="Times New Roman" w:hAnsi="Times New Roman" w:cs="Times New Roman"/>
                <w:bCs/>
                <w:sz w:val="28"/>
                <w:szCs w:val="28"/>
              </w:rPr>
              <w:t>023</w:t>
            </w:r>
            <w:r w:rsidRPr="003A6E5A">
              <w:rPr>
                <w:rFonts w:ascii="Times New Roman" w:hAnsi="Times New Roman" w:cs="Times New Roman"/>
                <w:bCs/>
                <w:sz w:val="28"/>
                <w:szCs w:val="28"/>
              </w:rPr>
              <w:t xml:space="preserve"> гг.</w:t>
            </w:r>
          </w:p>
        </w:tc>
        <w:tc>
          <w:tcPr>
            <w:tcW w:w="4841" w:type="dxa"/>
          </w:tcPr>
          <w:p w14:paraId="69EC2D2A" w14:textId="1CCED20B" w:rsidR="0061056A" w:rsidRPr="003A6E5A" w:rsidRDefault="0061056A" w:rsidP="0061056A">
            <w:pPr>
              <w:spacing w:after="0" w:line="240" w:lineRule="auto"/>
              <w:rPr>
                <w:rFonts w:ascii="Times New Roman" w:hAnsi="Times New Roman" w:cs="Times New Roman"/>
                <w:bCs/>
                <w:sz w:val="28"/>
                <w:szCs w:val="28"/>
                <w:lang w:val="kk-KZ"/>
              </w:rPr>
            </w:pPr>
            <w:r w:rsidRPr="003A6E5A">
              <w:rPr>
                <w:rFonts w:ascii="Times New Roman" w:hAnsi="Times New Roman" w:cs="Times New Roman"/>
                <w:bCs/>
                <w:sz w:val="28"/>
                <w:szCs w:val="28"/>
                <w:lang w:val="kk-KZ"/>
              </w:rPr>
              <w:t>миллион тенге</w:t>
            </w:r>
          </w:p>
        </w:tc>
        <w:tc>
          <w:tcPr>
            <w:tcW w:w="2911" w:type="dxa"/>
          </w:tcPr>
          <w:p w14:paraId="248DA237" w14:textId="15DB2E3F" w:rsidR="0061056A" w:rsidRPr="003A6E5A" w:rsidRDefault="0061056A" w:rsidP="0061056A">
            <w:pPr>
              <w:spacing w:after="0" w:line="240" w:lineRule="auto"/>
              <w:rPr>
                <w:rFonts w:ascii="Times New Roman" w:hAnsi="Times New Roman" w:cs="Times New Roman"/>
                <w:bCs/>
                <w:sz w:val="28"/>
                <w:szCs w:val="28"/>
                <w:lang w:val="kk-KZ"/>
              </w:rPr>
            </w:pPr>
            <w:r w:rsidRPr="003A6E5A">
              <w:rPr>
                <w:rFonts w:ascii="Times New Roman" w:hAnsi="Times New Roman" w:cs="Times New Roman"/>
                <w:bCs/>
                <w:sz w:val="28"/>
                <w:szCs w:val="28"/>
                <w:lang w:val="kk-KZ"/>
              </w:rPr>
              <w:t>переменная была прологарифмирована</w:t>
            </w:r>
          </w:p>
        </w:tc>
      </w:tr>
      <w:tr w:rsidR="00B02CF8" w:rsidRPr="003A6E5A" w14:paraId="0A08B493" w14:textId="77777777" w:rsidTr="0061056A">
        <w:tc>
          <w:tcPr>
            <w:tcW w:w="562" w:type="dxa"/>
          </w:tcPr>
          <w:p w14:paraId="67BE3BD2" w14:textId="7C4AD7C6"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w:t>
            </w:r>
          </w:p>
        </w:tc>
        <w:tc>
          <w:tcPr>
            <w:tcW w:w="2552" w:type="dxa"/>
          </w:tcPr>
          <w:p w14:paraId="09EBFA19" w14:textId="369AA069"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sz w:val="24"/>
                <w:szCs w:val="24"/>
                <w:lang w:val="en-US"/>
              </w:rPr>
              <w:t>AMNW</w:t>
            </w:r>
          </w:p>
        </w:tc>
        <w:tc>
          <w:tcPr>
            <w:tcW w:w="3685" w:type="dxa"/>
          </w:tcPr>
          <w:p w14:paraId="0809CFF8" w14:textId="33D03013"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2014-2023 гг.</w:t>
            </w:r>
          </w:p>
        </w:tc>
        <w:tc>
          <w:tcPr>
            <w:tcW w:w="4841" w:type="dxa"/>
          </w:tcPr>
          <w:p w14:paraId="7B7C070D" w14:textId="602CD58E"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тысячи тенге</w:t>
            </w:r>
          </w:p>
        </w:tc>
        <w:tc>
          <w:tcPr>
            <w:tcW w:w="2911" w:type="dxa"/>
          </w:tcPr>
          <w:p w14:paraId="60277322" w14:textId="728EC5D9"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переменная была прологарифмирована</w:t>
            </w:r>
          </w:p>
        </w:tc>
      </w:tr>
      <w:tr w:rsidR="00B02CF8" w:rsidRPr="003A6E5A" w14:paraId="4A5A1854" w14:textId="77777777" w:rsidTr="0061056A">
        <w:tc>
          <w:tcPr>
            <w:tcW w:w="562" w:type="dxa"/>
          </w:tcPr>
          <w:p w14:paraId="0B0425ED" w14:textId="5E44C542"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3</w:t>
            </w:r>
          </w:p>
        </w:tc>
        <w:tc>
          <w:tcPr>
            <w:tcW w:w="2552" w:type="dxa"/>
          </w:tcPr>
          <w:p w14:paraId="69A18AF4" w14:textId="5B337DC5"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sz w:val="24"/>
                <w:szCs w:val="24"/>
                <w:lang w:val="en-US"/>
              </w:rPr>
              <w:t>AVIP</w:t>
            </w:r>
          </w:p>
        </w:tc>
        <w:tc>
          <w:tcPr>
            <w:tcW w:w="3685" w:type="dxa"/>
          </w:tcPr>
          <w:p w14:paraId="392FA341" w14:textId="7767F698"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2014-2023 гг.</w:t>
            </w:r>
          </w:p>
        </w:tc>
        <w:tc>
          <w:tcPr>
            <w:tcW w:w="4841" w:type="dxa"/>
          </w:tcPr>
          <w:p w14:paraId="7396CA41" w14:textId="6584FDB6"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миллион тенге</w:t>
            </w:r>
          </w:p>
        </w:tc>
        <w:tc>
          <w:tcPr>
            <w:tcW w:w="2911" w:type="dxa"/>
          </w:tcPr>
          <w:p w14:paraId="7ADA110D" w14:textId="6A491429"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переменная была прологарифмирована</w:t>
            </w:r>
          </w:p>
        </w:tc>
      </w:tr>
      <w:tr w:rsidR="00B02CF8" w:rsidRPr="003A6E5A" w14:paraId="6FBDB2E5" w14:textId="77777777" w:rsidTr="0061056A">
        <w:tc>
          <w:tcPr>
            <w:tcW w:w="562" w:type="dxa"/>
          </w:tcPr>
          <w:p w14:paraId="7D641E63" w14:textId="0F505869"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4</w:t>
            </w:r>
          </w:p>
        </w:tc>
        <w:tc>
          <w:tcPr>
            <w:tcW w:w="2552" w:type="dxa"/>
          </w:tcPr>
          <w:p w14:paraId="7F1247FA" w14:textId="616CE866"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sz w:val="24"/>
                <w:szCs w:val="24"/>
                <w:lang w:val="en-US"/>
              </w:rPr>
              <w:t>NECORD</w:t>
            </w:r>
          </w:p>
        </w:tc>
        <w:tc>
          <w:tcPr>
            <w:tcW w:w="3685" w:type="dxa"/>
          </w:tcPr>
          <w:p w14:paraId="04EEADEF" w14:textId="537F7F90"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2014-2023 гг.</w:t>
            </w:r>
          </w:p>
        </w:tc>
        <w:tc>
          <w:tcPr>
            <w:tcW w:w="4841" w:type="dxa"/>
          </w:tcPr>
          <w:p w14:paraId="539367F0" w14:textId="3AF1516E"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тысячи</w:t>
            </w:r>
          </w:p>
        </w:tc>
        <w:tc>
          <w:tcPr>
            <w:tcW w:w="2911" w:type="dxa"/>
          </w:tcPr>
          <w:p w14:paraId="59075247" w14:textId="10974C54"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переменная была прологарифмирована</w:t>
            </w:r>
          </w:p>
        </w:tc>
      </w:tr>
      <w:tr w:rsidR="00B02CF8" w:rsidRPr="003A6E5A" w14:paraId="0813DE28" w14:textId="77777777" w:rsidTr="0061056A">
        <w:tc>
          <w:tcPr>
            <w:tcW w:w="562" w:type="dxa"/>
          </w:tcPr>
          <w:p w14:paraId="5B84EBF5" w14:textId="185C690C"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5</w:t>
            </w:r>
          </w:p>
        </w:tc>
        <w:tc>
          <w:tcPr>
            <w:tcW w:w="2552" w:type="dxa"/>
          </w:tcPr>
          <w:p w14:paraId="33DAD412" w14:textId="46F00A2B"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sz w:val="24"/>
                <w:szCs w:val="24"/>
                <w:lang w:val="en-US"/>
              </w:rPr>
              <w:t>NS</w:t>
            </w:r>
          </w:p>
        </w:tc>
        <w:tc>
          <w:tcPr>
            <w:tcW w:w="3685" w:type="dxa"/>
          </w:tcPr>
          <w:p w14:paraId="155CFE15" w14:textId="03B7F77E"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2014-2023 гг.</w:t>
            </w:r>
          </w:p>
        </w:tc>
        <w:tc>
          <w:tcPr>
            <w:tcW w:w="4841" w:type="dxa"/>
          </w:tcPr>
          <w:p w14:paraId="2B8C2A92" w14:textId="169364E7"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тысячи</w:t>
            </w:r>
          </w:p>
        </w:tc>
        <w:tc>
          <w:tcPr>
            <w:tcW w:w="2911" w:type="dxa"/>
          </w:tcPr>
          <w:p w14:paraId="3B49ECB2" w14:textId="1757E76B"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переменная была прологарифмирована</w:t>
            </w:r>
          </w:p>
        </w:tc>
      </w:tr>
      <w:tr w:rsidR="00B02CF8" w:rsidRPr="003A6E5A" w14:paraId="650C735B" w14:textId="77777777" w:rsidTr="0061056A">
        <w:tc>
          <w:tcPr>
            <w:tcW w:w="562" w:type="dxa"/>
          </w:tcPr>
          <w:p w14:paraId="4D2F99B5" w14:textId="29B268FD"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6</w:t>
            </w:r>
          </w:p>
        </w:tc>
        <w:tc>
          <w:tcPr>
            <w:tcW w:w="2552" w:type="dxa"/>
          </w:tcPr>
          <w:p w14:paraId="362893FD" w14:textId="1E7DCD23"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sz w:val="24"/>
                <w:szCs w:val="24"/>
                <w:lang w:val="en-US"/>
              </w:rPr>
              <w:t>PERD</w:t>
            </w:r>
          </w:p>
        </w:tc>
        <w:tc>
          <w:tcPr>
            <w:tcW w:w="3685" w:type="dxa"/>
          </w:tcPr>
          <w:p w14:paraId="4DC22594" w14:textId="28BEF85A"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2014-2023 гг.</w:t>
            </w:r>
          </w:p>
        </w:tc>
        <w:tc>
          <w:tcPr>
            <w:tcW w:w="4841" w:type="dxa"/>
          </w:tcPr>
          <w:p w14:paraId="2C288259" w14:textId="4060D1AE"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 xml:space="preserve">тысячи </w:t>
            </w:r>
          </w:p>
        </w:tc>
        <w:tc>
          <w:tcPr>
            <w:tcW w:w="2911" w:type="dxa"/>
          </w:tcPr>
          <w:p w14:paraId="291D532B" w14:textId="2255B07D"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переменная была прологарифмирована</w:t>
            </w:r>
          </w:p>
        </w:tc>
      </w:tr>
      <w:tr w:rsidR="00491251" w:rsidRPr="003A6E5A" w14:paraId="2432EE30" w14:textId="77777777" w:rsidTr="0061056A">
        <w:tc>
          <w:tcPr>
            <w:tcW w:w="562" w:type="dxa"/>
          </w:tcPr>
          <w:p w14:paraId="076251A5" w14:textId="50E87DE7"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7</w:t>
            </w:r>
          </w:p>
        </w:tc>
        <w:tc>
          <w:tcPr>
            <w:tcW w:w="2552" w:type="dxa"/>
          </w:tcPr>
          <w:p w14:paraId="61E2DB3D" w14:textId="22476CCF" w:rsidR="00491251" w:rsidRPr="003A6E5A" w:rsidRDefault="00491251" w:rsidP="00491251">
            <w:pPr>
              <w:spacing w:after="0" w:line="240" w:lineRule="auto"/>
              <w:jc w:val="left"/>
              <w:rPr>
                <w:rFonts w:ascii="Times New Roman" w:hAnsi="Times New Roman" w:cs="Times New Roman"/>
                <w:bCs/>
                <w:sz w:val="28"/>
                <w:szCs w:val="28"/>
              </w:rPr>
            </w:pPr>
            <w:r w:rsidRPr="003A6E5A">
              <w:rPr>
                <w:rFonts w:ascii="Times New Roman" w:hAnsi="Times New Roman" w:cs="Times New Roman"/>
                <w:sz w:val="24"/>
                <w:szCs w:val="24"/>
                <w:lang w:val="en-US"/>
              </w:rPr>
              <w:t>GRPPC</w:t>
            </w:r>
          </w:p>
        </w:tc>
        <w:tc>
          <w:tcPr>
            <w:tcW w:w="3685" w:type="dxa"/>
          </w:tcPr>
          <w:p w14:paraId="5701AB1F" w14:textId="5A46AB94"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rPr>
              <w:t>2014-2023 гг.</w:t>
            </w:r>
          </w:p>
        </w:tc>
        <w:tc>
          <w:tcPr>
            <w:tcW w:w="4841" w:type="dxa"/>
          </w:tcPr>
          <w:p w14:paraId="760E96AE" w14:textId="1A55529D"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миллион тенге</w:t>
            </w:r>
          </w:p>
        </w:tc>
        <w:tc>
          <w:tcPr>
            <w:tcW w:w="2911" w:type="dxa"/>
          </w:tcPr>
          <w:p w14:paraId="28B789EC" w14:textId="4C60833A" w:rsidR="00491251" w:rsidRPr="003A6E5A" w:rsidRDefault="00491251" w:rsidP="00491251">
            <w:pPr>
              <w:spacing w:after="0" w:line="240" w:lineRule="auto"/>
              <w:rPr>
                <w:rFonts w:ascii="Times New Roman" w:hAnsi="Times New Roman" w:cs="Times New Roman"/>
                <w:bCs/>
                <w:sz w:val="28"/>
                <w:szCs w:val="28"/>
              </w:rPr>
            </w:pPr>
            <w:r w:rsidRPr="003A6E5A">
              <w:rPr>
                <w:rFonts w:ascii="Times New Roman" w:hAnsi="Times New Roman" w:cs="Times New Roman"/>
                <w:bCs/>
                <w:sz w:val="28"/>
                <w:szCs w:val="28"/>
                <w:lang w:val="kk-KZ"/>
              </w:rPr>
              <w:t>переменная была прологарифмирована</w:t>
            </w:r>
          </w:p>
        </w:tc>
      </w:tr>
    </w:tbl>
    <w:p w14:paraId="72597EAA" w14:textId="34D19564" w:rsidR="0061056A" w:rsidRPr="003A6E5A" w:rsidRDefault="0061056A" w:rsidP="0061056A">
      <w:pPr>
        <w:spacing w:after="0" w:line="240" w:lineRule="auto"/>
        <w:jc w:val="both"/>
        <w:rPr>
          <w:rFonts w:ascii="Times New Roman" w:hAnsi="Times New Roman" w:cs="Times New Roman"/>
          <w:b/>
          <w:bCs/>
          <w:sz w:val="28"/>
          <w:szCs w:val="28"/>
        </w:rPr>
      </w:pPr>
    </w:p>
    <w:p w14:paraId="7D672E9E" w14:textId="77777777" w:rsidR="0003217D" w:rsidRPr="003A6E5A" w:rsidRDefault="0003217D" w:rsidP="001608EA">
      <w:pPr>
        <w:spacing w:after="0" w:line="240" w:lineRule="auto"/>
        <w:jc w:val="both"/>
        <w:rPr>
          <w:rFonts w:ascii="Times New Roman" w:hAnsi="Times New Roman" w:cs="Times New Roman"/>
          <w:sz w:val="20"/>
          <w:szCs w:val="20"/>
        </w:rPr>
      </w:pPr>
    </w:p>
    <w:p w14:paraId="66B3B486" w14:textId="77777777" w:rsidR="006736FC" w:rsidRPr="003A6E5A" w:rsidRDefault="006736FC">
      <w:pPr>
        <w:spacing w:after="0" w:line="240" w:lineRule="auto"/>
        <w:jc w:val="both"/>
        <w:rPr>
          <w:rFonts w:ascii="Times New Roman" w:hAnsi="Times New Roman" w:cs="Times New Roman"/>
          <w:sz w:val="20"/>
          <w:szCs w:val="20"/>
        </w:rPr>
      </w:pPr>
    </w:p>
    <w:sectPr w:rsidR="006736FC" w:rsidRPr="003A6E5A" w:rsidSect="00491251">
      <w:footerReference w:type="default" r:id="rId107"/>
      <w:pgSz w:w="11906" w:h="16838"/>
      <w:pgMar w:top="1138" w:right="605" w:bottom="1138"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43DE4" w14:textId="77777777" w:rsidR="00790CB1" w:rsidRDefault="00790CB1">
      <w:pPr>
        <w:spacing w:line="240" w:lineRule="auto"/>
      </w:pPr>
      <w:r>
        <w:separator/>
      </w:r>
    </w:p>
  </w:endnote>
  <w:endnote w:type="continuationSeparator" w:id="0">
    <w:p w14:paraId="12799F87" w14:textId="77777777" w:rsidR="00790CB1" w:rsidRDefault="00790C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452471"/>
    </w:sdtPr>
    <w:sdtEndPr>
      <w:rPr>
        <w:rFonts w:ascii="Times New Roman" w:hAnsi="Times New Roman" w:cs="Times New Roman"/>
        <w:sz w:val="28"/>
        <w:szCs w:val="28"/>
      </w:rPr>
    </w:sdtEndPr>
    <w:sdtContent>
      <w:p w14:paraId="76886A8A" w14:textId="77777777" w:rsidR="002452E6" w:rsidRDefault="002452E6">
        <w:pPr>
          <w:pStyle w:val="a4"/>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798209"/>
    </w:sdtPr>
    <w:sdtEndPr>
      <w:rPr>
        <w:rFonts w:ascii="Times New Roman" w:hAnsi="Times New Roman" w:cs="Times New Roman"/>
        <w:sz w:val="28"/>
        <w:szCs w:val="28"/>
      </w:rPr>
    </w:sdtEndPr>
    <w:sdtContent>
      <w:p w14:paraId="50AE753E" w14:textId="77777777" w:rsidR="002452E6" w:rsidRDefault="002452E6">
        <w:pPr>
          <w:pStyle w:val="a4"/>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850260"/>
    </w:sdtPr>
    <w:sdtEndPr>
      <w:rPr>
        <w:rFonts w:ascii="Times New Roman" w:hAnsi="Times New Roman" w:cs="Times New Roman"/>
        <w:sz w:val="28"/>
        <w:szCs w:val="28"/>
      </w:rPr>
    </w:sdtEndPr>
    <w:sdtContent>
      <w:p w14:paraId="52D4ED02" w14:textId="77777777" w:rsidR="002452E6" w:rsidRDefault="002452E6">
        <w:pPr>
          <w:pStyle w:val="a4"/>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3F8EF3" w14:textId="77777777" w:rsidR="00790CB1" w:rsidRDefault="00790CB1">
      <w:pPr>
        <w:spacing w:after="0"/>
      </w:pPr>
      <w:r>
        <w:separator/>
      </w:r>
    </w:p>
  </w:footnote>
  <w:footnote w:type="continuationSeparator" w:id="0">
    <w:p w14:paraId="32C670DF" w14:textId="77777777" w:rsidR="00790CB1" w:rsidRDefault="00790C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C53A23"/>
    <w:multiLevelType w:val="multilevel"/>
    <w:tmpl w:val="84C53A2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230E001F"/>
    <w:multiLevelType w:val="multilevel"/>
    <w:tmpl w:val="BC9C5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E59F8"/>
    <w:multiLevelType w:val="multilevel"/>
    <w:tmpl w:val="AE9C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F1A0D"/>
    <w:multiLevelType w:val="hybridMultilevel"/>
    <w:tmpl w:val="B3BCA44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2B7F746B"/>
    <w:multiLevelType w:val="hybridMultilevel"/>
    <w:tmpl w:val="FC7CEE60"/>
    <w:lvl w:ilvl="0" w:tplc="95CC21E6">
      <w:start w:val="1"/>
      <w:numFmt w:val="decimal"/>
      <w:lvlText w:val="%1"/>
      <w:lvlJc w:val="left"/>
      <w:pPr>
        <w:ind w:left="1920" w:hanging="360"/>
      </w:pPr>
      <w:rPr>
        <w:rFonts w:ascii="Times New Roman" w:eastAsiaTheme="minorHAnsi" w:hAnsi="Times New Roman" w:cs="Times New Roman"/>
        <w:b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2BBD3909"/>
    <w:multiLevelType w:val="multilevel"/>
    <w:tmpl w:val="7FBCF6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499B0087"/>
    <w:multiLevelType w:val="hybridMultilevel"/>
    <w:tmpl w:val="AF5CEFD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4A3803A0"/>
    <w:multiLevelType w:val="hybridMultilevel"/>
    <w:tmpl w:val="640A5C6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527C2991"/>
    <w:multiLevelType w:val="multilevel"/>
    <w:tmpl w:val="527C299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2902778"/>
    <w:multiLevelType w:val="hybridMultilevel"/>
    <w:tmpl w:val="3D02D2E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5B2F6A8D"/>
    <w:multiLevelType w:val="hybridMultilevel"/>
    <w:tmpl w:val="F4004C3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68B6521C"/>
    <w:multiLevelType w:val="hybridMultilevel"/>
    <w:tmpl w:val="A560FF6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69407F52"/>
    <w:multiLevelType w:val="hybridMultilevel"/>
    <w:tmpl w:val="69183BF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733E5CB2"/>
    <w:multiLevelType w:val="hybridMultilevel"/>
    <w:tmpl w:val="A67665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741D60A1"/>
    <w:multiLevelType w:val="hybridMultilevel"/>
    <w:tmpl w:val="5BA8D7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74874327"/>
    <w:multiLevelType w:val="hybridMultilevel"/>
    <w:tmpl w:val="CD0CFBE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77B937BE"/>
    <w:multiLevelType w:val="hybridMultilevel"/>
    <w:tmpl w:val="70421A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5"/>
  </w:num>
  <w:num w:numId="4">
    <w:abstractNumId w:val="4"/>
  </w:num>
  <w:num w:numId="5">
    <w:abstractNumId w:val="13"/>
  </w:num>
  <w:num w:numId="6">
    <w:abstractNumId w:val="7"/>
  </w:num>
  <w:num w:numId="7">
    <w:abstractNumId w:val="10"/>
  </w:num>
  <w:num w:numId="8">
    <w:abstractNumId w:val="12"/>
  </w:num>
  <w:num w:numId="9">
    <w:abstractNumId w:val="14"/>
  </w:num>
  <w:num w:numId="10">
    <w:abstractNumId w:val="15"/>
  </w:num>
  <w:num w:numId="11">
    <w:abstractNumId w:val="3"/>
  </w:num>
  <w:num w:numId="12">
    <w:abstractNumId w:val="16"/>
  </w:num>
  <w:num w:numId="13">
    <w:abstractNumId w:val="11"/>
  </w:num>
  <w:num w:numId="14">
    <w:abstractNumId w:val="9"/>
  </w:num>
  <w:num w:numId="15">
    <w:abstractNumId w:val="6"/>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365"/>
    <w:rsid w:val="00001AEB"/>
    <w:rsid w:val="000039B9"/>
    <w:rsid w:val="000047DD"/>
    <w:rsid w:val="00005252"/>
    <w:rsid w:val="0000581C"/>
    <w:rsid w:val="0001273A"/>
    <w:rsid w:val="00013165"/>
    <w:rsid w:val="0001340E"/>
    <w:rsid w:val="000139E3"/>
    <w:rsid w:val="0001441D"/>
    <w:rsid w:val="00017002"/>
    <w:rsid w:val="00017039"/>
    <w:rsid w:val="00017D2E"/>
    <w:rsid w:val="00020626"/>
    <w:rsid w:val="000206C3"/>
    <w:rsid w:val="00020A41"/>
    <w:rsid w:val="0002360C"/>
    <w:rsid w:val="00024CDA"/>
    <w:rsid w:val="00024F7F"/>
    <w:rsid w:val="00025B77"/>
    <w:rsid w:val="00025C32"/>
    <w:rsid w:val="00026B82"/>
    <w:rsid w:val="0003086C"/>
    <w:rsid w:val="00030CAF"/>
    <w:rsid w:val="00031137"/>
    <w:rsid w:val="0003217D"/>
    <w:rsid w:val="00037002"/>
    <w:rsid w:val="0003765C"/>
    <w:rsid w:val="00040332"/>
    <w:rsid w:val="00040E9F"/>
    <w:rsid w:val="00041269"/>
    <w:rsid w:val="0004322D"/>
    <w:rsid w:val="00045AD8"/>
    <w:rsid w:val="00045C25"/>
    <w:rsid w:val="00045EA6"/>
    <w:rsid w:val="000632E1"/>
    <w:rsid w:val="00063F60"/>
    <w:rsid w:val="00065DF1"/>
    <w:rsid w:val="00065DF6"/>
    <w:rsid w:val="0007065F"/>
    <w:rsid w:val="00070916"/>
    <w:rsid w:val="000715C2"/>
    <w:rsid w:val="00071EAE"/>
    <w:rsid w:val="0007234F"/>
    <w:rsid w:val="000738CF"/>
    <w:rsid w:val="00074CEC"/>
    <w:rsid w:val="00076587"/>
    <w:rsid w:val="00077B93"/>
    <w:rsid w:val="00077BAA"/>
    <w:rsid w:val="000829FA"/>
    <w:rsid w:val="00082A0A"/>
    <w:rsid w:val="00084830"/>
    <w:rsid w:val="00085671"/>
    <w:rsid w:val="00087E65"/>
    <w:rsid w:val="00094473"/>
    <w:rsid w:val="00095661"/>
    <w:rsid w:val="00096305"/>
    <w:rsid w:val="00096755"/>
    <w:rsid w:val="000A2585"/>
    <w:rsid w:val="000A44F2"/>
    <w:rsid w:val="000A4752"/>
    <w:rsid w:val="000A4C75"/>
    <w:rsid w:val="000B1848"/>
    <w:rsid w:val="000B274E"/>
    <w:rsid w:val="000B4A00"/>
    <w:rsid w:val="000B5533"/>
    <w:rsid w:val="000B5B33"/>
    <w:rsid w:val="000B6F19"/>
    <w:rsid w:val="000B6F49"/>
    <w:rsid w:val="000B7102"/>
    <w:rsid w:val="000C2B26"/>
    <w:rsid w:val="000C32AB"/>
    <w:rsid w:val="000C3E47"/>
    <w:rsid w:val="000C4543"/>
    <w:rsid w:val="000C54CA"/>
    <w:rsid w:val="000C63CE"/>
    <w:rsid w:val="000C6DBA"/>
    <w:rsid w:val="000C7001"/>
    <w:rsid w:val="000D0C40"/>
    <w:rsid w:val="000D1316"/>
    <w:rsid w:val="000D2B0D"/>
    <w:rsid w:val="000D3321"/>
    <w:rsid w:val="000D36E0"/>
    <w:rsid w:val="000D3C2E"/>
    <w:rsid w:val="000D540F"/>
    <w:rsid w:val="000D599A"/>
    <w:rsid w:val="000D61CA"/>
    <w:rsid w:val="000D674C"/>
    <w:rsid w:val="000D70BD"/>
    <w:rsid w:val="000D7696"/>
    <w:rsid w:val="000E0739"/>
    <w:rsid w:val="000E47C2"/>
    <w:rsid w:val="000E57C1"/>
    <w:rsid w:val="000E5AF0"/>
    <w:rsid w:val="000E7403"/>
    <w:rsid w:val="000F10F0"/>
    <w:rsid w:val="000F1DC1"/>
    <w:rsid w:val="000F2080"/>
    <w:rsid w:val="000F2E25"/>
    <w:rsid w:val="000F3ABA"/>
    <w:rsid w:val="000F3E5E"/>
    <w:rsid w:val="000F5222"/>
    <w:rsid w:val="000F5AAA"/>
    <w:rsid w:val="000F5C8A"/>
    <w:rsid w:val="00102A0C"/>
    <w:rsid w:val="001033EF"/>
    <w:rsid w:val="00103DEC"/>
    <w:rsid w:val="00104867"/>
    <w:rsid w:val="00104906"/>
    <w:rsid w:val="00105255"/>
    <w:rsid w:val="00105D60"/>
    <w:rsid w:val="0010689A"/>
    <w:rsid w:val="00107BA8"/>
    <w:rsid w:val="00107E98"/>
    <w:rsid w:val="001135D2"/>
    <w:rsid w:val="00113E46"/>
    <w:rsid w:val="00116312"/>
    <w:rsid w:val="00117126"/>
    <w:rsid w:val="00120767"/>
    <w:rsid w:val="00121080"/>
    <w:rsid w:val="00121D81"/>
    <w:rsid w:val="001316E4"/>
    <w:rsid w:val="00132AB4"/>
    <w:rsid w:val="00134130"/>
    <w:rsid w:val="0013504B"/>
    <w:rsid w:val="0013532E"/>
    <w:rsid w:val="00135FD9"/>
    <w:rsid w:val="0013760E"/>
    <w:rsid w:val="00137BB3"/>
    <w:rsid w:val="00137C7E"/>
    <w:rsid w:val="00140A2B"/>
    <w:rsid w:val="00141B98"/>
    <w:rsid w:val="00141F2F"/>
    <w:rsid w:val="0014277F"/>
    <w:rsid w:val="00142CB8"/>
    <w:rsid w:val="00144779"/>
    <w:rsid w:val="00144874"/>
    <w:rsid w:val="001449F4"/>
    <w:rsid w:val="00146634"/>
    <w:rsid w:val="00146830"/>
    <w:rsid w:val="00146C3E"/>
    <w:rsid w:val="001476FF"/>
    <w:rsid w:val="0015252B"/>
    <w:rsid w:val="001532EB"/>
    <w:rsid w:val="00156173"/>
    <w:rsid w:val="001571B4"/>
    <w:rsid w:val="00157994"/>
    <w:rsid w:val="001602BA"/>
    <w:rsid w:val="001608EA"/>
    <w:rsid w:val="00161B33"/>
    <w:rsid w:val="001651B6"/>
    <w:rsid w:val="001657B0"/>
    <w:rsid w:val="0017058D"/>
    <w:rsid w:val="00171C56"/>
    <w:rsid w:val="00172F8F"/>
    <w:rsid w:val="0017325E"/>
    <w:rsid w:val="00173B6E"/>
    <w:rsid w:val="00173D22"/>
    <w:rsid w:val="00174570"/>
    <w:rsid w:val="00174AA7"/>
    <w:rsid w:val="00174B03"/>
    <w:rsid w:val="0017571E"/>
    <w:rsid w:val="00175F05"/>
    <w:rsid w:val="00183EB9"/>
    <w:rsid w:val="00184BFE"/>
    <w:rsid w:val="00187AB4"/>
    <w:rsid w:val="00190A9F"/>
    <w:rsid w:val="00191AE8"/>
    <w:rsid w:val="001921B8"/>
    <w:rsid w:val="00192689"/>
    <w:rsid w:val="0019395D"/>
    <w:rsid w:val="00194ACA"/>
    <w:rsid w:val="00195433"/>
    <w:rsid w:val="001962F5"/>
    <w:rsid w:val="001A179B"/>
    <w:rsid w:val="001A61B6"/>
    <w:rsid w:val="001A7E7D"/>
    <w:rsid w:val="001B2C91"/>
    <w:rsid w:val="001B328B"/>
    <w:rsid w:val="001B3CFF"/>
    <w:rsid w:val="001B6248"/>
    <w:rsid w:val="001B73E3"/>
    <w:rsid w:val="001C11BC"/>
    <w:rsid w:val="001C170C"/>
    <w:rsid w:val="001C1A77"/>
    <w:rsid w:val="001C1AA1"/>
    <w:rsid w:val="001C2780"/>
    <w:rsid w:val="001C3BE7"/>
    <w:rsid w:val="001C4401"/>
    <w:rsid w:val="001C4FB2"/>
    <w:rsid w:val="001C53C7"/>
    <w:rsid w:val="001C57A7"/>
    <w:rsid w:val="001C6753"/>
    <w:rsid w:val="001C696B"/>
    <w:rsid w:val="001C6B9A"/>
    <w:rsid w:val="001C709D"/>
    <w:rsid w:val="001C7F5B"/>
    <w:rsid w:val="001D08EF"/>
    <w:rsid w:val="001D0B0D"/>
    <w:rsid w:val="001D2CF7"/>
    <w:rsid w:val="001D2E9A"/>
    <w:rsid w:val="001D4CAF"/>
    <w:rsid w:val="001E0CF3"/>
    <w:rsid w:val="001E1075"/>
    <w:rsid w:val="001E3078"/>
    <w:rsid w:val="001E3632"/>
    <w:rsid w:val="001E3E96"/>
    <w:rsid w:val="001E44CE"/>
    <w:rsid w:val="001E6BBB"/>
    <w:rsid w:val="001E770C"/>
    <w:rsid w:val="001F1C39"/>
    <w:rsid w:val="001F2646"/>
    <w:rsid w:val="001F766F"/>
    <w:rsid w:val="002007A0"/>
    <w:rsid w:val="00200B0B"/>
    <w:rsid w:val="00201F17"/>
    <w:rsid w:val="00203770"/>
    <w:rsid w:val="002065B1"/>
    <w:rsid w:val="002065C2"/>
    <w:rsid w:val="00207BD3"/>
    <w:rsid w:val="00210032"/>
    <w:rsid w:val="0021147C"/>
    <w:rsid w:val="00213786"/>
    <w:rsid w:val="00215C0C"/>
    <w:rsid w:val="00217D0D"/>
    <w:rsid w:val="00222309"/>
    <w:rsid w:val="0022279F"/>
    <w:rsid w:val="00223112"/>
    <w:rsid w:val="002242B1"/>
    <w:rsid w:val="00224D36"/>
    <w:rsid w:val="00225182"/>
    <w:rsid w:val="002251F1"/>
    <w:rsid w:val="002252F6"/>
    <w:rsid w:val="00226F4E"/>
    <w:rsid w:val="00227F0B"/>
    <w:rsid w:val="00230618"/>
    <w:rsid w:val="00230951"/>
    <w:rsid w:val="00231D3D"/>
    <w:rsid w:val="0023344B"/>
    <w:rsid w:val="00235238"/>
    <w:rsid w:val="00236B4D"/>
    <w:rsid w:val="00242F62"/>
    <w:rsid w:val="002433B3"/>
    <w:rsid w:val="00244BE7"/>
    <w:rsid w:val="002452E6"/>
    <w:rsid w:val="0024544A"/>
    <w:rsid w:val="002506A4"/>
    <w:rsid w:val="00251A5D"/>
    <w:rsid w:val="0025404E"/>
    <w:rsid w:val="00254987"/>
    <w:rsid w:val="00254D9C"/>
    <w:rsid w:val="00255132"/>
    <w:rsid w:val="00255428"/>
    <w:rsid w:val="0025598A"/>
    <w:rsid w:val="00257533"/>
    <w:rsid w:val="00263483"/>
    <w:rsid w:val="00263B1F"/>
    <w:rsid w:val="00266BBF"/>
    <w:rsid w:val="00267E82"/>
    <w:rsid w:val="00271261"/>
    <w:rsid w:val="002712AC"/>
    <w:rsid w:val="00272374"/>
    <w:rsid w:val="00274439"/>
    <w:rsid w:val="00274C4D"/>
    <w:rsid w:val="00275300"/>
    <w:rsid w:val="002756EF"/>
    <w:rsid w:val="00277AC0"/>
    <w:rsid w:val="00280019"/>
    <w:rsid w:val="00282063"/>
    <w:rsid w:val="00284105"/>
    <w:rsid w:val="00284A75"/>
    <w:rsid w:val="00286B7D"/>
    <w:rsid w:val="002916FE"/>
    <w:rsid w:val="00291F22"/>
    <w:rsid w:val="0029280F"/>
    <w:rsid w:val="002932B5"/>
    <w:rsid w:val="00293A80"/>
    <w:rsid w:val="0029405D"/>
    <w:rsid w:val="002979B0"/>
    <w:rsid w:val="00297B39"/>
    <w:rsid w:val="002A1FA1"/>
    <w:rsid w:val="002A3F81"/>
    <w:rsid w:val="002A45F0"/>
    <w:rsid w:val="002A5FDB"/>
    <w:rsid w:val="002A60C7"/>
    <w:rsid w:val="002A79B4"/>
    <w:rsid w:val="002B062B"/>
    <w:rsid w:val="002B20BD"/>
    <w:rsid w:val="002B2C0E"/>
    <w:rsid w:val="002B318A"/>
    <w:rsid w:val="002B36CD"/>
    <w:rsid w:val="002B3761"/>
    <w:rsid w:val="002B49CE"/>
    <w:rsid w:val="002B4FC4"/>
    <w:rsid w:val="002B6E01"/>
    <w:rsid w:val="002C2347"/>
    <w:rsid w:val="002C2DF4"/>
    <w:rsid w:val="002C3A20"/>
    <w:rsid w:val="002C4242"/>
    <w:rsid w:val="002C530C"/>
    <w:rsid w:val="002C6580"/>
    <w:rsid w:val="002C6839"/>
    <w:rsid w:val="002C7162"/>
    <w:rsid w:val="002C7759"/>
    <w:rsid w:val="002D03BD"/>
    <w:rsid w:val="002D0456"/>
    <w:rsid w:val="002D10ED"/>
    <w:rsid w:val="002D1897"/>
    <w:rsid w:val="002D24C5"/>
    <w:rsid w:val="002D2A04"/>
    <w:rsid w:val="002D4031"/>
    <w:rsid w:val="002D698F"/>
    <w:rsid w:val="002E0342"/>
    <w:rsid w:val="002E21D6"/>
    <w:rsid w:val="002E2579"/>
    <w:rsid w:val="002E2D04"/>
    <w:rsid w:val="002E3071"/>
    <w:rsid w:val="002E3151"/>
    <w:rsid w:val="002E7188"/>
    <w:rsid w:val="002E786E"/>
    <w:rsid w:val="002F00BC"/>
    <w:rsid w:val="002F01D0"/>
    <w:rsid w:val="002F0B9E"/>
    <w:rsid w:val="002F26E0"/>
    <w:rsid w:val="002F4B16"/>
    <w:rsid w:val="002F5771"/>
    <w:rsid w:val="00300391"/>
    <w:rsid w:val="0030193B"/>
    <w:rsid w:val="00304106"/>
    <w:rsid w:val="00305E3D"/>
    <w:rsid w:val="003077C8"/>
    <w:rsid w:val="00307EB1"/>
    <w:rsid w:val="00307F78"/>
    <w:rsid w:val="0031145C"/>
    <w:rsid w:val="00311B36"/>
    <w:rsid w:val="0031247E"/>
    <w:rsid w:val="0031409A"/>
    <w:rsid w:val="00314B0B"/>
    <w:rsid w:val="0031514E"/>
    <w:rsid w:val="00317C33"/>
    <w:rsid w:val="003205B8"/>
    <w:rsid w:val="00323C69"/>
    <w:rsid w:val="00324AED"/>
    <w:rsid w:val="00325D50"/>
    <w:rsid w:val="00331407"/>
    <w:rsid w:val="00332AD7"/>
    <w:rsid w:val="00333821"/>
    <w:rsid w:val="00334C9D"/>
    <w:rsid w:val="00336BBF"/>
    <w:rsid w:val="0034565C"/>
    <w:rsid w:val="00345B2F"/>
    <w:rsid w:val="003465F9"/>
    <w:rsid w:val="00347C4F"/>
    <w:rsid w:val="00350C87"/>
    <w:rsid w:val="003524C3"/>
    <w:rsid w:val="00353F91"/>
    <w:rsid w:val="0035488C"/>
    <w:rsid w:val="003563CB"/>
    <w:rsid w:val="003569F3"/>
    <w:rsid w:val="003573E5"/>
    <w:rsid w:val="003710A9"/>
    <w:rsid w:val="00372A2D"/>
    <w:rsid w:val="00375CCE"/>
    <w:rsid w:val="0037639F"/>
    <w:rsid w:val="003766A7"/>
    <w:rsid w:val="00380134"/>
    <w:rsid w:val="00380AF7"/>
    <w:rsid w:val="00382034"/>
    <w:rsid w:val="003833BC"/>
    <w:rsid w:val="00383813"/>
    <w:rsid w:val="00383C79"/>
    <w:rsid w:val="00384693"/>
    <w:rsid w:val="00387412"/>
    <w:rsid w:val="00390009"/>
    <w:rsid w:val="0039023F"/>
    <w:rsid w:val="003921E0"/>
    <w:rsid w:val="00392AB5"/>
    <w:rsid w:val="00392FB1"/>
    <w:rsid w:val="00394D58"/>
    <w:rsid w:val="0039552D"/>
    <w:rsid w:val="00395865"/>
    <w:rsid w:val="00396A0F"/>
    <w:rsid w:val="003A126E"/>
    <w:rsid w:val="003A1B56"/>
    <w:rsid w:val="003A1BA9"/>
    <w:rsid w:val="003A2CDC"/>
    <w:rsid w:val="003A3B7B"/>
    <w:rsid w:val="003A5516"/>
    <w:rsid w:val="003A6E5A"/>
    <w:rsid w:val="003A7F78"/>
    <w:rsid w:val="003B06A5"/>
    <w:rsid w:val="003B45BE"/>
    <w:rsid w:val="003B480B"/>
    <w:rsid w:val="003B49E2"/>
    <w:rsid w:val="003B4B13"/>
    <w:rsid w:val="003B5FA1"/>
    <w:rsid w:val="003B630D"/>
    <w:rsid w:val="003C0403"/>
    <w:rsid w:val="003C29AA"/>
    <w:rsid w:val="003C4191"/>
    <w:rsid w:val="003C5573"/>
    <w:rsid w:val="003C57D4"/>
    <w:rsid w:val="003C5FAA"/>
    <w:rsid w:val="003D164C"/>
    <w:rsid w:val="003D1B4D"/>
    <w:rsid w:val="003D21A2"/>
    <w:rsid w:val="003D2323"/>
    <w:rsid w:val="003D2CC3"/>
    <w:rsid w:val="003D35B6"/>
    <w:rsid w:val="003D43A8"/>
    <w:rsid w:val="003D4B1B"/>
    <w:rsid w:val="003E4699"/>
    <w:rsid w:val="003E470C"/>
    <w:rsid w:val="003E490B"/>
    <w:rsid w:val="003E757D"/>
    <w:rsid w:val="003F1321"/>
    <w:rsid w:val="003F1F36"/>
    <w:rsid w:val="003F6007"/>
    <w:rsid w:val="003F6F7C"/>
    <w:rsid w:val="003F77FD"/>
    <w:rsid w:val="003F788A"/>
    <w:rsid w:val="00402A84"/>
    <w:rsid w:val="004034F7"/>
    <w:rsid w:val="00403A44"/>
    <w:rsid w:val="00403DB2"/>
    <w:rsid w:val="004069C1"/>
    <w:rsid w:val="00406A19"/>
    <w:rsid w:val="00407D3D"/>
    <w:rsid w:val="00410EE0"/>
    <w:rsid w:val="004119FE"/>
    <w:rsid w:val="00411F3E"/>
    <w:rsid w:val="00411F44"/>
    <w:rsid w:val="0041217C"/>
    <w:rsid w:val="00413058"/>
    <w:rsid w:val="0041358C"/>
    <w:rsid w:val="00413FAE"/>
    <w:rsid w:val="0041645A"/>
    <w:rsid w:val="00417ADB"/>
    <w:rsid w:val="004202F0"/>
    <w:rsid w:val="0042048C"/>
    <w:rsid w:val="00421601"/>
    <w:rsid w:val="00422736"/>
    <w:rsid w:val="00423923"/>
    <w:rsid w:val="0042417E"/>
    <w:rsid w:val="00425540"/>
    <w:rsid w:val="00425713"/>
    <w:rsid w:val="004261F8"/>
    <w:rsid w:val="00426764"/>
    <w:rsid w:val="0043003C"/>
    <w:rsid w:val="00430045"/>
    <w:rsid w:val="004303DF"/>
    <w:rsid w:val="004304EA"/>
    <w:rsid w:val="00432AAA"/>
    <w:rsid w:val="00434B72"/>
    <w:rsid w:val="00436CFF"/>
    <w:rsid w:val="004370F1"/>
    <w:rsid w:val="00437D0D"/>
    <w:rsid w:val="00440748"/>
    <w:rsid w:val="00441450"/>
    <w:rsid w:val="00443888"/>
    <w:rsid w:val="004475D6"/>
    <w:rsid w:val="0045124D"/>
    <w:rsid w:val="00451F01"/>
    <w:rsid w:val="00452524"/>
    <w:rsid w:val="004541DE"/>
    <w:rsid w:val="00454C4F"/>
    <w:rsid w:val="00454FE7"/>
    <w:rsid w:val="00455C4A"/>
    <w:rsid w:val="004563C3"/>
    <w:rsid w:val="00457C71"/>
    <w:rsid w:val="00460153"/>
    <w:rsid w:val="004635A1"/>
    <w:rsid w:val="00465215"/>
    <w:rsid w:val="00466261"/>
    <w:rsid w:val="00466CB0"/>
    <w:rsid w:val="0046733B"/>
    <w:rsid w:val="00470C8C"/>
    <w:rsid w:val="00470FC9"/>
    <w:rsid w:val="0047103F"/>
    <w:rsid w:val="00472C0E"/>
    <w:rsid w:val="00474F87"/>
    <w:rsid w:val="004767D8"/>
    <w:rsid w:val="00476C58"/>
    <w:rsid w:val="00480632"/>
    <w:rsid w:val="00480D63"/>
    <w:rsid w:val="00481C2C"/>
    <w:rsid w:val="00483887"/>
    <w:rsid w:val="00484B1C"/>
    <w:rsid w:val="0048749A"/>
    <w:rsid w:val="00491251"/>
    <w:rsid w:val="0049208B"/>
    <w:rsid w:val="0049388F"/>
    <w:rsid w:val="00495064"/>
    <w:rsid w:val="00495B0D"/>
    <w:rsid w:val="00496A14"/>
    <w:rsid w:val="00497DE6"/>
    <w:rsid w:val="004A1B0A"/>
    <w:rsid w:val="004A397F"/>
    <w:rsid w:val="004A491F"/>
    <w:rsid w:val="004A5B30"/>
    <w:rsid w:val="004A6EED"/>
    <w:rsid w:val="004A711A"/>
    <w:rsid w:val="004A7E19"/>
    <w:rsid w:val="004B0DE6"/>
    <w:rsid w:val="004B19EA"/>
    <w:rsid w:val="004B2992"/>
    <w:rsid w:val="004B2E5D"/>
    <w:rsid w:val="004B305D"/>
    <w:rsid w:val="004C1164"/>
    <w:rsid w:val="004C308E"/>
    <w:rsid w:val="004C420F"/>
    <w:rsid w:val="004C4949"/>
    <w:rsid w:val="004C7073"/>
    <w:rsid w:val="004C763B"/>
    <w:rsid w:val="004C786B"/>
    <w:rsid w:val="004D033D"/>
    <w:rsid w:val="004D1465"/>
    <w:rsid w:val="004D1CE1"/>
    <w:rsid w:val="004D5E48"/>
    <w:rsid w:val="004E0319"/>
    <w:rsid w:val="004E3D34"/>
    <w:rsid w:val="004E4691"/>
    <w:rsid w:val="004E6879"/>
    <w:rsid w:val="004E6B16"/>
    <w:rsid w:val="004F0065"/>
    <w:rsid w:val="004F1191"/>
    <w:rsid w:val="004F4E23"/>
    <w:rsid w:val="004F71C8"/>
    <w:rsid w:val="004F7656"/>
    <w:rsid w:val="0050160C"/>
    <w:rsid w:val="00502011"/>
    <w:rsid w:val="005044AF"/>
    <w:rsid w:val="0050561D"/>
    <w:rsid w:val="0050664A"/>
    <w:rsid w:val="00507010"/>
    <w:rsid w:val="00510227"/>
    <w:rsid w:val="00511202"/>
    <w:rsid w:val="00513859"/>
    <w:rsid w:val="0051698F"/>
    <w:rsid w:val="00516999"/>
    <w:rsid w:val="00516D24"/>
    <w:rsid w:val="0052317F"/>
    <w:rsid w:val="00523795"/>
    <w:rsid w:val="00524D1B"/>
    <w:rsid w:val="00524E03"/>
    <w:rsid w:val="00525DFD"/>
    <w:rsid w:val="005276CB"/>
    <w:rsid w:val="00530311"/>
    <w:rsid w:val="0053138C"/>
    <w:rsid w:val="005315BE"/>
    <w:rsid w:val="00532B0C"/>
    <w:rsid w:val="00533283"/>
    <w:rsid w:val="00533F67"/>
    <w:rsid w:val="00534CC4"/>
    <w:rsid w:val="00536CDA"/>
    <w:rsid w:val="00537633"/>
    <w:rsid w:val="00537733"/>
    <w:rsid w:val="00537BF5"/>
    <w:rsid w:val="00540F2C"/>
    <w:rsid w:val="00541762"/>
    <w:rsid w:val="00543B29"/>
    <w:rsid w:val="0054621F"/>
    <w:rsid w:val="0055014A"/>
    <w:rsid w:val="00550E67"/>
    <w:rsid w:val="00551F31"/>
    <w:rsid w:val="00556C35"/>
    <w:rsid w:val="00556C5F"/>
    <w:rsid w:val="005570A2"/>
    <w:rsid w:val="005621D1"/>
    <w:rsid w:val="0056312A"/>
    <w:rsid w:val="00563511"/>
    <w:rsid w:val="00565602"/>
    <w:rsid w:val="0056650E"/>
    <w:rsid w:val="00566B59"/>
    <w:rsid w:val="005672BC"/>
    <w:rsid w:val="0057142D"/>
    <w:rsid w:val="00571E16"/>
    <w:rsid w:val="005721CA"/>
    <w:rsid w:val="0057737C"/>
    <w:rsid w:val="00581936"/>
    <w:rsid w:val="005834BC"/>
    <w:rsid w:val="0058548F"/>
    <w:rsid w:val="0058625E"/>
    <w:rsid w:val="0059057A"/>
    <w:rsid w:val="00590B1F"/>
    <w:rsid w:val="00594573"/>
    <w:rsid w:val="00596A17"/>
    <w:rsid w:val="00596AF2"/>
    <w:rsid w:val="00596E9A"/>
    <w:rsid w:val="005A1742"/>
    <w:rsid w:val="005A2C46"/>
    <w:rsid w:val="005A2CC4"/>
    <w:rsid w:val="005A3703"/>
    <w:rsid w:val="005A5742"/>
    <w:rsid w:val="005A7FF0"/>
    <w:rsid w:val="005B3922"/>
    <w:rsid w:val="005B5083"/>
    <w:rsid w:val="005B7905"/>
    <w:rsid w:val="005C1201"/>
    <w:rsid w:val="005C4E59"/>
    <w:rsid w:val="005C6C8F"/>
    <w:rsid w:val="005C73A9"/>
    <w:rsid w:val="005D03A4"/>
    <w:rsid w:val="005D1406"/>
    <w:rsid w:val="005D178C"/>
    <w:rsid w:val="005D199E"/>
    <w:rsid w:val="005D289D"/>
    <w:rsid w:val="005D43EE"/>
    <w:rsid w:val="005D72EE"/>
    <w:rsid w:val="005D7773"/>
    <w:rsid w:val="005E1D6F"/>
    <w:rsid w:val="005E390F"/>
    <w:rsid w:val="005E5A66"/>
    <w:rsid w:val="005E7C7F"/>
    <w:rsid w:val="005F0E28"/>
    <w:rsid w:val="005F20E2"/>
    <w:rsid w:val="005F7B0A"/>
    <w:rsid w:val="0060229C"/>
    <w:rsid w:val="006024C4"/>
    <w:rsid w:val="00603D2C"/>
    <w:rsid w:val="00604159"/>
    <w:rsid w:val="006043F7"/>
    <w:rsid w:val="0060527B"/>
    <w:rsid w:val="00605F5F"/>
    <w:rsid w:val="0061056A"/>
    <w:rsid w:val="00611992"/>
    <w:rsid w:val="00613590"/>
    <w:rsid w:val="00613AC9"/>
    <w:rsid w:val="00615E59"/>
    <w:rsid w:val="00615EAD"/>
    <w:rsid w:val="00620225"/>
    <w:rsid w:val="006205D6"/>
    <w:rsid w:val="00620A1B"/>
    <w:rsid w:val="0062430A"/>
    <w:rsid w:val="006244E1"/>
    <w:rsid w:val="00624A7D"/>
    <w:rsid w:val="006251C2"/>
    <w:rsid w:val="00627618"/>
    <w:rsid w:val="0063034D"/>
    <w:rsid w:val="006306A7"/>
    <w:rsid w:val="00630D6E"/>
    <w:rsid w:val="00631518"/>
    <w:rsid w:val="006349B5"/>
    <w:rsid w:val="00635490"/>
    <w:rsid w:val="00637EBC"/>
    <w:rsid w:val="006444E9"/>
    <w:rsid w:val="00644762"/>
    <w:rsid w:val="0064505D"/>
    <w:rsid w:val="00645A09"/>
    <w:rsid w:val="006475D1"/>
    <w:rsid w:val="00647D83"/>
    <w:rsid w:val="00650154"/>
    <w:rsid w:val="0065182C"/>
    <w:rsid w:val="006557EE"/>
    <w:rsid w:val="00662565"/>
    <w:rsid w:val="00662BAB"/>
    <w:rsid w:val="00663CC0"/>
    <w:rsid w:val="0066428F"/>
    <w:rsid w:val="006652C1"/>
    <w:rsid w:val="00665CA1"/>
    <w:rsid w:val="0066727C"/>
    <w:rsid w:val="00667AE3"/>
    <w:rsid w:val="00667C60"/>
    <w:rsid w:val="006702D6"/>
    <w:rsid w:val="006718D2"/>
    <w:rsid w:val="006736FC"/>
    <w:rsid w:val="00673FCD"/>
    <w:rsid w:val="0067470D"/>
    <w:rsid w:val="0067566E"/>
    <w:rsid w:val="006815B9"/>
    <w:rsid w:val="00682AE8"/>
    <w:rsid w:val="00683171"/>
    <w:rsid w:val="0068529F"/>
    <w:rsid w:val="00685612"/>
    <w:rsid w:val="00685919"/>
    <w:rsid w:val="00687294"/>
    <w:rsid w:val="00691141"/>
    <w:rsid w:val="0069157F"/>
    <w:rsid w:val="00691888"/>
    <w:rsid w:val="006929E2"/>
    <w:rsid w:val="00692B3F"/>
    <w:rsid w:val="0069477B"/>
    <w:rsid w:val="00695585"/>
    <w:rsid w:val="00697D84"/>
    <w:rsid w:val="006A00A3"/>
    <w:rsid w:val="006A0E7B"/>
    <w:rsid w:val="006A1770"/>
    <w:rsid w:val="006A3054"/>
    <w:rsid w:val="006A479C"/>
    <w:rsid w:val="006A5A56"/>
    <w:rsid w:val="006A65F7"/>
    <w:rsid w:val="006A65FA"/>
    <w:rsid w:val="006A7CE6"/>
    <w:rsid w:val="006B2C7C"/>
    <w:rsid w:val="006B6CC8"/>
    <w:rsid w:val="006B7F54"/>
    <w:rsid w:val="006C063B"/>
    <w:rsid w:val="006C2586"/>
    <w:rsid w:val="006C4817"/>
    <w:rsid w:val="006C5359"/>
    <w:rsid w:val="006C6EF4"/>
    <w:rsid w:val="006C78D7"/>
    <w:rsid w:val="006D21BD"/>
    <w:rsid w:val="006D3FA6"/>
    <w:rsid w:val="006D404B"/>
    <w:rsid w:val="006D5CFC"/>
    <w:rsid w:val="006D6A55"/>
    <w:rsid w:val="006D6DAB"/>
    <w:rsid w:val="006D7742"/>
    <w:rsid w:val="006E03CE"/>
    <w:rsid w:val="006E04FF"/>
    <w:rsid w:val="006E1A98"/>
    <w:rsid w:val="006E2A49"/>
    <w:rsid w:val="006E3646"/>
    <w:rsid w:val="006E3F38"/>
    <w:rsid w:val="006E4A1A"/>
    <w:rsid w:val="006E54F3"/>
    <w:rsid w:val="006E63F9"/>
    <w:rsid w:val="006E7556"/>
    <w:rsid w:val="006F00BC"/>
    <w:rsid w:val="006F25C2"/>
    <w:rsid w:val="006F585B"/>
    <w:rsid w:val="006F6CC6"/>
    <w:rsid w:val="006F7446"/>
    <w:rsid w:val="006F7CD4"/>
    <w:rsid w:val="00700408"/>
    <w:rsid w:val="007025D9"/>
    <w:rsid w:val="007038E0"/>
    <w:rsid w:val="0070480E"/>
    <w:rsid w:val="00710472"/>
    <w:rsid w:val="007105DF"/>
    <w:rsid w:val="00713581"/>
    <w:rsid w:val="007146C2"/>
    <w:rsid w:val="00715DA8"/>
    <w:rsid w:val="007204C9"/>
    <w:rsid w:val="007205A3"/>
    <w:rsid w:val="0072183D"/>
    <w:rsid w:val="00722736"/>
    <w:rsid w:val="00722BC9"/>
    <w:rsid w:val="00722E92"/>
    <w:rsid w:val="0072366C"/>
    <w:rsid w:val="007236E1"/>
    <w:rsid w:val="007241CC"/>
    <w:rsid w:val="0072544A"/>
    <w:rsid w:val="007255F5"/>
    <w:rsid w:val="00726B61"/>
    <w:rsid w:val="00726DA4"/>
    <w:rsid w:val="00726F24"/>
    <w:rsid w:val="0073007F"/>
    <w:rsid w:val="00730D2D"/>
    <w:rsid w:val="00731962"/>
    <w:rsid w:val="007330E3"/>
    <w:rsid w:val="007364DE"/>
    <w:rsid w:val="007367DF"/>
    <w:rsid w:val="00741E6F"/>
    <w:rsid w:val="007431B8"/>
    <w:rsid w:val="007434E3"/>
    <w:rsid w:val="00745466"/>
    <w:rsid w:val="00746EB2"/>
    <w:rsid w:val="00747128"/>
    <w:rsid w:val="007521D5"/>
    <w:rsid w:val="007539B3"/>
    <w:rsid w:val="00753D2D"/>
    <w:rsid w:val="007562A5"/>
    <w:rsid w:val="00760171"/>
    <w:rsid w:val="0076033D"/>
    <w:rsid w:val="007609A1"/>
    <w:rsid w:val="00761B23"/>
    <w:rsid w:val="00765944"/>
    <w:rsid w:val="00766208"/>
    <w:rsid w:val="00766700"/>
    <w:rsid w:val="007668D2"/>
    <w:rsid w:val="007673B4"/>
    <w:rsid w:val="0077331F"/>
    <w:rsid w:val="007750F4"/>
    <w:rsid w:val="0077532B"/>
    <w:rsid w:val="00775E6B"/>
    <w:rsid w:val="00776765"/>
    <w:rsid w:val="00776C69"/>
    <w:rsid w:val="00777E05"/>
    <w:rsid w:val="00781013"/>
    <w:rsid w:val="007820A3"/>
    <w:rsid w:val="00782889"/>
    <w:rsid w:val="00782979"/>
    <w:rsid w:val="007837B4"/>
    <w:rsid w:val="00786783"/>
    <w:rsid w:val="00787F97"/>
    <w:rsid w:val="00790824"/>
    <w:rsid w:val="00790A49"/>
    <w:rsid w:val="00790CB1"/>
    <w:rsid w:val="0079237E"/>
    <w:rsid w:val="007927C5"/>
    <w:rsid w:val="00793331"/>
    <w:rsid w:val="00793747"/>
    <w:rsid w:val="007955A7"/>
    <w:rsid w:val="00797898"/>
    <w:rsid w:val="007A16BD"/>
    <w:rsid w:val="007A1C31"/>
    <w:rsid w:val="007A1DAF"/>
    <w:rsid w:val="007A27A7"/>
    <w:rsid w:val="007A319C"/>
    <w:rsid w:val="007A3F28"/>
    <w:rsid w:val="007A4123"/>
    <w:rsid w:val="007A4307"/>
    <w:rsid w:val="007A55C7"/>
    <w:rsid w:val="007A6CDF"/>
    <w:rsid w:val="007A77D5"/>
    <w:rsid w:val="007B024E"/>
    <w:rsid w:val="007B063D"/>
    <w:rsid w:val="007B433C"/>
    <w:rsid w:val="007B6137"/>
    <w:rsid w:val="007B6E2D"/>
    <w:rsid w:val="007B7234"/>
    <w:rsid w:val="007C1331"/>
    <w:rsid w:val="007C1F52"/>
    <w:rsid w:val="007C292C"/>
    <w:rsid w:val="007C3B5A"/>
    <w:rsid w:val="007C41EF"/>
    <w:rsid w:val="007C42E0"/>
    <w:rsid w:val="007C4D09"/>
    <w:rsid w:val="007C5764"/>
    <w:rsid w:val="007C7426"/>
    <w:rsid w:val="007C74DF"/>
    <w:rsid w:val="007D026D"/>
    <w:rsid w:val="007D1698"/>
    <w:rsid w:val="007D1E68"/>
    <w:rsid w:val="007D224A"/>
    <w:rsid w:val="007D264E"/>
    <w:rsid w:val="007D3A8F"/>
    <w:rsid w:val="007D6897"/>
    <w:rsid w:val="007D699C"/>
    <w:rsid w:val="007D74A0"/>
    <w:rsid w:val="007D7D53"/>
    <w:rsid w:val="007E0AA9"/>
    <w:rsid w:val="007E2C5A"/>
    <w:rsid w:val="007E37FA"/>
    <w:rsid w:val="007E4AC4"/>
    <w:rsid w:val="007E4C82"/>
    <w:rsid w:val="007E59B8"/>
    <w:rsid w:val="007E6AD0"/>
    <w:rsid w:val="007F09EA"/>
    <w:rsid w:val="007F3042"/>
    <w:rsid w:val="007F32AB"/>
    <w:rsid w:val="007F3BC4"/>
    <w:rsid w:val="007F7379"/>
    <w:rsid w:val="00800641"/>
    <w:rsid w:val="0080081E"/>
    <w:rsid w:val="00800FC0"/>
    <w:rsid w:val="00802640"/>
    <w:rsid w:val="00802AEE"/>
    <w:rsid w:val="0080309D"/>
    <w:rsid w:val="00803ED0"/>
    <w:rsid w:val="00805A7B"/>
    <w:rsid w:val="00805B09"/>
    <w:rsid w:val="008061C8"/>
    <w:rsid w:val="0080768B"/>
    <w:rsid w:val="008105DC"/>
    <w:rsid w:val="00811F30"/>
    <w:rsid w:val="008123F6"/>
    <w:rsid w:val="0081280F"/>
    <w:rsid w:val="008138BB"/>
    <w:rsid w:val="00813CC5"/>
    <w:rsid w:val="008211B2"/>
    <w:rsid w:val="0082246A"/>
    <w:rsid w:val="00822538"/>
    <w:rsid w:val="00824EF8"/>
    <w:rsid w:val="00825784"/>
    <w:rsid w:val="00827160"/>
    <w:rsid w:val="0082758A"/>
    <w:rsid w:val="00830FCE"/>
    <w:rsid w:val="008318AC"/>
    <w:rsid w:val="00832A2E"/>
    <w:rsid w:val="008332CD"/>
    <w:rsid w:val="00835307"/>
    <w:rsid w:val="008354BD"/>
    <w:rsid w:val="008355CE"/>
    <w:rsid w:val="00835C20"/>
    <w:rsid w:val="0083731B"/>
    <w:rsid w:val="008402B0"/>
    <w:rsid w:val="00841305"/>
    <w:rsid w:val="00842F38"/>
    <w:rsid w:val="00843722"/>
    <w:rsid w:val="00843A36"/>
    <w:rsid w:val="008449ED"/>
    <w:rsid w:val="0084503F"/>
    <w:rsid w:val="0084512C"/>
    <w:rsid w:val="0084562C"/>
    <w:rsid w:val="00846BC3"/>
    <w:rsid w:val="00847FF2"/>
    <w:rsid w:val="008503EB"/>
    <w:rsid w:val="00851B06"/>
    <w:rsid w:val="00852E30"/>
    <w:rsid w:val="00852E53"/>
    <w:rsid w:val="0085672B"/>
    <w:rsid w:val="0086066C"/>
    <w:rsid w:val="00861A04"/>
    <w:rsid w:val="00863179"/>
    <w:rsid w:val="00863C85"/>
    <w:rsid w:val="00863F49"/>
    <w:rsid w:val="00866B1B"/>
    <w:rsid w:val="0086713D"/>
    <w:rsid w:val="00867D12"/>
    <w:rsid w:val="00870628"/>
    <w:rsid w:val="00870E8E"/>
    <w:rsid w:val="00871035"/>
    <w:rsid w:val="00871D1B"/>
    <w:rsid w:val="00872C3D"/>
    <w:rsid w:val="008734EB"/>
    <w:rsid w:val="00874A2B"/>
    <w:rsid w:val="00875232"/>
    <w:rsid w:val="008768A6"/>
    <w:rsid w:val="00876D39"/>
    <w:rsid w:val="00880AA9"/>
    <w:rsid w:val="00880BFE"/>
    <w:rsid w:val="008826C0"/>
    <w:rsid w:val="0088337B"/>
    <w:rsid w:val="0088372F"/>
    <w:rsid w:val="00884F50"/>
    <w:rsid w:val="00885620"/>
    <w:rsid w:val="00886FCF"/>
    <w:rsid w:val="00890E7A"/>
    <w:rsid w:val="008927DD"/>
    <w:rsid w:val="0089434F"/>
    <w:rsid w:val="00894EAF"/>
    <w:rsid w:val="008A0719"/>
    <w:rsid w:val="008A1064"/>
    <w:rsid w:val="008A30CD"/>
    <w:rsid w:val="008A3782"/>
    <w:rsid w:val="008A3DE1"/>
    <w:rsid w:val="008A42FE"/>
    <w:rsid w:val="008A4C74"/>
    <w:rsid w:val="008A7163"/>
    <w:rsid w:val="008B13FD"/>
    <w:rsid w:val="008B1642"/>
    <w:rsid w:val="008B29B2"/>
    <w:rsid w:val="008B39E0"/>
    <w:rsid w:val="008B4182"/>
    <w:rsid w:val="008B4413"/>
    <w:rsid w:val="008B45FB"/>
    <w:rsid w:val="008C016E"/>
    <w:rsid w:val="008C17CE"/>
    <w:rsid w:val="008C1E7B"/>
    <w:rsid w:val="008C20AD"/>
    <w:rsid w:val="008C20E1"/>
    <w:rsid w:val="008C2B2E"/>
    <w:rsid w:val="008C2F9D"/>
    <w:rsid w:val="008C3E4B"/>
    <w:rsid w:val="008C3F16"/>
    <w:rsid w:val="008C7295"/>
    <w:rsid w:val="008C76A7"/>
    <w:rsid w:val="008D0036"/>
    <w:rsid w:val="008D0085"/>
    <w:rsid w:val="008D1BBA"/>
    <w:rsid w:val="008D279C"/>
    <w:rsid w:val="008D2C2C"/>
    <w:rsid w:val="008D3972"/>
    <w:rsid w:val="008D3C22"/>
    <w:rsid w:val="008D421A"/>
    <w:rsid w:val="008D64E8"/>
    <w:rsid w:val="008D69D9"/>
    <w:rsid w:val="008E08E3"/>
    <w:rsid w:val="008E2618"/>
    <w:rsid w:val="008E331B"/>
    <w:rsid w:val="008E3C0C"/>
    <w:rsid w:val="008E5C6D"/>
    <w:rsid w:val="008E5D2C"/>
    <w:rsid w:val="008E66D4"/>
    <w:rsid w:val="008E6935"/>
    <w:rsid w:val="008E6E4D"/>
    <w:rsid w:val="008E701C"/>
    <w:rsid w:val="008F03ED"/>
    <w:rsid w:val="008F0E4C"/>
    <w:rsid w:val="008F33F3"/>
    <w:rsid w:val="008F429C"/>
    <w:rsid w:val="008F488D"/>
    <w:rsid w:val="008F52D0"/>
    <w:rsid w:val="008F6065"/>
    <w:rsid w:val="009009F8"/>
    <w:rsid w:val="009014E3"/>
    <w:rsid w:val="0090176F"/>
    <w:rsid w:val="009027AD"/>
    <w:rsid w:val="00903535"/>
    <w:rsid w:val="0090474D"/>
    <w:rsid w:val="00904D38"/>
    <w:rsid w:val="00906E5E"/>
    <w:rsid w:val="00907842"/>
    <w:rsid w:val="009106CB"/>
    <w:rsid w:val="009125BF"/>
    <w:rsid w:val="0091271C"/>
    <w:rsid w:val="00913FAE"/>
    <w:rsid w:val="00914B03"/>
    <w:rsid w:val="00914E40"/>
    <w:rsid w:val="0091504F"/>
    <w:rsid w:val="009151B6"/>
    <w:rsid w:val="00915871"/>
    <w:rsid w:val="009163E1"/>
    <w:rsid w:val="00917C9B"/>
    <w:rsid w:val="00917F6B"/>
    <w:rsid w:val="00920F28"/>
    <w:rsid w:val="009211FF"/>
    <w:rsid w:val="0092142D"/>
    <w:rsid w:val="009233C4"/>
    <w:rsid w:val="009318A1"/>
    <w:rsid w:val="0093218A"/>
    <w:rsid w:val="00934453"/>
    <w:rsid w:val="0093471A"/>
    <w:rsid w:val="00936036"/>
    <w:rsid w:val="00937E1D"/>
    <w:rsid w:val="00941987"/>
    <w:rsid w:val="00942020"/>
    <w:rsid w:val="00942B70"/>
    <w:rsid w:val="009450F8"/>
    <w:rsid w:val="00945AB2"/>
    <w:rsid w:val="00946C94"/>
    <w:rsid w:val="00947394"/>
    <w:rsid w:val="00947F8A"/>
    <w:rsid w:val="0095047C"/>
    <w:rsid w:val="00952021"/>
    <w:rsid w:val="00952F86"/>
    <w:rsid w:val="009564E6"/>
    <w:rsid w:val="0096035D"/>
    <w:rsid w:val="00960726"/>
    <w:rsid w:val="009613B5"/>
    <w:rsid w:val="00961F74"/>
    <w:rsid w:val="00964E14"/>
    <w:rsid w:val="009665FD"/>
    <w:rsid w:val="00966E17"/>
    <w:rsid w:val="0096745F"/>
    <w:rsid w:val="00970C7B"/>
    <w:rsid w:val="00973690"/>
    <w:rsid w:val="00974BF6"/>
    <w:rsid w:val="00974FA4"/>
    <w:rsid w:val="00975AA3"/>
    <w:rsid w:val="00975DB7"/>
    <w:rsid w:val="00980461"/>
    <w:rsid w:val="009810F0"/>
    <w:rsid w:val="00981268"/>
    <w:rsid w:val="00982A12"/>
    <w:rsid w:val="0098344A"/>
    <w:rsid w:val="00992D52"/>
    <w:rsid w:val="00996DD3"/>
    <w:rsid w:val="00997465"/>
    <w:rsid w:val="00997B36"/>
    <w:rsid w:val="00997C18"/>
    <w:rsid w:val="009A0C02"/>
    <w:rsid w:val="009A1326"/>
    <w:rsid w:val="009A15D4"/>
    <w:rsid w:val="009A31F1"/>
    <w:rsid w:val="009A369D"/>
    <w:rsid w:val="009A48CE"/>
    <w:rsid w:val="009A4CF0"/>
    <w:rsid w:val="009A4EB8"/>
    <w:rsid w:val="009A5EAF"/>
    <w:rsid w:val="009A7B6D"/>
    <w:rsid w:val="009A7E73"/>
    <w:rsid w:val="009B059A"/>
    <w:rsid w:val="009B09AF"/>
    <w:rsid w:val="009B0AEA"/>
    <w:rsid w:val="009B0CEE"/>
    <w:rsid w:val="009B142B"/>
    <w:rsid w:val="009B29A9"/>
    <w:rsid w:val="009B392C"/>
    <w:rsid w:val="009B477E"/>
    <w:rsid w:val="009B79D6"/>
    <w:rsid w:val="009C43C1"/>
    <w:rsid w:val="009C511D"/>
    <w:rsid w:val="009C6427"/>
    <w:rsid w:val="009C64D2"/>
    <w:rsid w:val="009C67C0"/>
    <w:rsid w:val="009C796F"/>
    <w:rsid w:val="009C7A4E"/>
    <w:rsid w:val="009D40D0"/>
    <w:rsid w:val="009E19E4"/>
    <w:rsid w:val="009E2328"/>
    <w:rsid w:val="009E35C3"/>
    <w:rsid w:val="009E4507"/>
    <w:rsid w:val="009E50A3"/>
    <w:rsid w:val="009E75EA"/>
    <w:rsid w:val="009F1605"/>
    <w:rsid w:val="009F27D4"/>
    <w:rsid w:val="009F3306"/>
    <w:rsid w:val="009F3B14"/>
    <w:rsid w:val="009F3F2D"/>
    <w:rsid w:val="009F5476"/>
    <w:rsid w:val="009F55E1"/>
    <w:rsid w:val="009F56B7"/>
    <w:rsid w:val="009F5B79"/>
    <w:rsid w:val="009F63F8"/>
    <w:rsid w:val="009F7020"/>
    <w:rsid w:val="00A0101C"/>
    <w:rsid w:val="00A01A6E"/>
    <w:rsid w:val="00A01B27"/>
    <w:rsid w:val="00A03B4C"/>
    <w:rsid w:val="00A03B86"/>
    <w:rsid w:val="00A0418E"/>
    <w:rsid w:val="00A0445B"/>
    <w:rsid w:val="00A05068"/>
    <w:rsid w:val="00A050CD"/>
    <w:rsid w:val="00A05C45"/>
    <w:rsid w:val="00A06951"/>
    <w:rsid w:val="00A07404"/>
    <w:rsid w:val="00A110C2"/>
    <w:rsid w:val="00A15BB3"/>
    <w:rsid w:val="00A16AC4"/>
    <w:rsid w:val="00A17196"/>
    <w:rsid w:val="00A173AB"/>
    <w:rsid w:val="00A1740C"/>
    <w:rsid w:val="00A23C1D"/>
    <w:rsid w:val="00A24B11"/>
    <w:rsid w:val="00A25A6E"/>
    <w:rsid w:val="00A26C60"/>
    <w:rsid w:val="00A308A1"/>
    <w:rsid w:val="00A311EA"/>
    <w:rsid w:val="00A31A5B"/>
    <w:rsid w:val="00A343CE"/>
    <w:rsid w:val="00A347B7"/>
    <w:rsid w:val="00A34813"/>
    <w:rsid w:val="00A36A3A"/>
    <w:rsid w:val="00A4045F"/>
    <w:rsid w:val="00A44968"/>
    <w:rsid w:val="00A45A53"/>
    <w:rsid w:val="00A46CE7"/>
    <w:rsid w:val="00A46E30"/>
    <w:rsid w:val="00A50517"/>
    <w:rsid w:val="00A50E28"/>
    <w:rsid w:val="00A541BB"/>
    <w:rsid w:val="00A54933"/>
    <w:rsid w:val="00A5632E"/>
    <w:rsid w:val="00A65053"/>
    <w:rsid w:val="00A6508D"/>
    <w:rsid w:val="00A657EF"/>
    <w:rsid w:val="00A65F9A"/>
    <w:rsid w:val="00A7571D"/>
    <w:rsid w:val="00A77A36"/>
    <w:rsid w:val="00A80626"/>
    <w:rsid w:val="00A81FB6"/>
    <w:rsid w:val="00A822BB"/>
    <w:rsid w:val="00A835C0"/>
    <w:rsid w:val="00A846D5"/>
    <w:rsid w:val="00A8512A"/>
    <w:rsid w:val="00A8588D"/>
    <w:rsid w:val="00A877F4"/>
    <w:rsid w:val="00A926F0"/>
    <w:rsid w:val="00A92E97"/>
    <w:rsid w:val="00A94CB0"/>
    <w:rsid w:val="00A959C1"/>
    <w:rsid w:val="00A95B94"/>
    <w:rsid w:val="00A9623E"/>
    <w:rsid w:val="00A97F2A"/>
    <w:rsid w:val="00AA0E8B"/>
    <w:rsid w:val="00AA1B52"/>
    <w:rsid w:val="00AA2469"/>
    <w:rsid w:val="00AA35D7"/>
    <w:rsid w:val="00AA5ACB"/>
    <w:rsid w:val="00AB1540"/>
    <w:rsid w:val="00AB1C7F"/>
    <w:rsid w:val="00AB2B7F"/>
    <w:rsid w:val="00AB30C7"/>
    <w:rsid w:val="00AB729C"/>
    <w:rsid w:val="00AC0E5B"/>
    <w:rsid w:val="00AC115D"/>
    <w:rsid w:val="00AC3520"/>
    <w:rsid w:val="00AC3F31"/>
    <w:rsid w:val="00AC419C"/>
    <w:rsid w:val="00AC5A23"/>
    <w:rsid w:val="00AC5B41"/>
    <w:rsid w:val="00AC6FA7"/>
    <w:rsid w:val="00AC7452"/>
    <w:rsid w:val="00AC775C"/>
    <w:rsid w:val="00AD150D"/>
    <w:rsid w:val="00AD15FF"/>
    <w:rsid w:val="00AD6860"/>
    <w:rsid w:val="00AD78C2"/>
    <w:rsid w:val="00AE02F5"/>
    <w:rsid w:val="00AE0BAD"/>
    <w:rsid w:val="00AE1B04"/>
    <w:rsid w:val="00AE267A"/>
    <w:rsid w:val="00AE2D0A"/>
    <w:rsid w:val="00AE3534"/>
    <w:rsid w:val="00AE62CB"/>
    <w:rsid w:val="00AE7396"/>
    <w:rsid w:val="00AE744C"/>
    <w:rsid w:val="00AE793D"/>
    <w:rsid w:val="00AF006F"/>
    <w:rsid w:val="00AF0B5E"/>
    <w:rsid w:val="00AF30AC"/>
    <w:rsid w:val="00AF4414"/>
    <w:rsid w:val="00AF4773"/>
    <w:rsid w:val="00AF71D3"/>
    <w:rsid w:val="00AF7EBF"/>
    <w:rsid w:val="00B023B7"/>
    <w:rsid w:val="00B02CF8"/>
    <w:rsid w:val="00B03E6C"/>
    <w:rsid w:val="00B0488A"/>
    <w:rsid w:val="00B05E38"/>
    <w:rsid w:val="00B0634F"/>
    <w:rsid w:val="00B067DC"/>
    <w:rsid w:val="00B07043"/>
    <w:rsid w:val="00B071EE"/>
    <w:rsid w:val="00B10C57"/>
    <w:rsid w:val="00B1146E"/>
    <w:rsid w:val="00B12252"/>
    <w:rsid w:val="00B140C1"/>
    <w:rsid w:val="00B14999"/>
    <w:rsid w:val="00B15395"/>
    <w:rsid w:val="00B158C6"/>
    <w:rsid w:val="00B16262"/>
    <w:rsid w:val="00B165B8"/>
    <w:rsid w:val="00B16680"/>
    <w:rsid w:val="00B25966"/>
    <w:rsid w:val="00B259B6"/>
    <w:rsid w:val="00B3177B"/>
    <w:rsid w:val="00B31791"/>
    <w:rsid w:val="00B323CD"/>
    <w:rsid w:val="00B323FE"/>
    <w:rsid w:val="00B327EC"/>
    <w:rsid w:val="00B34F3B"/>
    <w:rsid w:val="00B35060"/>
    <w:rsid w:val="00B371D5"/>
    <w:rsid w:val="00B41E1A"/>
    <w:rsid w:val="00B43E9B"/>
    <w:rsid w:val="00B44077"/>
    <w:rsid w:val="00B44664"/>
    <w:rsid w:val="00B50CCA"/>
    <w:rsid w:val="00B52453"/>
    <w:rsid w:val="00B52569"/>
    <w:rsid w:val="00B52924"/>
    <w:rsid w:val="00B54EE9"/>
    <w:rsid w:val="00B55CBD"/>
    <w:rsid w:val="00B57183"/>
    <w:rsid w:val="00B6006E"/>
    <w:rsid w:val="00B602A0"/>
    <w:rsid w:val="00B624DD"/>
    <w:rsid w:val="00B63255"/>
    <w:rsid w:val="00B63B38"/>
    <w:rsid w:val="00B63D03"/>
    <w:rsid w:val="00B64D51"/>
    <w:rsid w:val="00B673C4"/>
    <w:rsid w:val="00B678E5"/>
    <w:rsid w:val="00B67905"/>
    <w:rsid w:val="00B711BD"/>
    <w:rsid w:val="00B74BE7"/>
    <w:rsid w:val="00B761DD"/>
    <w:rsid w:val="00B762F0"/>
    <w:rsid w:val="00B770D4"/>
    <w:rsid w:val="00B77548"/>
    <w:rsid w:val="00B80F90"/>
    <w:rsid w:val="00B810CE"/>
    <w:rsid w:val="00B83221"/>
    <w:rsid w:val="00B83603"/>
    <w:rsid w:val="00B839D7"/>
    <w:rsid w:val="00B83FA5"/>
    <w:rsid w:val="00B8464B"/>
    <w:rsid w:val="00B84CC0"/>
    <w:rsid w:val="00B85C4A"/>
    <w:rsid w:val="00B86BCA"/>
    <w:rsid w:val="00B9136C"/>
    <w:rsid w:val="00B92192"/>
    <w:rsid w:val="00B929C4"/>
    <w:rsid w:val="00B93926"/>
    <w:rsid w:val="00B942F9"/>
    <w:rsid w:val="00B94F8C"/>
    <w:rsid w:val="00B97206"/>
    <w:rsid w:val="00B97C4E"/>
    <w:rsid w:val="00BA08E9"/>
    <w:rsid w:val="00BA1875"/>
    <w:rsid w:val="00BA4D50"/>
    <w:rsid w:val="00BA69A6"/>
    <w:rsid w:val="00BA77EC"/>
    <w:rsid w:val="00BA7C61"/>
    <w:rsid w:val="00BB0411"/>
    <w:rsid w:val="00BB1F1E"/>
    <w:rsid w:val="00BB27D3"/>
    <w:rsid w:val="00BB55DD"/>
    <w:rsid w:val="00BB7A4C"/>
    <w:rsid w:val="00BC1385"/>
    <w:rsid w:val="00BC1F32"/>
    <w:rsid w:val="00BC2ECE"/>
    <w:rsid w:val="00BC2F2C"/>
    <w:rsid w:val="00BC3328"/>
    <w:rsid w:val="00BC56E5"/>
    <w:rsid w:val="00BC768E"/>
    <w:rsid w:val="00BD257E"/>
    <w:rsid w:val="00BD41A7"/>
    <w:rsid w:val="00BD5C79"/>
    <w:rsid w:val="00BD6C17"/>
    <w:rsid w:val="00BD6F88"/>
    <w:rsid w:val="00BD7552"/>
    <w:rsid w:val="00BD758A"/>
    <w:rsid w:val="00BE0C65"/>
    <w:rsid w:val="00BE2950"/>
    <w:rsid w:val="00BE2AA6"/>
    <w:rsid w:val="00BE461F"/>
    <w:rsid w:val="00BE5CFC"/>
    <w:rsid w:val="00BE6E6A"/>
    <w:rsid w:val="00BF1EE9"/>
    <w:rsid w:val="00BF21F6"/>
    <w:rsid w:val="00BF39B0"/>
    <w:rsid w:val="00C00E11"/>
    <w:rsid w:val="00C03374"/>
    <w:rsid w:val="00C04E0C"/>
    <w:rsid w:val="00C05D46"/>
    <w:rsid w:val="00C07C14"/>
    <w:rsid w:val="00C11C15"/>
    <w:rsid w:val="00C12659"/>
    <w:rsid w:val="00C1271D"/>
    <w:rsid w:val="00C13FFB"/>
    <w:rsid w:val="00C14390"/>
    <w:rsid w:val="00C14EE7"/>
    <w:rsid w:val="00C14F0E"/>
    <w:rsid w:val="00C17FA8"/>
    <w:rsid w:val="00C246CF"/>
    <w:rsid w:val="00C26172"/>
    <w:rsid w:val="00C303CC"/>
    <w:rsid w:val="00C30A58"/>
    <w:rsid w:val="00C313E7"/>
    <w:rsid w:val="00C32DDE"/>
    <w:rsid w:val="00C33B61"/>
    <w:rsid w:val="00C362BE"/>
    <w:rsid w:val="00C371C3"/>
    <w:rsid w:val="00C37AC0"/>
    <w:rsid w:val="00C41059"/>
    <w:rsid w:val="00C41201"/>
    <w:rsid w:val="00C41ACA"/>
    <w:rsid w:val="00C42557"/>
    <w:rsid w:val="00C42932"/>
    <w:rsid w:val="00C44471"/>
    <w:rsid w:val="00C445D0"/>
    <w:rsid w:val="00C46A1A"/>
    <w:rsid w:val="00C47531"/>
    <w:rsid w:val="00C52928"/>
    <w:rsid w:val="00C52B89"/>
    <w:rsid w:val="00C52DD7"/>
    <w:rsid w:val="00C5378C"/>
    <w:rsid w:val="00C57C43"/>
    <w:rsid w:val="00C6087B"/>
    <w:rsid w:val="00C61403"/>
    <w:rsid w:val="00C62D25"/>
    <w:rsid w:val="00C643FB"/>
    <w:rsid w:val="00C651A9"/>
    <w:rsid w:val="00C65F46"/>
    <w:rsid w:val="00C6646D"/>
    <w:rsid w:val="00C6706A"/>
    <w:rsid w:val="00C67B58"/>
    <w:rsid w:val="00C70388"/>
    <w:rsid w:val="00C7069F"/>
    <w:rsid w:val="00C7098D"/>
    <w:rsid w:val="00C76371"/>
    <w:rsid w:val="00C8066A"/>
    <w:rsid w:val="00C806D8"/>
    <w:rsid w:val="00C80A65"/>
    <w:rsid w:val="00C81E18"/>
    <w:rsid w:val="00C832DD"/>
    <w:rsid w:val="00C8628D"/>
    <w:rsid w:val="00C92F9F"/>
    <w:rsid w:val="00C950BF"/>
    <w:rsid w:val="00C95BC7"/>
    <w:rsid w:val="00C96556"/>
    <w:rsid w:val="00C96643"/>
    <w:rsid w:val="00C97089"/>
    <w:rsid w:val="00C971C2"/>
    <w:rsid w:val="00C97EE0"/>
    <w:rsid w:val="00CA2695"/>
    <w:rsid w:val="00CA2865"/>
    <w:rsid w:val="00CA31CA"/>
    <w:rsid w:val="00CA6D83"/>
    <w:rsid w:val="00CA6DAC"/>
    <w:rsid w:val="00CA73D7"/>
    <w:rsid w:val="00CA7AFB"/>
    <w:rsid w:val="00CB4034"/>
    <w:rsid w:val="00CB40B6"/>
    <w:rsid w:val="00CB49F2"/>
    <w:rsid w:val="00CB5417"/>
    <w:rsid w:val="00CB668B"/>
    <w:rsid w:val="00CB76FE"/>
    <w:rsid w:val="00CC3249"/>
    <w:rsid w:val="00CC3906"/>
    <w:rsid w:val="00CC413E"/>
    <w:rsid w:val="00CC4E91"/>
    <w:rsid w:val="00CC5FD5"/>
    <w:rsid w:val="00CC7BCA"/>
    <w:rsid w:val="00CD122F"/>
    <w:rsid w:val="00CD25EF"/>
    <w:rsid w:val="00CD4012"/>
    <w:rsid w:val="00CD4619"/>
    <w:rsid w:val="00CD5335"/>
    <w:rsid w:val="00CD6FA9"/>
    <w:rsid w:val="00CE2BD3"/>
    <w:rsid w:val="00CE5E34"/>
    <w:rsid w:val="00CE6C86"/>
    <w:rsid w:val="00CF0333"/>
    <w:rsid w:val="00CF3E36"/>
    <w:rsid w:val="00CF4A45"/>
    <w:rsid w:val="00CF4EC7"/>
    <w:rsid w:val="00D003E7"/>
    <w:rsid w:val="00D021B1"/>
    <w:rsid w:val="00D02898"/>
    <w:rsid w:val="00D03C81"/>
    <w:rsid w:val="00D04915"/>
    <w:rsid w:val="00D04EA6"/>
    <w:rsid w:val="00D057B9"/>
    <w:rsid w:val="00D065CB"/>
    <w:rsid w:val="00D074FA"/>
    <w:rsid w:val="00D078D7"/>
    <w:rsid w:val="00D1228E"/>
    <w:rsid w:val="00D1321B"/>
    <w:rsid w:val="00D13ABA"/>
    <w:rsid w:val="00D14024"/>
    <w:rsid w:val="00D14827"/>
    <w:rsid w:val="00D15608"/>
    <w:rsid w:val="00D16B5A"/>
    <w:rsid w:val="00D16B8D"/>
    <w:rsid w:val="00D21848"/>
    <w:rsid w:val="00D22C8B"/>
    <w:rsid w:val="00D2627C"/>
    <w:rsid w:val="00D271B2"/>
    <w:rsid w:val="00D273BC"/>
    <w:rsid w:val="00D3208F"/>
    <w:rsid w:val="00D33501"/>
    <w:rsid w:val="00D3398E"/>
    <w:rsid w:val="00D35890"/>
    <w:rsid w:val="00D37748"/>
    <w:rsid w:val="00D427DC"/>
    <w:rsid w:val="00D44C58"/>
    <w:rsid w:val="00D451D9"/>
    <w:rsid w:val="00D45DC3"/>
    <w:rsid w:val="00D46310"/>
    <w:rsid w:val="00D46D20"/>
    <w:rsid w:val="00D476A2"/>
    <w:rsid w:val="00D47B33"/>
    <w:rsid w:val="00D50509"/>
    <w:rsid w:val="00D5083E"/>
    <w:rsid w:val="00D5165D"/>
    <w:rsid w:val="00D5548E"/>
    <w:rsid w:val="00D560DA"/>
    <w:rsid w:val="00D56A11"/>
    <w:rsid w:val="00D5722D"/>
    <w:rsid w:val="00D61EA0"/>
    <w:rsid w:val="00D62AA0"/>
    <w:rsid w:val="00D66976"/>
    <w:rsid w:val="00D71FB5"/>
    <w:rsid w:val="00D72ACE"/>
    <w:rsid w:val="00D730AC"/>
    <w:rsid w:val="00D75DC7"/>
    <w:rsid w:val="00D760C9"/>
    <w:rsid w:val="00D76165"/>
    <w:rsid w:val="00D77966"/>
    <w:rsid w:val="00D805D6"/>
    <w:rsid w:val="00D816F8"/>
    <w:rsid w:val="00D83818"/>
    <w:rsid w:val="00D84DDF"/>
    <w:rsid w:val="00D86F2A"/>
    <w:rsid w:val="00D87039"/>
    <w:rsid w:val="00D90208"/>
    <w:rsid w:val="00D93C5E"/>
    <w:rsid w:val="00D947A0"/>
    <w:rsid w:val="00D94B99"/>
    <w:rsid w:val="00D94FB7"/>
    <w:rsid w:val="00DA0E60"/>
    <w:rsid w:val="00DA21CC"/>
    <w:rsid w:val="00DA3455"/>
    <w:rsid w:val="00DA42F3"/>
    <w:rsid w:val="00DA4FE7"/>
    <w:rsid w:val="00DA5867"/>
    <w:rsid w:val="00DA5C80"/>
    <w:rsid w:val="00DA723F"/>
    <w:rsid w:val="00DB0094"/>
    <w:rsid w:val="00DB30C1"/>
    <w:rsid w:val="00DB4909"/>
    <w:rsid w:val="00DB645F"/>
    <w:rsid w:val="00DB6CA2"/>
    <w:rsid w:val="00DB7CA9"/>
    <w:rsid w:val="00DC0003"/>
    <w:rsid w:val="00DC0114"/>
    <w:rsid w:val="00DC20C7"/>
    <w:rsid w:val="00DC50A9"/>
    <w:rsid w:val="00DC5FD4"/>
    <w:rsid w:val="00DC7719"/>
    <w:rsid w:val="00DD1CBD"/>
    <w:rsid w:val="00DD6F16"/>
    <w:rsid w:val="00DE1535"/>
    <w:rsid w:val="00DE1ECE"/>
    <w:rsid w:val="00DE3365"/>
    <w:rsid w:val="00DE5CD4"/>
    <w:rsid w:val="00DF076A"/>
    <w:rsid w:val="00DF1094"/>
    <w:rsid w:val="00DF15B0"/>
    <w:rsid w:val="00DF29B8"/>
    <w:rsid w:val="00DF46D3"/>
    <w:rsid w:val="00DF56B0"/>
    <w:rsid w:val="00DF61ED"/>
    <w:rsid w:val="00DF775A"/>
    <w:rsid w:val="00E0153B"/>
    <w:rsid w:val="00E018D4"/>
    <w:rsid w:val="00E01DA0"/>
    <w:rsid w:val="00E05754"/>
    <w:rsid w:val="00E0672D"/>
    <w:rsid w:val="00E06D32"/>
    <w:rsid w:val="00E06FCA"/>
    <w:rsid w:val="00E103B7"/>
    <w:rsid w:val="00E106C5"/>
    <w:rsid w:val="00E12E33"/>
    <w:rsid w:val="00E12FBD"/>
    <w:rsid w:val="00E1304C"/>
    <w:rsid w:val="00E13A5B"/>
    <w:rsid w:val="00E13E84"/>
    <w:rsid w:val="00E154CB"/>
    <w:rsid w:val="00E16D14"/>
    <w:rsid w:val="00E203D4"/>
    <w:rsid w:val="00E204A1"/>
    <w:rsid w:val="00E209E3"/>
    <w:rsid w:val="00E20F27"/>
    <w:rsid w:val="00E218C2"/>
    <w:rsid w:val="00E233E3"/>
    <w:rsid w:val="00E23E71"/>
    <w:rsid w:val="00E240BB"/>
    <w:rsid w:val="00E25922"/>
    <w:rsid w:val="00E27658"/>
    <w:rsid w:val="00E277DF"/>
    <w:rsid w:val="00E27C18"/>
    <w:rsid w:val="00E324BB"/>
    <w:rsid w:val="00E3602F"/>
    <w:rsid w:val="00E3629B"/>
    <w:rsid w:val="00E36C80"/>
    <w:rsid w:val="00E36FE3"/>
    <w:rsid w:val="00E370B6"/>
    <w:rsid w:val="00E373F0"/>
    <w:rsid w:val="00E37C2E"/>
    <w:rsid w:val="00E419E9"/>
    <w:rsid w:val="00E422D7"/>
    <w:rsid w:val="00E423F8"/>
    <w:rsid w:val="00E44881"/>
    <w:rsid w:val="00E47277"/>
    <w:rsid w:val="00E47E3A"/>
    <w:rsid w:val="00E547D4"/>
    <w:rsid w:val="00E55D9F"/>
    <w:rsid w:val="00E60D83"/>
    <w:rsid w:val="00E60EEF"/>
    <w:rsid w:val="00E611E4"/>
    <w:rsid w:val="00E63B04"/>
    <w:rsid w:val="00E64F27"/>
    <w:rsid w:val="00E67309"/>
    <w:rsid w:val="00E70F1C"/>
    <w:rsid w:val="00E70FEA"/>
    <w:rsid w:val="00E712A1"/>
    <w:rsid w:val="00E72911"/>
    <w:rsid w:val="00E72A62"/>
    <w:rsid w:val="00E74948"/>
    <w:rsid w:val="00E76176"/>
    <w:rsid w:val="00E76614"/>
    <w:rsid w:val="00E83A4C"/>
    <w:rsid w:val="00E83AC7"/>
    <w:rsid w:val="00E86087"/>
    <w:rsid w:val="00E862E9"/>
    <w:rsid w:val="00E863E8"/>
    <w:rsid w:val="00E8661A"/>
    <w:rsid w:val="00E87A49"/>
    <w:rsid w:val="00E900D3"/>
    <w:rsid w:val="00E90BA2"/>
    <w:rsid w:val="00E91638"/>
    <w:rsid w:val="00E92166"/>
    <w:rsid w:val="00E92C83"/>
    <w:rsid w:val="00E931DD"/>
    <w:rsid w:val="00E933F4"/>
    <w:rsid w:val="00E95067"/>
    <w:rsid w:val="00EA16C9"/>
    <w:rsid w:val="00EA184E"/>
    <w:rsid w:val="00EA1E6D"/>
    <w:rsid w:val="00EA1F91"/>
    <w:rsid w:val="00EA2A52"/>
    <w:rsid w:val="00EA4072"/>
    <w:rsid w:val="00EA52F8"/>
    <w:rsid w:val="00EB01D9"/>
    <w:rsid w:val="00EB06E9"/>
    <w:rsid w:val="00EB1860"/>
    <w:rsid w:val="00EB1DA5"/>
    <w:rsid w:val="00EB7BE5"/>
    <w:rsid w:val="00EB7C31"/>
    <w:rsid w:val="00EC0B79"/>
    <w:rsid w:val="00EC107C"/>
    <w:rsid w:val="00EC2EE6"/>
    <w:rsid w:val="00EC2FE5"/>
    <w:rsid w:val="00EC46D9"/>
    <w:rsid w:val="00EC496D"/>
    <w:rsid w:val="00ED0FD6"/>
    <w:rsid w:val="00ED34EF"/>
    <w:rsid w:val="00ED43B9"/>
    <w:rsid w:val="00ED5BB7"/>
    <w:rsid w:val="00ED5D30"/>
    <w:rsid w:val="00ED5D97"/>
    <w:rsid w:val="00ED608A"/>
    <w:rsid w:val="00ED6EDF"/>
    <w:rsid w:val="00ED7658"/>
    <w:rsid w:val="00EE205D"/>
    <w:rsid w:val="00EE3CC1"/>
    <w:rsid w:val="00EE4971"/>
    <w:rsid w:val="00EE4AC7"/>
    <w:rsid w:val="00EE4EFC"/>
    <w:rsid w:val="00EE67C0"/>
    <w:rsid w:val="00EF0094"/>
    <w:rsid w:val="00EF0538"/>
    <w:rsid w:val="00EF0A97"/>
    <w:rsid w:val="00EF12DA"/>
    <w:rsid w:val="00EF2754"/>
    <w:rsid w:val="00EF4BE0"/>
    <w:rsid w:val="00EF61F5"/>
    <w:rsid w:val="00EF7BA5"/>
    <w:rsid w:val="00EF7E7C"/>
    <w:rsid w:val="00F0008E"/>
    <w:rsid w:val="00F00501"/>
    <w:rsid w:val="00F022CB"/>
    <w:rsid w:val="00F02638"/>
    <w:rsid w:val="00F04382"/>
    <w:rsid w:val="00F069AE"/>
    <w:rsid w:val="00F07783"/>
    <w:rsid w:val="00F10FF7"/>
    <w:rsid w:val="00F12415"/>
    <w:rsid w:val="00F1488C"/>
    <w:rsid w:val="00F1557D"/>
    <w:rsid w:val="00F15665"/>
    <w:rsid w:val="00F17A6B"/>
    <w:rsid w:val="00F215F1"/>
    <w:rsid w:val="00F21F08"/>
    <w:rsid w:val="00F234E6"/>
    <w:rsid w:val="00F24700"/>
    <w:rsid w:val="00F24A2F"/>
    <w:rsid w:val="00F24E09"/>
    <w:rsid w:val="00F30397"/>
    <w:rsid w:val="00F32D06"/>
    <w:rsid w:val="00F3430E"/>
    <w:rsid w:val="00F36459"/>
    <w:rsid w:val="00F44699"/>
    <w:rsid w:val="00F46428"/>
    <w:rsid w:val="00F53537"/>
    <w:rsid w:val="00F53C6F"/>
    <w:rsid w:val="00F570CA"/>
    <w:rsid w:val="00F575C5"/>
    <w:rsid w:val="00F57AFF"/>
    <w:rsid w:val="00F63B68"/>
    <w:rsid w:val="00F656FD"/>
    <w:rsid w:val="00F66F29"/>
    <w:rsid w:val="00F677BB"/>
    <w:rsid w:val="00F70841"/>
    <w:rsid w:val="00F71B55"/>
    <w:rsid w:val="00F72FA4"/>
    <w:rsid w:val="00F742B0"/>
    <w:rsid w:val="00F743BE"/>
    <w:rsid w:val="00F74525"/>
    <w:rsid w:val="00F7586E"/>
    <w:rsid w:val="00F75FC3"/>
    <w:rsid w:val="00F76598"/>
    <w:rsid w:val="00F819BB"/>
    <w:rsid w:val="00F81CE1"/>
    <w:rsid w:val="00F84EE9"/>
    <w:rsid w:val="00F92004"/>
    <w:rsid w:val="00F931F2"/>
    <w:rsid w:val="00F93CB2"/>
    <w:rsid w:val="00F9557F"/>
    <w:rsid w:val="00FA1611"/>
    <w:rsid w:val="00FA271D"/>
    <w:rsid w:val="00FA2F8E"/>
    <w:rsid w:val="00FA4171"/>
    <w:rsid w:val="00FB0A21"/>
    <w:rsid w:val="00FB15F8"/>
    <w:rsid w:val="00FB31D1"/>
    <w:rsid w:val="00FB3500"/>
    <w:rsid w:val="00FB428C"/>
    <w:rsid w:val="00FB47C6"/>
    <w:rsid w:val="00FB5835"/>
    <w:rsid w:val="00FB6920"/>
    <w:rsid w:val="00FB767E"/>
    <w:rsid w:val="00FB7BE3"/>
    <w:rsid w:val="00FC02D1"/>
    <w:rsid w:val="00FC275D"/>
    <w:rsid w:val="00FC2EA9"/>
    <w:rsid w:val="00FC58A3"/>
    <w:rsid w:val="00FC5A0E"/>
    <w:rsid w:val="00FC6E5A"/>
    <w:rsid w:val="00FC719F"/>
    <w:rsid w:val="00FC77CF"/>
    <w:rsid w:val="00FD22F6"/>
    <w:rsid w:val="00FD31A5"/>
    <w:rsid w:val="00FD5A0B"/>
    <w:rsid w:val="00FD6B6F"/>
    <w:rsid w:val="00FD7C2E"/>
    <w:rsid w:val="00FE1AA5"/>
    <w:rsid w:val="00FE2A98"/>
    <w:rsid w:val="00FE4593"/>
    <w:rsid w:val="00FE56F8"/>
    <w:rsid w:val="00FE7ADE"/>
    <w:rsid w:val="00FF01AB"/>
    <w:rsid w:val="00FF1D64"/>
    <w:rsid w:val="00FF23F3"/>
    <w:rsid w:val="00FF2AD8"/>
    <w:rsid w:val="00FF3BFE"/>
    <w:rsid w:val="00FF3F84"/>
    <w:rsid w:val="00FF57E8"/>
    <w:rsid w:val="00FF6F94"/>
    <w:rsid w:val="00FF7270"/>
    <w:rsid w:val="00FF7A7F"/>
    <w:rsid w:val="01522069"/>
    <w:rsid w:val="016025B4"/>
    <w:rsid w:val="01D35DF5"/>
    <w:rsid w:val="01DF1BA2"/>
    <w:rsid w:val="01F9274C"/>
    <w:rsid w:val="01FC3785"/>
    <w:rsid w:val="023C4746"/>
    <w:rsid w:val="0243790C"/>
    <w:rsid w:val="02523C23"/>
    <w:rsid w:val="0275426B"/>
    <w:rsid w:val="02F32963"/>
    <w:rsid w:val="030D0F8F"/>
    <w:rsid w:val="038320DD"/>
    <w:rsid w:val="03F6334D"/>
    <w:rsid w:val="045E63EC"/>
    <w:rsid w:val="04A610B0"/>
    <w:rsid w:val="05CF43E4"/>
    <w:rsid w:val="05EA4073"/>
    <w:rsid w:val="061E417E"/>
    <w:rsid w:val="06247323"/>
    <w:rsid w:val="06282440"/>
    <w:rsid w:val="06316639"/>
    <w:rsid w:val="063C42C5"/>
    <w:rsid w:val="06751780"/>
    <w:rsid w:val="07A30293"/>
    <w:rsid w:val="07FB0DC5"/>
    <w:rsid w:val="081106BC"/>
    <w:rsid w:val="081E0766"/>
    <w:rsid w:val="086A2634"/>
    <w:rsid w:val="088B7712"/>
    <w:rsid w:val="08C004B6"/>
    <w:rsid w:val="08C865B6"/>
    <w:rsid w:val="09207C05"/>
    <w:rsid w:val="09EA50CF"/>
    <w:rsid w:val="09F07D3F"/>
    <w:rsid w:val="0AE0785B"/>
    <w:rsid w:val="0B22064F"/>
    <w:rsid w:val="0B2D6F9D"/>
    <w:rsid w:val="0B5459A6"/>
    <w:rsid w:val="0B5E4BF3"/>
    <w:rsid w:val="0B7F18C1"/>
    <w:rsid w:val="0B8B38D6"/>
    <w:rsid w:val="0BE43F91"/>
    <w:rsid w:val="0C157050"/>
    <w:rsid w:val="0C1E2E71"/>
    <w:rsid w:val="0C3167AF"/>
    <w:rsid w:val="0C3844D2"/>
    <w:rsid w:val="0C4E1A30"/>
    <w:rsid w:val="0CFA4907"/>
    <w:rsid w:val="0E867648"/>
    <w:rsid w:val="0E8F5F87"/>
    <w:rsid w:val="0EE859DF"/>
    <w:rsid w:val="0F94260B"/>
    <w:rsid w:val="10CE05B7"/>
    <w:rsid w:val="10D744AE"/>
    <w:rsid w:val="10EE066B"/>
    <w:rsid w:val="110F5518"/>
    <w:rsid w:val="11174A03"/>
    <w:rsid w:val="113A55FC"/>
    <w:rsid w:val="11DA10D8"/>
    <w:rsid w:val="11DA20F0"/>
    <w:rsid w:val="121A72B3"/>
    <w:rsid w:val="122B1F69"/>
    <w:rsid w:val="123938F5"/>
    <w:rsid w:val="130762C7"/>
    <w:rsid w:val="133C549C"/>
    <w:rsid w:val="14131C7C"/>
    <w:rsid w:val="14687B27"/>
    <w:rsid w:val="14E51FD5"/>
    <w:rsid w:val="14FA0A16"/>
    <w:rsid w:val="156C5731"/>
    <w:rsid w:val="157C5A67"/>
    <w:rsid w:val="15BC67B5"/>
    <w:rsid w:val="15D55160"/>
    <w:rsid w:val="15E53C11"/>
    <w:rsid w:val="15F14F5C"/>
    <w:rsid w:val="16761466"/>
    <w:rsid w:val="174358C7"/>
    <w:rsid w:val="17CE2B12"/>
    <w:rsid w:val="17F22041"/>
    <w:rsid w:val="184B3D08"/>
    <w:rsid w:val="19700C8B"/>
    <w:rsid w:val="197616D3"/>
    <w:rsid w:val="19F2719F"/>
    <w:rsid w:val="1A0D104E"/>
    <w:rsid w:val="1A7B4D9E"/>
    <w:rsid w:val="1A7F16D6"/>
    <w:rsid w:val="1AB7614C"/>
    <w:rsid w:val="1B404677"/>
    <w:rsid w:val="1BB00E42"/>
    <w:rsid w:val="1BF3125F"/>
    <w:rsid w:val="1C634D88"/>
    <w:rsid w:val="1CDD55E8"/>
    <w:rsid w:val="1D6567C6"/>
    <w:rsid w:val="1D710283"/>
    <w:rsid w:val="1DD248AB"/>
    <w:rsid w:val="1E2C658F"/>
    <w:rsid w:val="1E453CD1"/>
    <w:rsid w:val="1E775389"/>
    <w:rsid w:val="1E8775E7"/>
    <w:rsid w:val="1EB765A0"/>
    <w:rsid w:val="1EDA72ED"/>
    <w:rsid w:val="1EE71C08"/>
    <w:rsid w:val="1EFC55E3"/>
    <w:rsid w:val="1F165447"/>
    <w:rsid w:val="1F7B1141"/>
    <w:rsid w:val="1FAC021C"/>
    <w:rsid w:val="1FB11C0E"/>
    <w:rsid w:val="1FBB62EA"/>
    <w:rsid w:val="202B7192"/>
    <w:rsid w:val="202F6C59"/>
    <w:rsid w:val="20BA16B0"/>
    <w:rsid w:val="215D514D"/>
    <w:rsid w:val="218F649F"/>
    <w:rsid w:val="21EB0E30"/>
    <w:rsid w:val="221217BA"/>
    <w:rsid w:val="221A34DD"/>
    <w:rsid w:val="22285302"/>
    <w:rsid w:val="22386D48"/>
    <w:rsid w:val="225408CC"/>
    <w:rsid w:val="227E3ADD"/>
    <w:rsid w:val="22920EAB"/>
    <w:rsid w:val="22E565D4"/>
    <w:rsid w:val="23032163"/>
    <w:rsid w:val="231408D0"/>
    <w:rsid w:val="23143425"/>
    <w:rsid w:val="232F5223"/>
    <w:rsid w:val="237B1C44"/>
    <w:rsid w:val="23CD415B"/>
    <w:rsid w:val="23E56CFB"/>
    <w:rsid w:val="242A0BC6"/>
    <w:rsid w:val="254B1EBF"/>
    <w:rsid w:val="256101B9"/>
    <w:rsid w:val="25643998"/>
    <w:rsid w:val="25724B6F"/>
    <w:rsid w:val="25D971A5"/>
    <w:rsid w:val="260339AE"/>
    <w:rsid w:val="261B4320"/>
    <w:rsid w:val="26292E8D"/>
    <w:rsid w:val="266B7D98"/>
    <w:rsid w:val="268B5C47"/>
    <w:rsid w:val="26A92936"/>
    <w:rsid w:val="26EC3901"/>
    <w:rsid w:val="26F35BD2"/>
    <w:rsid w:val="26FB6383"/>
    <w:rsid w:val="27077C17"/>
    <w:rsid w:val="276002A5"/>
    <w:rsid w:val="277808FD"/>
    <w:rsid w:val="27EC2A27"/>
    <w:rsid w:val="280F40D3"/>
    <w:rsid w:val="282C51E3"/>
    <w:rsid w:val="28330498"/>
    <w:rsid w:val="28B164BA"/>
    <w:rsid w:val="29391907"/>
    <w:rsid w:val="29C0392A"/>
    <w:rsid w:val="29FF24F9"/>
    <w:rsid w:val="2A744FDA"/>
    <w:rsid w:val="2B2402B2"/>
    <w:rsid w:val="2B7E1027"/>
    <w:rsid w:val="2BDA5F01"/>
    <w:rsid w:val="2BFF5A02"/>
    <w:rsid w:val="2C837613"/>
    <w:rsid w:val="2C8C5D24"/>
    <w:rsid w:val="2CA44C57"/>
    <w:rsid w:val="2CBF02D4"/>
    <w:rsid w:val="2D101A45"/>
    <w:rsid w:val="2D977620"/>
    <w:rsid w:val="2E0D299D"/>
    <w:rsid w:val="2E2506F5"/>
    <w:rsid w:val="2E4F12A0"/>
    <w:rsid w:val="2E9A3C5E"/>
    <w:rsid w:val="2EC32007"/>
    <w:rsid w:val="2F1105A0"/>
    <w:rsid w:val="2F365903"/>
    <w:rsid w:val="2F642F4F"/>
    <w:rsid w:val="2F870D71"/>
    <w:rsid w:val="2F9D43AD"/>
    <w:rsid w:val="2FCA6E85"/>
    <w:rsid w:val="2FD325C3"/>
    <w:rsid w:val="310A5536"/>
    <w:rsid w:val="311B535E"/>
    <w:rsid w:val="32647033"/>
    <w:rsid w:val="32CF32A6"/>
    <w:rsid w:val="32F01B04"/>
    <w:rsid w:val="33156FBF"/>
    <w:rsid w:val="3325212C"/>
    <w:rsid w:val="337F00D6"/>
    <w:rsid w:val="339C5DEB"/>
    <w:rsid w:val="3409724F"/>
    <w:rsid w:val="345E1CE4"/>
    <w:rsid w:val="34927A67"/>
    <w:rsid w:val="35471983"/>
    <w:rsid w:val="3562693E"/>
    <w:rsid w:val="357E62E3"/>
    <w:rsid w:val="3592525C"/>
    <w:rsid w:val="36033620"/>
    <w:rsid w:val="364943D7"/>
    <w:rsid w:val="366E68DA"/>
    <w:rsid w:val="367F5CE7"/>
    <w:rsid w:val="36900113"/>
    <w:rsid w:val="36EB313B"/>
    <w:rsid w:val="370C5225"/>
    <w:rsid w:val="37211C00"/>
    <w:rsid w:val="375865E3"/>
    <w:rsid w:val="37666E72"/>
    <w:rsid w:val="379C5264"/>
    <w:rsid w:val="37A15513"/>
    <w:rsid w:val="37EA1649"/>
    <w:rsid w:val="3820579B"/>
    <w:rsid w:val="38B414EA"/>
    <w:rsid w:val="38BF03A8"/>
    <w:rsid w:val="397B30E6"/>
    <w:rsid w:val="39CD675C"/>
    <w:rsid w:val="3A3D2D97"/>
    <w:rsid w:val="3A5C7287"/>
    <w:rsid w:val="3A9F75B9"/>
    <w:rsid w:val="3AA62486"/>
    <w:rsid w:val="3AFE63E3"/>
    <w:rsid w:val="3B353818"/>
    <w:rsid w:val="3B375A1C"/>
    <w:rsid w:val="3B5D61A9"/>
    <w:rsid w:val="3B6D2487"/>
    <w:rsid w:val="3B86791D"/>
    <w:rsid w:val="3BB9317F"/>
    <w:rsid w:val="3BCE65AF"/>
    <w:rsid w:val="3C1D10AF"/>
    <w:rsid w:val="3C3F62F7"/>
    <w:rsid w:val="3C723A30"/>
    <w:rsid w:val="3C930CED"/>
    <w:rsid w:val="3C9400F1"/>
    <w:rsid w:val="3CEE5627"/>
    <w:rsid w:val="3CF81944"/>
    <w:rsid w:val="3CFE3C20"/>
    <w:rsid w:val="3D9A7A2C"/>
    <w:rsid w:val="3DCC1401"/>
    <w:rsid w:val="3DCE2C49"/>
    <w:rsid w:val="3DDA023E"/>
    <w:rsid w:val="3DEC4448"/>
    <w:rsid w:val="3E9E1BA0"/>
    <w:rsid w:val="3ED9222C"/>
    <w:rsid w:val="3F006868"/>
    <w:rsid w:val="3F4F70E1"/>
    <w:rsid w:val="3F584CF9"/>
    <w:rsid w:val="3FC26926"/>
    <w:rsid w:val="3FD62A02"/>
    <w:rsid w:val="3FE10977"/>
    <w:rsid w:val="3FED2619"/>
    <w:rsid w:val="401C3B3D"/>
    <w:rsid w:val="403110A3"/>
    <w:rsid w:val="40327950"/>
    <w:rsid w:val="40830F63"/>
    <w:rsid w:val="40D4166E"/>
    <w:rsid w:val="4104321D"/>
    <w:rsid w:val="410661A0"/>
    <w:rsid w:val="411F21C8"/>
    <w:rsid w:val="412874F2"/>
    <w:rsid w:val="41625F24"/>
    <w:rsid w:val="41A24835"/>
    <w:rsid w:val="41F237C0"/>
    <w:rsid w:val="42170F9D"/>
    <w:rsid w:val="425B65EB"/>
    <w:rsid w:val="425C1C70"/>
    <w:rsid w:val="42741786"/>
    <w:rsid w:val="428571A8"/>
    <w:rsid w:val="428B7808"/>
    <w:rsid w:val="428E1CC9"/>
    <w:rsid w:val="43AE3A19"/>
    <w:rsid w:val="43B91DAA"/>
    <w:rsid w:val="44227B2D"/>
    <w:rsid w:val="445245E0"/>
    <w:rsid w:val="45314438"/>
    <w:rsid w:val="45465257"/>
    <w:rsid w:val="45711111"/>
    <w:rsid w:val="458D65F6"/>
    <w:rsid w:val="45C945E5"/>
    <w:rsid w:val="46355593"/>
    <w:rsid w:val="466C5671"/>
    <w:rsid w:val="4689102B"/>
    <w:rsid w:val="46E8444D"/>
    <w:rsid w:val="472125D7"/>
    <w:rsid w:val="47F46C1C"/>
    <w:rsid w:val="4814458A"/>
    <w:rsid w:val="484B22BE"/>
    <w:rsid w:val="487F70A0"/>
    <w:rsid w:val="489A4E2B"/>
    <w:rsid w:val="48EF247D"/>
    <w:rsid w:val="49050C9F"/>
    <w:rsid w:val="49165F8E"/>
    <w:rsid w:val="49985536"/>
    <w:rsid w:val="49E15142"/>
    <w:rsid w:val="49E2626B"/>
    <w:rsid w:val="4A4970F0"/>
    <w:rsid w:val="4A560795"/>
    <w:rsid w:val="4A9451E1"/>
    <w:rsid w:val="4AE87C83"/>
    <w:rsid w:val="4B4F759D"/>
    <w:rsid w:val="4B88754D"/>
    <w:rsid w:val="4C404608"/>
    <w:rsid w:val="4C650F52"/>
    <w:rsid w:val="4C87411C"/>
    <w:rsid w:val="4CE20FB3"/>
    <w:rsid w:val="4D0629AA"/>
    <w:rsid w:val="4D8F6DCD"/>
    <w:rsid w:val="4DF11170"/>
    <w:rsid w:val="4E3A09B4"/>
    <w:rsid w:val="4E3A6E94"/>
    <w:rsid w:val="4E441361"/>
    <w:rsid w:val="4EDC6B5F"/>
    <w:rsid w:val="4F2117BB"/>
    <w:rsid w:val="4F935016"/>
    <w:rsid w:val="4F9A5CA8"/>
    <w:rsid w:val="4F9F68AD"/>
    <w:rsid w:val="504C7CCA"/>
    <w:rsid w:val="50FB630D"/>
    <w:rsid w:val="518741CF"/>
    <w:rsid w:val="51AA57D0"/>
    <w:rsid w:val="52092077"/>
    <w:rsid w:val="520E530F"/>
    <w:rsid w:val="52361C49"/>
    <w:rsid w:val="526B5AC6"/>
    <w:rsid w:val="52724A8B"/>
    <w:rsid w:val="52D62BF7"/>
    <w:rsid w:val="53143FEA"/>
    <w:rsid w:val="53153F9F"/>
    <w:rsid w:val="53473C59"/>
    <w:rsid w:val="54984379"/>
    <w:rsid w:val="54D6013E"/>
    <w:rsid w:val="54E41652"/>
    <w:rsid w:val="54E661FD"/>
    <w:rsid w:val="550E0298"/>
    <w:rsid w:val="5518442B"/>
    <w:rsid w:val="556F7038"/>
    <w:rsid w:val="55734782"/>
    <w:rsid w:val="56756A45"/>
    <w:rsid w:val="5725141B"/>
    <w:rsid w:val="574F0AEB"/>
    <w:rsid w:val="575056AE"/>
    <w:rsid w:val="5777003E"/>
    <w:rsid w:val="57A266EA"/>
    <w:rsid w:val="57A90DEC"/>
    <w:rsid w:val="57A9565E"/>
    <w:rsid w:val="57F80224"/>
    <w:rsid w:val="58160210"/>
    <w:rsid w:val="582D300E"/>
    <w:rsid w:val="589023F9"/>
    <w:rsid w:val="58CB3E94"/>
    <w:rsid w:val="58E24461"/>
    <w:rsid w:val="593E0BAE"/>
    <w:rsid w:val="59516BAE"/>
    <w:rsid w:val="59E6048B"/>
    <w:rsid w:val="5A557270"/>
    <w:rsid w:val="5A7109C7"/>
    <w:rsid w:val="5A9E472F"/>
    <w:rsid w:val="5AA93841"/>
    <w:rsid w:val="5AC73801"/>
    <w:rsid w:val="5C025303"/>
    <w:rsid w:val="5C6411CB"/>
    <w:rsid w:val="5C851674"/>
    <w:rsid w:val="5CA65422"/>
    <w:rsid w:val="5E2F6466"/>
    <w:rsid w:val="5E4C6141"/>
    <w:rsid w:val="5E62722D"/>
    <w:rsid w:val="5E6D6436"/>
    <w:rsid w:val="5E7B2A2B"/>
    <w:rsid w:val="5F2E2BBF"/>
    <w:rsid w:val="5F553BF0"/>
    <w:rsid w:val="6044678D"/>
    <w:rsid w:val="60465003"/>
    <w:rsid w:val="60673FC5"/>
    <w:rsid w:val="609805E0"/>
    <w:rsid w:val="609E70A1"/>
    <w:rsid w:val="60A92261"/>
    <w:rsid w:val="60BB52F5"/>
    <w:rsid w:val="61B07BCC"/>
    <w:rsid w:val="61B225D2"/>
    <w:rsid w:val="61C308E1"/>
    <w:rsid w:val="61D22FB6"/>
    <w:rsid w:val="621A0401"/>
    <w:rsid w:val="62516E6E"/>
    <w:rsid w:val="629C2F58"/>
    <w:rsid w:val="62DE23A6"/>
    <w:rsid w:val="631F0FB3"/>
    <w:rsid w:val="638763D9"/>
    <w:rsid w:val="63937C6D"/>
    <w:rsid w:val="639578ED"/>
    <w:rsid w:val="63AC5B08"/>
    <w:rsid w:val="645A562D"/>
    <w:rsid w:val="646621C4"/>
    <w:rsid w:val="649C04A0"/>
    <w:rsid w:val="651B67EF"/>
    <w:rsid w:val="656F0478"/>
    <w:rsid w:val="65D65E3D"/>
    <w:rsid w:val="665839FC"/>
    <w:rsid w:val="66A55198"/>
    <w:rsid w:val="66D14F9A"/>
    <w:rsid w:val="674943E2"/>
    <w:rsid w:val="67961674"/>
    <w:rsid w:val="683B5E26"/>
    <w:rsid w:val="68400800"/>
    <w:rsid w:val="68EF07A8"/>
    <w:rsid w:val="69770119"/>
    <w:rsid w:val="69790C47"/>
    <w:rsid w:val="6983664B"/>
    <w:rsid w:val="69DA0037"/>
    <w:rsid w:val="69EE0F4E"/>
    <w:rsid w:val="6A16241A"/>
    <w:rsid w:val="6A1C4324"/>
    <w:rsid w:val="6A843677"/>
    <w:rsid w:val="6A91643B"/>
    <w:rsid w:val="6A9554F8"/>
    <w:rsid w:val="6AC51E4B"/>
    <w:rsid w:val="6B4677FA"/>
    <w:rsid w:val="6B96756E"/>
    <w:rsid w:val="6BAD59B4"/>
    <w:rsid w:val="6BB4361D"/>
    <w:rsid w:val="6BD87397"/>
    <w:rsid w:val="6BDF7488"/>
    <w:rsid w:val="6C094F66"/>
    <w:rsid w:val="6CFD71E1"/>
    <w:rsid w:val="6D0C62D6"/>
    <w:rsid w:val="6DF410F1"/>
    <w:rsid w:val="6E136122"/>
    <w:rsid w:val="6E245261"/>
    <w:rsid w:val="6E305147"/>
    <w:rsid w:val="6E49387D"/>
    <w:rsid w:val="6E7206A9"/>
    <w:rsid w:val="6F252AE8"/>
    <w:rsid w:val="6F780991"/>
    <w:rsid w:val="6F8E6964"/>
    <w:rsid w:val="6FB856FD"/>
    <w:rsid w:val="70CD043B"/>
    <w:rsid w:val="70E365DF"/>
    <w:rsid w:val="710532D8"/>
    <w:rsid w:val="71865388"/>
    <w:rsid w:val="71920663"/>
    <w:rsid w:val="71AE2BEB"/>
    <w:rsid w:val="71F44E84"/>
    <w:rsid w:val="72614E87"/>
    <w:rsid w:val="72970EC9"/>
    <w:rsid w:val="72EE3D1A"/>
    <w:rsid w:val="72F43F51"/>
    <w:rsid w:val="735A61C9"/>
    <w:rsid w:val="73977AB3"/>
    <w:rsid w:val="73B565D1"/>
    <w:rsid w:val="73D0568F"/>
    <w:rsid w:val="74386549"/>
    <w:rsid w:val="745368A0"/>
    <w:rsid w:val="76172CE4"/>
    <w:rsid w:val="76A2766B"/>
    <w:rsid w:val="76A72C39"/>
    <w:rsid w:val="76EF302D"/>
    <w:rsid w:val="77735805"/>
    <w:rsid w:val="778770AE"/>
    <w:rsid w:val="77E9454A"/>
    <w:rsid w:val="77FB609E"/>
    <w:rsid w:val="78192FA8"/>
    <w:rsid w:val="796C7B9F"/>
    <w:rsid w:val="798114B7"/>
    <w:rsid w:val="79F842AA"/>
    <w:rsid w:val="7A9075DD"/>
    <w:rsid w:val="7AAA535B"/>
    <w:rsid w:val="7ABA3491"/>
    <w:rsid w:val="7B8212DF"/>
    <w:rsid w:val="7BCC76A8"/>
    <w:rsid w:val="7BDE06C2"/>
    <w:rsid w:val="7BE60252"/>
    <w:rsid w:val="7C086208"/>
    <w:rsid w:val="7C33678E"/>
    <w:rsid w:val="7C75463E"/>
    <w:rsid w:val="7C944EF3"/>
    <w:rsid w:val="7CBD6481"/>
    <w:rsid w:val="7CD46054"/>
    <w:rsid w:val="7D03537D"/>
    <w:rsid w:val="7D1103F1"/>
    <w:rsid w:val="7D8448D9"/>
    <w:rsid w:val="7DA33F91"/>
    <w:rsid w:val="7DD56E00"/>
    <w:rsid w:val="7DDE63DD"/>
    <w:rsid w:val="7DFA610A"/>
    <w:rsid w:val="7E83226D"/>
    <w:rsid w:val="7F134413"/>
    <w:rsid w:val="7F2B3205"/>
    <w:rsid w:val="7F8A16C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547FF2"/>
  <w15:docId w15:val="{9F3A24AD-7E19-4689-B0B5-68BD45234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rFonts w:asciiTheme="minorHAnsi" w:eastAsiaTheme="minorHAnsi" w:hAnsiTheme="minorHAnsi" w:cstheme="minorBidi"/>
      <w:sz w:val="22"/>
      <w:szCs w:val="22"/>
      <w:lang w:eastAsia="en-US"/>
    </w:rPr>
  </w:style>
  <w:style w:type="paragraph" w:styleId="1-">
    <w:name w:val="heading 1"/>
    <w:basedOn w:val="a"/>
    <w:uiPriority w:val="9"/>
    <w:qFormat/>
    <w:pPr>
      <w:spacing w:beforeAutospacing="1" w:afterAutospacing="1"/>
      <w:outlineLvl w:val="0"/>
    </w:pPr>
    <w:rPr>
      <w:rFonts w:ascii="SimSun" w:eastAsia="SimSun" w:hAnsi="SimSun" w:cs="Times New Roman" w:hint="eastAsia"/>
      <w:b/>
      <w:bCs/>
      <w:kern w:val="44"/>
      <w:sz w:val="48"/>
      <w:szCs w:val="48"/>
      <w:lang w:val="en-US" w:eastAsia="zh-CN"/>
    </w:rPr>
  </w:style>
  <w:style w:type="paragraph" w:styleId="2-">
    <w:name w:val="heading 2"/>
    <w:basedOn w:val="a"/>
    <w:next w:val="a"/>
    <w:link w:val="2-0"/>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paragraph" w:styleId="a4">
    <w:name w:val="footer"/>
    <w:basedOn w:val="a"/>
    <w:link w:val="a5"/>
    <w:uiPriority w:val="99"/>
    <w:unhideWhenUsed/>
    <w:qFormat/>
    <w:pPr>
      <w:tabs>
        <w:tab w:val="center" w:pos="4153"/>
        <w:tab w:val="right" w:pos="8306"/>
      </w:tabs>
      <w:snapToGrid w:val="0"/>
    </w:pPr>
    <w:rPr>
      <w:sz w:val="18"/>
      <w:szCs w:val="18"/>
    </w:rPr>
  </w:style>
  <w:style w:type="character" w:styleId="a6">
    <w:name w:val="footnote reference"/>
    <w:basedOn w:val="a0"/>
    <w:uiPriority w:val="99"/>
    <w:semiHidden/>
    <w:unhideWhenUsed/>
    <w:qFormat/>
    <w:rPr>
      <w:vertAlign w:val="superscript"/>
    </w:rPr>
  </w:style>
  <w:style w:type="paragraph" w:styleId="a7">
    <w:name w:val="footnote text"/>
    <w:basedOn w:val="a"/>
    <w:uiPriority w:val="99"/>
    <w:semiHidden/>
    <w:unhideWhenUsed/>
    <w:qFormat/>
    <w:pPr>
      <w:snapToGrid w:val="0"/>
    </w:pPr>
    <w:rPr>
      <w:sz w:val="18"/>
      <w:szCs w:val="18"/>
    </w:rPr>
  </w:style>
  <w:style w:type="paragraph" w:styleId="a8">
    <w:name w:val="header"/>
    <w:basedOn w:val="a"/>
    <w:uiPriority w:val="99"/>
    <w:unhideWhenUsed/>
    <w:qFormat/>
    <w:pPr>
      <w:tabs>
        <w:tab w:val="center" w:pos="4153"/>
        <w:tab w:val="right" w:pos="8306"/>
      </w:tabs>
      <w:snapToGrid w:val="0"/>
    </w:pPr>
    <w:rPr>
      <w:sz w:val="18"/>
      <w:szCs w:val="18"/>
    </w:rPr>
  </w:style>
  <w:style w:type="character" w:styleId="a9">
    <w:name w:val="Hyperlink"/>
    <w:basedOn w:val="a0"/>
    <w:uiPriority w:val="99"/>
    <w:unhideWhenUsed/>
    <w:qFormat/>
    <w:rPr>
      <w:color w:val="0563C1" w:themeColor="hyperlink"/>
      <w:u w:val="single"/>
    </w:rPr>
  </w:style>
  <w:style w:type="paragraph" w:styleId="aa">
    <w:name w:val="Normal (Web)"/>
    <w:basedOn w:val="a"/>
    <w:uiPriority w:val="99"/>
    <w:unhideWhenUsed/>
    <w:qFormat/>
    <w:pPr>
      <w:spacing w:beforeAutospacing="1" w:afterAutospacing="1"/>
    </w:pPr>
    <w:rPr>
      <w:rFonts w:ascii="Times New Roman" w:eastAsia="SimSun" w:hAnsi="Times New Roman" w:cs="Times New Roman"/>
      <w:sz w:val="24"/>
      <w:szCs w:val="24"/>
      <w:lang w:val="en-US" w:eastAsia="zh-CN"/>
    </w:rPr>
  </w:style>
  <w:style w:type="character" w:styleId="ab">
    <w:name w:val="Strong"/>
    <w:basedOn w:val="a0"/>
    <w:uiPriority w:val="22"/>
    <w:qFormat/>
    <w:rPr>
      <w:b/>
      <w:bCs/>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SOffice1">
    <w:name w:val="WPSOffice手动目录 1"/>
    <w:qFormat/>
    <w:rPr>
      <w:rFonts w:asciiTheme="minorHAnsi" w:eastAsiaTheme="minorHAnsi" w:hAnsiTheme="minorHAnsi" w:cstheme="minorBidi"/>
    </w:rPr>
  </w:style>
  <w:style w:type="character" w:styleId="ad">
    <w:name w:val="Placeholder Text"/>
    <w:basedOn w:val="a0"/>
    <w:uiPriority w:val="99"/>
    <w:semiHidden/>
    <w:qFormat/>
    <w:rPr>
      <w:color w:val="808080"/>
    </w:rPr>
  </w:style>
  <w:style w:type="table" w:customStyle="1" w:styleId="1">
    <w:name w:val="Обычная таблица1"/>
    <w:semiHidden/>
    <w:qFormat/>
    <w:pPr>
      <w:spacing w:after="160" w:line="256" w:lineRule="auto"/>
    </w:pPr>
    <w:rPr>
      <w:rFonts w:ascii="Calibri" w:hAnsi="Calibri"/>
      <w:sz w:val="22"/>
      <w:szCs w:val="22"/>
      <w:lang w:eastAsia="en-US"/>
    </w:rPr>
    <w:tblPr>
      <w:tblCellMar>
        <w:top w:w="0" w:type="dxa"/>
        <w:left w:w="108" w:type="dxa"/>
        <w:bottom w:w="0" w:type="dxa"/>
        <w:right w:w="108" w:type="dxa"/>
      </w:tblCellMar>
    </w:tblPr>
  </w:style>
  <w:style w:type="character" w:customStyle="1" w:styleId="markedcontent">
    <w:name w:val="markedcontent"/>
    <w:basedOn w:val="a0"/>
    <w:qFormat/>
  </w:style>
  <w:style w:type="character" w:customStyle="1" w:styleId="a5">
    <w:name w:val="Төменгі колонтитул Таңба"/>
    <w:basedOn w:val="a0"/>
    <w:link w:val="a4"/>
    <w:uiPriority w:val="99"/>
    <w:qFormat/>
    <w:rPr>
      <w:rFonts w:asciiTheme="minorHAnsi" w:eastAsiaTheme="minorHAnsi" w:hAnsiTheme="minorHAnsi" w:cstheme="minorBidi"/>
      <w:sz w:val="18"/>
      <w:szCs w:val="18"/>
      <w:lang w:eastAsia="en-US"/>
    </w:rPr>
  </w:style>
  <w:style w:type="character" w:customStyle="1" w:styleId="s1">
    <w:name w:val="s1"/>
    <w:uiPriority w:val="99"/>
    <w:qFormat/>
    <w:rPr>
      <w:rFonts w:cs="Times New Roman"/>
    </w:rPr>
  </w:style>
  <w:style w:type="character" w:customStyle="1" w:styleId="tlid-translation">
    <w:name w:val="tlid-translation"/>
    <w:uiPriority w:val="99"/>
    <w:qFormat/>
    <w:rPr>
      <w:rFonts w:cs="Times New Roman"/>
    </w:rPr>
  </w:style>
  <w:style w:type="paragraph" w:customStyle="1" w:styleId="10">
    <w:name w:val="Обычный (Интернет)1"/>
    <w:basedOn w:val="a"/>
    <w:semiHidden/>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qFormat/>
    <w:pPr>
      <w:spacing w:before="100" w:beforeAutospacing="1" w:after="160" w:line="256" w:lineRule="auto"/>
    </w:pPr>
    <w:rPr>
      <w:rFonts w:ascii="Calibri" w:eastAsia="Times New Roman" w:hAnsi="Calibri"/>
      <w:sz w:val="22"/>
      <w:szCs w:val="22"/>
    </w:rPr>
  </w:style>
  <w:style w:type="paragraph" w:styleId="ae">
    <w:name w:val="List Paragraph"/>
    <w:basedOn w:val="a"/>
    <w:uiPriority w:val="34"/>
    <w:qFormat/>
    <w:pPr>
      <w:ind w:left="720"/>
      <w:contextualSpacing/>
    </w:pPr>
  </w:style>
  <w:style w:type="character" w:customStyle="1" w:styleId="2-0">
    <w:name w:val="2-тақырып Таңба"/>
    <w:basedOn w:val="a0"/>
    <w:link w:val="2-"/>
    <w:uiPriority w:val="9"/>
    <w:qFormat/>
    <w:rPr>
      <w:rFonts w:asciiTheme="majorHAnsi" w:eastAsiaTheme="majorEastAsia" w:hAnsiTheme="majorHAnsi" w:cstheme="majorBidi"/>
      <w:color w:val="2F5496" w:themeColor="accent1" w:themeShade="BF"/>
      <w:sz w:val="26"/>
      <w:szCs w:val="26"/>
      <w:lang w:eastAsia="en-US"/>
    </w:rPr>
  </w:style>
  <w:style w:type="paragraph" w:customStyle="1" w:styleId="2">
    <w:name w:val="Обычный (Интернет)2"/>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15"/>
    <w:basedOn w:val="a0"/>
    <w:qFormat/>
    <w:rPr>
      <w:rFonts w:ascii="Calibri" w:hAnsi="Calibri" w:cs="Times New Roman" w:hint="default"/>
      <w:color w:val="0000FF"/>
      <w:u w:val="single"/>
    </w:rPr>
  </w:style>
  <w:style w:type="paragraph" w:customStyle="1" w:styleId="20">
    <w:name w:val="Обычный2"/>
    <w:qFormat/>
    <w:pPr>
      <w:spacing w:before="100" w:beforeAutospacing="1" w:after="160" w:line="256" w:lineRule="auto"/>
    </w:pPr>
    <w:rPr>
      <w:rFonts w:ascii="Calibri" w:eastAsia="Times New Roman" w:hAnsi="Calibri"/>
      <w:sz w:val="22"/>
      <w:szCs w:val="22"/>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customStyle="1" w:styleId="relative">
    <w:name w:val="relative"/>
    <w:basedOn w:val="a0"/>
    <w:qFormat/>
  </w:style>
  <w:style w:type="character" w:customStyle="1" w:styleId="3-0">
    <w:name w:val="3-тақырып Таңба"/>
    <w:basedOn w:val="a0"/>
    <w:link w:val="3-"/>
    <w:uiPriority w:val="9"/>
    <w:qFormat/>
    <w:rPr>
      <w:rFonts w:asciiTheme="majorHAnsi" w:eastAsiaTheme="majorEastAsia" w:hAnsiTheme="majorHAnsi" w:cstheme="majorBidi"/>
      <w:color w:val="1F3864" w:themeColor="accent1" w:themeShade="80"/>
      <w:sz w:val="24"/>
      <w:szCs w:val="24"/>
      <w:lang w:eastAsia="en-US"/>
    </w:rPr>
  </w:style>
  <w:style w:type="character" w:customStyle="1" w:styleId="21">
    <w:name w:val="Неразрешенное упоминание2"/>
    <w:basedOn w:val="a0"/>
    <w:uiPriority w:val="99"/>
    <w:semiHidden/>
    <w:unhideWhenUsed/>
    <w:qFormat/>
    <w:rPr>
      <w:color w:val="605E5C"/>
      <w:shd w:val="clear" w:color="auto" w:fill="E1DFDD"/>
    </w:rPr>
  </w:style>
  <w:style w:type="character" w:customStyle="1" w:styleId="katex-mathml">
    <w:name w:val="katex-mathml"/>
    <w:basedOn w:val="a0"/>
    <w:qFormat/>
  </w:style>
  <w:style w:type="character" w:customStyle="1" w:styleId="mord">
    <w:name w:val="mord"/>
    <w:basedOn w:val="a0"/>
    <w:qFormat/>
  </w:style>
  <w:style w:type="paragraph" w:customStyle="1" w:styleId="ds-markdown-paragraph">
    <w:name w:val="ds-markdown-paragraph"/>
    <w:basedOn w:val="a"/>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r-only">
    <w:name w:val="sr-only"/>
    <w:basedOn w:val="a0"/>
    <w:qFormat/>
  </w:style>
  <w:style w:type="character" w:customStyle="1" w:styleId="ds-markdown-cite">
    <w:name w:val="ds-markdown-cite"/>
    <w:basedOn w:val="a0"/>
    <w:qFormat/>
  </w:style>
  <w:style w:type="character" w:customStyle="1" w:styleId="4-0">
    <w:name w:val="4-тақырып Таңба"/>
    <w:basedOn w:val="a0"/>
    <w:link w:val="4-"/>
    <w:uiPriority w:val="9"/>
    <w:semiHidden/>
    <w:rPr>
      <w:rFonts w:asciiTheme="majorHAnsi" w:eastAsiaTheme="majorEastAsia" w:hAnsiTheme="majorHAnsi" w:cstheme="majorBidi"/>
      <w:i/>
      <w:iCs/>
      <w:color w:val="2F5496" w:themeColor="accent1" w:themeShade="BF"/>
      <w:sz w:val="22"/>
      <w:szCs w:val="22"/>
      <w:lang w:eastAsia="en-US"/>
    </w:rPr>
  </w:style>
  <w:style w:type="table" w:customStyle="1" w:styleId="-461">
    <w:name w:val="Таблица-сетка 4 — акцент 61"/>
    <w:basedOn w:val="a1"/>
    <w:uiPriority w:val="49"/>
    <w:rPr>
      <w:rFonts w:asciiTheme="minorHAnsi" w:eastAsiaTheme="minorHAnsi" w:hAnsiTheme="minorHAnsi" w:cstheme="minorBidi"/>
      <w:sz w:val="22"/>
      <w:szCs w:val="22"/>
      <w:lang w:eastAsia="en-US"/>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
    <w:name w:val="TOC Heading"/>
    <w:basedOn w:val="1-"/>
    <w:next w:val="a"/>
    <w:uiPriority w:val="39"/>
    <w:unhideWhenUsed/>
    <w:qFormat/>
    <w:rsid w:val="001B2C91"/>
    <w:pPr>
      <w:keepNext/>
      <w:keepLines/>
      <w:spacing w:before="240" w:beforeAutospacing="0" w:after="0" w:afterAutospacing="0"/>
      <w:outlineLvl w:val="9"/>
    </w:pPr>
    <w:rPr>
      <w:rFonts w:asciiTheme="majorHAnsi" w:eastAsiaTheme="majorEastAsia" w:hAnsiTheme="majorHAnsi" w:cstheme="majorBidi" w:hint="default"/>
      <w:b w:val="0"/>
      <w:bCs w:val="0"/>
      <w:color w:val="2F5496" w:themeColor="accent1" w:themeShade="BF"/>
      <w:kern w:val="0"/>
      <w:sz w:val="32"/>
      <w:szCs w:val="32"/>
      <w:lang w:val="ru-RU" w:eastAsia="ru-RU"/>
    </w:rPr>
  </w:style>
  <w:style w:type="paragraph" w:styleId="1-0">
    <w:name w:val="toc 1"/>
    <w:basedOn w:val="a"/>
    <w:next w:val="a"/>
    <w:autoRedefine/>
    <w:uiPriority w:val="39"/>
    <w:unhideWhenUsed/>
    <w:rsid w:val="001B2C91"/>
    <w:pPr>
      <w:spacing w:after="100"/>
    </w:pPr>
  </w:style>
  <w:style w:type="paragraph" w:styleId="2-1">
    <w:name w:val="toc 2"/>
    <w:basedOn w:val="a"/>
    <w:next w:val="a"/>
    <w:autoRedefine/>
    <w:uiPriority w:val="39"/>
    <w:unhideWhenUsed/>
    <w:rsid w:val="001B2C91"/>
    <w:pPr>
      <w:spacing w:after="100"/>
      <w:ind w:left="220"/>
    </w:pPr>
  </w:style>
  <w:style w:type="paragraph" w:styleId="af0">
    <w:name w:val="endnote text"/>
    <w:basedOn w:val="a"/>
    <w:link w:val="af1"/>
    <w:uiPriority w:val="99"/>
    <w:semiHidden/>
    <w:unhideWhenUsed/>
    <w:rsid w:val="00683171"/>
    <w:pPr>
      <w:spacing w:after="0" w:line="240" w:lineRule="auto"/>
    </w:pPr>
    <w:rPr>
      <w:sz w:val="20"/>
      <w:szCs w:val="20"/>
    </w:rPr>
  </w:style>
  <w:style w:type="character" w:customStyle="1" w:styleId="af1">
    <w:name w:val="Соңғы түсіндірме мәтіні Таңба"/>
    <w:basedOn w:val="a0"/>
    <w:link w:val="af0"/>
    <w:uiPriority w:val="99"/>
    <w:semiHidden/>
    <w:rsid w:val="00683171"/>
    <w:rPr>
      <w:rFonts w:asciiTheme="minorHAnsi" w:eastAsiaTheme="minorHAnsi" w:hAnsiTheme="minorHAnsi" w:cstheme="minorBidi"/>
      <w:lang w:eastAsia="en-US"/>
    </w:rPr>
  </w:style>
  <w:style w:type="character" w:styleId="af2">
    <w:name w:val="endnote reference"/>
    <w:basedOn w:val="a0"/>
    <w:uiPriority w:val="99"/>
    <w:semiHidden/>
    <w:unhideWhenUsed/>
    <w:rsid w:val="00683171"/>
    <w:rPr>
      <w:vertAlign w:val="superscript"/>
    </w:rPr>
  </w:style>
  <w:style w:type="table" w:styleId="2-2">
    <w:name w:val="Plain Table 2"/>
    <w:basedOn w:val="a1"/>
    <w:uiPriority w:val="42"/>
    <w:rsid w:val="009C43C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3">
    <w:name w:val="annotation reference"/>
    <w:basedOn w:val="a0"/>
    <w:uiPriority w:val="99"/>
    <w:semiHidden/>
    <w:unhideWhenUsed/>
    <w:rsid w:val="000C54CA"/>
    <w:rPr>
      <w:sz w:val="16"/>
      <w:szCs w:val="16"/>
    </w:rPr>
  </w:style>
  <w:style w:type="paragraph" w:styleId="af4">
    <w:name w:val="annotation text"/>
    <w:basedOn w:val="a"/>
    <w:link w:val="af5"/>
    <w:uiPriority w:val="99"/>
    <w:semiHidden/>
    <w:unhideWhenUsed/>
    <w:rsid w:val="000C54CA"/>
    <w:pPr>
      <w:spacing w:line="240" w:lineRule="auto"/>
    </w:pPr>
    <w:rPr>
      <w:sz w:val="20"/>
      <w:szCs w:val="20"/>
    </w:rPr>
  </w:style>
  <w:style w:type="character" w:customStyle="1" w:styleId="af5">
    <w:name w:val="Аңғартпа мәтіні Таңба"/>
    <w:basedOn w:val="a0"/>
    <w:link w:val="af4"/>
    <w:uiPriority w:val="99"/>
    <w:semiHidden/>
    <w:rsid w:val="000C54CA"/>
    <w:rPr>
      <w:rFonts w:asciiTheme="minorHAnsi" w:eastAsiaTheme="minorHAnsi" w:hAnsiTheme="minorHAnsi" w:cstheme="minorBidi"/>
      <w:lang w:eastAsia="en-US"/>
    </w:rPr>
  </w:style>
  <w:style w:type="paragraph" w:styleId="af6">
    <w:name w:val="annotation subject"/>
    <w:basedOn w:val="af4"/>
    <w:next w:val="af4"/>
    <w:link w:val="af7"/>
    <w:uiPriority w:val="99"/>
    <w:semiHidden/>
    <w:unhideWhenUsed/>
    <w:rsid w:val="000C54CA"/>
    <w:rPr>
      <w:b/>
      <w:bCs/>
    </w:rPr>
  </w:style>
  <w:style w:type="character" w:customStyle="1" w:styleId="af7">
    <w:name w:val="Аңғартпа тақырыбы Таңба"/>
    <w:basedOn w:val="af5"/>
    <w:link w:val="af6"/>
    <w:uiPriority w:val="99"/>
    <w:semiHidden/>
    <w:rsid w:val="000C54CA"/>
    <w:rPr>
      <w:rFonts w:asciiTheme="minorHAnsi" w:eastAsiaTheme="minorHAnsi" w:hAnsiTheme="minorHAnsi" w:cstheme="minorBidi"/>
      <w:b/>
      <w:bCs/>
      <w:lang w:eastAsia="en-US"/>
    </w:rPr>
  </w:style>
  <w:style w:type="paragraph" w:styleId="af8">
    <w:name w:val="Balloon Text"/>
    <w:basedOn w:val="a"/>
    <w:link w:val="af9"/>
    <w:uiPriority w:val="99"/>
    <w:semiHidden/>
    <w:unhideWhenUsed/>
    <w:rsid w:val="00D560DA"/>
    <w:pPr>
      <w:spacing w:after="0" w:line="240" w:lineRule="auto"/>
    </w:pPr>
    <w:rPr>
      <w:rFonts w:ascii="Segoe UI" w:hAnsi="Segoe UI" w:cs="Segoe UI"/>
      <w:sz w:val="18"/>
      <w:szCs w:val="18"/>
    </w:rPr>
  </w:style>
  <w:style w:type="character" w:customStyle="1" w:styleId="af9">
    <w:name w:val="Тілше дерек Таңба"/>
    <w:basedOn w:val="a0"/>
    <w:link w:val="af8"/>
    <w:uiPriority w:val="99"/>
    <w:semiHidden/>
    <w:rsid w:val="00D560DA"/>
    <w:rPr>
      <w:rFonts w:ascii="Segoe UI" w:eastAsiaTheme="minorHAnsi" w:hAnsi="Segoe UI" w:cs="Segoe UI"/>
      <w:sz w:val="18"/>
      <w:szCs w:val="18"/>
      <w:lang w:eastAsia="en-US"/>
    </w:rPr>
  </w:style>
  <w:style w:type="character" w:styleId="afa">
    <w:name w:val="FollowedHyperlink"/>
    <w:basedOn w:val="a0"/>
    <w:uiPriority w:val="99"/>
    <w:semiHidden/>
    <w:unhideWhenUsed/>
    <w:rsid w:val="00084830"/>
    <w:rPr>
      <w:color w:val="954F72" w:themeColor="followedHyperlink"/>
      <w:u w:val="single"/>
    </w:rPr>
  </w:style>
  <w:style w:type="character" w:styleId="afb">
    <w:name w:val="Unresolved Mention"/>
    <w:basedOn w:val="a0"/>
    <w:uiPriority w:val="99"/>
    <w:semiHidden/>
    <w:unhideWhenUsed/>
    <w:rsid w:val="000F5AAA"/>
    <w:rPr>
      <w:color w:val="605E5C"/>
      <w:shd w:val="clear" w:color="auto" w:fill="E1DFDD"/>
    </w:rPr>
  </w:style>
  <w:style w:type="character" w:customStyle="1" w:styleId="typography-modulelvnit">
    <w:name w:val="typography-module__lvnit"/>
    <w:basedOn w:val="a0"/>
    <w:rsid w:val="00D76165"/>
  </w:style>
  <w:style w:type="paragraph" w:customStyle="1" w:styleId="pj">
    <w:name w:val="pj"/>
    <w:basedOn w:val="a"/>
    <w:rsid w:val="00142C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3504B"/>
    <w:pPr>
      <w:autoSpaceDE w:val="0"/>
      <w:autoSpaceDN w:val="0"/>
      <w:adjustRightInd w:val="0"/>
    </w:pPr>
    <w:rPr>
      <w:color w:val="000000"/>
      <w:sz w:val="24"/>
      <w:szCs w:val="24"/>
    </w:rPr>
  </w:style>
  <w:style w:type="paragraph" w:customStyle="1" w:styleId="Pa4">
    <w:name w:val="Pa4"/>
    <w:basedOn w:val="Default"/>
    <w:next w:val="Default"/>
    <w:uiPriority w:val="99"/>
    <w:rsid w:val="0013504B"/>
    <w:pPr>
      <w:spacing w:line="221" w:lineRule="atLeast"/>
    </w:pPr>
    <w:rPr>
      <w:color w:val="auto"/>
    </w:rPr>
  </w:style>
  <w:style w:type="character" w:customStyle="1" w:styleId="A50">
    <w:name w:val="A5"/>
    <w:uiPriority w:val="99"/>
    <w:rsid w:val="0013504B"/>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3338">
      <w:bodyDiv w:val="1"/>
      <w:marLeft w:val="0"/>
      <w:marRight w:val="0"/>
      <w:marTop w:val="0"/>
      <w:marBottom w:val="0"/>
      <w:divBdr>
        <w:top w:val="none" w:sz="0" w:space="0" w:color="auto"/>
        <w:left w:val="none" w:sz="0" w:space="0" w:color="auto"/>
        <w:bottom w:val="none" w:sz="0" w:space="0" w:color="auto"/>
        <w:right w:val="none" w:sz="0" w:space="0" w:color="auto"/>
      </w:divBdr>
    </w:div>
    <w:div w:id="27727161">
      <w:bodyDiv w:val="1"/>
      <w:marLeft w:val="0"/>
      <w:marRight w:val="0"/>
      <w:marTop w:val="0"/>
      <w:marBottom w:val="0"/>
      <w:divBdr>
        <w:top w:val="none" w:sz="0" w:space="0" w:color="auto"/>
        <w:left w:val="none" w:sz="0" w:space="0" w:color="auto"/>
        <w:bottom w:val="none" w:sz="0" w:space="0" w:color="auto"/>
        <w:right w:val="none" w:sz="0" w:space="0" w:color="auto"/>
      </w:divBdr>
    </w:div>
    <w:div w:id="30426464">
      <w:bodyDiv w:val="1"/>
      <w:marLeft w:val="0"/>
      <w:marRight w:val="0"/>
      <w:marTop w:val="0"/>
      <w:marBottom w:val="0"/>
      <w:divBdr>
        <w:top w:val="none" w:sz="0" w:space="0" w:color="auto"/>
        <w:left w:val="none" w:sz="0" w:space="0" w:color="auto"/>
        <w:bottom w:val="none" w:sz="0" w:space="0" w:color="auto"/>
        <w:right w:val="none" w:sz="0" w:space="0" w:color="auto"/>
      </w:divBdr>
      <w:divsChild>
        <w:div w:id="1014841896">
          <w:marLeft w:val="540"/>
          <w:marRight w:val="540"/>
          <w:marTop w:val="0"/>
          <w:marBottom w:val="360"/>
          <w:divBdr>
            <w:top w:val="none" w:sz="0" w:space="0" w:color="auto"/>
            <w:left w:val="none" w:sz="0" w:space="0" w:color="auto"/>
            <w:bottom w:val="none" w:sz="0" w:space="0" w:color="auto"/>
            <w:right w:val="none" w:sz="0" w:space="0" w:color="auto"/>
          </w:divBdr>
          <w:divsChild>
            <w:div w:id="1003439541">
              <w:marLeft w:val="0"/>
              <w:marRight w:val="0"/>
              <w:marTop w:val="0"/>
              <w:marBottom w:val="0"/>
              <w:divBdr>
                <w:top w:val="none" w:sz="0" w:space="0" w:color="auto"/>
                <w:left w:val="none" w:sz="0" w:space="0" w:color="auto"/>
                <w:bottom w:val="none" w:sz="0" w:space="0" w:color="auto"/>
                <w:right w:val="none" w:sz="0" w:space="0" w:color="auto"/>
              </w:divBdr>
              <w:divsChild>
                <w:div w:id="1975527885">
                  <w:marLeft w:val="0"/>
                  <w:marRight w:val="0"/>
                  <w:marTop w:val="0"/>
                  <w:marBottom w:val="0"/>
                  <w:divBdr>
                    <w:top w:val="none" w:sz="0" w:space="0" w:color="auto"/>
                    <w:left w:val="none" w:sz="0" w:space="0" w:color="auto"/>
                    <w:bottom w:val="none" w:sz="0" w:space="0" w:color="auto"/>
                    <w:right w:val="none" w:sz="0" w:space="0" w:color="auto"/>
                  </w:divBdr>
                  <w:divsChild>
                    <w:div w:id="1184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64025">
      <w:bodyDiv w:val="1"/>
      <w:marLeft w:val="0"/>
      <w:marRight w:val="0"/>
      <w:marTop w:val="0"/>
      <w:marBottom w:val="0"/>
      <w:divBdr>
        <w:top w:val="none" w:sz="0" w:space="0" w:color="auto"/>
        <w:left w:val="none" w:sz="0" w:space="0" w:color="auto"/>
        <w:bottom w:val="none" w:sz="0" w:space="0" w:color="auto"/>
        <w:right w:val="none" w:sz="0" w:space="0" w:color="auto"/>
      </w:divBdr>
    </w:div>
    <w:div w:id="40206290">
      <w:bodyDiv w:val="1"/>
      <w:marLeft w:val="0"/>
      <w:marRight w:val="0"/>
      <w:marTop w:val="0"/>
      <w:marBottom w:val="0"/>
      <w:divBdr>
        <w:top w:val="none" w:sz="0" w:space="0" w:color="auto"/>
        <w:left w:val="none" w:sz="0" w:space="0" w:color="auto"/>
        <w:bottom w:val="none" w:sz="0" w:space="0" w:color="auto"/>
        <w:right w:val="none" w:sz="0" w:space="0" w:color="auto"/>
      </w:divBdr>
    </w:div>
    <w:div w:id="49378854">
      <w:bodyDiv w:val="1"/>
      <w:marLeft w:val="0"/>
      <w:marRight w:val="0"/>
      <w:marTop w:val="0"/>
      <w:marBottom w:val="0"/>
      <w:divBdr>
        <w:top w:val="none" w:sz="0" w:space="0" w:color="auto"/>
        <w:left w:val="none" w:sz="0" w:space="0" w:color="auto"/>
        <w:bottom w:val="none" w:sz="0" w:space="0" w:color="auto"/>
        <w:right w:val="none" w:sz="0" w:space="0" w:color="auto"/>
      </w:divBdr>
    </w:div>
    <w:div w:id="50429247">
      <w:bodyDiv w:val="1"/>
      <w:marLeft w:val="0"/>
      <w:marRight w:val="0"/>
      <w:marTop w:val="0"/>
      <w:marBottom w:val="0"/>
      <w:divBdr>
        <w:top w:val="none" w:sz="0" w:space="0" w:color="auto"/>
        <w:left w:val="none" w:sz="0" w:space="0" w:color="auto"/>
        <w:bottom w:val="none" w:sz="0" w:space="0" w:color="auto"/>
        <w:right w:val="none" w:sz="0" w:space="0" w:color="auto"/>
      </w:divBdr>
    </w:div>
    <w:div w:id="64033742">
      <w:bodyDiv w:val="1"/>
      <w:marLeft w:val="0"/>
      <w:marRight w:val="0"/>
      <w:marTop w:val="0"/>
      <w:marBottom w:val="0"/>
      <w:divBdr>
        <w:top w:val="none" w:sz="0" w:space="0" w:color="auto"/>
        <w:left w:val="none" w:sz="0" w:space="0" w:color="auto"/>
        <w:bottom w:val="none" w:sz="0" w:space="0" w:color="auto"/>
        <w:right w:val="none" w:sz="0" w:space="0" w:color="auto"/>
      </w:divBdr>
    </w:div>
    <w:div w:id="68693526">
      <w:bodyDiv w:val="1"/>
      <w:marLeft w:val="0"/>
      <w:marRight w:val="0"/>
      <w:marTop w:val="0"/>
      <w:marBottom w:val="0"/>
      <w:divBdr>
        <w:top w:val="none" w:sz="0" w:space="0" w:color="auto"/>
        <w:left w:val="none" w:sz="0" w:space="0" w:color="auto"/>
        <w:bottom w:val="none" w:sz="0" w:space="0" w:color="auto"/>
        <w:right w:val="none" w:sz="0" w:space="0" w:color="auto"/>
      </w:divBdr>
      <w:divsChild>
        <w:div w:id="309604799">
          <w:marLeft w:val="540"/>
          <w:marRight w:val="540"/>
          <w:marTop w:val="0"/>
          <w:marBottom w:val="360"/>
          <w:divBdr>
            <w:top w:val="none" w:sz="0" w:space="0" w:color="auto"/>
            <w:left w:val="none" w:sz="0" w:space="0" w:color="auto"/>
            <w:bottom w:val="none" w:sz="0" w:space="0" w:color="auto"/>
            <w:right w:val="none" w:sz="0" w:space="0" w:color="auto"/>
          </w:divBdr>
          <w:divsChild>
            <w:div w:id="2058968441">
              <w:marLeft w:val="0"/>
              <w:marRight w:val="0"/>
              <w:marTop w:val="0"/>
              <w:marBottom w:val="0"/>
              <w:divBdr>
                <w:top w:val="none" w:sz="0" w:space="0" w:color="auto"/>
                <w:left w:val="none" w:sz="0" w:space="0" w:color="auto"/>
                <w:bottom w:val="none" w:sz="0" w:space="0" w:color="auto"/>
                <w:right w:val="none" w:sz="0" w:space="0" w:color="auto"/>
              </w:divBdr>
              <w:divsChild>
                <w:div w:id="1363553646">
                  <w:marLeft w:val="0"/>
                  <w:marRight w:val="0"/>
                  <w:marTop w:val="0"/>
                  <w:marBottom w:val="0"/>
                  <w:divBdr>
                    <w:top w:val="none" w:sz="0" w:space="0" w:color="auto"/>
                    <w:left w:val="none" w:sz="0" w:space="0" w:color="auto"/>
                    <w:bottom w:val="none" w:sz="0" w:space="0" w:color="auto"/>
                    <w:right w:val="none" w:sz="0" w:space="0" w:color="auto"/>
                  </w:divBdr>
                  <w:divsChild>
                    <w:div w:id="2379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95071">
      <w:bodyDiv w:val="1"/>
      <w:marLeft w:val="0"/>
      <w:marRight w:val="0"/>
      <w:marTop w:val="0"/>
      <w:marBottom w:val="0"/>
      <w:divBdr>
        <w:top w:val="none" w:sz="0" w:space="0" w:color="auto"/>
        <w:left w:val="none" w:sz="0" w:space="0" w:color="auto"/>
        <w:bottom w:val="none" w:sz="0" w:space="0" w:color="auto"/>
        <w:right w:val="none" w:sz="0" w:space="0" w:color="auto"/>
      </w:divBdr>
      <w:divsChild>
        <w:div w:id="728068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31513">
      <w:bodyDiv w:val="1"/>
      <w:marLeft w:val="0"/>
      <w:marRight w:val="0"/>
      <w:marTop w:val="0"/>
      <w:marBottom w:val="0"/>
      <w:divBdr>
        <w:top w:val="none" w:sz="0" w:space="0" w:color="auto"/>
        <w:left w:val="none" w:sz="0" w:space="0" w:color="auto"/>
        <w:bottom w:val="none" w:sz="0" w:space="0" w:color="auto"/>
        <w:right w:val="none" w:sz="0" w:space="0" w:color="auto"/>
      </w:divBdr>
    </w:div>
    <w:div w:id="112361217">
      <w:bodyDiv w:val="1"/>
      <w:marLeft w:val="0"/>
      <w:marRight w:val="0"/>
      <w:marTop w:val="0"/>
      <w:marBottom w:val="0"/>
      <w:divBdr>
        <w:top w:val="none" w:sz="0" w:space="0" w:color="auto"/>
        <w:left w:val="none" w:sz="0" w:space="0" w:color="auto"/>
        <w:bottom w:val="none" w:sz="0" w:space="0" w:color="auto"/>
        <w:right w:val="none" w:sz="0" w:space="0" w:color="auto"/>
      </w:divBdr>
      <w:divsChild>
        <w:div w:id="1879080741">
          <w:marLeft w:val="660"/>
          <w:marRight w:val="660"/>
          <w:marTop w:val="0"/>
          <w:marBottom w:val="360"/>
          <w:divBdr>
            <w:top w:val="none" w:sz="0" w:space="0" w:color="auto"/>
            <w:left w:val="none" w:sz="0" w:space="0" w:color="auto"/>
            <w:bottom w:val="none" w:sz="0" w:space="0" w:color="auto"/>
            <w:right w:val="none" w:sz="0" w:space="0" w:color="auto"/>
          </w:divBdr>
          <w:divsChild>
            <w:div w:id="949170139">
              <w:marLeft w:val="0"/>
              <w:marRight w:val="0"/>
              <w:marTop w:val="0"/>
              <w:marBottom w:val="0"/>
              <w:divBdr>
                <w:top w:val="none" w:sz="0" w:space="0" w:color="auto"/>
                <w:left w:val="none" w:sz="0" w:space="0" w:color="auto"/>
                <w:bottom w:val="none" w:sz="0" w:space="0" w:color="auto"/>
                <w:right w:val="none" w:sz="0" w:space="0" w:color="auto"/>
              </w:divBdr>
              <w:divsChild>
                <w:div w:id="1260798078">
                  <w:marLeft w:val="0"/>
                  <w:marRight w:val="0"/>
                  <w:marTop w:val="0"/>
                  <w:marBottom w:val="0"/>
                  <w:divBdr>
                    <w:top w:val="none" w:sz="0" w:space="0" w:color="auto"/>
                    <w:left w:val="none" w:sz="0" w:space="0" w:color="auto"/>
                    <w:bottom w:val="none" w:sz="0" w:space="0" w:color="auto"/>
                    <w:right w:val="none" w:sz="0" w:space="0" w:color="auto"/>
                  </w:divBdr>
                  <w:divsChild>
                    <w:div w:id="8547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7108">
      <w:bodyDiv w:val="1"/>
      <w:marLeft w:val="0"/>
      <w:marRight w:val="0"/>
      <w:marTop w:val="0"/>
      <w:marBottom w:val="0"/>
      <w:divBdr>
        <w:top w:val="none" w:sz="0" w:space="0" w:color="auto"/>
        <w:left w:val="none" w:sz="0" w:space="0" w:color="auto"/>
        <w:bottom w:val="none" w:sz="0" w:space="0" w:color="auto"/>
        <w:right w:val="none" w:sz="0" w:space="0" w:color="auto"/>
      </w:divBdr>
    </w:div>
    <w:div w:id="121391926">
      <w:bodyDiv w:val="1"/>
      <w:marLeft w:val="0"/>
      <w:marRight w:val="0"/>
      <w:marTop w:val="0"/>
      <w:marBottom w:val="0"/>
      <w:divBdr>
        <w:top w:val="none" w:sz="0" w:space="0" w:color="auto"/>
        <w:left w:val="none" w:sz="0" w:space="0" w:color="auto"/>
        <w:bottom w:val="none" w:sz="0" w:space="0" w:color="auto"/>
        <w:right w:val="none" w:sz="0" w:space="0" w:color="auto"/>
      </w:divBdr>
    </w:div>
    <w:div w:id="127477011">
      <w:bodyDiv w:val="1"/>
      <w:marLeft w:val="0"/>
      <w:marRight w:val="0"/>
      <w:marTop w:val="0"/>
      <w:marBottom w:val="0"/>
      <w:divBdr>
        <w:top w:val="none" w:sz="0" w:space="0" w:color="auto"/>
        <w:left w:val="none" w:sz="0" w:space="0" w:color="auto"/>
        <w:bottom w:val="none" w:sz="0" w:space="0" w:color="auto"/>
        <w:right w:val="none" w:sz="0" w:space="0" w:color="auto"/>
      </w:divBdr>
    </w:div>
    <w:div w:id="138153491">
      <w:bodyDiv w:val="1"/>
      <w:marLeft w:val="0"/>
      <w:marRight w:val="0"/>
      <w:marTop w:val="0"/>
      <w:marBottom w:val="0"/>
      <w:divBdr>
        <w:top w:val="none" w:sz="0" w:space="0" w:color="auto"/>
        <w:left w:val="none" w:sz="0" w:space="0" w:color="auto"/>
        <w:bottom w:val="none" w:sz="0" w:space="0" w:color="auto"/>
        <w:right w:val="none" w:sz="0" w:space="0" w:color="auto"/>
      </w:divBdr>
    </w:div>
    <w:div w:id="138807478">
      <w:bodyDiv w:val="1"/>
      <w:marLeft w:val="0"/>
      <w:marRight w:val="0"/>
      <w:marTop w:val="0"/>
      <w:marBottom w:val="0"/>
      <w:divBdr>
        <w:top w:val="none" w:sz="0" w:space="0" w:color="auto"/>
        <w:left w:val="none" w:sz="0" w:space="0" w:color="auto"/>
        <w:bottom w:val="none" w:sz="0" w:space="0" w:color="auto"/>
        <w:right w:val="none" w:sz="0" w:space="0" w:color="auto"/>
      </w:divBdr>
    </w:div>
    <w:div w:id="141436001">
      <w:bodyDiv w:val="1"/>
      <w:marLeft w:val="0"/>
      <w:marRight w:val="0"/>
      <w:marTop w:val="0"/>
      <w:marBottom w:val="0"/>
      <w:divBdr>
        <w:top w:val="none" w:sz="0" w:space="0" w:color="auto"/>
        <w:left w:val="none" w:sz="0" w:space="0" w:color="auto"/>
        <w:bottom w:val="none" w:sz="0" w:space="0" w:color="auto"/>
        <w:right w:val="none" w:sz="0" w:space="0" w:color="auto"/>
      </w:divBdr>
    </w:div>
    <w:div w:id="152527737">
      <w:bodyDiv w:val="1"/>
      <w:marLeft w:val="0"/>
      <w:marRight w:val="0"/>
      <w:marTop w:val="0"/>
      <w:marBottom w:val="0"/>
      <w:divBdr>
        <w:top w:val="none" w:sz="0" w:space="0" w:color="auto"/>
        <w:left w:val="none" w:sz="0" w:space="0" w:color="auto"/>
        <w:bottom w:val="none" w:sz="0" w:space="0" w:color="auto"/>
        <w:right w:val="none" w:sz="0" w:space="0" w:color="auto"/>
      </w:divBdr>
    </w:div>
    <w:div w:id="159274217">
      <w:bodyDiv w:val="1"/>
      <w:marLeft w:val="0"/>
      <w:marRight w:val="0"/>
      <w:marTop w:val="0"/>
      <w:marBottom w:val="0"/>
      <w:divBdr>
        <w:top w:val="none" w:sz="0" w:space="0" w:color="auto"/>
        <w:left w:val="none" w:sz="0" w:space="0" w:color="auto"/>
        <w:bottom w:val="none" w:sz="0" w:space="0" w:color="auto"/>
        <w:right w:val="none" w:sz="0" w:space="0" w:color="auto"/>
      </w:divBdr>
    </w:div>
    <w:div w:id="166872506">
      <w:bodyDiv w:val="1"/>
      <w:marLeft w:val="0"/>
      <w:marRight w:val="0"/>
      <w:marTop w:val="0"/>
      <w:marBottom w:val="0"/>
      <w:divBdr>
        <w:top w:val="none" w:sz="0" w:space="0" w:color="auto"/>
        <w:left w:val="none" w:sz="0" w:space="0" w:color="auto"/>
        <w:bottom w:val="none" w:sz="0" w:space="0" w:color="auto"/>
        <w:right w:val="none" w:sz="0" w:space="0" w:color="auto"/>
      </w:divBdr>
    </w:div>
    <w:div w:id="173081813">
      <w:bodyDiv w:val="1"/>
      <w:marLeft w:val="0"/>
      <w:marRight w:val="0"/>
      <w:marTop w:val="0"/>
      <w:marBottom w:val="0"/>
      <w:divBdr>
        <w:top w:val="none" w:sz="0" w:space="0" w:color="auto"/>
        <w:left w:val="none" w:sz="0" w:space="0" w:color="auto"/>
        <w:bottom w:val="none" w:sz="0" w:space="0" w:color="auto"/>
        <w:right w:val="none" w:sz="0" w:space="0" w:color="auto"/>
      </w:divBdr>
      <w:divsChild>
        <w:div w:id="1390836565">
          <w:marLeft w:val="540"/>
          <w:marRight w:val="540"/>
          <w:marTop w:val="0"/>
          <w:marBottom w:val="360"/>
          <w:divBdr>
            <w:top w:val="none" w:sz="0" w:space="0" w:color="auto"/>
            <w:left w:val="none" w:sz="0" w:space="0" w:color="auto"/>
            <w:bottom w:val="none" w:sz="0" w:space="0" w:color="auto"/>
            <w:right w:val="none" w:sz="0" w:space="0" w:color="auto"/>
          </w:divBdr>
          <w:divsChild>
            <w:div w:id="1540699195">
              <w:marLeft w:val="0"/>
              <w:marRight w:val="0"/>
              <w:marTop w:val="0"/>
              <w:marBottom w:val="0"/>
              <w:divBdr>
                <w:top w:val="none" w:sz="0" w:space="0" w:color="auto"/>
                <w:left w:val="none" w:sz="0" w:space="0" w:color="auto"/>
                <w:bottom w:val="none" w:sz="0" w:space="0" w:color="auto"/>
                <w:right w:val="none" w:sz="0" w:space="0" w:color="auto"/>
              </w:divBdr>
              <w:divsChild>
                <w:div w:id="1487016573">
                  <w:marLeft w:val="0"/>
                  <w:marRight w:val="0"/>
                  <w:marTop w:val="0"/>
                  <w:marBottom w:val="0"/>
                  <w:divBdr>
                    <w:top w:val="none" w:sz="0" w:space="0" w:color="auto"/>
                    <w:left w:val="none" w:sz="0" w:space="0" w:color="auto"/>
                    <w:bottom w:val="none" w:sz="0" w:space="0" w:color="auto"/>
                    <w:right w:val="none" w:sz="0" w:space="0" w:color="auto"/>
                  </w:divBdr>
                  <w:divsChild>
                    <w:div w:id="124580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81358">
      <w:bodyDiv w:val="1"/>
      <w:marLeft w:val="0"/>
      <w:marRight w:val="0"/>
      <w:marTop w:val="0"/>
      <w:marBottom w:val="0"/>
      <w:divBdr>
        <w:top w:val="none" w:sz="0" w:space="0" w:color="auto"/>
        <w:left w:val="none" w:sz="0" w:space="0" w:color="auto"/>
        <w:bottom w:val="none" w:sz="0" w:space="0" w:color="auto"/>
        <w:right w:val="none" w:sz="0" w:space="0" w:color="auto"/>
      </w:divBdr>
    </w:div>
    <w:div w:id="207452887">
      <w:bodyDiv w:val="1"/>
      <w:marLeft w:val="0"/>
      <w:marRight w:val="0"/>
      <w:marTop w:val="0"/>
      <w:marBottom w:val="0"/>
      <w:divBdr>
        <w:top w:val="none" w:sz="0" w:space="0" w:color="auto"/>
        <w:left w:val="none" w:sz="0" w:space="0" w:color="auto"/>
        <w:bottom w:val="none" w:sz="0" w:space="0" w:color="auto"/>
        <w:right w:val="none" w:sz="0" w:space="0" w:color="auto"/>
      </w:divBdr>
    </w:div>
    <w:div w:id="208152332">
      <w:bodyDiv w:val="1"/>
      <w:marLeft w:val="0"/>
      <w:marRight w:val="0"/>
      <w:marTop w:val="0"/>
      <w:marBottom w:val="0"/>
      <w:divBdr>
        <w:top w:val="none" w:sz="0" w:space="0" w:color="auto"/>
        <w:left w:val="none" w:sz="0" w:space="0" w:color="auto"/>
        <w:bottom w:val="none" w:sz="0" w:space="0" w:color="auto"/>
        <w:right w:val="none" w:sz="0" w:space="0" w:color="auto"/>
      </w:divBdr>
    </w:div>
    <w:div w:id="221252440">
      <w:bodyDiv w:val="1"/>
      <w:marLeft w:val="0"/>
      <w:marRight w:val="0"/>
      <w:marTop w:val="0"/>
      <w:marBottom w:val="0"/>
      <w:divBdr>
        <w:top w:val="none" w:sz="0" w:space="0" w:color="auto"/>
        <w:left w:val="none" w:sz="0" w:space="0" w:color="auto"/>
        <w:bottom w:val="none" w:sz="0" w:space="0" w:color="auto"/>
        <w:right w:val="none" w:sz="0" w:space="0" w:color="auto"/>
      </w:divBdr>
    </w:div>
    <w:div w:id="222372535">
      <w:bodyDiv w:val="1"/>
      <w:marLeft w:val="0"/>
      <w:marRight w:val="0"/>
      <w:marTop w:val="0"/>
      <w:marBottom w:val="0"/>
      <w:divBdr>
        <w:top w:val="none" w:sz="0" w:space="0" w:color="auto"/>
        <w:left w:val="none" w:sz="0" w:space="0" w:color="auto"/>
        <w:bottom w:val="none" w:sz="0" w:space="0" w:color="auto"/>
        <w:right w:val="none" w:sz="0" w:space="0" w:color="auto"/>
      </w:divBdr>
    </w:div>
    <w:div w:id="223761348">
      <w:bodyDiv w:val="1"/>
      <w:marLeft w:val="0"/>
      <w:marRight w:val="0"/>
      <w:marTop w:val="0"/>
      <w:marBottom w:val="0"/>
      <w:divBdr>
        <w:top w:val="none" w:sz="0" w:space="0" w:color="auto"/>
        <w:left w:val="none" w:sz="0" w:space="0" w:color="auto"/>
        <w:bottom w:val="none" w:sz="0" w:space="0" w:color="auto"/>
        <w:right w:val="none" w:sz="0" w:space="0" w:color="auto"/>
      </w:divBdr>
    </w:div>
    <w:div w:id="228003453">
      <w:bodyDiv w:val="1"/>
      <w:marLeft w:val="0"/>
      <w:marRight w:val="0"/>
      <w:marTop w:val="0"/>
      <w:marBottom w:val="0"/>
      <w:divBdr>
        <w:top w:val="none" w:sz="0" w:space="0" w:color="auto"/>
        <w:left w:val="none" w:sz="0" w:space="0" w:color="auto"/>
        <w:bottom w:val="none" w:sz="0" w:space="0" w:color="auto"/>
        <w:right w:val="none" w:sz="0" w:space="0" w:color="auto"/>
      </w:divBdr>
    </w:div>
    <w:div w:id="259535151">
      <w:bodyDiv w:val="1"/>
      <w:marLeft w:val="0"/>
      <w:marRight w:val="0"/>
      <w:marTop w:val="0"/>
      <w:marBottom w:val="0"/>
      <w:divBdr>
        <w:top w:val="none" w:sz="0" w:space="0" w:color="auto"/>
        <w:left w:val="none" w:sz="0" w:space="0" w:color="auto"/>
        <w:bottom w:val="none" w:sz="0" w:space="0" w:color="auto"/>
        <w:right w:val="none" w:sz="0" w:space="0" w:color="auto"/>
      </w:divBdr>
    </w:div>
    <w:div w:id="262685753">
      <w:bodyDiv w:val="1"/>
      <w:marLeft w:val="0"/>
      <w:marRight w:val="0"/>
      <w:marTop w:val="0"/>
      <w:marBottom w:val="0"/>
      <w:divBdr>
        <w:top w:val="none" w:sz="0" w:space="0" w:color="auto"/>
        <w:left w:val="none" w:sz="0" w:space="0" w:color="auto"/>
        <w:bottom w:val="none" w:sz="0" w:space="0" w:color="auto"/>
        <w:right w:val="none" w:sz="0" w:space="0" w:color="auto"/>
      </w:divBdr>
    </w:div>
    <w:div w:id="271330123">
      <w:bodyDiv w:val="1"/>
      <w:marLeft w:val="0"/>
      <w:marRight w:val="0"/>
      <w:marTop w:val="0"/>
      <w:marBottom w:val="0"/>
      <w:divBdr>
        <w:top w:val="none" w:sz="0" w:space="0" w:color="auto"/>
        <w:left w:val="none" w:sz="0" w:space="0" w:color="auto"/>
        <w:bottom w:val="none" w:sz="0" w:space="0" w:color="auto"/>
        <w:right w:val="none" w:sz="0" w:space="0" w:color="auto"/>
      </w:divBdr>
    </w:div>
    <w:div w:id="301469393">
      <w:bodyDiv w:val="1"/>
      <w:marLeft w:val="0"/>
      <w:marRight w:val="0"/>
      <w:marTop w:val="0"/>
      <w:marBottom w:val="0"/>
      <w:divBdr>
        <w:top w:val="none" w:sz="0" w:space="0" w:color="auto"/>
        <w:left w:val="none" w:sz="0" w:space="0" w:color="auto"/>
        <w:bottom w:val="none" w:sz="0" w:space="0" w:color="auto"/>
        <w:right w:val="none" w:sz="0" w:space="0" w:color="auto"/>
      </w:divBdr>
    </w:div>
    <w:div w:id="305548069">
      <w:bodyDiv w:val="1"/>
      <w:marLeft w:val="0"/>
      <w:marRight w:val="0"/>
      <w:marTop w:val="0"/>
      <w:marBottom w:val="0"/>
      <w:divBdr>
        <w:top w:val="none" w:sz="0" w:space="0" w:color="auto"/>
        <w:left w:val="none" w:sz="0" w:space="0" w:color="auto"/>
        <w:bottom w:val="none" w:sz="0" w:space="0" w:color="auto"/>
        <w:right w:val="none" w:sz="0" w:space="0" w:color="auto"/>
      </w:divBdr>
    </w:div>
    <w:div w:id="336730067">
      <w:bodyDiv w:val="1"/>
      <w:marLeft w:val="0"/>
      <w:marRight w:val="0"/>
      <w:marTop w:val="0"/>
      <w:marBottom w:val="0"/>
      <w:divBdr>
        <w:top w:val="none" w:sz="0" w:space="0" w:color="auto"/>
        <w:left w:val="none" w:sz="0" w:space="0" w:color="auto"/>
        <w:bottom w:val="none" w:sz="0" w:space="0" w:color="auto"/>
        <w:right w:val="none" w:sz="0" w:space="0" w:color="auto"/>
      </w:divBdr>
    </w:div>
    <w:div w:id="352927933">
      <w:bodyDiv w:val="1"/>
      <w:marLeft w:val="0"/>
      <w:marRight w:val="0"/>
      <w:marTop w:val="0"/>
      <w:marBottom w:val="0"/>
      <w:divBdr>
        <w:top w:val="none" w:sz="0" w:space="0" w:color="auto"/>
        <w:left w:val="none" w:sz="0" w:space="0" w:color="auto"/>
        <w:bottom w:val="none" w:sz="0" w:space="0" w:color="auto"/>
        <w:right w:val="none" w:sz="0" w:space="0" w:color="auto"/>
      </w:divBdr>
    </w:div>
    <w:div w:id="363211744">
      <w:bodyDiv w:val="1"/>
      <w:marLeft w:val="0"/>
      <w:marRight w:val="0"/>
      <w:marTop w:val="0"/>
      <w:marBottom w:val="0"/>
      <w:divBdr>
        <w:top w:val="none" w:sz="0" w:space="0" w:color="auto"/>
        <w:left w:val="none" w:sz="0" w:space="0" w:color="auto"/>
        <w:bottom w:val="none" w:sz="0" w:space="0" w:color="auto"/>
        <w:right w:val="none" w:sz="0" w:space="0" w:color="auto"/>
      </w:divBdr>
    </w:div>
    <w:div w:id="366761124">
      <w:bodyDiv w:val="1"/>
      <w:marLeft w:val="0"/>
      <w:marRight w:val="0"/>
      <w:marTop w:val="0"/>
      <w:marBottom w:val="0"/>
      <w:divBdr>
        <w:top w:val="none" w:sz="0" w:space="0" w:color="auto"/>
        <w:left w:val="none" w:sz="0" w:space="0" w:color="auto"/>
        <w:bottom w:val="none" w:sz="0" w:space="0" w:color="auto"/>
        <w:right w:val="none" w:sz="0" w:space="0" w:color="auto"/>
      </w:divBdr>
    </w:div>
    <w:div w:id="393968928">
      <w:bodyDiv w:val="1"/>
      <w:marLeft w:val="0"/>
      <w:marRight w:val="0"/>
      <w:marTop w:val="0"/>
      <w:marBottom w:val="0"/>
      <w:divBdr>
        <w:top w:val="none" w:sz="0" w:space="0" w:color="auto"/>
        <w:left w:val="none" w:sz="0" w:space="0" w:color="auto"/>
        <w:bottom w:val="none" w:sz="0" w:space="0" w:color="auto"/>
        <w:right w:val="none" w:sz="0" w:space="0" w:color="auto"/>
      </w:divBdr>
    </w:div>
    <w:div w:id="403337857">
      <w:bodyDiv w:val="1"/>
      <w:marLeft w:val="0"/>
      <w:marRight w:val="0"/>
      <w:marTop w:val="0"/>
      <w:marBottom w:val="0"/>
      <w:divBdr>
        <w:top w:val="none" w:sz="0" w:space="0" w:color="auto"/>
        <w:left w:val="none" w:sz="0" w:space="0" w:color="auto"/>
        <w:bottom w:val="none" w:sz="0" w:space="0" w:color="auto"/>
        <w:right w:val="none" w:sz="0" w:space="0" w:color="auto"/>
      </w:divBdr>
    </w:div>
    <w:div w:id="409356421">
      <w:bodyDiv w:val="1"/>
      <w:marLeft w:val="0"/>
      <w:marRight w:val="0"/>
      <w:marTop w:val="0"/>
      <w:marBottom w:val="0"/>
      <w:divBdr>
        <w:top w:val="none" w:sz="0" w:space="0" w:color="auto"/>
        <w:left w:val="none" w:sz="0" w:space="0" w:color="auto"/>
        <w:bottom w:val="none" w:sz="0" w:space="0" w:color="auto"/>
        <w:right w:val="none" w:sz="0" w:space="0" w:color="auto"/>
      </w:divBdr>
    </w:div>
    <w:div w:id="414326291">
      <w:bodyDiv w:val="1"/>
      <w:marLeft w:val="0"/>
      <w:marRight w:val="0"/>
      <w:marTop w:val="0"/>
      <w:marBottom w:val="0"/>
      <w:divBdr>
        <w:top w:val="none" w:sz="0" w:space="0" w:color="auto"/>
        <w:left w:val="none" w:sz="0" w:space="0" w:color="auto"/>
        <w:bottom w:val="none" w:sz="0" w:space="0" w:color="auto"/>
        <w:right w:val="none" w:sz="0" w:space="0" w:color="auto"/>
      </w:divBdr>
    </w:div>
    <w:div w:id="425659504">
      <w:bodyDiv w:val="1"/>
      <w:marLeft w:val="0"/>
      <w:marRight w:val="0"/>
      <w:marTop w:val="0"/>
      <w:marBottom w:val="0"/>
      <w:divBdr>
        <w:top w:val="none" w:sz="0" w:space="0" w:color="auto"/>
        <w:left w:val="none" w:sz="0" w:space="0" w:color="auto"/>
        <w:bottom w:val="none" w:sz="0" w:space="0" w:color="auto"/>
        <w:right w:val="none" w:sz="0" w:space="0" w:color="auto"/>
      </w:divBdr>
    </w:div>
    <w:div w:id="434861603">
      <w:bodyDiv w:val="1"/>
      <w:marLeft w:val="0"/>
      <w:marRight w:val="0"/>
      <w:marTop w:val="0"/>
      <w:marBottom w:val="0"/>
      <w:divBdr>
        <w:top w:val="none" w:sz="0" w:space="0" w:color="auto"/>
        <w:left w:val="none" w:sz="0" w:space="0" w:color="auto"/>
        <w:bottom w:val="none" w:sz="0" w:space="0" w:color="auto"/>
        <w:right w:val="none" w:sz="0" w:space="0" w:color="auto"/>
      </w:divBdr>
    </w:div>
    <w:div w:id="436144321">
      <w:bodyDiv w:val="1"/>
      <w:marLeft w:val="0"/>
      <w:marRight w:val="0"/>
      <w:marTop w:val="0"/>
      <w:marBottom w:val="0"/>
      <w:divBdr>
        <w:top w:val="none" w:sz="0" w:space="0" w:color="auto"/>
        <w:left w:val="none" w:sz="0" w:space="0" w:color="auto"/>
        <w:bottom w:val="none" w:sz="0" w:space="0" w:color="auto"/>
        <w:right w:val="none" w:sz="0" w:space="0" w:color="auto"/>
      </w:divBdr>
    </w:div>
    <w:div w:id="444350569">
      <w:bodyDiv w:val="1"/>
      <w:marLeft w:val="0"/>
      <w:marRight w:val="0"/>
      <w:marTop w:val="0"/>
      <w:marBottom w:val="0"/>
      <w:divBdr>
        <w:top w:val="none" w:sz="0" w:space="0" w:color="auto"/>
        <w:left w:val="none" w:sz="0" w:space="0" w:color="auto"/>
        <w:bottom w:val="none" w:sz="0" w:space="0" w:color="auto"/>
        <w:right w:val="none" w:sz="0" w:space="0" w:color="auto"/>
      </w:divBdr>
    </w:div>
    <w:div w:id="445737055">
      <w:bodyDiv w:val="1"/>
      <w:marLeft w:val="0"/>
      <w:marRight w:val="0"/>
      <w:marTop w:val="0"/>
      <w:marBottom w:val="0"/>
      <w:divBdr>
        <w:top w:val="none" w:sz="0" w:space="0" w:color="auto"/>
        <w:left w:val="none" w:sz="0" w:space="0" w:color="auto"/>
        <w:bottom w:val="none" w:sz="0" w:space="0" w:color="auto"/>
        <w:right w:val="none" w:sz="0" w:space="0" w:color="auto"/>
      </w:divBdr>
    </w:div>
    <w:div w:id="502934100">
      <w:bodyDiv w:val="1"/>
      <w:marLeft w:val="0"/>
      <w:marRight w:val="0"/>
      <w:marTop w:val="0"/>
      <w:marBottom w:val="0"/>
      <w:divBdr>
        <w:top w:val="none" w:sz="0" w:space="0" w:color="auto"/>
        <w:left w:val="none" w:sz="0" w:space="0" w:color="auto"/>
        <w:bottom w:val="none" w:sz="0" w:space="0" w:color="auto"/>
        <w:right w:val="none" w:sz="0" w:space="0" w:color="auto"/>
      </w:divBdr>
      <w:divsChild>
        <w:div w:id="1610114723">
          <w:marLeft w:val="420"/>
          <w:marRight w:val="420"/>
          <w:marTop w:val="0"/>
          <w:marBottom w:val="360"/>
          <w:divBdr>
            <w:top w:val="none" w:sz="0" w:space="0" w:color="auto"/>
            <w:left w:val="none" w:sz="0" w:space="0" w:color="auto"/>
            <w:bottom w:val="none" w:sz="0" w:space="0" w:color="auto"/>
            <w:right w:val="none" w:sz="0" w:space="0" w:color="auto"/>
          </w:divBdr>
          <w:divsChild>
            <w:div w:id="692925693">
              <w:marLeft w:val="0"/>
              <w:marRight w:val="0"/>
              <w:marTop w:val="0"/>
              <w:marBottom w:val="0"/>
              <w:divBdr>
                <w:top w:val="none" w:sz="0" w:space="0" w:color="auto"/>
                <w:left w:val="none" w:sz="0" w:space="0" w:color="auto"/>
                <w:bottom w:val="none" w:sz="0" w:space="0" w:color="auto"/>
                <w:right w:val="none" w:sz="0" w:space="0" w:color="auto"/>
              </w:divBdr>
              <w:divsChild>
                <w:div w:id="515074713">
                  <w:marLeft w:val="0"/>
                  <w:marRight w:val="0"/>
                  <w:marTop w:val="0"/>
                  <w:marBottom w:val="0"/>
                  <w:divBdr>
                    <w:top w:val="none" w:sz="0" w:space="0" w:color="auto"/>
                    <w:left w:val="none" w:sz="0" w:space="0" w:color="auto"/>
                    <w:bottom w:val="none" w:sz="0" w:space="0" w:color="auto"/>
                    <w:right w:val="none" w:sz="0" w:space="0" w:color="auto"/>
                  </w:divBdr>
                  <w:divsChild>
                    <w:div w:id="61722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5582">
      <w:bodyDiv w:val="1"/>
      <w:marLeft w:val="0"/>
      <w:marRight w:val="0"/>
      <w:marTop w:val="0"/>
      <w:marBottom w:val="0"/>
      <w:divBdr>
        <w:top w:val="none" w:sz="0" w:space="0" w:color="auto"/>
        <w:left w:val="none" w:sz="0" w:space="0" w:color="auto"/>
        <w:bottom w:val="none" w:sz="0" w:space="0" w:color="auto"/>
        <w:right w:val="none" w:sz="0" w:space="0" w:color="auto"/>
      </w:divBdr>
    </w:div>
    <w:div w:id="527838669">
      <w:bodyDiv w:val="1"/>
      <w:marLeft w:val="0"/>
      <w:marRight w:val="0"/>
      <w:marTop w:val="0"/>
      <w:marBottom w:val="0"/>
      <w:divBdr>
        <w:top w:val="none" w:sz="0" w:space="0" w:color="auto"/>
        <w:left w:val="none" w:sz="0" w:space="0" w:color="auto"/>
        <w:bottom w:val="none" w:sz="0" w:space="0" w:color="auto"/>
        <w:right w:val="none" w:sz="0" w:space="0" w:color="auto"/>
      </w:divBdr>
      <w:divsChild>
        <w:div w:id="1914193729">
          <w:marLeft w:val="0"/>
          <w:marRight w:val="0"/>
          <w:marTop w:val="0"/>
          <w:marBottom w:val="0"/>
          <w:divBdr>
            <w:top w:val="none" w:sz="0" w:space="0" w:color="auto"/>
            <w:left w:val="none" w:sz="0" w:space="0" w:color="auto"/>
            <w:bottom w:val="none" w:sz="0" w:space="0" w:color="auto"/>
            <w:right w:val="none" w:sz="0" w:space="0" w:color="auto"/>
          </w:divBdr>
          <w:divsChild>
            <w:div w:id="1883784527">
              <w:marLeft w:val="0"/>
              <w:marRight w:val="0"/>
              <w:marTop w:val="0"/>
              <w:marBottom w:val="0"/>
              <w:divBdr>
                <w:top w:val="none" w:sz="0" w:space="0" w:color="auto"/>
                <w:left w:val="none" w:sz="0" w:space="0" w:color="auto"/>
                <w:bottom w:val="none" w:sz="0" w:space="0" w:color="auto"/>
                <w:right w:val="none" w:sz="0" w:space="0" w:color="auto"/>
              </w:divBdr>
              <w:divsChild>
                <w:div w:id="625350901">
                  <w:marLeft w:val="0"/>
                  <w:marRight w:val="0"/>
                  <w:marTop w:val="0"/>
                  <w:marBottom w:val="0"/>
                  <w:divBdr>
                    <w:top w:val="none" w:sz="0" w:space="0" w:color="auto"/>
                    <w:left w:val="none" w:sz="0" w:space="0" w:color="auto"/>
                    <w:bottom w:val="none" w:sz="0" w:space="0" w:color="auto"/>
                    <w:right w:val="none" w:sz="0" w:space="0" w:color="auto"/>
                  </w:divBdr>
                  <w:divsChild>
                    <w:div w:id="2006199960">
                      <w:marLeft w:val="0"/>
                      <w:marRight w:val="0"/>
                      <w:marTop w:val="0"/>
                      <w:marBottom w:val="0"/>
                      <w:divBdr>
                        <w:top w:val="none" w:sz="0" w:space="0" w:color="auto"/>
                        <w:left w:val="none" w:sz="0" w:space="0" w:color="auto"/>
                        <w:bottom w:val="none" w:sz="0" w:space="0" w:color="auto"/>
                        <w:right w:val="none" w:sz="0" w:space="0" w:color="auto"/>
                      </w:divBdr>
                      <w:divsChild>
                        <w:div w:id="1566329457">
                          <w:marLeft w:val="0"/>
                          <w:marRight w:val="0"/>
                          <w:marTop w:val="0"/>
                          <w:marBottom w:val="0"/>
                          <w:divBdr>
                            <w:top w:val="none" w:sz="0" w:space="0" w:color="auto"/>
                            <w:left w:val="none" w:sz="0" w:space="0" w:color="auto"/>
                            <w:bottom w:val="none" w:sz="0" w:space="0" w:color="auto"/>
                            <w:right w:val="none" w:sz="0" w:space="0" w:color="auto"/>
                          </w:divBdr>
                          <w:divsChild>
                            <w:div w:id="3321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55470">
      <w:bodyDiv w:val="1"/>
      <w:marLeft w:val="0"/>
      <w:marRight w:val="0"/>
      <w:marTop w:val="0"/>
      <w:marBottom w:val="0"/>
      <w:divBdr>
        <w:top w:val="none" w:sz="0" w:space="0" w:color="auto"/>
        <w:left w:val="none" w:sz="0" w:space="0" w:color="auto"/>
        <w:bottom w:val="none" w:sz="0" w:space="0" w:color="auto"/>
        <w:right w:val="none" w:sz="0" w:space="0" w:color="auto"/>
      </w:divBdr>
    </w:div>
    <w:div w:id="547956013">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20380306">
      <w:bodyDiv w:val="1"/>
      <w:marLeft w:val="0"/>
      <w:marRight w:val="0"/>
      <w:marTop w:val="0"/>
      <w:marBottom w:val="0"/>
      <w:divBdr>
        <w:top w:val="none" w:sz="0" w:space="0" w:color="auto"/>
        <w:left w:val="none" w:sz="0" w:space="0" w:color="auto"/>
        <w:bottom w:val="none" w:sz="0" w:space="0" w:color="auto"/>
        <w:right w:val="none" w:sz="0" w:space="0" w:color="auto"/>
      </w:divBdr>
    </w:div>
    <w:div w:id="621496481">
      <w:bodyDiv w:val="1"/>
      <w:marLeft w:val="0"/>
      <w:marRight w:val="0"/>
      <w:marTop w:val="0"/>
      <w:marBottom w:val="0"/>
      <w:divBdr>
        <w:top w:val="none" w:sz="0" w:space="0" w:color="auto"/>
        <w:left w:val="none" w:sz="0" w:space="0" w:color="auto"/>
        <w:bottom w:val="none" w:sz="0" w:space="0" w:color="auto"/>
        <w:right w:val="none" w:sz="0" w:space="0" w:color="auto"/>
      </w:divBdr>
    </w:div>
    <w:div w:id="627929324">
      <w:bodyDiv w:val="1"/>
      <w:marLeft w:val="0"/>
      <w:marRight w:val="0"/>
      <w:marTop w:val="0"/>
      <w:marBottom w:val="0"/>
      <w:divBdr>
        <w:top w:val="none" w:sz="0" w:space="0" w:color="auto"/>
        <w:left w:val="none" w:sz="0" w:space="0" w:color="auto"/>
        <w:bottom w:val="none" w:sz="0" w:space="0" w:color="auto"/>
        <w:right w:val="none" w:sz="0" w:space="0" w:color="auto"/>
      </w:divBdr>
    </w:div>
    <w:div w:id="636492705">
      <w:bodyDiv w:val="1"/>
      <w:marLeft w:val="0"/>
      <w:marRight w:val="0"/>
      <w:marTop w:val="0"/>
      <w:marBottom w:val="0"/>
      <w:divBdr>
        <w:top w:val="none" w:sz="0" w:space="0" w:color="auto"/>
        <w:left w:val="none" w:sz="0" w:space="0" w:color="auto"/>
        <w:bottom w:val="none" w:sz="0" w:space="0" w:color="auto"/>
        <w:right w:val="none" w:sz="0" w:space="0" w:color="auto"/>
      </w:divBdr>
      <w:divsChild>
        <w:div w:id="1609191273">
          <w:marLeft w:val="0"/>
          <w:marRight w:val="0"/>
          <w:marTop w:val="0"/>
          <w:marBottom w:val="240"/>
          <w:divBdr>
            <w:top w:val="none" w:sz="0" w:space="0" w:color="auto"/>
            <w:left w:val="none" w:sz="0" w:space="0" w:color="auto"/>
            <w:bottom w:val="none" w:sz="0" w:space="0" w:color="auto"/>
            <w:right w:val="none" w:sz="0" w:space="0" w:color="auto"/>
          </w:divBdr>
          <w:divsChild>
            <w:div w:id="834223738">
              <w:marLeft w:val="0"/>
              <w:marRight w:val="0"/>
              <w:marTop w:val="0"/>
              <w:marBottom w:val="0"/>
              <w:divBdr>
                <w:top w:val="none" w:sz="0" w:space="0" w:color="auto"/>
                <w:left w:val="none" w:sz="0" w:space="0" w:color="auto"/>
                <w:bottom w:val="none" w:sz="0" w:space="0" w:color="auto"/>
                <w:right w:val="none" w:sz="0" w:space="0" w:color="auto"/>
              </w:divBdr>
              <w:divsChild>
                <w:div w:id="140209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49443">
          <w:marLeft w:val="0"/>
          <w:marRight w:val="0"/>
          <w:marTop w:val="0"/>
          <w:marBottom w:val="0"/>
          <w:divBdr>
            <w:top w:val="none" w:sz="0" w:space="0" w:color="auto"/>
            <w:left w:val="none" w:sz="0" w:space="0" w:color="auto"/>
            <w:bottom w:val="none" w:sz="0" w:space="0" w:color="auto"/>
            <w:right w:val="none" w:sz="0" w:space="0" w:color="auto"/>
          </w:divBdr>
          <w:divsChild>
            <w:div w:id="148909992">
              <w:marLeft w:val="0"/>
              <w:marRight w:val="0"/>
              <w:marTop w:val="0"/>
              <w:marBottom w:val="0"/>
              <w:divBdr>
                <w:top w:val="none" w:sz="0" w:space="0" w:color="auto"/>
                <w:left w:val="none" w:sz="0" w:space="0" w:color="auto"/>
                <w:bottom w:val="none" w:sz="0" w:space="0" w:color="auto"/>
                <w:right w:val="none" w:sz="0" w:space="0" w:color="auto"/>
              </w:divBdr>
              <w:divsChild>
                <w:div w:id="210418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52236">
      <w:bodyDiv w:val="1"/>
      <w:marLeft w:val="0"/>
      <w:marRight w:val="0"/>
      <w:marTop w:val="0"/>
      <w:marBottom w:val="0"/>
      <w:divBdr>
        <w:top w:val="none" w:sz="0" w:space="0" w:color="auto"/>
        <w:left w:val="none" w:sz="0" w:space="0" w:color="auto"/>
        <w:bottom w:val="none" w:sz="0" w:space="0" w:color="auto"/>
        <w:right w:val="none" w:sz="0" w:space="0" w:color="auto"/>
      </w:divBdr>
    </w:div>
    <w:div w:id="642975575">
      <w:bodyDiv w:val="1"/>
      <w:marLeft w:val="0"/>
      <w:marRight w:val="0"/>
      <w:marTop w:val="0"/>
      <w:marBottom w:val="0"/>
      <w:divBdr>
        <w:top w:val="none" w:sz="0" w:space="0" w:color="auto"/>
        <w:left w:val="none" w:sz="0" w:space="0" w:color="auto"/>
        <w:bottom w:val="none" w:sz="0" w:space="0" w:color="auto"/>
        <w:right w:val="none" w:sz="0" w:space="0" w:color="auto"/>
      </w:divBdr>
      <w:divsChild>
        <w:div w:id="1380976140">
          <w:marLeft w:val="0"/>
          <w:marRight w:val="0"/>
          <w:marTop w:val="0"/>
          <w:marBottom w:val="0"/>
          <w:divBdr>
            <w:top w:val="none" w:sz="0" w:space="0" w:color="auto"/>
            <w:left w:val="none" w:sz="0" w:space="0" w:color="auto"/>
            <w:bottom w:val="none" w:sz="0" w:space="0" w:color="auto"/>
            <w:right w:val="none" w:sz="0" w:space="0" w:color="auto"/>
          </w:divBdr>
        </w:div>
        <w:div w:id="76634776">
          <w:marLeft w:val="0"/>
          <w:marRight w:val="0"/>
          <w:marTop w:val="0"/>
          <w:marBottom w:val="0"/>
          <w:divBdr>
            <w:top w:val="none" w:sz="0" w:space="0" w:color="auto"/>
            <w:left w:val="none" w:sz="0" w:space="0" w:color="auto"/>
            <w:bottom w:val="none" w:sz="0" w:space="0" w:color="auto"/>
            <w:right w:val="none" w:sz="0" w:space="0" w:color="auto"/>
          </w:divBdr>
        </w:div>
      </w:divsChild>
    </w:div>
    <w:div w:id="651255527">
      <w:bodyDiv w:val="1"/>
      <w:marLeft w:val="0"/>
      <w:marRight w:val="0"/>
      <w:marTop w:val="0"/>
      <w:marBottom w:val="0"/>
      <w:divBdr>
        <w:top w:val="none" w:sz="0" w:space="0" w:color="auto"/>
        <w:left w:val="none" w:sz="0" w:space="0" w:color="auto"/>
        <w:bottom w:val="none" w:sz="0" w:space="0" w:color="auto"/>
        <w:right w:val="none" w:sz="0" w:space="0" w:color="auto"/>
      </w:divBdr>
    </w:div>
    <w:div w:id="656882389">
      <w:bodyDiv w:val="1"/>
      <w:marLeft w:val="0"/>
      <w:marRight w:val="0"/>
      <w:marTop w:val="0"/>
      <w:marBottom w:val="0"/>
      <w:divBdr>
        <w:top w:val="none" w:sz="0" w:space="0" w:color="auto"/>
        <w:left w:val="none" w:sz="0" w:space="0" w:color="auto"/>
        <w:bottom w:val="none" w:sz="0" w:space="0" w:color="auto"/>
        <w:right w:val="none" w:sz="0" w:space="0" w:color="auto"/>
      </w:divBdr>
    </w:div>
    <w:div w:id="671178961">
      <w:bodyDiv w:val="1"/>
      <w:marLeft w:val="0"/>
      <w:marRight w:val="0"/>
      <w:marTop w:val="0"/>
      <w:marBottom w:val="0"/>
      <w:divBdr>
        <w:top w:val="none" w:sz="0" w:space="0" w:color="auto"/>
        <w:left w:val="none" w:sz="0" w:space="0" w:color="auto"/>
        <w:bottom w:val="none" w:sz="0" w:space="0" w:color="auto"/>
        <w:right w:val="none" w:sz="0" w:space="0" w:color="auto"/>
      </w:divBdr>
    </w:div>
    <w:div w:id="680552217">
      <w:bodyDiv w:val="1"/>
      <w:marLeft w:val="0"/>
      <w:marRight w:val="0"/>
      <w:marTop w:val="0"/>
      <w:marBottom w:val="0"/>
      <w:divBdr>
        <w:top w:val="none" w:sz="0" w:space="0" w:color="auto"/>
        <w:left w:val="none" w:sz="0" w:space="0" w:color="auto"/>
        <w:bottom w:val="none" w:sz="0" w:space="0" w:color="auto"/>
        <w:right w:val="none" w:sz="0" w:space="0" w:color="auto"/>
      </w:divBdr>
    </w:div>
    <w:div w:id="683243105">
      <w:bodyDiv w:val="1"/>
      <w:marLeft w:val="0"/>
      <w:marRight w:val="0"/>
      <w:marTop w:val="0"/>
      <w:marBottom w:val="0"/>
      <w:divBdr>
        <w:top w:val="none" w:sz="0" w:space="0" w:color="auto"/>
        <w:left w:val="none" w:sz="0" w:space="0" w:color="auto"/>
        <w:bottom w:val="none" w:sz="0" w:space="0" w:color="auto"/>
        <w:right w:val="none" w:sz="0" w:space="0" w:color="auto"/>
      </w:divBdr>
    </w:div>
    <w:div w:id="688527514">
      <w:bodyDiv w:val="1"/>
      <w:marLeft w:val="0"/>
      <w:marRight w:val="0"/>
      <w:marTop w:val="0"/>
      <w:marBottom w:val="0"/>
      <w:divBdr>
        <w:top w:val="none" w:sz="0" w:space="0" w:color="auto"/>
        <w:left w:val="none" w:sz="0" w:space="0" w:color="auto"/>
        <w:bottom w:val="none" w:sz="0" w:space="0" w:color="auto"/>
        <w:right w:val="none" w:sz="0" w:space="0" w:color="auto"/>
      </w:divBdr>
      <w:divsChild>
        <w:div w:id="901409912">
          <w:marLeft w:val="0"/>
          <w:marRight w:val="0"/>
          <w:marTop w:val="0"/>
          <w:marBottom w:val="240"/>
          <w:divBdr>
            <w:top w:val="none" w:sz="0" w:space="0" w:color="auto"/>
            <w:left w:val="none" w:sz="0" w:space="0" w:color="auto"/>
            <w:bottom w:val="none" w:sz="0" w:space="0" w:color="auto"/>
            <w:right w:val="none" w:sz="0" w:space="0" w:color="auto"/>
          </w:divBdr>
          <w:divsChild>
            <w:div w:id="1289778896">
              <w:marLeft w:val="0"/>
              <w:marRight w:val="0"/>
              <w:marTop w:val="0"/>
              <w:marBottom w:val="0"/>
              <w:divBdr>
                <w:top w:val="none" w:sz="0" w:space="0" w:color="auto"/>
                <w:left w:val="none" w:sz="0" w:space="0" w:color="auto"/>
                <w:bottom w:val="none" w:sz="0" w:space="0" w:color="auto"/>
                <w:right w:val="none" w:sz="0" w:space="0" w:color="auto"/>
              </w:divBdr>
              <w:divsChild>
                <w:div w:id="181452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96625">
          <w:marLeft w:val="0"/>
          <w:marRight w:val="0"/>
          <w:marTop w:val="0"/>
          <w:marBottom w:val="0"/>
          <w:divBdr>
            <w:top w:val="none" w:sz="0" w:space="0" w:color="auto"/>
            <w:left w:val="none" w:sz="0" w:space="0" w:color="auto"/>
            <w:bottom w:val="none" w:sz="0" w:space="0" w:color="auto"/>
            <w:right w:val="none" w:sz="0" w:space="0" w:color="auto"/>
          </w:divBdr>
          <w:divsChild>
            <w:div w:id="960066735">
              <w:marLeft w:val="0"/>
              <w:marRight w:val="0"/>
              <w:marTop w:val="0"/>
              <w:marBottom w:val="0"/>
              <w:divBdr>
                <w:top w:val="none" w:sz="0" w:space="0" w:color="auto"/>
                <w:left w:val="none" w:sz="0" w:space="0" w:color="auto"/>
                <w:bottom w:val="none" w:sz="0" w:space="0" w:color="auto"/>
                <w:right w:val="none" w:sz="0" w:space="0" w:color="auto"/>
              </w:divBdr>
              <w:divsChild>
                <w:div w:id="658115970">
                  <w:marLeft w:val="0"/>
                  <w:marRight w:val="0"/>
                  <w:marTop w:val="0"/>
                  <w:marBottom w:val="150"/>
                  <w:divBdr>
                    <w:top w:val="none" w:sz="0" w:space="0" w:color="auto"/>
                    <w:left w:val="none" w:sz="0" w:space="0" w:color="auto"/>
                    <w:bottom w:val="none" w:sz="0" w:space="0" w:color="auto"/>
                    <w:right w:val="none" w:sz="0" w:space="0" w:color="auto"/>
                  </w:divBdr>
                  <w:divsChild>
                    <w:div w:id="175971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112564">
      <w:bodyDiv w:val="1"/>
      <w:marLeft w:val="0"/>
      <w:marRight w:val="0"/>
      <w:marTop w:val="0"/>
      <w:marBottom w:val="0"/>
      <w:divBdr>
        <w:top w:val="none" w:sz="0" w:space="0" w:color="auto"/>
        <w:left w:val="none" w:sz="0" w:space="0" w:color="auto"/>
        <w:bottom w:val="none" w:sz="0" w:space="0" w:color="auto"/>
        <w:right w:val="none" w:sz="0" w:space="0" w:color="auto"/>
      </w:divBdr>
    </w:div>
    <w:div w:id="698121405">
      <w:bodyDiv w:val="1"/>
      <w:marLeft w:val="0"/>
      <w:marRight w:val="0"/>
      <w:marTop w:val="0"/>
      <w:marBottom w:val="0"/>
      <w:divBdr>
        <w:top w:val="none" w:sz="0" w:space="0" w:color="auto"/>
        <w:left w:val="none" w:sz="0" w:space="0" w:color="auto"/>
        <w:bottom w:val="none" w:sz="0" w:space="0" w:color="auto"/>
        <w:right w:val="none" w:sz="0" w:space="0" w:color="auto"/>
      </w:divBdr>
    </w:div>
    <w:div w:id="698287216">
      <w:bodyDiv w:val="1"/>
      <w:marLeft w:val="0"/>
      <w:marRight w:val="0"/>
      <w:marTop w:val="0"/>
      <w:marBottom w:val="0"/>
      <w:divBdr>
        <w:top w:val="none" w:sz="0" w:space="0" w:color="auto"/>
        <w:left w:val="none" w:sz="0" w:space="0" w:color="auto"/>
        <w:bottom w:val="none" w:sz="0" w:space="0" w:color="auto"/>
        <w:right w:val="none" w:sz="0" w:space="0" w:color="auto"/>
      </w:divBdr>
    </w:div>
    <w:div w:id="708728534">
      <w:bodyDiv w:val="1"/>
      <w:marLeft w:val="0"/>
      <w:marRight w:val="0"/>
      <w:marTop w:val="0"/>
      <w:marBottom w:val="0"/>
      <w:divBdr>
        <w:top w:val="none" w:sz="0" w:space="0" w:color="auto"/>
        <w:left w:val="none" w:sz="0" w:space="0" w:color="auto"/>
        <w:bottom w:val="none" w:sz="0" w:space="0" w:color="auto"/>
        <w:right w:val="none" w:sz="0" w:space="0" w:color="auto"/>
      </w:divBdr>
    </w:div>
    <w:div w:id="709035608">
      <w:bodyDiv w:val="1"/>
      <w:marLeft w:val="0"/>
      <w:marRight w:val="0"/>
      <w:marTop w:val="0"/>
      <w:marBottom w:val="0"/>
      <w:divBdr>
        <w:top w:val="none" w:sz="0" w:space="0" w:color="auto"/>
        <w:left w:val="none" w:sz="0" w:space="0" w:color="auto"/>
        <w:bottom w:val="none" w:sz="0" w:space="0" w:color="auto"/>
        <w:right w:val="none" w:sz="0" w:space="0" w:color="auto"/>
      </w:divBdr>
    </w:div>
    <w:div w:id="728110046">
      <w:bodyDiv w:val="1"/>
      <w:marLeft w:val="0"/>
      <w:marRight w:val="0"/>
      <w:marTop w:val="0"/>
      <w:marBottom w:val="0"/>
      <w:divBdr>
        <w:top w:val="none" w:sz="0" w:space="0" w:color="auto"/>
        <w:left w:val="none" w:sz="0" w:space="0" w:color="auto"/>
        <w:bottom w:val="none" w:sz="0" w:space="0" w:color="auto"/>
        <w:right w:val="none" w:sz="0" w:space="0" w:color="auto"/>
      </w:divBdr>
    </w:div>
    <w:div w:id="732889978">
      <w:bodyDiv w:val="1"/>
      <w:marLeft w:val="0"/>
      <w:marRight w:val="0"/>
      <w:marTop w:val="0"/>
      <w:marBottom w:val="0"/>
      <w:divBdr>
        <w:top w:val="none" w:sz="0" w:space="0" w:color="auto"/>
        <w:left w:val="none" w:sz="0" w:space="0" w:color="auto"/>
        <w:bottom w:val="none" w:sz="0" w:space="0" w:color="auto"/>
        <w:right w:val="none" w:sz="0" w:space="0" w:color="auto"/>
      </w:divBdr>
    </w:div>
    <w:div w:id="739600045">
      <w:bodyDiv w:val="1"/>
      <w:marLeft w:val="0"/>
      <w:marRight w:val="0"/>
      <w:marTop w:val="0"/>
      <w:marBottom w:val="0"/>
      <w:divBdr>
        <w:top w:val="none" w:sz="0" w:space="0" w:color="auto"/>
        <w:left w:val="none" w:sz="0" w:space="0" w:color="auto"/>
        <w:bottom w:val="none" w:sz="0" w:space="0" w:color="auto"/>
        <w:right w:val="none" w:sz="0" w:space="0" w:color="auto"/>
      </w:divBdr>
      <w:divsChild>
        <w:div w:id="2114550092">
          <w:marLeft w:val="660"/>
          <w:marRight w:val="660"/>
          <w:marTop w:val="0"/>
          <w:marBottom w:val="360"/>
          <w:divBdr>
            <w:top w:val="none" w:sz="0" w:space="0" w:color="auto"/>
            <w:left w:val="none" w:sz="0" w:space="0" w:color="auto"/>
            <w:bottom w:val="none" w:sz="0" w:space="0" w:color="auto"/>
            <w:right w:val="none" w:sz="0" w:space="0" w:color="auto"/>
          </w:divBdr>
          <w:divsChild>
            <w:div w:id="471212017">
              <w:marLeft w:val="0"/>
              <w:marRight w:val="0"/>
              <w:marTop w:val="0"/>
              <w:marBottom w:val="0"/>
              <w:divBdr>
                <w:top w:val="none" w:sz="0" w:space="0" w:color="auto"/>
                <w:left w:val="none" w:sz="0" w:space="0" w:color="auto"/>
                <w:bottom w:val="none" w:sz="0" w:space="0" w:color="auto"/>
                <w:right w:val="none" w:sz="0" w:space="0" w:color="auto"/>
              </w:divBdr>
              <w:divsChild>
                <w:div w:id="1321082853">
                  <w:marLeft w:val="0"/>
                  <w:marRight w:val="0"/>
                  <w:marTop w:val="0"/>
                  <w:marBottom w:val="0"/>
                  <w:divBdr>
                    <w:top w:val="none" w:sz="0" w:space="0" w:color="auto"/>
                    <w:left w:val="none" w:sz="0" w:space="0" w:color="auto"/>
                    <w:bottom w:val="none" w:sz="0" w:space="0" w:color="auto"/>
                    <w:right w:val="none" w:sz="0" w:space="0" w:color="auto"/>
                  </w:divBdr>
                  <w:divsChild>
                    <w:div w:id="165742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293483">
      <w:bodyDiv w:val="1"/>
      <w:marLeft w:val="0"/>
      <w:marRight w:val="0"/>
      <w:marTop w:val="0"/>
      <w:marBottom w:val="0"/>
      <w:divBdr>
        <w:top w:val="none" w:sz="0" w:space="0" w:color="auto"/>
        <w:left w:val="none" w:sz="0" w:space="0" w:color="auto"/>
        <w:bottom w:val="none" w:sz="0" w:space="0" w:color="auto"/>
        <w:right w:val="none" w:sz="0" w:space="0" w:color="auto"/>
      </w:divBdr>
    </w:div>
    <w:div w:id="766658949">
      <w:bodyDiv w:val="1"/>
      <w:marLeft w:val="0"/>
      <w:marRight w:val="0"/>
      <w:marTop w:val="0"/>
      <w:marBottom w:val="0"/>
      <w:divBdr>
        <w:top w:val="none" w:sz="0" w:space="0" w:color="auto"/>
        <w:left w:val="none" w:sz="0" w:space="0" w:color="auto"/>
        <w:bottom w:val="none" w:sz="0" w:space="0" w:color="auto"/>
        <w:right w:val="none" w:sz="0" w:space="0" w:color="auto"/>
      </w:divBdr>
    </w:div>
    <w:div w:id="772094435">
      <w:bodyDiv w:val="1"/>
      <w:marLeft w:val="0"/>
      <w:marRight w:val="0"/>
      <w:marTop w:val="0"/>
      <w:marBottom w:val="0"/>
      <w:divBdr>
        <w:top w:val="none" w:sz="0" w:space="0" w:color="auto"/>
        <w:left w:val="none" w:sz="0" w:space="0" w:color="auto"/>
        <w:bottom w:val="none" w:sz="0" w:space="0" w:color="auto"/>
        <w:right w:val="none" w:sz="0" w:space="0" w:color="auto"/>
      </w:divBdr>
    </w:div>
    <w:div w:id="775173407">
      <w:bodyDiv w:val="1"/>
      <w:marLeft w:val="0"/>
      <w:marRight w:val="0"/>
      <w:marTop w:val="0"/>
      <w:marBottom w:val="0"/>
      <w:divBdr>
        <w:top w:val="none" w:sz="0" w:space="0" w:color="auto"/>
        <w:left w:val="none" w:sz="0" w:space="0" w:color="auto"/>
        <w:bottom w:val="none" w:sz="0" w:space="0" w:color="auto"/>
        <w:right w:val="none" w:sz="0" w:space="0" w:color="auto"/>
      </w:divBdr>
    </w:div>
    <w:div w:id="789669174">
      <w:bodyDiv w:val="1"/>
      <w:marLeft w:val="0"/>
      <w:marRight w:val="0"/>
      <w:marTop w:val="0"/>
      <w:marBottom w:val="0"/>
      <w:divBdr>
        <w:top w:val="none" w:sz="0" w:space="0" w:color="auto"/>
        <w:left w:val="none" w:sz="0" w:space="0" w:color="auto"/>
        <w:bottom w:val="none" w:sz="0" w:space="0" w:color="auto"/>
        <w:right w:val="none" w:sz="0" w:space="0" w:color="auto"/>
      </w:divBdr>
    </w:div>
    <w:div w:id="790899564">
      <w:bodyDiv w:val="1"/>
      <w:marLeft w:val="0"/>
      <w:marRight w:val="0"/>
      <w:marTop w:val="0"/>
      <w:marBottom w:val="0"/>
      <w:divBdr>
        <w:top w:val="none" w:sz="0" w:space="0" w:color="auto"/>
        <w:left w:val="none" w:sz="0" w:space="0" w:color="auto"/>
        <w:bottom w:val="none" w:sz="0" w:space="0" w:color="auto"/>
        <w:right w:val="none" w:sz="0" w:space="0" w:color="auto"/>
      </w:divBdr>
    </w:div>
    <w:div w:id="802309596">
      <w:bodyDiv w:val="1"/>
      <w:marLeft w:val="0"/>
      <w:marRight w:val="0"/>
      <w:marTop w:val="0"/>
      <w:marBottom w:val="0"/>
      <w:divBdr>
        <w:top w:val="none" w:sz="0" w:space="0" w:color="auto"/>
        <w:left w:val="none" w:sz="0" w:space="0" w:color="auto"/>
        <w:bottom w:val="none" w:sz="0" w:space="0" w:color="auto"/>
        <w:right w:val="none" w:sz="0" w:space="0" w:color="auto"/>
      </w:divBdr>
    </w:div>
    <w:div w:id="814570907">
      <w:bodyDiv w:val="1"/>
      <w:marLeft w:val="0"/>
      <w:marRight w:val="0"/>
      <w:marTop w:val="0"/>
      <w:marBottom w:val="0"/>
      <w:divBdr>
        <w:top w:val="none" w:sz="0" w:space="0" w:color="auto"/>
        <w:left w:val="none" w:sz="0" w:space="0" w:color="auto"/>
        <w:bottom w:val="none" w:sz="0" w:space="0" w:color="auto"/>
        <w:right w:val="none" w:sz="0" w:space="0" w:color="auto"/>
      </w:divBdr>
      <w:divsChild>
        <w:div w:id="1791321241">
          <w:marLeft w:val="0"/>
          <w:marRight w:val="0"/>
          <w:marTop w:val="0"/>
          <w:marBottom w:val="0"/>
          <w:divBdr>
            <w:top w:val="none" w:sz="0" w:space="0" w:color="auto"/>
            <w:left w:val="none" w:sz="0" w:space="0" w:color="auto"/>
            <w:bottom w:val="none" w:sz="0" w:space="0" w:color="auto"/>
            <w:right w:val="none" w:sz="0" w:space="0" w:color="auto"/>
          </w:divBdr>
          <w:divsChild>
            <w:div w:id="988708342">
              <w:marLeft w:val="0"/>
              <w:marRight w:val="0"/>
              <w:marTop w:val="0"/>
              <w:marBottom w:val="0"/>
              <w:divBdr>
                <w:top w:val="none" w:sz="0" w:space="0" w:color="auto"/>
                <w:left w:val="none" w:sz="0" w:space="0" w:color="auto"/>
                <w:bottom w:val="none" w:sz="0" w:space="0" w:color="auto"/>
                <w:right w:val="none" w:sz="0" w:space="0" w:color="auto"/>
              </w:divBdr>
              <w:divsChild>
                <w:div w:id="205792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141">
          <w:marLeft w:val="0"/>
          <w:marRight w:val="0"/>
          <w:marTop w:val="0"/>
          <w:marBottom w:val="240"/>
          <w:divBdr>
            <w:top w:val="none" w:sz="0" w:space="0" w:color="auto"/>
            <w:left w:val="none" w:sz="0" w:space="0" w:color="auto"/>
            <w:bottom w:val="none" w:sz="0" w:space="0" w:color="auto"/>
            <w:right w:val="none" w:sz="0" w:space="0" w:color="auto"/>
          </w:divBdr>
          <w:divsChild>
            <w:div w:id="659969656">
              <w:marLeft w:val="0"/>
              <w:marRight w:val="0"/>
              <w:marTop w:val="0"/>
              <w:marBottom w:val="0"/>
              <w:divBdr>
                <w:top w:val="none" w:sz="0" w:space="0" w:color="auto"/>
                <w:left w:val="none" w:sz="0" w:space="0" w:color="auto"/>
                <w:bottom w:val="none" w:sz="0" w:space="0" w:color="auto"/>
                <w:right w:val="none" w:sz="0" w:space="0" w:color="auto"/>
              </w:divBdr>
              <w:divsChild>
                <w:div w:id="20284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3615">
          <w:marLeft w:val="0"/>
          <w:marRight w:val="0"/>
          <w:marTop w:val="0"/>
          <w:marBottom w:val="0"/>
          <w:divBdr>
            <w:top w:val="none" w:sz="0" w:space="0" w:color="auto"/>
            <w:left w:val="none" w:sz="0" w:space="0" w:color="auto"/>
            <w:bottom w:val="none" w:sz="0" w:space="0" w:color="auto"/>
            <w:right w:val="none" w:sz="0" w:space="0" w:color="auto"/>
          </w:divBdr>
          <w:divsChild>
            <w:div w:id="28336578">
              <w:marLeft w:val="0"/>
              <w:marRight w:val="0"/>
              <w:marTop w:val="0"/>
              <w:marBottom w:val="0"/>
              <w:divBdr>
                <w:top w:val="none" w:sz="0" w:space="0" w:color="auto"/>
                <w:left w:val="none" w:sz="0" w:space="0" w:color="auto"/>
                <w:bottom w:val="none" w:sz="0" w:space="0" w:color="auto"/>
                <w:right w:val="none" w:sz="0" w:space="0" w:color="auto"/>
              </w:divBdr>
              <w:divsChild>
                <w:div w:id="197329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19522">
      <w:bodyDiv w:val="1"/>
      <w:marLeft w:val="0"/>
      <w:marRight w:val="0"/>
      <w:marTop w:val="0"/>
      <w:marBottom w:val="0"/>
      <w:divBdr>
        <w:top w:val="none" w:sz="0" w:space="0" w:color="auto"/>
        <w:left w:val="none" w:sz="0" w:space="0" w:color="auto"/>
        <w:bottom w:val="none" w:sz="0" w:space="0" w:color="auto"/>
        <w:right w:val="none" w:sz="0" w:space="0" w:color="auto"/>
      </w:divBdr>
    </w:div>
    <w:div w:id="818769303">
      <w:bodyDiv w:val="1"/>
      <w:marLeft w:val="0"/>
      <w:marRight w:val="0"/>
      <w:marTop w:val="0"/>
      <w:marBottom w:val="0"/>
      <w:divBdr>
        <w:top w:val="none" w:sz="0" w:space="0" w:color="auto"/>
        <w:left w:val="none" w:sz="0" w:space="0" w:color="auto"/>
        <w:bottom w:val="none" w:sz="0" w:space="0" w:color="auto"/>
        <w:right w:val="none" w:sz="0" w:space="0" w:color="auto"/>
      </w:divBdr>
    </w:div>
    <w:div w:id="819154753">
      <w:bodyDiv w:val="1"/>
      <w:marLeft w:val="0"/>
      <w:marRight w:val="0"/>
      <w:marTop w:val="0"/>
      <w:marBottom w:val="0"/>
      <w:divBdr>
        <w:top w:val="none" w:sz="0" w:space="0" w:color="auto"/>
        <w:left w:val="none" w:sz="0" w:space="0" w:color="auto"/>
        <w:bottom w:val="none" w:sz="0" w:space="0" w:color="auto"/>
        <w:right w:val="none" w:sz="0" w:space="0" w:color="auto"/>
      </w:divBdr>
      <w:divsChild>
        <w:div w:id="1593127283">
          <w:marLeft w:val="0"/>
          <w:marRight w:val="0"/>
          <w:marTop w:val="0"/>
          <w:marBottom w:val="0"/>
          <w:divBdr>
            <w:top w:val="none" w:sz="0" w:space="0" w:color="auto"/>
            <w:left w:val="none" w:sz="0" w:space="0" w:color="auto"/>
            <w:bottom w:val="none" w:sz="0" w:space="0" w:color="auto"/>
            <w:right w:val="none" w:sz="0" w:space="0" w:color="auto"/>
          </w:divBdr>
          <w:divsChild>
            <w:div w:id="711881645">
              <w:marLeft w:val="0"/>
              <w:marRight w:val="0"/>
              <w:marTop w:val="0"/>
              <w:marBottom w:val="0"/>
              <w:divBdr>
                <w:top w:val="none" w:sz="0" w:space="0" w:color="auto"/>
                <w:left w:val="none" w:sz="0" w:space="0" w:color="auto"/>
                <w:bottom w:val="none" w:sz="0" w:space="0" w:color="auto"/>
                <w:right w:val="none" w:sz="0" w:space="0" w:color="auto"/>
              </w:divBdr>
              <w:divsChild>
                <w:div w:id="796339398">
                  <w:marLeft w:val="0"/>
                  <w:marRight w:val="0"/>
                  <w:marTop w:val="0"/>
                  <w:marBottom w:val="0"/>
                  <w:divBdr>
                    <w:top w:val="none" w:sz="0" w:space="0" w:color="auto"/>
                    <w:left w:val="none" w:sz="0" w:space="0" w:color="auto"/>
                    <w:bottom w:val="none" w:sz="0" w:space="0" w:color="auto"/>
                    <w:right w:val="none" w:sz="0" w:space="0" w:color="auto"/>
                  </w:divBdr>
                  <w:divsChild>
                    <w:div w:id="621883860">
                      <w:marLeft w:val="0"/>
                      <w:marRight w:val="0"/>
                      <w:marTop w:val="0"/>
                      <w:marBottom w:val="0"/>
                      <w:divBdr>
                        <w:top w:val="none" w:sz="0" w:space="0" w:color="auto"/>
                        <w:left w:val="none" w:sz="0" w:space="0" w:color="auto"/>
                        <w:bottom w:val="none" w:sz="0" w:space="0" w:color="auto"/>
                        <w:right w:val="none" w:sz="0" w:space="0" w:color="auto"/>
                      </w:divBdr>
                      <w:divsChild>
                        <w:div w:id="62919242">
                          <w:marLeft w:val="0"/>
                          <w:marRight w:val="0"/>
                          <w:marTop w:val="0"/>
                          <w:marBottom w:val="0"/>
                          <w:divBdr>
                            <w:top w:val="none" w:sz="0" w:space="0" w:color="auto"/>
                            <w:left w:val="none" w:sz="0" w:space="0" w:color="auto"/>
                            <w:bottom w:val="none" w:sz="0" w:space="0" w:color="auto"/>
                            <w:right w:val="none" w:sz="0" w:space="0" w:color="auto"/>
                          </w:divBdr>
                          <w:divsChild>
                            <w:div w:id="763262244">
                              <w:marLeft w:val="0"/>
                              <w:marRight w:val="0"/>
                              <w:marTop w:val="0"/>
                              <w:marBottom w:val="0"/>
                              <w:divBdr>
                                <w:top w:val="none" w:sz="0" w:space="0" w:color="auto"/>
                                <w:left w:val="none" w:sz="0" w:space="0" w:color="auto"/>
                                <w:bottom w:val="none" w:sz="0" w:space="0" w:color="auto"/>
                                <w:right w:val="none" w:sz="0" w:space="0" w:color="auto"/>
                              </w:divBdr>
                              <w:divsChild>
                                <w:div w:id="1756897243">
                                  <w:marLeft w:val="0"/>
                                  <w:marRight w:val="0"/>
                                  <w:marTop w:val="0"/>
                                  <w:marBottom w:val="0"/>
                                  <w:divBdr>
                                    <w:top w:val="none" w:sz="0" w:space="0" w:color="auto"/>
                                    <w:left w:val="none" w:sz="0" w:space="0" w:color="auto"/>
                                    <w:bottom w:val="none" w:sz="0" w:space="0" w:color="auto"/>
                                    <w:right w:val="none" w:sz="0" w:space="0" w:color="auto"/>
                                  </w:divBdr>
                                  <w:divsChild>
                                    <w:div w:id="106431854">
                                      <w:marLeft w:val="0"/>
                                      <w:marRight w:val="0"/>
                                      <w:marTop w:val="0"/>
                                      <w:marBottom w:val="0"/>
                                      <w:divBdr>
                                        <w:top w:val="none" w:sz="0" w:space="0" w:color="auto"/>
                                        <w:left w:val="none" w:sz="0" w:space="0" w:color="auto"/>
                                        <w:bottom w:val="none" w:sz="0" w:space="0" w:color="auto"/>
                                        <w:right w:val="none" w:sz="0" w:space="0" w:color="auto"/>
                                      </w:divBdr>
                                      <w:divsChild>
                                        <w:div w:id="742992389">
                                          <w:marLeft w:val="0"/>
                                          <w:marRight w:val="0"/>
                                          <w:marTop w:val="100"/>
                                          <w:marBottom w:val="100"/>
                                          <w:divBdr>
                                            <w:top w:val="none" w:sz="0" w:space="0" w:color="auto"/>
                                            <w:left w:val="none" w:sz="0" w:space="0" w:color="auto"/>
                                            <w:bottom w:val="none" w:sz="0" w:space="0" w:color="auto"/>
                                            <w:right w:val="none" w:sz="0" w:space="0" w:color="auto"/>
                                          </w:divBdr>
                                          <w:divsChild>
                                            <w:div w:id="603466916">
                                              <w:marLeft w:val="420"/>
                                              <w:marRight w:val="420"/>
                                              <w:marTop w:val="0"/>
                                              <w:marBottom w:val="360"/>
                                              <w:divBdr>
                                                <w:top w:val="none" w:sz="0" w:space="0" w:color="auto"/>
                                                <w:left w:val="none" w:sz="0" w:space="0" w:color="auto"/>
                                                <w:bottom w:val="none" w:sz="0" w:space="0" w:color="auto"/>
                                                <w:right w:val="none" w:sz="0" w:space="0" w:color="auto"/>
                                              </w:divBdr>
                                              <w:divsChild>
                                                <w:div w:id="1795169913">
                                                  <w:marLeft w:val="0"/>
                                                  <w:marRight w:val="0"/>
                                                  <w:marTop w:val="0"/>
                                                  <w:marBottom w:val="0"/>
                                                  <w:divBdr>
                                                    <w:top w:val="none" w:sz="0" w:space="0" w:color="auto"/>
                                                    <w:left w:val="none" w:sz="0" w:space="0" w:color="auto"/>
                                                    <w:bottom w:val="none" w:sz="0" w:space="0" w:color="auto"/>
                                                    <w:right w:val="none" w:sz="0" w:space="0" w:color="auto"/>
                                                  </w:divBdr>
                                                  <w:divsChild>
                                                    <w:div w:id="1677154309">
                                                      <w:marLeft w:val="0"/>
                                                      <w:marRight w:val="0"/>
                                                      <w:marTop w:val="0"/>
                                                      <w:marBottom w:val="0"/>
                                                      <w:divBdr>
                                                        <w:top w:val="none" w:sz="0" w:space="0" w:color="auto"/>
                                                        <w:left w:val="none" w:sz="0" w:space="0" w:color="auto"/>
                                                        <w:bottom w:val="none" w:sz="0" w:space="0" w:color="auto"/>
                                                        <w:right w:val="none" w:sz="0" w:space="0" w:color="auto"/>
                                                      </w:divBdr>
                                                      <w:divsChild>
                                                        <w:div w:id="18642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731945">
                                              <w:marLeft w:val="480"/>
                                              <w:marRight w:val="480"/>
                                              <w:marTop w:val="100"/>
                                              <w:marBottom w:val="0"/>
                                              <w:divBdr>
                                                <w:top w:val="none" w:sz="0" w:space="0" w:color="auto"/>
                                                <w:left w:val="none" w:sz="0" w:space="0" w:color="auto"/>
                                                <w:bottom w:val="none" w:sz="0" w:space="0" w:color="auto"/>
                                                <w:right w:val="none" w:sz="0" w:space="0" w:color="auto"/>
                                              </w:divBdr>
                                              <w:divsChild>
                                                <w:div w:id="46730053">
                                                  <w:marLeft w:val="0"/>
                                                  <w:marRight w:val="0"/>
                                                  <w:marTop w:val="0"/>
                                                  <w:marBottom w:val="0"/>
                                                  <w:divBdr>
                                                    <w:top w:val="none" w:sz="0" w:space="0" w:color="auto"/>
                                                    <w:left w:val="none" w:sz="0" w:space="0" w:color="auto"/>
                                                    <w:bottom w:val="none" w:sz="0" w:space="0" w:color="auto"/>
                                                    <w:right w:val="none" w:sz="0" w:space="0" w:color="auto"/>
                                                  </w:divBdr>
                                                  <w:divsChild>
                                                    <w:div w:id="1060132416">
                                                      <w:marLeft w:val="0"/>
                                                      <w:marRight w:val="0"/>
                                                      <w:marTop w:val="0"/>
                                                      <w:marBottom w:val="0"/>
                                                      <w:divBdr>
                                                        <w:top w:val="single" w:sz="4" w:space="0" w:color="auto"/>
                                                        <w:left w:val="single" w:sz="4" w:space="0" w:color="auto"/>
                                                        <w:bottom w:val="single" w:sz="4" w:space="0" w:color="auto"/>
                                                        <w:right w:val="single" w:sz="4" w:space="0" w:color="auto"/>
                                                      </w:divBdr>
                                                      <w:divsChild>
                                                        <w:div w:id="1539853355">
                                                          <w:marLeft w:val="0"/>
                                                          <w:marRight w:val="0"/>
                                                          <w:marTop w:val="0"/>
                                                          <w:marBottom w:val="0"/>
                                                          <w:divBdr>
                                                            <w:top w:val="none" w:sz="0" w:space="0" w:color="auto"/>
                                                            <w:left w:val="none" w:sz="0" w:space="0" w:color="auto"/>
                                                            <w:bottom w:val="none" w:sz="0" w:space="0" w:color="auto"/>
                                                            <w:right w:val="none" w:sz="0" w:space="0" w:color="auto"/>
                                                          </w:divBdr>
                                                          <w:divsChild>
                                                            <w:div w:id="60977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1510218">
      <w:bodyDiv w:val="1"/>
      <w:marLeft w:val="0"/>
      <w:marRight w:val="0"/>
      <w:marTop w:val="0"/>
      <w:marBottom w:val="0"/>
      <w:divBdr>
        <w:top w:val="none" w:sz="0" w:space="0" w:color="auto"/>
        <w:left w:val="none" w:sz="0" w:space="0" w:color="auto"/>
        <w:bottom w:val="none" w:sz="0" w:space="0" w:color="auto"/>
        <w:right w:val="none" w:sz="0" w:space="0" w:color="auto"/>
      </w:divBdr>
    </w:div>
    <w:div w:id="824736404">
      <w:bodyDiv w:val="1"/>
      <w:marLeft w:val="0"/>
      <w:marRight w:val="0"/>
      <w:marTop w:val="0"/>
      <w:marBottom w:val="0"/>
      <w:divBdr>
        <w:top w:val="none" w:sz="0" w:space="0" w:color="auto"/>
        <w:left w:val="none" w:sz="0" w:space="0" w:color="auto"/>
        <w:bottom w:val="none" w:sz="0" w:space="0" w:color="auto"/>
        <w:right w:val="none" w:sz="0" w:space="0" w:color="auto"/>
      </w:divBdr>
    </w:div>
    <w:div w:id="842429823">
      <w:bodyDiv w:val="1"/>
      <w:marLeft w:val="0"/>
      <w:marRight w:val="0"/>
      <w:marTop w:val="0"/>
      <w:marBottom w:val="0"/>
      <w:divBdr>
        <w:top w:val="none" w:sz="0" w:space="0" w:color="auto"/>
        <w:left w:val="none" w:sz="0" w:space="0" w:color="auto"/>
        <w:bottom w:val="none" w:sz="0" w:space="0" w:color="auto"/>
        <w:right w:val="none" w:sz="0" w:space="0" w:color="auto"/>
      </w:divBdr>
    </w:div>
    <w:div w:id="845751078">
      <w:bodyDiv w:val="1"/>
      <w:marLeft w:val="0"/>
      <w:marRight w:val="0"/>
      <w:marTop w:val="0"/>
      <w:marBottom w:val="0"/>
      <w:divBdr>
        <w:top w:val="none" w:sz="0" w:space="0" w:color="auto"/>
        <w:left w:val="none" w:sz="0" w:space="0" w:color="auto"/>
        <w:bottom w:val="none" w:sz="0" w:space="0" w:color="auto"/>
        <w:right w:val="none" w:sz="0" w:space="0" w:color="auto"/>
      </w:divBdr>
    </w:div>
    <w:div w:id="855651320">
      <w:bodyDiv w:val="1"/>
      <w:marLeft w:val="0"/>
      <w:marRight w:val="0"/>
      <w:marTop w:val="0"/>
      <w:marBottom w:val="0"/>
      <w:divBdr>
        <w:top w:val="none" w:sz="0" w:space="0" w:color="auto"/>
        <w:left w:val="none" w:sz="0" w:space="0" w:color="auto"/>
        <w:bottom w:val="none" w:sz="0" w:space="0" w:color="auto"/>
        <w:right w:val="none" w:sz="0" w:space="0" w:color="auto"/>
      </w:divBdr>
    </w:div>
    <w:div w:id="856116446">
      <w:bodyDiv w:val="1"/>
      <w:marLeft w:val="0"/>
      <w:marRight w:val="0"/>
      <w:marTop w:val="0"/>
      <w:marBottom w:val="0"/>
      <w:divBdr>
        <w:top w:val="none" w:sz="0" w:space="0" w:color="auto"/>
        <w:left w:val="none" w:sz="0" w:space="0" w:color="auto"/>
        <w:bottom w:val="none" w:sz="0" w:space="0" w:color="auto"/>
        <w:right w:val="none" w:sz="0" w:space="0" w:color="auto"/>
      </w:divBdr>
    </w:div>
    <w:div w:id="865212962">
      <w:bodyDiv w:val="1"/>
      <w:marLeft w:val="0"/>
      <w:marRight w:val="0"/>
      <w:marTop w:val="0"/>
      <w:marBottom w:val="0"/>
      <w:divBdr>
        <w:top w:val="none" w:sz="0" w:space="0" w:color="auto"/>
        <w:left w:val="none" w:sz="0" w:space="0" w:color="auto"/>
        <w:bottom w:val="none" w:sz="0" w:space="0" w:color="auto"/>
        <w:right w:val="none" w:sz="0" w:space="0" w:color="auto"/>
      </w:divBdr>
      <w:divsChild>
        <w:div w:id="30301652">
          <w:marLeft w:val="0"/>
          <w:marRight w:val="0"/>
          <w:marTop w:val="0"/>
          <w:marBottom w:val="0"/>
          <w:divBdr>
            <w:top w:val="none" w:sz="0" w:space="0" w:color="auto"/>
            <w:left w:val="none" w:sz="0" w:space="0" w:color="auto"/>
            <w:bottom w:val="none" w:sz="0" w:space="0" w:color="auto"/>
            <w:right w:val="none" w:sz="0" w:space="0" w:color="auto"/>
          </w:divBdr>
          <w:divsChild>
            <w:div w:id="477233696">
              <w:marLeft w:val="0"/>
              <w:marRight w:val="0"/>
              <w:marTop w:val="0"/>
              <w:marBottom w:val="0"/>
              <w:divBdr>
                <w:top w:val="none" w:sz="0" w:space="0" w:color="auto"/>
                <w:left w:val="none" w:sz="0" w:space="0" w:color="auto"/>
                <w:bottom w:val="none" w:sz="0" w:space="0" w:color="auto"/>
                <w:right w:val="none" w:sz="0" w:space="0" w:color="auto"/>
              </w:divBdr>
              <w:divsChild>
                <w:div w:id="2449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37812">
      <w:bodyDiv w:val="1"/>
      <w:marLeft w:val="0"/>
      <w:marRight w:val="0"/>
      <w:marTop w:val="0"/>
      <w:marBottom w:val="0"/>
      <w:divBdr>
        <w:top w:val="none" w:sz="0" w:space="0" w:color="auto"/>
        <w:left w:val="none" w:sz="0" w:space="0" w:color="auto"/>
        <w:bottom w:val="none" w:sz="0" w:space="0" w:color="auto"/>
        <w:right w:val="none" w:sz="0" w:space="0" w:color="auto"/>
      </w:divBdr>
      <w:divsChild>
        <w:div w:id="62606973">
          <w:marLeft w:val="540"/>
          <w:marRight w:val="540"/>
          <w:marTop w:val="0"/>
          <w:marBottom w:val="360"/>
          <w:divBdr>
            <w:top w:val="none" w:sz="0" w:space="0" w:color="auto"/>
            <w:left w:val="none" w:sz="0" w:space="0" w:color="auto"/>
            <w:bottom w:val="none" w:sz="0" w:space="0" w:color="auto"/>
            <w:right w:val="none" w:sz="0" w:space="0" w:color="auto"/>
          </w:divBdr>
          <w:divsChild>
            <w:div w:id="1931892018">
              <w:marLeft w:val="0"/>
              <w:marRight w:val="0"/>
              <w:marTop w:val="0"/>
              <w:marBottom w:val="0"/>
              <w:divBdr>
                <w:top w:val="none" w:sz="0" w:space="0" w:color="auto"/>
                <w:left w:val="none" w:sz="0" w:space="0" w:color="auto"/>
                <w:bottom w:val="none" w:sz="0" w:space="0" w:color="auto"/>
                <w:right w:val="none" w:sz="0" w:space="0" w:color="auto"/>
              </w:divBdr>
              <w:divsChild>
                <w:div w:id="2095735384">
                  <w:marLeft w:val="0"/>
                  <w:marRight w:val="0"/>
                  <w:marTop w:val="0"/>
                  <w:marBottom w:val="0"/>
                  <w:divBdr>
                    <w:top w:val="none" w:sz="0" w:space="0" w:color="auto"/>
                    <w:left w:val="none" w:sz="0" w:space="0" w:color="auto"/>
                    <w:bottom w:val="none" w:sz="0" w:space="0" w:color="auto"/>
                    <w:right w:val="none" w:sz="0" w:space="0" w:color="auto"/>
                  </w:divBdr>
                  <w:divsChild>
                    <w:div w:id="9684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7974">
      <w:bodyDiv w:val="1"/>
      <w:marLeft w:val="0"/>
      <w:marRight w:val="0"/>
      <w:marTop w:val="0"/>
      <w:marBottom w:val="0"/>
      <w:divBdr>
        <w:top w:val="none" w:sz="0" w:space="0" w:color="auto"/>
        <w:left w:val="none" w:sz="0" w:space="0" w:color="auto"/>
        <w:bottom w:val="none" w:sz="0" w:space="0" w:color="auto"/>
        <w:right w:val="none" w:sz="0" w:space="0" w:color="auto"/>
      </w:divBdr>
    </w:div>
    <w:div w:id="885333662">
      <w:bodyDiv w:val="1"/>
      <w:marLeft w:val="0"/>
      <w:marRight w:val="0"/>
      <w:marTop w:val="0"/>
      <w:marBottom w:val="0"/>
      <w:divBdr>
        <w:top w:val="none" w:sz="0" w:space="0" w:color="auto"/>
        <w:left w:val="none" w:sz="0" w:space="0" w:color="auto"/>
        <w:bottom w:val="none" w:sz="0" w:space="0" w:color="auto"/>
        <w:right w:val="none" w:sz="0" w:space="0" w:color="auto"/>
      </w:divBdr>
      <w:divsChild>
        <w:div w:id="357240485">
          <w:marLeft w:val="660"/>
          <w:marRight w:val="660"/>
          <w:marTop w:val="0"/>
          <w:marBottom w:val="360"/>
          <w:divBdr>
            <w:top w:val="none" w:sz="0" w:space="0" w:color="auto"/>
            <w:left w:val="none" w:sz="0" w:space="0" w:color="auto"/>
            <w:bottom w:val="none" w:sz="0" w:space="0" w:color="auto"/>
            <w:right w:val="none" w:sz="0" w:space="0" w:color="auto"/>
          </w:divBdr>
          <w:divsChild>
            <w:div w:id="659121109">
              <w:marLeft w:val="0"/>
              <w:marRight w:val="0"/>
              <w:marTop w:val="0"/>
              <w:marBottom w:val="0"/>
              <w:divBdr>
                <w:top w:val="none" w:sz="0" w:space="0" w:color="auto"/>
                <w:left w:val="none" w:sz="0" w:space="0" w:color="auto"/>
                <w:bottom w:val="none" w:sz="0" w:space="0" w:color="auto"/>
                <w:right w:val="none" w:sz="0" w:space="0" w:color="auto"/>
              </w:divBdr>
              <w:divsChild>
                <w:div w:id="200753781">
                  <w:marLeft w:val="0"/>
                  <w:marRight w:val="0"/>
                  <w:marTop w:val="0"/>
                  <w:marBottom w:val="0"/>
                  <w:divBdr>
                    <w:top w:val="none" w:sz="0" w:space="0" w:color="auto"/>
                    <w:left w:val="none" w:sz="0" w:space="0" w:color="auto"/>
                    <w:bottom w:val="none" w:sz="0" w:space="0" w:color="auto"/>
                    <w:right w:val="none" w:sz="0" w:space="0" w:color="auto"/>
                  </w:divBdr>
                  <w:divsChild>
                    <w:div w:id="14412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39686">
      <w:bodyDiv w:val="1"/>
      <w:marLeft w:val="0"/>
      <w:marRight w:val="0"/>
      <w:marTop w:val="0"/>
      <w:marBottom w:val="0"/>
      <w:divBdr>
        <w:top w:val="none" w:sz="0" w:space="0" w:color="auto"/>
        <w:left w:val="none" w:sz="0" w:space="0" w:color="auto"/>
        <w:bottom w:val="none" w:sz="0" w:space="0" w:color="auto"/>
        <w:right w:val="none" w:sz="0" w:space="0" w:color="auto"/>
      </w:divBdr>
    </w:div>
    <w:div w:id="921064065">
      <w:bodyDiv w:val="1"/>
      <w:marLeft w:val="0"/>
      <w:marRight w:val="0"/>
      <w:marTop w:val="0"/>
      <w:marBottom w:val="0"/>
      <w:divBdr>
        <w:top w:val="none" w:sz="0" w:space="0" w:color="auto"/>
        <w:left w:val="none" w:sz="0" w:space="0" w:color="auto"/>
        <w:bottom w:val="none" w:sz="0" w:space="0" w:color="auto"/>
        <w:right w:val="none" w:sz="0" w:space="0" w:color="auto"/>
      </w:divBdr>
    </w:div>
    <w:div w:id="923681407">
      <w:bodyDiv w:val="1"/>
      <w:marLeft w:val="0"/>
      <w:marRight w:val="0"/>
      <w:marTop w:val="0"/>
      <w:marBottom w:val="0"/>
      <w:divBdr>
        <w:top w:val="none" w:sz="0" w:space="0" w:color="auto"/>
        <w:left w:val="none" w:sz="0" w:space="0" w:color="auto"/>
        <w:bottom w:val="none" w:sz="0" w:space="0" w:color="auto"/>
        <w:right w:val="none" w:sz="0" w:space="0" w:color="auto"/>
      </w:divBdr>
    </w:div>
    <w:div w:id="932779549">
      <w:bodyDiv w:val="1"/>
      <w:marLeft w:val="0"/>
      <w:marRight w:val="0"/>
      <w:marTop w:val="0"/>
      <w:marBottom w:val="0"/>
      <w:divBdr>
        <w:top w:val="none" w:sz="0" w:space="0" w:color="auto"/>
        <w:left w:val="none" w:sz="0" w:space="0" w:color="auto"/>
        <w:bottom w:val="none" w:sz="0" w:space="0" w:color="auto"/>
        <w:right w:val="none" w:sz="0" w:space="0" w:color="auto"/>
      </w:divBdr>
    </w:div>
    <w:div w:id="934484915">
      <w:bodyDiv w:val="1"/>
      <w:marLeft w:val="0"/>
      <w:marRight w:val="0"/>
      <w:marTop w:val="0"/>
      <w:marBottom w:val="0"/>
      <w:divBdr>
        <w:top w:val="none" w:sz="0" w:space="0" w:color="auto"/>
        <w:left w:val="none" w:sz="0" w:space="0" w:color="auto"/>
        <w:bottom w:val="none" w:sz="0" w:space="0" w:color="auto"/>
        <w:right w:val="none" w:sz="0" w:space="0" w:color="auto"/>
      </w:divBdr>
    </w:div>
    <w:div w:id="935485143">
      <w:bodyDiv w:val="1"/>
      <w:marLeft w:val="0"/>
      <w:marRight w:val="0"/>
      <w:marTop w:val="0"/>
      <w:marBottom w:val="0"/>
      <w:divBdr>
        <w:top w:val="none" w:sz="0" w:space="0" w:color="auto"/>
        <w:left w:val="none" w:sz="0" w:space="0" w:color="auto"/>
        <w:bottom w:val="none" w:sz="0" w:space="0" w:color="auto"/>
        <w:right w:val="none" w:sz="0" w:space="0" w:color="auto"/>
      </w:divBdr>
    </w:div>
    <w:div w:id="949899922">
      <w:bodyDiv w:val="1"/>
      <w:marLeft w:val="0"/>
      <w:marRight w:val="0"/>
      <w:marTop w:val="0"/>
      <w:marBottom w:val="0"/>
      <w:divBdr>
        <w:top w:val="none" w:sz="0" w:space="0" w:color="auto"/>
        <w:left w:val="none" w:sz="0" w:space="0" w:color="auto"/>
        <w:bottom w:val="none" w:sz="0" w:space="0" w:color="auto"/>
        <w:right w:val="none" w:sz="0" w:space="0" w:color="auto"/>
      </w:divBdr>
    </w:div>
    <w:div w:id="955254189">
      <w:bodyDiv w:val="1"/>
      <w:marLeft w:val="0"/>
      <w:marRight w:val="0"/>
      <w:marTop w:val="0"/>
      <w:marBottom w:val="0"/>
      <w:divBdr>
        <w:top w:val="none" w:sz="0" w:space="0" w:color="auto"/>
        <w:left w:val="none" w:sz="0" w:space="0" w:color="auto"/>
        <w:bottom w:val="none" w:sz="0" w:space="0" w:color="auto"/>
        <w:right w:val="none" w:sz="0" w:space="0" w:color="auto"/>
      </w:divBdr>
      <w:divsChild>
        <w:div w:id="612131538">
          <w:marLeft w:val="660"/>
          <w:marRight w:val="660"/>
          <w:marTop w:val="0"/>
          <w:marBottom w:val="360"/>
          <w:divBdr>
            <w:top w:val="none" w:sz="0" w:space="0" w:color="auto"/>
            <w:left w:val="none" w:sz="0" w:space="0" w:color="auto"/>
            <w:bottom w:val="none" w:sz="0" w:space="0" w:color="auto"/>
            <w:right w:val="none" w:sz="0" w:space="0" w:color="auto"/>
          </w:divBdr>
          <w:divsChild>
            <w:div w:id="812983049">
              <w:marLeft w:val="0"/>
              <w:marRight w:val="0"/>
              <w:marTop w:val="0"/>
              <w:marBottom w:val="0"/>
              <w:divBdr>
                <w:top w:val="none" w:sz="0" w:space="0" w:color="auto"/>
                <w:left w:val="none" w:sz="0" w:space="0" w:color="auto"/>
                <w:bottom w:val="none" w:sz="0" w:space="0" w:color="auto"/>
                <w:right w:val="none" w:sz="0" w:space="0" w:color="auto"/>
              </w:divBdr>
              <w:divsChild>
                <w:div w:id="1617323677">
                  <w:marLeft w:val="0"/>
                  <w:marRight w:val="0"/>
                  <w:marTop w:val="0"/>
                  <w:marBottom w:val="0"/>
                  <w:divBdr>
                    <w:top w:val="none" w:sz="0" w:space="0" w:color="auto"/>
                    <w:left w:val="none" w:sz="0" w:space="0" w:color="auto"/>
                    <w:bottom w:val="none" w:sz="0" w:space="0" w:color="auto"/>
                    <w:right w:val="none" w:sz="0" w:space="0" w:color="auto"/>
                  </w:divBdr>
                  <w:divsChild>
                    <w:div w:id="20187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463900">
      <w:bodyDiv w:val="1"/>
      <w:marLeft w:val="0"/>
      <w:marRight w:val="0"/>
      <w:marTop w:val="0"/>
      <w:marBottom w:val="0"/>
      <w:divBdr>
        <w:top w:val="none" w:sz="0" w:space="0" w:color="auto"/>
        <w:left w:val="none" w:sz="0" w:space="0" w:color="auto"/>
        <w:bottom w:val="none" w:sz="0" w:space="0" w:color="auto"/>
        <w:right w:val="none" w:sz="0" w:space="0" w:color="auto"/>
      </w:divBdr>
    </w:div>
    <w:div w:id="966592699">
      <w:bodyDiv w:val="1"/>
      <w:marLeft w:val="0"/>
      <w:marRight w:val="0"/>
      <w:marTop w:val="0"/>
      <w:marBottom w:val="0"/>
      <w:divBdr>
        <w:top w:val="none" w:sz="0" w:space="0" w:color="auto"/>
        <w:left w:val="none" w:sz="0" w:space="0" w:color="auto"/>
        <w:bottom w:val="none" w:sz="0" w:space="0" w:color="auto"/>
        <w:right w:val="none" w:sz="0" w:space="0" w:color="auto"/>
      </w:divBdr>
    </w:div>
    <w:div w:id="977148480">
      <w:bodyDiv w:val="1"/>
      <w:marLeft w:val="0"/>
      <w:marRight w:val="0"/>
      <w:marTop w:val="0"/>
      <w:marBottom w:val="0"/>
      <w:divBdr>
        <w:top w:val="none" w:sz="0" w:space="0" w:color="auto"/>
        <w:left w:val="none" w:sz="0" w:space="0" w:color="auto"/>
        <w:bottom w:val="none" w:sz="0" w:space="0" w:color="auto"/>
        <w:right w:val="none" w:sz="0" w:space="0" w:color="auto"/>
      </w:divBdr>
    </w:div>
    <w:div w:id="990131567">
      <w:bodyDiv w:val="1"/>
      <w:marLeft w:val="0"/>
      <w:marRight w:val="0"/>
      <w:marTop w:val="0"/>
      <w:marBottom w:val="0"/>
      <w:divBdr>
        <w:top w:val="none" w:sz="0" w:space="0" w:color="auto"/>
        <w:left w:val="none" w:sz="0" w:space="0" w:color="auto"/>
        <w:bottom w:val="none" w:sz="0" w:space="0" w:color="auto"/>
        <w:right w:val="none" w:sz="0" w:space="0" w:color="auto"/>
      </w:divBdr>
    </w:div>
    <w:div w:id="1001808939">
      <w:bodyDiv w:val="1"/>
      <w:marLeft w:val="0"/>
      <w:marRight w:val="0"/>
      <w:marTop w:val="0"/>
      <w:marBottom w:val="0"/>
      <w:divBdr>
        <w:top w:val="none" w:sz="0" w:space="0" w:color="auto"/>
        <w:left w:val="none" w:sz="0" w:space="0" w:color="auto"/>
        <w:bottom w:val="none" w:sz="0" w:space="0" w:color="auto"/>
        <w:right w:val="none" w:sz="0" w:space="0" w:color="auto"/>
      </w:divBdr>
    </w:div>
    <w:div w:id="1005354327">
      <w:bodyDiv w:val="1"/>
      <w:marLeft w:val="0"/>
      <w:marRight w:val="0"/>
      <w:marTop w:val="0"/>
      <w:marBottom w:val="0"/>
      <w:divBdr>
        <w:top w:val="none" w:sz="0" w:space="0" w:color="auto"/>
        <w:left w:val="none" w:sz="0" w:space="0" w:color="auto"/>
        <w:bottom w:val="none" w:sz="0" w:space="0" w:color="auto"/>
        <w:right w:val="none" w:sz="0" w:space="0" w:color="auto"/>
      </w:divBdr>
    </w:div>
    <w:div w:id="1007753333">
      <w:bodyDiv w:val="1"/>
      <w:marLeft w:val="0"/>
      <w:marRight w:val="0"/>
      <w:marTop w:val="0"/>
      <w:marBottom w:val="0"/>
      <w:divBdr>
        <w:top w:val="none" w:sz="0" w:space="0" w:color="auto"/>
        <w:left w:val="none" w:sz="0" w:space="0" w:color="auto"/>
        <w:bottom w:val="none" w:sz="0" w:space="0" w:color="auto"/>
        <w:right w:val="none" w:sz="0" w:space="0" w:color="auto"/>
      </w:divBdr>
    </w:div>
    <w:div w:id="1015687542">
      <w:bodyDiv w:val="1"/>
      <w:marLeft w:val="0"/>
      <w:marRight w:val="0"/>
      <w:marTop w:val="0"/>
      <w:marBottom w:val="0"/>
      <w:divBdr>
        <w:top w:val="none" w:sz="0" w:space="0" w:color="auto"/>
        <w:left w:val="none" w:sz="0" w:space="0" w:color="auto"/>
        <w:bottom w:val="none" w:sz="0" w:space="0" w:color="auto"/>
        <w:right w:val="none" w:sz="0" w:space="0" w:color="auto"/>
      </w:divBdr>
    </w:div>
    <w:div w:id="1018234148">
      <w:bodyDiv w:val="1"/>
      <w:marLeft w:val="0"/>
      <w:marRight w:val="0"/>
      <w:marTop w:val="0"/>
      <w:marBottom w:val="0"/>
      <w:divBdr>
        <w:top w:val="none" w:sz="0" w:space="0" w:color="auto"/>
        <w:left w:val="none" w:sz="0" w:space="0" w:color="auto"/>
        <w:bottom w:val="none" w:sz="0" w:space="0" w:color="auto"/>
        <w:right w:val="none" w:sz="0" w:space="0" w:color="auto"/>
      </w:divBdr>
    </w:div>
    <w:div w:id="1020936189">
      <w:bodyDiv w:val="1"/>
      <w:marLeft w:val="0"/>
      <w:marRight w:val="0"/>
      <w:marTop w:val="0"/>
      <w:marBottom w:val="0"/>
      <w:divBdr>
        <w:top w:val="none" w:sz="0" w:space="0" w:color="auto"/>
        <w:left w:val="none" w:sz="0" w:space="0" w:color="auto"/>
        <w:bottom w:val="none" w:sz="0" w:space="0" w:color="auto"/>
        <w:right w:val="none" w:sz="0" w:space="0" w:color="auto"/>
      </w:divBdr>
    </w:div>
    <w:div w:id="1021977783">
      <w:bodyDiv w:val="1"/>
      <w:marLeft w:val="0"/>
      <w:marRight w:val="0"/>
      <w:marTop w:val="0"/>
      <w:marBottom w:val="0"/>
      <w:divBdr>
        <w:top w:val="none" w:sz="0" w:space="0" w:color="auto"/>
        <w:left w:val="none" w:sz="0" w:space="0" w:color="auto"/>
        <w:bottom w:val="none" w:sz="0" w:space="0" w:color="auto"/>
        <w:right w:val="none" w:sz="0" w:space="0" w:color="auto"/>
      </w:divBdr>
      <w:divsChild>
        <w:div w:id="23362878">
          <w:marLeft w:val="0"/>
          <w:marRight w:val="0"/>
          <w:marTop w:val="0"/>
          <w:marBottom w:val="0"/>
          <w:divBdr>
            <w:top w:val="none" w:sz="0" w:space="0" w:color="auto"/>
            <w:left w:val="none" w:sz="0" w:space="0" w:color="auto"/>
            <w:bottom w:val="none" w:sz="0" w:space="0" w:color="auto"/>
            <w:right w:val="none" w:sz="0" w:space="0" w:color="auto"/>
          </w:divBdr>
          <w:divsChild>
            <w:div w:id="1307666926">
              <w:marLeft w:val="0"/>
              <w:marRight w:val="0"/>
              <w:marTop w:val="0"/>
              <w:marBottom w:val="0"/>
              <w:divBdr>
                <w:top w:val="none" w:sz="0" w:space="0" w:color="auto"/>
                <w:left w:val="none" w:sz="0" w:space="0" w:color="auto"/>
                <w:bottom w:val="none" w:sz="0" w:space="0" w:color="auto"/>
                <w:right w:val="none" w:sz="0" w:space="0" w:color="auto"/>
              </w:divBdr>
              <w:divsChild>
                <w:div w:id="3805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13640">
          <w:marLeft w:val="0"/>
          <w:marRight w:val="0"/>
          <w:marTop w:val="0"/>
          <w:marBottom w:val="240"/>
          <w:divBdr>
            <w:top w:val="none" w:sz="0" w:space="0" w:color="auto"/>
            <w:left w:val="none" w:sz="0" w:space="0" w:color="auto"/>
            <w:bottom w:val="none" w:sz="0" w:space="0" w:color="auto"/>
            <w:right w:val="none" w:sz="0" w:space="0" w:color="auto"/>
          </w:divBdr>
          <w:divsChild>
            <w:div w:id="322007632">
              <w:marLeft w:val="0"/>
              <w:marRight w:val="0"/>
              <w:marTop w:val="0"/>
              <w:marBottom w:val="0"/>
              <w:divBdr>
                <w:top w:val="none" w:sz="0" w:space="0" w:color="auto"/>
                <w:left w:val="none" w:sz="0" w:space="0" w:color="auto"/>
                <w:bottom w:val="none" w:sz="0" w:space="0" w:color="auto"/>
                <w:right w:val="none" w:sz="0" w:space="0" w:color="auto"/>
              </w:divBdr>
              <w:divsChild>
                <w:div w:id="143694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78256">
          <w:marLeft w:val="0"/>
          <w:marRight w:val="0"/>
          <w:marTop w:val="0"/>
          <w:marBottom w:val="0"/>
          <w:divBdr>
            <w:top w:val="none" w:sz="0" w:space="0" w:color="auto"/>
            <w:left w:val="none" w:sz="0" w:space="0" w:color="auto"/>
            <w:bottom w:val="none" w:sz="0" w:space="0" w:color="auto"/>
            <w:right w:val="none" w:sz="0" w:space="0" w:color="auto"/>
          </w:divBdr>
          <w:divsChild>
            <w:div w:id="584148336">
              <w:marLeft w:val="0"/>
              <w:marRight w:val="0"/>
              <w:marTop w:val="0"/>
              <w:marBottom w:val="0"/>
              <w:divBdr>
                <w:top w:val="none" w:sz="0" w:space="0" w:color="auto"/>
                <w:left w:val="none" w:sz="0" w:space="0" w:color="auto"/>
                <w:bottom w:val="none" w:sz="0" w:space="0" w:color="auto"/>
                <w:right w:val="none" w:sz="0" w:space="0" w:color="auto"/>
              </w:divBdr>
              <w:divsChild>
                <w:div w:id="16507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0136">
      <w:bodyDiv w:val="1"/>
      <w:marLeft w:val="0"/>
      <w:marRight w:val="0"/>
      <w:marTop w:val="0"/>
      <w:marBottom w:val="0"/>
      <w:divBdr>
        <w:top w:val="none" w:sz="0" w:space="0" w:color="auto"/>
        <w:left w:val="none" w:sz="0" w:space="0" w:color="auto"/>
        <w:bottom w:val="none" w:sz="0" w:space="0" w:color="auto"/>
        <w:right w:val="none" w:sz="0" w:space="0" w:color="auto"/>
      </w:divBdr>
    </w:div>
    <w:div w:id="1063524710">
      <w:bodyDiv w:val="1"/>
      <w:marLeft w:val="0"/>
      <w:marRight w:val="0"/>
      <w:marTop w:val="0"/>
      <w:marBottom w:val="0"/>
      <w:divBdr>
        <w:top w:val="none" w:sz="0" w:space="0" w:color="auto"/>
        <w:left w:val="none" w:sz="0" w:space="0" w:color="auto"/>
        <w:bottom w:val="none" w:sz="0" w:space="0" w:color="auto"/>
        <w:right w:val="none" w:sz="0" w:space="0" w:color="auto"/>
      </w:divBdr>
    </w:div>
    <w:div w:id="1074856405">
      <w:bodyDiv w:val="1"/>
      <w:marLeft w:val="0"/>
      <w:marRight w:val="0"/>
      <w:marTop w:val="0"/>
      <w:marBottom w:val="0"/>
      <w:divBdr>
        <w:top w:val="none" w:sz="0" w:space="0" w:color="auto"/>
        <w:left w:val="none" w:sz="0" w:space="0" w:color="auto"/>
        <w:bottom w:val="none" w:sz="0" w:space="0" w:color="auto"/>
        <w:right w:val="none" w:sz="0" w:space="0" w:color="auto"/>
      </w:divBdr>
      <w:divsChild>
        <w:div w:id="650986385">
          <w:marLeft w:val="-2250"/>
          <w:marRight w:val="525"/>
          <w:marTop w:val="225"/>
          <w:marBottom w:val="0"/>
          <w:divBdr>
            <w:top w:val="single" w:sz="6" w:space="11" w:color="E3E3E3"/>
            <w:left w:val="none" w:sz="0" w:space="0" w:color="auto"/>
            <w:bottom w:val="none" w:sz="0" w:space="0" w:color="auto"/>
            <w:right w:val="none" w:sz="0" w:space="0" w:color="auto"/>
          </w:divBdr>
          <w:divsChild>
            <w:div w:id="58415281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076630679">
      <w:bodyDiv w:val="1"/>
      <w:marLeft w:val="0"/>
      <w:marRight w:val="0"/>
      <w:marTop w:val="0"/>
      <w:marBottom w:val="0"/>
      <w:divBdr>
        <w:top w:val="none" w:sz="0" w:space="0" w:color="auto"/>
        <w:left w:val="none" w:sz="0" w:space="0" w:color="auto"/>
        <w:bottom w:val="none" w:sz="0" w:space="0" w:color="auto"/>
        <w:right w:val="none" w:sz="0" w:space="0" w:color="auto"/>
      </w:divBdr>
      <w:divsChild>
        <w:div w:id="794712226">
          <w:marLeft w:val="420"/>
          <w:marRight w:val="420"/>
          <w:marTop w:val="0"/>
          <w:marBottom w:val="360"/>
          <w:divBdr>
            <w:top w:val="none" w:sz="0" w:space="0" w:color="auto"/>
            <w:left w:val="none" w:sz="0" w:space="0" w:color="auto"/>
            <w:bottom w:val="none" w:sz="0" w:space="0" w:color="auto"/>
            <w:right w:val="none" w:sz="0" w:space="0" w:color="auto"/>
          </w:divBdr>
          <w:divsChild>
            <w:div w:id="1731029958">
              <w:marLeft w:val="0"/>
              <w:marRight w:val="0"/>
              <w:marTop w:val="0"/>
              <w:marBottom w:val="0"/>
              <w:divBdr>
                <w:top w:val="none" w:sz="0" w:space="0" w:color="auto"/>
                <w:left w:val="none" w:sz="0" w:space="0" w:color="auto"/>
                <w:bottom w:val="none" w:sz="0" w:space="0" w:color="auto"/>
                <w:right w:val="none" w:sz="0" w:space="0" w:color="auto"/>
              </w:divBdr>
              <w:divsChild>
                <w:div w:id="930890339">
                  <w:marLeft w:val="0"/>
                  <w:marRight w:val="0"/>
                  <w:marTop w:val="0"/>
                  <w:marBottom w:val="0"/>
                  <w:divBdr>
                    <w:top w:val="none" w:sz="0" w:space="0" w:color="auto"/>
                    <w:left w:val="none" w:sz="0" w:space="0" w:color="auto"/>
                    <w:bottom w:val="none" w:sz="0" w:space="0" w:color="auto"/>
                    <w:right w:val="none" w:sz="0" w:space="0" w:color="auto"/>
                  </w:divBdr>
                  <w:divsChild>
                    <w:div w:id="5773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32257">
      <w:bodyDiv w:val="1"/>
      <w:marLeft w:val="0"/>
      <w:marRight w:val="0"/>
      <w:marTop w:val="0"/>
      <w:marBottom w:val="0"/>
      <w:divBdr>
        <w:top w:val="none" w:sz="0" w:space="0" w:color="auto"/>
        <w:left w:val="none" w:sz="0" w:space="0" w:color="auto"/>
        <w:bottom w:val="none" w:sz="0" w:space="0" w:color="auto"/>
        <w:right w:val="none" w:sz="0" w:space="0" w:color="auto"/>
      </w:divBdr>
    </w:div>
    <w:div w:id="1095248084">
      <w:bodyDiv w:val="1"/>
      <w:marLeft w:val="0"/>
      <w:marRight w:val="0"/>
      <w:marTop w:val="0"/>
      <w:marBottom w:val="0"/>
      <w:divBdr>
        <w:top w:val="none" w:sz="0" w:space="0" w:color="auto"/>
        <w:left w:val="none" w:sz="0" w:space="0" w:color="auto"/>
        <w:bottom w:val="none" w:sz="0" w:space="0" w:color="auto"/>
        <w:right w:val="none" w:sz="0" w:space="0" w:color="auto"/>
      </w:divBdr>
    </w:div>
    <w:div w:id="1097096599">
      <w:bodyDiv w:val="1"/>
      <w:marLeft w:val="0"/>
      <w:marRight w:val="0"/>
      <w:marTop w:val="0"/>
      <w:marBottom w:val="0"/>
      <w:divBdr>
        <w:top w:val="none" w:sz="0" w:space="0" w:color="auto"/>
        <w:left w:val="none" w:sz="0" w:space="0" w:color="auto"/>
        <w:bottom w:val="none" w:sz="0" w:space="0" w:color="auto"/>
        <w:right w:val="none" w:sz="0" w:space="0" w:color="auto"/>
      </w:divBdr>
    </w:div>
    <w:div w:id="1100953141">
      <w:bodyDiv w:val="1"/>
      <w:marLeft w:val="0"/>
      <w:marRight w:val="0"/>
      <w:marTop w:val="0"/>
      <w:marBottom w:val="0"/>
      <w:divBdr>
        <w:top w:val="none" w:sz="0" w:space="0" w:color="auto"/>
        <w:left w:val="none" w:sz="0" w:space="0" w:color="auto"/>
        <w:bottom w:val="none" w:sz="0" w:space="0" w:color="auto"/>
        <w:right w:val="none" w:sz="0" w:space="0" w:color="auto"/>
      </w:divBdr>
      <w:divsChild>
        <w:div w:id="643316016">
          <w:marLeft w:val="660"/>
          <w:marRight w:val="660"/>
          <w:marTop w:val="0"/>
          <w:marBottom w:val="360"/>
          <w:divBdr>
            <w:top w:val="none" w:sz="0" w:space="0" w:color="auto"/>
            <w:left w:val="none" w:sz="0" w:space="0" w:color="auto"/>
            <w:bottom w:val="none" w:sz="0" w:space="0" w:color="auto"/>
            <w:right w:val="none" w:sz="0" w:space="0" w:color="auto"/>
          </w:divBdr>
          <w:divsChild>
            <w:div w:id="1974167867">
              <w:marLeft w:val="0"/>
              <w:marRight w:val="0"/>
              <w:marTop w:val="0"/>
              <w:marBottom w:val="0"/>
              <w:divBdr>
                <w:top w:val="none" w:sz="0" w:space="0" w:color="auto"/>
                <w:left w:val="none" w:sz="0" w:space="0" w:color="auto"/>
                <w:bottom w:val="none" w:sz="0" w:space="0" w:color="auto"/>
                <w:right w:val="none" w:sz="0" w:space="0" w:color="auto"/>
              </w:divBdr>
              <w:divsChild>
                <w:div w:id="1062020829">
                  <w:marLeft w:val="0"/>
                  <w:marRight w:val="0"/>
                  <w:marTop w:val="0"/>
                  <w:marBottom w:val="0"/>
                  <w:divBdr>
                    <w:top w:val="none" w:sz="0" w:space="0" w:color="auto"/>
                    <w:left w:val="none" w:sz="0" w:space="0" w:color="auto"/>
                    <w:bottom w:val="none" w:sz="0" w:space="0" w:color="auto"/>
                    <w:right w:val="none" w:sz="0" w:space="0" w:color="auto"/>
                  </w:divBdr>
                  <w:divsChild>
                    <w:div w:id="165579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14830">
      <w:bodyDiv w:val="1"/>
      <w:marLeft w:val="0"/>
      <w:marRight w:val="0"/>
      <w:marTop w:val="0"/>
      <w:marBottom w:val="0"/>
      <w:divBdr>
        <w:top w:val="none" w:sz="0" w:space="0" w:color="auto"/>
        <w:left w:val="none" w:sz="0" w:space="0" w:color="auto"/>
        <w:bottom w:val="none" w:sz="0" w:space="0" w:color="auto"/>
        <w:right w:val="none" w:sz="0" w:space="0" w:color="auto"/>
      </w:divBdr>
    </w:div>
    <w:div w:id="1106996373">
      <w:bodyDiv w:val="1"/>
      <w:marLeft w:val="0"/>
      <w:marRight w:val="0"/>
      <w:marTop w:val="0"/>
      <w:marBottom w:val="0"/>
      <w:divBdr>
        <w:top w:val="none" w:sz="0" w:space="0" w:color="auto"/>
        <w:left w:val="none" w:sz="0" w:space="0" w:color="auto"/>
        <w:bottom w:val="none" w:sz="0" w:space="0" w:color="auto"/>
        <w:right w:val="none" w:sz="0" w:space="0" w:color="auto"/>
      </w:divBdr>
    </w:div>
    <w:div w:id="1117331393">
      <w:bodyDiv w:val="1"/>
      <w:marLeft w:val="0"/>
      <w:marRight w:val="0"/>
      <w:marTop w:val="0"/>
      <w:marBottom w:val="0"/>
      <w:divBdr>
        <w:top w:val="none" w:sz="0" w:space="0" w:color="auto"/>
        <w:left w:val="none" w:sz="0" w:space="0" w:color="auto"/>
        <w:bottom w:val="none" w:sz="0" w:space="0" w:color="auto"/>
        <w:right w:val="none" w:sz="0" w:space="0" w:color="auto"/>
      </w:divBdr>
    </w:div>
    <w:div w:id="1140272672">
      <w:bodyDiv w:val="1"/>
      <w:marLeft w:val="0"/>
      <w:marRight w:val="0"/>
      <w:marTop w:val="0"/>
      <w:marBottom w:val="0"/>
      <w:divBdr>
        <w:top w:val="none" w:sz="0" w:space="0" w:color="auto"/>
        <w:left w:val="none" w:sz="0" w:space="0" w:color="auto"/>
        <w:bottom w:val="none" w:sz="0" w:space="0" w:color="auto"/>
        <w:right w:val="none" w:sz="0" w:space="0" w:color="auto"/>
      </w:divBdr>
    </w:div>
    <w:div w:id="1152792405">
      <w:bodyDiv w:val="1"/>
      <w:marLeft w:val="0"/>
      <w:marRight w:val="0"/>
      <w:marTop w:val="0"/>
      <w:marBottom w:val="0"/>
      <w:divBdr>
        <w:top w:val="none" w:sz="0" w:space="0" w:color="auto"/>
        <w:left w:val="none" w:sz="0" w:space="0" w:color="auto"/>
        <w:bottom w:val="none" w:sz="0" w:space="0" w:color="auto"/>
        <w:right w:val="none" w:sz="0" w:space="0" w:color="auto"/>
      </w:divBdr>
    </w:div>
    <w:div w:id="1155874002">
      <w:bodyDiv w:val="1"/>
      <w:marLeft w:val="0"/>
      <w:marRight w:val="0"/>
      <w:marTop w:val="0"/>
      <w:marBottom w:val="0"/>
      <w:divBdr>
        <w:top w:val="none" w:sz="0" w:space="0" w:color="auto"/>
        <w:left w:val="none" w:sz="0" w:space="0" w:color="auto"/>
        <w:bottom w:val="none" w:sz="0" w:space="0" w:color="auto"/>
        <w:right w:val="none" w:sz="0" w:space="0" w:color="auto"/>
      </w:divBdr>
    </w:div>
    <w:div w:id="1161042050">
      <w:bodyDiv w:val="1"/>
      <w:marLeft w:val="0"/>
      <w:marRight w:val="0"/>
      <w:marTop w:val="0"/>
      <w:marBottom w:val="0"/>
      <w:divBdr>
        <w:top w:val="none" w:sz="0" w:space="0" w:color="auto"/>
        <w:left w:val="none" w:sz="0" w:space="0" w:color="auto"/>
        <w:bottom w:val="none" w:sz="0" w:space="0" w:color="auto"/>
        <w:right w:val="none" w:sz="0" w:space="0" w:color="auto"/>
      </w:divBdr>
    </w:div>
    <w:div w:id="1176117948">
      <w:bodyDiv w:val="1"/>
      <w:marLeft w:val="0"/>
      <w:marRight w:val="0"/>
      <w:marTop w:val="0"/>
      <w:marBottom w:val="0"/>
      <w:divBdr>
        <w:top w:val="none" w:sz="0" w:space="0" w:color="auto"/>
        <w:left w:val="none" w:sz="0" w:space="0" w:color="auto"/>
        <w:bottom w:val="none" w:sz="0" w:space="0" w:color="auto"/>
        <w:right w:val="none" w:sz="0" w:space="0" w:color="auto"/>
      </w:divBdr>
    </w:div>
    <w:div w:id="1186670326">
      <w:bodyDiv w:val="1"/>
      <w:marLeft w:val="0"/>
      <w:marRight w:val="0"/>
      <w:marTop w:val="0"/>
      <w:marBottom w:val="0"/>
      <w:divBdr>
        <w:top w:val="none" w:sz="0" w:space="0" w:color="auto"/>
        <w:left w:val="none" w:sz="0" w:space="0" w:color="auto"/>
        <w:bottom w:val="none" w:sz="0" w:space="0" w:color="auto"/>
        <w:right w:val="none" w:sz="0" w:space="0" w:color="auto"/>
      </w:divBdr>
    </w:div>
    <w:div w:id="1192567382">
      <w:bodyDiv w:val="1"/>
      <w:marLeft w:val="0"/>
      <w:marRight w:val="0"/>
      <w:marTop w:val="0"/>
      <w:marBottom w:val="0"/>
      <w:divBdr>
        <w:top w:val="none" w:sz="0" w:space="0" w:color="auto"/>
        <w:left w:val="none" w:sz="0" w:space="0" w:color="auto"/>
        <w:bottom w:val="none" w:sz="0" w:space="0" w:color="auto"/>
        <w:right w:val="none" w:sz="0" w:space="0" w:color="auto"/>
      </w:divBdr>
    </w:div>
    <w:div w:id="1194421165">
      <w:bodyDiv w:val="1"/>
      <w:marLeft w:val="0"/>
      <w:marRight w:val="0"/>
      <w:marTop w:val="0"/>
      <w:marBottom w:val="0"/>
      <w:divBdr>
        <w:top w:val="none" w:sz="0" w:space="0" w:color="auto"/>
        <w:left w:val="none" w:sz="0" w:space="0" w:color="auto"/>
        <w:bottom w:val="none" w:sz="0" w:space="0" w:color="auto"/>
        <w:right w:val="none" w:sz="0" w:space="0" w:color="auto"/>
      </w:divBdr>
    </w:div>
    <w:div w:id="1210872862">
      <w:bodyDiv w:val="1"/>
      <w:marLeft w:val="0"/>
      <w:marRight w:val="0"/>
      <w:marTop w:val="0"/>
      <w:marBottom w:val="0"/>
      <w:divBdr>
        <w:top w:val="none" w:sz="0" w:space="0" w:color="auto"/>
        <w:left w:val="none" w:sz="0" w:space="0" w:color="auto"/>
        <w:bottom w:val="none" w:sz="0" w:space="0" w:color="auto"/>
        <w:right w:val="none" w:sz="0" w:space="0" w:color="auto"/>
      </w:divBdr>
    </w:div>
    <w:div w:id="1211653638">
      <w:bodyDiv w:val="1"/>
      <w:marLeft w:val="0"/>
      <w:marRight w:val="0"/>
      <w:marTop w:val="0"/>
      <w:marBottom w:val="0"/>
      <w:divBdr>
        <w:top w:val="none" w:sz="0" w:space="0" w:color="auto"/>
        <w:left w:val="none" w:sz="0" w:space="0" w:color="auto"/>
        <w:bottom w:val="none" w:sz="0" w:space="0" w:color="auto"/>
        <w:right w:val="none" w:sz="0" w:space="0" w:color="auto"/>
      </w:divBdr>
    </w:div>
    <w:div w:id="1214149740">
      <w:bodyDiv w:val="1"/>
      <w:marLeft w:val="0"/>
      <w:marRight w:val="0"/>
      <w:marTop w:val="0"/>
      <w:marBottom w:val="0"/>
      <w:divBdr>
        <w:top w:val="none" w:sz="0" w:space="0" w:color="auto"/>
        <w:left w:val="none" w:sz="0" w:space="0" w:color="auto"/>
        <w:bottom w:val="none" w:sz="0" w:space="0" w:color="auto"/>
        <w:right w:val="none" w:sz="0" w:space="0" w:color="auto"/>
      </w:divBdr>
      <w:divsChild>
        <w:div w:id="32928378">
          <w:marLeft w:val="0"/>
          <w:marRight w:val="0"/>
          <w:marTop w:val="0"/>
          <w:marBottom w:val="0"/>
          <w:divBdr>
            <w:top w:val="none" w:sz="0" w:space="0" w:color="auto"/>
            <w:left w:val="none" w:sz="0" w:space="0" w:color="auto"/>
            <w:bottom w:val="none" w:sz="0" w:space="0" w:color="auto"/>
            <w:right w:val="none" w:sz="0" w:space="0" w:color="auto"/>
          </w:divBdr>
        </w:div>
        <w:div w:id="1825394332">
          <w:marLeft w:val="0"/>
          <w:marRight w:val="0"/>
          <w:marTop w:val="0"/>
          <w:marBottom w:val="0"/>
          <w:divBdr>
            <w:top w:val="none" w:sz="0" w:space="0" w:color="auto"/>
            <w:left w:val="none" w:sz="0" w:space="0" w:color="auto"/>
            <w:bottom w:val="none" w:sz="0" w:space="0" w:color="auto"/>
            <w:right w:val="none" w:sz="0" w:space="0" w:color="auto"/>
          </w:divBdr>
        </w:div>
      </w:divsChild>
    </w:div>
    <w:div w:id="1214972237">
      <w:bodyDiv w:val="1"/>
      <w:marLeft w:val="0"/>
      <w:marRight w:val="0"/>
      <w:marTop w:val="0"/>
      <w:marBottom w:val="0"/>
      <w:divBdr>
        <w:top w:val="none" w:sz="0" w:space="0" w:color="auto"/>
        <w:left w:val="none" w:sz="0" w:space="0" w:color="auto"/>
        <w:bottom w:val="none" w:sz="0" w:space="0" w:color="auto"/>
        <w:right w:val="none" w:sz="0" w:space="0" w:color="auto"/>
      </w:divBdr>
    </w:div>
    <w:div w:id="1246650470">
      <w:bodyDiv w:val="1"/>
      <w:marLeft w:val="0"/>
      <w:marRight w:val="0"/>
      <w:marTop w:val="0"/>
      <w:marBottom w:val="0"/>
      <w:divBdr>
        <w:top w:val="none" w:sz="0" w:space="0" w:color="auto"/>
        <w:left w:val="none" w:sz="0" w:space="0" w:color="auto"/>
        <w:bottom w:val="none" w:sz="0" w:space="0" w:color="auto"/>
        <w:right w:val="none" w:sz="0" w:space="0" w:color="auto"/>
      </w:divBdr>
    </w:div>
    <w:div w:id="1248347197">
      <w:bodyDiv w:val="1"/>
      <w:marLeft w:val="0"/>
      <w:marRight w:val="0"/>
      <w:marTop w:val="0"/>
      <w:marBottom w:val="0"/>
      <w:divBdr>
        <w:top w:val="none" w:sz="0" w:space="0" w:color="auto"/>
        <w:left w:val="none" w:sz="0" w:space="0" w:color="auto"/>
        <w:bottom w:val="none" w:sz="0" w:space="0" w:color="auto"/>
        <w:right w:val="none" w:sz="0" w:space="0" w:color="auto"/>
      </w:divBdr>
    </w:div>
    <w:div w:id="1248611431">
      <w:bodyDiv w:val="1"/>
      <w:marLeft w:val="0"/>
      <w:marRight w:val="0"/>
      <w:marTop w:val="0"/>
      <w:marBottom w:val="0"/>
      <w:divBdr>
        <w:top w:val="none" w:sz="0" w:space="0" w:color="auto"/>
        <w:left w:val="none" w:sz="0" w:space="0" w:color="auto"/>
        <w:bottom w:val="none" w:sz="0" w:space="0" w:color="auto"/>
        <w:right w:val="none" w:sz="0" w:space="0" w:color="auto"/>
      </w:divBdr>
    </w:div>
    <w:div w:id="1250584204">
      <w:bodyDiv w:val="1"/>
      <w:marLeft w:val="0"/>
      <w:marRight w:val="0"/>
      <w:marTop w:val="0"/>
      <w:marBottom w:val="0"/>
      <w:divBdr>
        <w:top w:val="none" w:sz="0" w:space="0" w:color="auto"/>
        <w:left w:val="none" w:sz="0" w:space="0" w:color="auto"/>
        <w:bottom w:val="none" w:sz="0" w:space="0" w:color="auto"/>
        <w:right w:val="none" w:sz="0" w:space="0" w:color="auto"/>
      </w:divBdr>
    </w:div>
    <w:div w:id="1259754372">
      <w:bodyDiv w:val="1"/>
      <w:marLeft w:val="0"/>
      <w:marRight w:val="0"/>
      <w:marTop w:val="0"/>
      <w:marBottom w:val="0"/>
      <w:divBdr>
        <w:top w:val="none" w:sz="0" w:space="0" w:color="auto"/>
        <w:left w:val="none" w:sz="0" w:space="0" w:color="auto"/>
        <w:bottom w:val="none" w:sz="0" w:space="0" w:color="auto"/>
        <w:right w:val="none" w:sz="0" w:space="0" w:color="auto"/>
      </w:divBdr>
    </w:div>
    <w:div w:id="1290208426">
      <w:bodyDiv w:val="1"/>
      <w:marLeft w:val="0"/>
      <w:marRight w:val="0"/>
      <w:marTop w:val="0"/>
      <w:marBottom w:val="0"/>
      <w:divBdr>
        <w:top w:val="none" w:sz="0" w:space="0" w:color="auto"/>
        <w:left w:val="none" w:sz="0" w:space="0" w:color="auto"/>
        <w:bottom w:val="none" w:sz="0" w:space="0" w:color="auto"/>
        <w:right w:val="none" w:sz="0" w:space="0" w:color="auto"/>
      </w:divBdr>
    </w:div>
    <w:div w:id="1294599735">
      <w:bodyDiv w:val="1"/>
      <w:marLeft w:val="0"/>
      <w:marRight w:val="0"/>
      <w:marTop w:val="0"/>
      <w:marBottom w:val="0"/>
      <w:divBdr>
        <w:top w:val="none" w:sz="0" w:space="0" w:color="auto"/>
        <w:left w:val="none" w:sz="0" w:space="0" w:color="auto"/>
        <w:bottom w:val="none" w:sz="0" w:space="0" w:color="auto"/>
        <w:right w:val="none" w:sz="0" w:space="0" w:color="auto"/>
      </w:divBdr>
    </w:div>
    <w:div w:id="1314485956">
      <w:bodyDiv w:val="1"/>
      <w:marLeft w:val="0"/>
      <w:marRight w:val="0"/>
      <w:marTop w:val="0"/>
      <w:marBottom w:val="0"/>
      <w:divBdr>
        <w:top w:val="none" w:sz="0" w:space="0" w:color="auto"/>
        <w:left w:val="none" w:sz="0" w:space="0" w:color="auto"/>
        <w:bottom w:val="none" w:sz="0" w:space="0" w:color="auto"/>
        <w:right w:val="none" w:sz="0" w:space="0" w:color="auto"/>
      </w:divBdr>
    </w:div>
    <w:div w:id="1339237855">
      <w:bodyDiv w:val="1"/>
      <w:marLeft w:val="0"/>
      <w:marRight w:val="0"/>
      <w:marTop w:val="0"/>
      <w:marBottom w:val="0"/>
      <w:divBdr>
        <w:top w:val="none" w:sz="0" w:space="0" w:color="auto"/>
        <w:left w:val="none" w:sz="0" w:space="0" w:color="auto"/>
        <w:bottom w:val="none" w:sz="0" w:space="0" w:color="auto"/>
        <w:right w:val="none" w:sz="0" w:space="0" w:color="auto"/>
      </w:divBdr>
      <w:divsChild>
        <w:div w:id="897087265">
          <w:marLeft w:val="660"/>
          <w:marRight w:val="660"/>
          <w:marTop w:val="0"/>
          <w:marBottom w:val="360"/>
          <w:divBdr>
            <w:top w:val="none" w:sz="0" w:space="0" w:color="auto"/>
            <w:left w:val="none" w:sz="0" w:space="0" w:color="auto"/>
            <w:bottom w:val="none" w:sz="0" w:space="0" w:color="auto"/>
            <w:right w:val="none" w:sz="0" w:space="0" w:color="auto"/>
          </w:divBdr>
          <w:divsChild>
            <w:div w:id="1414082248">
              <w:marLeft w:val="0"/>
              <w:marRight w:val="0"/>
              <w:marTop w:val="0"/>
              <w:marBottom w:val="0"/>
              <w:divBdr>
                <w:top w:val="none" w:sz="0" w:space="0" w:color="auto"/>
                <w:left w:val="none" w:sz="0" w:space="0" w:color="auto"/>
                <w:bottom w:val="none" w:sz="0" w:space="0" w:color="auto"/>
                <w:right w:val="none" w:sz="0" w:space="0" w:color="auto"/>
              </w:divBdr>
              <w:divsChild>
                <w:div w:id="1492942339">
                  <w:marLeft w:val="0"/>
                  <w:marRight w:val="0"/>
                  <w:marTop w:val="0"/>
                  <w:marBottom w:val="0"/>
                  <w:divBdr>
                    <w:top w:val="none" w:sz="0" w:space="0" w:color="auto"/>
                    <w:left w:val="none" w:sz="0" w:space="0" w:color="auto"/>
                    <w:bottom w:val="none" w:sz="0" w:space="0" w:color="auto"/>
                    <w:right w:val="none" w:sz="0" w:space="0" w:color="auto"/>
                  </w:divBdr>
                  <w:divsChild>
                    <w:div w:id="1688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868170">
      <w:bodyDiv w:val="1"/>
      <w:marLeft w:val="0"/>
      <w:marRight w:val="0"/>
      <w:marTop w:val="0"/>
      <w:marBottom w:val="0"/>
      <w:divBdr>
        <w:top w:val="none" w:sz="0" w:space="0" w:color="auto"/>
        <w:left w:val="none" w:sz="0" w:space="0" w:color="auto"/>
        <w:bottom w:val="none" w:sz="0" w:space="0" w:color="auto"/>
        <w:right w:val="none" w:sz="0" w:space="0" w:color="auto"/>
      </w:divBdr>
    </w:div>
    <w:div w:id="1401633071">
      <w:bodyDiv w:val="1"/>
      <w:marLeft w:val="0"/>
      <w:marRight w:val="0"/>
      <w:marTop w:val="0"/>
      <w:marBottom w:val="0"/>
      <w:divBdr>
        <w:top w:val="none" w:sz="0" w:space="0" w:color="auto"/>
        <w:left w:val="none" w:sz="0" w:space="0" w:color="auto"/>
        <w:bottom w:val="none" w:sz="0" w:space="0" w:color="auto"/>
        <w:right w:val="none" w:sz="0" w:space="0" w:color="auto"/>
      </w:divBdr>
    </w:div>
    <w:div w:id="1417360318">
      <w:bodyDiv w:val="1"/>
      <w:marLeft w:val="0"/>
      <w:marRight w:val="0"/>
      <w:marTop w:val="0"/>
      <w:marBottom w:val="0"/>
      <w:divBdr>
        <w:top w:val="none" w:sz="0" w:space="0" w:color="auto"/>
        <w:left w:val="none" w:sz="0" w:space="0" w:color="auto"/>
        <w:bottom w:val="none" w:sz="0" w:space="0" w:color="auto"/>
        <w:right w:val="none" w:sz="0" w:space="0" w:color="auto"/>
      </w:divBdr>
    </w:div>
    <w:div w:id="1425568052">
      <w:bodyDiv w:val="1"/>
      <w:marLeft w:val="0"/>
      <w:marRight w:val="0"/>
      <w:marTop w:val="0"/>
      <w:marBottom w:val="0"/>
      <w:divBdr>
        <w:top w:val="none" w:sz="0" w:space="0" w:color="auto"/>
        <w:left w:val="none" w:sz="0" w:space="0" w:color="auto"/>
        <w:bottom w:val="none" w:sz="0" w:space="0" w:color="auto"/>
        <w:right w:val="none" w:sz="0" w:space="0" w:color="auto"/>
      </w:divBdr>
      <w:divsChild>
        <w:div w:id="428816488">
          <w:marLeft w:val="660"/>
          <w:marRight w:val="660"/>
          <w:marTop w:val="0"/>
          <w:marBottom w:val="360"/>
          <w:divBdr>
            <w:top w:val="none" w:sz="0" w:space="0" w:color="auto"/>
            <w:left w:val="none" w:sz="0" w:space="0" w:color="auto"/>
            <w:bottom w:val="none" w:sz="0" w:space="0" w:color="auto"/>
            <w:right w:val="none" w:sz="0" w:space="0" w:color="auto"/>
          </w:divBdr>
          <w:divsChild>
            <w:div w:id="1582834754">
              <w:marLeft w:val="0"/>
              <w:marRight w:val="0"/>
              <w:marTop w:val="0"/>
              <w:marBottom w:val="0"/>
              <w:divBdr>
                <w:top w:val="none" w:sz="0" w:space="0" w:color="auto"/>
                <w:left w:val="none" w:sz="0" w:space="0" w:color="auto"/>
                <w:bottom w:val="none" w:sz="0" w:space="0" w:color="auto"/>
                <w:right w:val="none" w:sz="0" w:space="0" w:color="auto"/>
              </w:divBdr>
              <w:divsChild>
                <w:div w:id="643705151">
                  <w:marLeft w:val="0"/>
                  <w:marRight w:val="0"/>
                  <w:marTop w:val="0"/>
                  <w:marBottom w:val="0"/>
                  <w:divBdr>
                    <w:top w:val="none" w:sz="0" w:space="0" w:color="auto"/>
                    <w:left w:val="none" w:sz="0" w:space="0" w:color="auto"/>
                    <w:bottom w:val="none" w:sz="0" w:space="0" w:color="auto"/>
                    <w:right w:val="none" w:sz="0" w:space="0" w:color="auto"/>
                  </w:divBdr>
                  <w:divsChild>
                    <w:div w:id="14308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234640">
      <w:bodyDiv w:val="1"/>
      <w:marLeft w:val="0"/>
      <w:marRight w:val="0"/>
      <w:marTop w:val="0"/>
      <w:marBottom w:val="0"/>
      <w:divBdr>
        <w:top w:val="none" w:sz="0" w:space="0" w:color="auto"/>
        <w:left w:val="none" w:sz="0" w:space="0" w:color="auto"/>
        <w:bottom w:val="none" w:sz="0" w:space="0" w:color="auto"/>
        <w:right w:val="none" w:sz="0" w:space="0" w:color="auto"/>
      </w:divBdr>
      <w:divsChild>
        <w:div w:id="1629118744">
          <w:marLeft w:val="540"/>
          <w:marRight w:val="540"/>
          <w:marTop w:val="0"/>
          <w:marBottom w:val="360"/>
          <w:divBdr>
            <w:top w:val="none" w:sz="0" w:space="0" w:color="auto"/>
            <w:left w:val="none" w:sz="0" w:space="0" w:color="auto"/>
            <w:bottom w:val="none" w:sz="0" w:space="0" w:color="auto"/>
            <w:right w:val="none" w:sz="0" w:space="0" w:color="auto"/>
          </w:divBdr>
          <w:divsChild>
            <w:div w:id="2103794610">
              <w:marLeft w:val="0"/>
              <w:marRight w:val="0"/>
              <w:marTop w:val="0"/>
              <w:marBottom w:val="0"/>
              <w:divBdr>
                <w:top w:val="none" w:sz="0" w:space="0" w:color="auto"/>
                <w:left w:val="none" w:sz="0" w:space="0" w:color="auto"/>
                <w:bottom w:val="none" w:sz="0" w:space="0" w:color="auto"/>
                <w:right w:val="none" w:sz="0" w:space="0" w:color="auto"/>
              </w:divBdr>
              <w:divsChild>
                <w:div w:id="1699113327">
                  <w:marLeft w:val="0"/>
                  <w:marRight w:val="0"/>
                  <w:marTop w:val="0"/>
                  <w:marBottom w:val="0"/>
                  <w:divBdr>
                    <w:top w:val="none" w:sz="0" w:space="0" w:color="auto"/>
                    <w:left w:val="none" w:sz="0" w:space="0" w:color="auto"/>
                    <w:bottom w:val="none" w:sz="0" w:space="0" w:color="auto"/>
                    <w:right w:val="none" w:sz="0" w:space="0" w:color="auto"/>
                  </w:divBdr>
                  <w:divsChild>
                    <w:div w:id="32506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3053">
      <w:bodyDiv w:val="1"/>
      <w:marLeft w:val="0"/>
      <w:marRight w:val="0"/>
      <w:marTop w:val="0"/>
      <w:marBottom w:val="0"/>
      <w:divBdr>
        <w:top w:val="none" w:sz="0" w:space="0" w:color="auto"/>
        <w:left w:val="none" w:sz="0" w:space="0" w:color="auto"/>
        <w:bottom w:val="none" w:sz="0" w:space="0" w:color="auto"/>
        <w:right w:val="none" w:sz="0" w:space="0" w:color="auto"/>
      </w:divBdr>
    </w:div>
    <w:div w:id="1431120149">
      <w:bodyDiv w:val="1"/>
      <w:marLeft w:val="0"/>
      <w:marRight w:val="0"/>
      <w:marTop w:val="0"/>
      <w:marBottom w:val="0"/>
      <w:divBdr>
        <w:top w:val="none" w:sz="0" w:space="0" w:color="auto"/>
        <w:left w:val="none" w:sz="0" w:space="0" w:color="auto"/>
        <w:bottom w:val="none" w:sz="0" w:space="0" w:color="auto"/>
        <w:right w:val="none" w:sz="0" w:space="0" w:color="auto"/>
      </w:divBdr>
    </w:div>
    <w:div w:id="1433666158">
      <w:bodyDiv w:val="1"/>
      <w:marLeft w:val="0"/>
      <w:marRight w:val="0"/>
      <w:marTop w:val="0"/>
      <w:marBottom w:val="0"/>
      <w:divBdr>
        <w:top w:val="none" w:sz="0" w:space="0" w:color="auto"/>
        <w:left w:val="none" w:sz="0" w:space="0" w:color="auto"/>
        <w:bottom w:val="none" w:sz="0" w:space="0" w:color="auto"/>
        <w:right w:val="none" w:sz="0" w:space="0" w:color="auto"/>
      </w:divBdr>
    </w:div>
    <w:div w:id="1436562498">
      <w:bodyDiv w:val="1"/>
      <w:marLeft w:val="0"/>
      <w:marRight w:val="0"/>
      <w:marTop w:val="0"/>
      <w:marBottom w:val="0"/>
      <w:divBdr>
        <w:top w:val="none" w:sz="0" w:space="0" w:color="auto"/>
        <w:left w:val="none" w:sz="0" w:space="0" w:color="auto"/>
        <w:bottom w:val="none" w:sz="0" w:space="0" w:color="auto"/>
        <w:right w:val="none" w:sz="0" w:space="0" w:color="auto"/>
      </w:divBdr>
    </w:div>
    <w:div w:id="1441533675">
      <w:bodyDiv w:val="1"/>
      <w:marLeft w:val="0"/>
      <w:marRight w:val="0"/>
      <w:marTop w:val="0"/>
      <w:marBottom w:val="0"/>
      <w:divBdr>
        <w:top w:val="none" w:sz="0" w:space="0" w:color="auto"/>
        <w:left w:val="none" w:sz="0" w:space="0" w:color="auto"/>
        <w:bottom w:val="none" w:sz="0" w:space="0" w:color="auto"/>
        <w:right w:val="none" w:sz="0" w:space="0" w:color="auto"/>
      </w:divBdr>
    </w:div>
    <w:div w:id="1523593625">
      <w:bodyDiv w:val="1"/>
      <w:marLeft w:val="0"/>
      <w:marRight w:val="0"/>
      <w:marTop w:val="0"/>
      <w:marBottom w:val="0"/>
      <w:divBdr>
        <w:top w:val="none" w:sz="0" w:space="0" w:color="auto"/>
        <w:left w:val="none" w:sz="0" w:space="0" w:color="auto"/>
        <w:bottom w:val="none" w:sz="0" w:space="0" w:color="auto"/>
        <w:right w:val="none" w:sz="0" w:space="0" w:color="auto"/>
      </w:divBdr>
    </w:div>
    <w:div w:id="1539319034">
      <w:bodyDiv w:val="1"/>
      <w:marLeft w:val="0"/>
      <w:marRight w:val="0"/>
      <w:marTop w:val="0"/>
      <w:marBottom w:val="0"/>
      <w:divBdr>
        <w:top w:val="none" w:sz="0" w:space="0" w:color="auto"/>
        <w:left w:val="none" w:sz="0" w:space="0" w:color="auto"/>
        <w:bottom w:val="none" w:sz="0" w:space="0" w:color="auto"/>
        <w:right w:val="none" w:sz="0" w:space="0" w:color="auto"/>
      </w:divBdr>
      <w:divsChild>
        <w:div w:id="849443872">
          <w:marLeft w:val="540"/>
          <w:marRight w:val="540"/>
          <w:marTop w:val="0"/>
          <w:marBottom w:val="360"/>
          <w:divBdr>
            <w:top w:val="none" w:sz="0" w:space="0" w:color="auto"/>
            <w:left w:val="none" w:sz="0" w:space="0" w:color="auto"/>
            <w:bottom w:val="none" w:sz="0" w:space="0" w:color="auto"/>
            <w:right w:val="none" w:sz="0" w:space="0" w:color="auto"/>
          </w:divBdr>
          <w:divsChild>
            <w:div w:id="232200859">
              <w:marLeft w:val="0"/>
              <w:marRight w:val="0"/>
              <w:marTop w:val="0"/>
              <w:marBottom w:val="0"/>
              <w:divBdr>
                <w:top w:val="none" w:sz="0" w:space="0" w:color="auto"/>
                <w:left w:val="none" w:sz="0" w:space="0" w:color="auto"/>
                <w:bottom w:val="none" w:sz="0" w:space="0" w:color="auto"/>
                <w:right w:val="none" w:sz="0" w:space="0" w:color="auto"/>
              </w:divBdr>
              <w:divsChild>
                <w:div w:id="1093891120">
                  <w:marLeft w:val="0"/>
                  <w:marRight w:val="0"/>
                  <w:marTop w:val="0"/>
                  <w:marBottom w:val="0"/>
                  <w:divBdr>
                    <w:top w:val="none" w:sz="0" w:space="0" w:color="auto"/>
                    <w:left w:val="none" w:sz="0" w:space="0" w:color="auto"/>
                    <w:bottom w:val="none" w:sz="0" w:space="0" w:color="auto"/>
                    <w:right w:val="none" w:sz="0" w:space="0" w:color="auto"/>
                  </w:divBdr>
                  <w:divsChild>
                    <w:div w:id="93409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378628">
      <w:bodyDiv w:val="1"/>
      <w:marLeft w:val="0"/>
      <w:marRight w:val="0"/>
      <w:marTop w:val="0"/>
      <w:marBottom w:val="0"/>
      <w:divBdr>
        <w:top w:val="none" w:sz="0" w:space="0" w:color="auto"/>
        <w:left w:val="none" w:sz="0" w:space="0" w:color="auto"/>
        <w:bottom w:val="none" w:sz="0" w:space="0" w:color="auto"/>
        <w:right w:val="none" w:sz="0" w:space="0" w:color="auto"/>
      </w:divBdr>
    </w:div>
    <w:div w:id="1554460655">
      <w:bodyDiv w:val="1"/>
      <w:marLeft w:val="0"/>
      <w:marRight w:val="0"/>
      <w:marTop w:val="0"/>
      <w:marBottom w:val="0"/>
      <w:divBdr>
        <w:top w:val="none" w:sz="0" w:space="0" w:color="auto"/>
        <w:left w:val="none" w:sz="0" w:space="0" w:color="auto"/>
        <w:bottom w:val="none" w:sz="0" w:space="0" w:color="auto"/>
        <w:right w:val="none" w:sz="0" w:space="0" w:color="auto"/>
      </w:divBdr>
    </w:div>
    <w:div w:id="1556967933">
      <w:bodyDiv w:val="1"/>
      <w:marLeft w:val="0"/>
      <w:marRight w:val="0"/>
      <w:marTop w:val="0"/>
      <w:marBottom w:val="0"/>
      <w:divBdr>
        <w:top w:val="none" w:sz="0" w:space="0" w:color="auto"/>
        <w:left w:val="none" w:sz="0" w:space="0" w:color="auto"/>
        <w:bottom w:val="none" w:sz="0" w:space="0" w:color="auto"/>
        <w:right w:val="none" w:sz="0" w:space="0" w:color="auto"/>
      </w:divBdr>
    </w:div>
    <w:div w:id="1557397541">
      <w:bodyDiv w:val="1"/>
      <w:marLeft w:val="0"/>
      <w:marRight w:val="0"/>
      <w:marTop w:val="0"/>
      <w:marBottom w:val="0"/>
      <w:divBdr>
        <w:top w:val="none" w:sz="0" w:space="0" w:color="auto"/>
        <w:left w:val="none" w:sz="0" w:space="0" w:color="auto"/>
        <w:bottom w:val="none" w:sz="0" w:space="0" w:color="auto"/>
        <w:right w:val="none" w:sz="0" w:space="0" w:color="auto"/>
      </w:divBdr>
    </w:div>
    <w:div w:id="1582256114">
      <w:bodyDiv w:val="1"/>
      <w:marLeft w:val="0"/>
      <w:marRight w:val="0"/>
      <w:marTop w:val="0"/>
      <w:marBottom w:val="0"/>
      <w:divBdr>
        <w:top w:val="none" w:sz="0" w:space="0" w:color="auto"/>
        <w:left w:val="none" w:sz="0" w:space="0" w:color="auto"/>
        <w:bottom w:val="none" w:sz="0" w:space="0" w:color="auto"/>
        <w:right w:val="none" w:sz="0" w:space="0" w:color="auto"/>
      </w:divBdr>
    </w:div>
    <w:div w:id="1592660024">
      <w:bodyDiv w:val="1"/>
      <w:marLeft w:val="0"/>
      <w:marRight w:val="0"/>
      <w:marTop w:val="0"/>
      <w:marBottom w:val="0"/>
      <w:divBdr>
        <w:top w:val="none" w:sz="0" w:space="0" w:color="auto"/>
        <w:left w:val="none" w:sz="0" w:space="0" w:color="auto"/>
        <w:bottom w:val="none" w:sz="0" w:space="0" w:color="auto"/>
        <w:right w:val="none" w:sz="0" w:space="0" w:color="auto"/>
      </w:divBdr>
    </w:div>
    <w:div w:id="1604805692">
      <w:bodyDiv w:val="1"/>
      <w:marLeft w:val="0"/>
      <w:marRight w:val="0"/>
      <w:marTop w:val="0"/>
      <w:marBottom w:val="0"/>
      <w:divBdr>
        <w:top w:val="none" w:sz="0" w:space="0" w:color="auto"/>
        <w:left w:val="none" w:sz="0" w:space="0" w:color="auto"/>
        <w:bottom w:val="none" w:sz="0" w:space="0" w:color="auto"/>
        <w:right w:val="none" w:sz="0" w:space="0" w:color="auto"/>
      </w:divBdr>
      <w:divsChild>
        <w:div w:id="1479419514">
          <w:marLeft w:val="660"/>
          <w:marRight w:val="660"/>
          <w:marTop w:val="0"/>
          <w:marBottom w:val="360"/>
          <w:divBdr>
            <w:top w:val="none" w:sz="0" w:space="0" w:color="auto"/>
            <w:left w:val="none" w:sz="0" w:space="0" w:color="auto"/>
            <w:bottom w:val="none" w:sz="0" w:space="0" w:color="auto"/>
            <w:right w:val="none" w:sz="0" w:space="0" w:color="auto"/>
          </w:divBdr>
          <w:divsChild>
            <w:div w:id="187135954">
              <w:marLeft w:val="0"/>
              <w:marRight w:val="0"/>
              <w:marTop w:val="0"/>
              <w:marBottom w:val="0"/>
              <w:divBdr>
                <w:top w:val="none" w:sz="0" w:space="0" w:color="auto"/>
                <w:left w:val="none" w:sz="0" w:space="0" w:color="auto"/>
                <w:bottom w:val="none" w:sz="0" w:space="0" w:color="auto"/>
                <w:right w:val="none" w:sz="0" w:space="0" w:color="auto"/>
              </w:divBdr>
              <w:divsChild>
                <w:div w:id="1106119734">
                  <w:marLeft w:val="0"/>
                  <w:marRight w:val="0"/>
                  <w:marTop w:val="0"/>
                  <w:marBottom w:val="0"/>
                  <w:divBdr>
                    <w:top w:val="none" w:sz="0" w:space="0" w:color="auto"/>
                    <w:left w:val="none" w:sz="0" w:space="0" w:color="auto"/>
                    <w:bottom w:val="none" w:sz="0" w:space="0" w:color="auto"/>
                    <w:right w:val="none" w:sz="0" w:space="0" w:color="auto"/>
                  </w:divBdr>
                  <w:divsChild>
                    <w:div w:id="7093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91615">
      <w:bodyDiv w:val="1"/>
      <w:marLeft w:val="0"/>
      <w:marRight w:val="0"/>
      <w:marTop w:val="0"/>
      <w:marBottom w:val="0"/>
      <w:divBdr>
        <w:top w:val="none" w:sz="0" w:space="0" w:color="auto"/>
        <w:left w:val="none" w:sz="0" w:space="0" w:color="auto"/>
        <w:bottom w:val="none" w:sz="0" w:space="0" w:color="auto"/>
        <w:right w:val="none" w:sz="0" w:space="0" w:color="auto"/>
      </w:divBdr>
    </w:div>
    <w:div w:id="1615013525">
      <w:bodyDiv w:val="1"/>
      <w:marLeft w:val="0"/>
      <w:marRight w:val="0"/>
      <w:marTop w:val="0"/>
      <w:marBottom w:val="0"/>
      <w:divBdr>
        <w:top w:val="none" w:sz="0" w:space="0" w:color="auto"/>
        <w:left w:val="none" w:sz="0" w:space="0" w:color="auto"/>
        <w:bottom w:val="none" w:sz="0" w:space="0" w:color="auto"/>
        <w:right w:val="none" w:sz="0" w:space="0" w:color="auto"/>
      </w:divBdr>
    </w:div>
    <w:div w:id="1640110871">
      <w:bodyDiv w:val="1"/>
      <w:marLeft w:val="0"/>
      <w:marRight w:val="0"/>
      <w:marTop w:val="0"/>
      <w:marBottom w:val="0"/>
      <w:divBdr>
        <w:top w:val="none" w:sz="0" w:space="0" w:color="auto"/>
        <w:left w:val="none" w:sz="0" w:space="0" w:color="auto"/>
        <w:bottom w:val="none" w:sz="0" w:space="0" w:color="auto"/>
        <w:right w:val="none" w:sz="0" w:space="0" w:color="auto"/>
      </w:divBdr>
    </w:div>
    <w:div w:id="1685090535">
      <w:bodyDiv w:val="1"/>
      <w:marLeft w:val="0"/>
      <w:marRight w:val="0"/>
      <w:marTop w:val="0"/>
      <w:marBottom w:val="0"/>
      <w:divBdr>
        <w:top w:val="none" w:sz="0" w:space="0" w:color="auto"/>
        <w:left w:val="none" w:sz="0" w:space="0" w:color="auto"/>
        <w:bottom w:val="none" w:sz="0" w:space="0" w:color="auto"/>
        <w:right w:val="none" w:sz="0" w:space="0" w:color="auto"/>
      </w:divBdr>
    </w:div>
    <w:div w:id="1699159888">
      <w:bodyDiv w:val="1"/>
      <w:marLeft w:val="0"/>
      <w:marRight w:val="0"/>
      <w:marTop w:val="0"/>
      <w:marBottom w:val="0"/>
      <w:divBdr>
        <w:top w:val="none" w:sz="0" w:space="0" w:color="auto"/>
        <w:left w:val="none" w:sz="0" w:space="0" w:color="auto"/>
        <w:bottom w:val="none" w:sz="0" w:space="0" w:color="auto"/>
        <w:right w:val="none" w:sz="0" w:space="0" w:color="auto"/>
      </w:divBdr>
    </w:div>
    <w:div w:id="1701735364">
      <w:bodyDiv w:val="1"/>
      <w:marLeft w:val="0"/>
      <w:marRight w:val="0"/>
      <w:marTop w:val="0"/>
      <w:marBottom w:val="0"/>
      <w:divBdr>
        <w:top w:val="none" w:sz="0" w:space="0" w:color="auto"/>
        <w:left w:val="none" w:sz="0" w:space="0" w:color="auto"/>
        <w:bottom w:val="none" w:sz="0" w:space="0" w:color="auto"/>
        <w:right w:val="none" w:sz="0" w:space="0" w:color="auto"/>
      </w:divBdr>
    </w:div>
    <w:div w:id="1702242135">
      <w:bodyDiv w:val="1"/>
      <w:marLeft w:val="0"/>
      <w:marRight w:val="0"/>
      <w:marTop w:val="0"/>
      <w:marBottom w:val="0"/>
      <w:divBdr>
        <w:top w:val="none" w:sz="0" w:space="0" w:color="auto"/>
        <w:left w:val="none" w:sz="0" w:space="0" w:color="auto"/>
        <w:bottom w:val="none" w:sz="0" w:space="0" w:color="auto"/>
        <w:right w:val="none" w:sz="0" w:space="0" w:color="auto"/>
      </w:divBdr>
    </w:div>
    <w:div w:id="1704554537">
      <w:bodyDiv w:val="1"/>
      <w:marLeft w:val="0"/>
      <w:marRight w:val="0"/>
      <w:marTop w:val="0"/>
      <w:marBottom w:val="0"/>
      <w:divBdr>
        <w:top w:val="none" w:sz="0" w:space="0" w:color="auto"/>
        <w:left w:val="none" w:sz="0" w:space="0" w:color="auto"/>
        <w:bottom w:val="none" w:sz="0" w:space="0" w:color="auto"/>
        <w:right w:val="none" w:sz="0" w:space="0" w:color="auto"/>
      </w:divBdr>
    </w:div>
    <w:div w:id="1707220564">
      <w:bodyDiv w:val="1"/>
      <w:marLeft w:val="0"/>
      <w:marRight w:val="0"/>
      <w:marTop w:val="0"/>
      <w:marBottom w:val="0"/>
      <w:divBdr>
        <w:top w:val="none" w:sz="0" w:space="0" w:color="auto"/>
        <w:left w:val="none" w:sz="0" w:space="0" w:color="auto"/>
        <w:bottom w:val="none" w:sz="0" w:space="0" w:color="auto"/>
        <w:right w:val="none" w:sz="0" w:space="0" w:color="auto"/>
      </w:divBdr>
    </w:div>
    <w:div w:id="1716083009">
      <w:bodyDiv w:val="1"/>
      <w:marLeft w:val="0"/>
      <w:marRight w:val="0"/>
      <w:marTop w:val="0"/>
      <w:marBottom w:val="0"/>
      <w:divBdr>
        <w:top w:val="none" w:sz="0" w:space="0" w:color="auto"/>
        <w:left w:val="none" w:sz="0" w:space="0" w:color="auto"/>
        <w:bottom w:val="none" w:sz="0" w:space="0" w:color="auto"/>
        <w:right w:val="none" w:sz="0" w:space="0" w:color="auto"/>
      </w:divBdr>
    </w:div>
    <w:div w:id="1717049284">
      <w:bodyDiv w:val="1"/>
      <w:marLeft w:val="0"/>
      <w:marRight w:val="0"/>
      <w:marTop w:val="0"/>
      <w:marBottom w:val="0"/>
      <w:divBdr>
        <w:top w:val="none" w:sz="0" w:space="0" w:color="auto"/>
        <w:left w:val="none" w:sz="0" w:space="0" w:color="auto"/>
        <w:bottom w:val="none" w:sz="0" w:space="0" w:color="auto"/>
        <w:right w:val="none" w:sz="0" w:space="0" w:color="auto"/>
      </w:divBdr>
      <w:divsChild>
        <w:div w:id="2057004605">
          <w:marLeft w:val="660"/>
          <w:marRight w:val="660"/>
          <w:marTop w:val="0"/>
          <w:marBottom w:val="360"/>
          <w:divBdr>
            <w:top w:val="none" w:sz="0" w:space="0" w:color="auto"/>
            <w:left w:val="none" w:sz="0" w:space="0" w:color="auto"/>
            <w:bottom w:val="none" w:sz="0" w:space="0" w:color="auto"/>
            <w:right w:val="none" w:sz="0" w:space="0" w:color="auto"/>
          </w:divBdr>
          <w:divsChild>
            <w:div w:id="141702761">
              <w:marLeft w:val="0"/>
              <w:marRight w:val="0"/>
              <w:marTop w:val="0"/>
              <w:marBottom w:val="0"/>
              <w:divBdr>
                <w:top w:val="none" w:sz="0" w:space="0" w:color="auto"/>
                <w:left w:val="none" w:sz="0" w:space="0" w:color="auto"/>
                <w:bottom w:val="none" w:sz="0" w:space="0" w:color="auto"/>
                <w:right w:val="none" w:sz="0" w:space="0" w:color="auto"/>
              </w:divBdr>
              <w:divsChild>
                <w:div w:id="1455176111">
                  <w:marLeft w:val="0"/>
                  <w:marRight w:val="0"/>
                  <w:marTop w:val="0"/>
                  <w:marBottom w:val="0"/>
                  <w:divBdr>
                    <w:top w:val="none" w:sz="0" w:space="0" w:color="auto"/>
                    <w:left w:val="none" w:sz="0" w:space="0" w:color="auto"/>
                    <w:bottom w:val="none" w:sz="0" w:space="0" w:color="auto"/>
                    <w:right w:val="none" w:sz="0" w:space="0" w:color="auto"/>
                  </w:divBdr>
                  <w:divsChild>
                    <w:div w:id="11734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09587">
      <w:bodyDiv w:val="1"/>
      <w:marLeft w:val="0"/>
      <w:marRight w:val="0"/>
      <w:marTop w:val="0"/>
      <w:marBottom w:val="0"/>
      <w:divBdr>
        <w:top w:val="none" w:sz="0" w:space="0" w:color="auto"/>
        <w:left w:val="none" w:sz="0" w:space="0" w:color="auto"/>
        <w:bottom w:val="none" w:sz="0" w:space="0" w:color="auto"/>
        <w:right w:val="none" w:sz="0" w:space="0" w:color="auto"/>
      </w:divBdr>
    </w:div>
    <w:div w:id="1726370547">
      <w:bodyDiv w:val="1"/>
      <w:marLeft w:val="0"/>
      <w:marRight w:val="0"/>
      <w:marTop w:val="0"/>
      <w:marBottom w:val="0"/>
      <w:divBdr>
        <w:top w:val="none" w:sz="0" w:space="0" w:color="auto"/>
        <w:left w:val="none" w:sz="0" w:space="0" w:color="auto"/>
        <w:bottom w:val="none" w:sz="0" w:space="0" w:color="auto"/>
        <w:right w:val="none" w:sz="0" w:space="0" w:color="auto"/>
      </w:divBdr>
    </w:div>
    <w:div w:id="1730609437">
      <w:bodyDiv w:val="1"/>
      <w:marLeft w:val="0"/>
      <w:marRight w:val="0"/>
      <w:marTop w:val="0"/>
      <w:marBottom w:val="0"/>
      <w:divBdr>
        <w:top w:val="none" w:sz="0" w:space="0" w:color="auto"/>
        <w:left w:val="none" w:sz="0" w:space="0" w:color="auto"/>
        <w:bottom w:val="none" w:sz="0" w:space="0" w:color="auto"/>
        <w:right w:val="none" w:sz="0" w:space="0" w:color="auto"/>
      </w:divBdr>
    </w:div>
    <w:div w:id="1730810076">
      <w:bodyDiv w:val="1"/>
      <w:marLeft w:val="0"/>
      <w:marRight w:val="0"/>
      <w:marTop w:val="0"/>
      <w:marBottom w:val="0"/>
      <w:divBdr>
        <w:top w:val="none" w:sz="0" w:space="0" w:color="auto"/>
        <w:left w:val="none" w:sz="0" w:space="0" w:color="auto"/>
        <w:bottom w:val="none" w:sz="0" w:space="0" w:color="auto"/>
        <w:right w:val="none" w:sz="0" w:space="0" w:color="auto"/>
      </w:divBdr>
      <w:divsChild>
        <w:div w:id="434594232">
          <w:marLeft w:val="660"/>
          <w:marRight w:val="660"/>
          <w:marTop w:val="0"/>
          <w:marBottom w:val="360"/>
          <w:divBdr>
            <w:top w:val="none" w:sz="0" w:space="0" w:color="auto"/>
            <w:left w:val="none" w:sz="0" w:space="0" w:color="auto"/>
            <w:bottom w:val="none" w:sz="0" w:space="0" w:color="auto"/>
            <w:right w:val="none" w:sz="0" w:space="0" w:color="auto"/>
          </w:divBdr>
          <w:divsChild>
            <w:div w:id="1391419232">
              <w:marLeft w:val="0"/>
              <w:marRight w:val="0"/>
              <w:marTop w:val="0"/>
              <w:marBottom w:val="0"/>
              <w:divBdr>
                <w:top w:val="none" w:sz="0" w:space="0" w:color="auto"/>
                <w:left w:val="none" w:sz="0" w:space="0" w:color="auto"/>
                <w:bottom w:val="none" w:sz="0" w:space="0" w:color="auto"/>
                <w:right w:val="none" w:sz="0" w:space="0" w:color="auto"/>
              </w:divBdr>
              <w:divsChild>
                <w:div w:id="210463610">
                  <w:marLeft w:val="0"/>
                  <w:marRight w:val="0"/>
                  <w:marTop w:val="0"/>
                  <w:marBottom w:val="0"/>
                  <w:divBdr>
                    <w:top w:val="none" w:sz="0" w:space="0" w:color="auto"/>
                    <w:left w:val="none" w:sz="0" w:space="0" w:color="auto"/>
                    <w:bottom w:val="none" w:sz="0" w:space="0" w:color="auto"/>
                    <w:right w:val="none" w:sz="0" w:space="0" w:color="auto"/>
                  </w:divBdr>
                  <w:divsChild>
                    <w:div w:id="1503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35662">
      <w:bodyDiv w:val="1"/>
      <w:marLeft w:val="0"/>
      <w:marRight w:val="0"/>
      <w:marTop w:val="0"/>
      <w:marBottom w:val="0"/>
      <w:divBdr>
        <w:top w:val="none" w:sz="0" w:space="0" w:color="auto"/>
        <w:left w:val="none" w:sz="0" w:space="0" w:color="auto"/>
        <w:bottom w:val="none" w:sz="0" w:space="0" w:color="auto"/>
        <w:right w:val="none" w:sz="0" w:space="0" w:color="auto"/>
      </w:divBdr>
      <w:divsChild>
        <w:div w:id="977225996">
          <w:marLeft w:val="660"/>
          <w:marRight w:val="660"/>
          <w:marTop w:val="0"/>
          <w:marBottom w:val="360"/>
          <w:divBdr>
            <w:top w:val="none" w:sz="0" w:space="0" w:color="auto"/>
            <w:left w:val="none" w:sz="0" w:space="0" w:color="auto"/>
            <w:bottom w:val="none" w:sz="0" w:space="0" w:color="auto"/>
            <w:right w:val="none" w:sz="0" w:space="0" w:color="auto"/>
          </w:divBdr>
          <w:divsChild>
            <w:div w:id="785659269">
              <w:marLeft w:val="0"/>
              <w:marRight w:val="0"/>
              <w:marTop w:val="0"/>
              <w:marBottom w:val="0"/>
              <w:divBdr>
                <w:top w:val="none" w:sz="0" w:space="0" w:color="auto"/>
                <w:left w:val="none" w:sz="0" w:space="0" w:color="auto"/>
                <w:bottom w:val="none" w:sz="0" w:space="0" w:color="auto"/>
                <w:right w:val="none" w:sz="0" w:space="0" w:color="auto"/>
              </w:divBdr>
              <w:divsChild>
                <w:div w:id="799761149">
                  <w:marLeft w:val="0"/>
                  <w:marRight w:val="0"/>
                  <w:marTop w:val="0"/>
                  <w:marBottom w:val="0"/>
                  <w:divBdr>
                    <w:top w:val="none" w:sz="0" w:space="0" w:color="auto"/>
                    <w:left w:val="none" w:sz="0" w:space="0" w:color="auto"/>
                    <w:bottom w:val="none" w:sz="0" w:space="0" w:color="auto"/>
                    <w:right w:val="none" w:sz="0" w:space="0" w:color="auto"/>
                  </w:divBdr>
                  <w:divsChild>
                    <w:div w:id="13938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147081">
      <w:bodyDiv w:val="1"/>
      <w:marLeft w:val="0"/>
      <w:marRight w:val="0"/>
      <w:marTop w:val="0"/>
      <w:marBottom w:val="0"/>
      <w:divBdr>
        <w:top w:val="none" w:sz="0" w:space="0" w:color="auto"/>
        <w:left w:val="none" w:sz="0" w:space="0" w:color="auto"/>
        <w:bottom w:val="none" w:sz="0" w:space="0" w:color="auto"/>
        <w:right w:val="none" w:sz="0" w:space="0" w:color="auto"/>
      </w:divBdr>
    </w:div>
    <w:div w:id="1732539120">
      <w:bodyDiv w:val="1"/>
      <w:marLeft w:val="0"/>
      <w:marRight w:val="0"/>
      <w:marTop w:val="0"/>
      <w:marBottom w:val="0"/>
      <w:divBdr>
        <w:top w:val="none" w:sz="0" w:space="0" w:color="auto"/>
        <w:left w:val="none" w:sz="0" w:space="0" w:color="auto"/>
        <w:bottom w:val="none" w:sz="0" w:space="0" w:color="auto"/>
        <w:right w:val="none" w:sz="0" w:space="0" w:color="auto"/>
      </w:divBdr>
      <w:divsChild>
        <w:div w:id="1372924329">
          <w:marLeft w:val="420"/>
          <w:marRight w:val="420"/>
          <w:marTop w:val="0"/>
          <w:marBottom w:val="360"/>
          <w:divBdr>
            <w:top w:val="none" w:sz="0" w:space="0" w:color="auto"/>
            <w:left w:val="none" w:sz="0" w:space="0" w:color="auto"/>
            <w:bottom w:val="none" w:sz="0" w:space="0" w:color="auto"/>
            <w:right w:val="none" w:sz="0" w:space="0" w:color="auto"/>
          </w:divBdr>
          <w:divsChild>
            <w:div w:id="1909800726">
              <w:marLeft w:val="0"/>
              <w:marRight w:val="0"/>
              <w:marTop w:val="0"/>
              <w:marBottom w:val="0"/>
              <w:divBdr>
                <w:top w:val="none" w:sz="0" w:space="0" w:color="auto"/>
                <w:left w:val="none" w:sz="0" w:space="0" w:color="auto"/>
                <w:bottom w:val="none" w:sz="0" w:space="0" w:color="auto"/>
                <w:right w:val="none" w:sz="0" w:space="0" w:color="auto"/>
              </w:divBdr>
              <w:divsChild>
                <w:div w:id="87695485">
                  <w:marLeft w:val="0"/>
                  <w:marRight w:val="0"/>
                  <w:marTop w:val="0"/>
                  <w:marBottom w:val="0"/>
                  <w:divBdr>
                    <w:top w:val="none" w:sz="0" w:space="0" w:color="auto"/>
                    <w:left w:val="none" w:sz="0" w:space="0" w:color="auto"/>
                    <w:bottom w:val="none" w:sz="0" w:space="0" w:color="auto"/>
                    <w:right w:val="none" w:sz="0" w:space="0" w:color="auto"/>
                  </w:divBdr>
                  <w:divsChild>
                    <w:div w:id="145478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702353">
      <w:bodyDiv w:val="1"/>
      <w:marLeft w:val="0"/>
      <w:marRight w:val="0"/>
      <w:marTop w:val="0"/>
      <w:marBottom w:val="0"/>
      <w:divBdr>
        <w:top w:val="none" w:sz="0" w:space="0" w:color="auto"/>
        <w:left w:val="none" w:sz="0" w:space="0" w:color="auto"/>
        <w:bottom w:val="none" w:sz="0" w:space="0" w:color="auto"/>
        <w:right w:val="none" w:sz="0" w:space="0" w:color="auto"/>
      </w:divBdr>
    </w:div>
    <w:div w:id="1749226490">
      <w:bodyDiv w:val="1"/>
      <w:marLeft w:val="0"/>
      <w:marRight w:val="0"/>
      <w:marTop w:val="0"/>
      <w:marBottom w:val="0"/>
      <w:divBdr>
        <w:top w:val="none" w:sz="0" w:space="0" w:color="auto"/>
        <w:left w:val="none" w:sz="0" w:space="0" w:color="auto"/>
        <w:bottom w:val="none" w:sz="0" w:space="0" w:color="auto"/>
        <w:right w:val="none" w:sz="0" w:space="0" w:color="auto"/>
      </w:divBdr>
      <w:divsChild>
        <w:div w:id="1278416596">
          <w:marLeft w:val="660"/>
          <w:marRight w:val="660"/>
          <w:marTop w:val="0"/>
          <w:marBottom w:val="360"/>
          <w:divBdr>
            <w:top w:val="none" w:sz="0" w:space="0" w:color="auto"/>
            <w:left w:val="none" w:sz="0" w:space="0" w:color="auto"/>
            <w:bottom w:val="none" w:sz="0" w:space="0" w:color="auto"/>
            <w:right w:val="none" w:sz="0" w:space="0" w:color="auto"/>
          </w:divBdr>
          <w:divsChild>
            <w:div w:id="1296523903">
              <w:marLeft w:val="0"/>
              <w:marRight w:val="0"/>
              <w:marTop w:val="0"/>
              <w:marBottom w:val="0"/>
              <w:divBdr>
                <w:top w:val="none" w:sz="0" w:space="0" w:color="auto"/>
                <w:left w:val="none" w:sz="0" w:space="0" w:color="auto"/>
                <w:bottom w:val="none" w:sz="0" w:space="0" w:color="auto"/>
                <w:right w:val="none" w:sz="0" w:space="0" w:color="auto"/>
              </w:divBdr>
              <w:divsChild>
                <w:div w:id="12343047">
                  <w:marLeft w:val="0"/>
                  <w:marRight w:val="0"/>
                  <w:marTop w:val="0"/>
                  <w:marBottom w:val="0"/>
                  <w:divBdr>
                    <w:top w:val="none" w:sz="0" w:space="0" w:color="auto"/>
                    <w:left w:val="none" w:sz="0" w:space="0" w:color="auto"/>
                    <w:bottom w:val="none" w:sz="0" w:space="0" w:color="auto"/>
                    <w:right w:val="none" w:sz="0" w:space="0" w:color="auto"/>
                  </w:divBdr>
                  <w:divsChild>
                    <w:div w:id="199610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74587">
      <w:bodyDiv w:val="1"/>
      <w:marLeft w:val="0"/>
      <w:marRight w:val="0"/>
      <w:marTop w:val="0"/>
      <w:marBottom w:val="0"/>
      <w:divBdr>
        <w:top w:val="none" w:sz="0" w:space="0" w:color="auto"/>
        <w:left w:val="none" w:sz="0" w:space="0" w:color="auto"/>
        <w:bottom w:val="none" w:sz="0" w:space="0" w:color="auto"/>
        <w:right w:val="none" w:sz="0" w:space="0" w:color="auto"/>
      </w:divBdr>
    </w:div>
    <w:div w:id="1764523008">
      <w:bodyDiv w:val="1"/>
      <w:marLeft w:val="0"/>
      <w:marRight w:val="0"/>
      <w:marTop w:val="0"/>
      <w:marBottom w:val="0"/>
      <w:divBdr>
        <w:top w:val="none" w:sz="0" w:space="0" w:color="auto"/>
        <w:left w:val="none" w:sz="0" w:space="0" w:color="auto"/>
        <w:bottom w:val="none" w:sz="0" w:space="0" w:color="auto"/>
        <w:right w:val="none" w:sz="0" w:space="0" w:color="auto"/>
      </w:divBdr>
    </w:div>
    <w:div w:id="1770468085">
      <w:bodyDiv w:val="1"/>
      <w:marLeft w:val="0"/>
      <w:marRight w:val="0"/>
      <w:marTop w:val="0"/>
      <w:marBottom w:val="0"/>
      <w:divBdr>
        <w:top w:val="none" w:sz="0" w:space="0" w:color="auto"/>
        <w:left w:val="none" w:sz="0" w:space="0" w:color="auto"/>
        <w:bottom w:val="none" w:sz="0" w:space="0" w:color="auto"/>
        <w:right w:val="none" w:sz="0" w:space="0" w:color="auto"/>
      </w:divBdr>
    </w:div>
    <w:div w:id="1771851214">
      <w:bodyDiv w:val="1"/>
      <w:marLeft w:val="0"/>
      <w:marRight w:val="0"/>
      <w:marTop w:val="0"/>
      <w:marBottom w:val="0"/>
      <w:divBdr>
        <w:top w:val="none" w:sz="0" w:space="0" w:color="auto"/>
        <w:left w:val="none" w:sz="0" w:space="0" w:color="auto"/>
        <w:bottom w:val="none" w:sz="0" w:space="0" w:color="auto"/>
        <w:right w:val="none" w:sz="0" w:space="0" w:color="auto"/>
      </w:divBdr>
      <w:divsChild>
        <w:div w:id="1381513780">
          <w:marLeft w:val="0"/>
          <w:marRight w:val="0"/>
          <w:marTop w:val="0"/>
          <w:marBottom w:val="0"/>
          <w:divBdr>
            <w:top w:val="none" w:sz="0" w:space="0" w:color="auto"/>
            <w:left w:val="none" w:sz="0" w:space="0" w:color="auto"/>
            <w:bottom w:val="none" w:sz="0" w:space="0" w:color="auto"/>
            <w:right w:val="none" w:sz="0" w:space="0" w:color="auto"/>
          </w:divBdr>
          <w:divsChild>
            <w:div w:id="198936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043410">
      <w:bodyDiv w:val="1"/>
      <w:marLeft w:val="0"/>
      <w:marRight w:val="0"/>
      <w:marTop w:val="0"/>
      <w:marBottom w:val="0"/>
      <w:divBdr>
        <w:top w:val="none" w:sz="0" w:space="0" w:color="auto"/>
        <w:left w:val="none" w:sz="0" w:space="0" w:color="auto"/>
        <w:bottom w:val="none" w:sz="0" w:space="0" w:color="auto"/>
        <w:right w:val="none" w:sz="0" w:space="0" w:color="auto"/>
      </w:divBdr>
    </w:div>
    <w:div w:id="1784222941">
      <w:bodyDiv w:val="1"/>
      <w:marLeft w:val="0"/>
      <w:marRight w:val="0"/>
      <w:marTop w:val="0"/>
      <w:marBottom w:val="0"/>
      <w:divBdr>
        <w:top w:val="none" w:sz="0" w:space="0" w:color="auto"/>
        <w:left w:val="none" w:sz="0" w:space="0" w:color="auto"/>
        <w:bottom w:val="none" w:sz="0" w:space="0" w:color="auto"/>
        <w:right w:val="none" w:sz="0" w:space="0" w:color="auto"/>
      </w:divBdr>
    </w:div>
    <w:div w:id="1812281846">
      <w:bodyDiv w:val="1"/>
      <w:marLeft w:val="0"/>
      <w:marRight w:val="0"/>
      <w:marTop w:val="0"/>
      <w:marBottom w:val="0"/>
      <w:divBdr>
        <w:top w:val="none" w:sz="0" w:space="0" w:color="auto"/>
        <w:left w:val="none" w:sz="0" w:space="0" w:color="auto"/>
        <w:bottom w:val="none" w:sz="0" w:space="0" w:color="auto"/>
        <w:right w:val="none" w:sz="0" w:space="0" w:color="auto"/>
      </w:divBdr>
      <w:divsChild>
        <w:div w:id="1672415347">
          <w:marLeft w:val="0"/>
          <w:marRight w:val="0"/>
          <w:marTop w:val="0"/>
          <w:marBottom w:val="0"/>
          <w:divBdr>
            <w:top w:val="none" w:sz="0" w:space="0" w:color="auto"/>
            <w:left w:val="none" w:sz="0" w:space="0" w:color="auto"/>
            <w:bottom w:val="none" w:sz="0" w:space="0" w:color="auto"/>
            <w:right w:val="none" w:sz="0" w:space="0" w:color="auto"/>
          </w:divBdr>
          <w:divsChild>
            <w:div w:id="1441409850">
              <w:marLeft w:val="0"/>
              <w:marRight w:val="0"/>
              <w:marTop w:val="0"/>
              <w:marBottom w:val="0"/>
              <w:divBdr>
                <w:top w:val="none" w:sz="0" w:space="0" w:color="auto"/>
                <w:left w:val="none" w:sz="0" w:space="0" w:color="auto"/>
                <w:bottom w:val="none" w:sz="0" w:space="0" w:color="auto"/>
                <w:right w:val="none" w:sz="0" w:space="0" w:color="auto"/>
              </w:divBdr>
              <w:divsChild>
                <w:div w:id="15414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790412">
      <w:bodyDiv w:val="1"/>
      <w:marLeft w:val="0"/>
      <w:marRight w:val="0"/>
      <w:marTop w:val="0"/>
      <w:marBottom w:val="0"/>
      <w:divBdr>
        <w:top w:val="none" w:sz="0" w:space="0" w:color="auto"/>
        <w:left w:val="none" w:sz="0" w:space="0" w:color="auto"/>
        <w:bottom w:val="none" w:sz="0" w:space="0" w:color="auto"/>
        <w:right w:val="none" w:sz="0" w:space="0" w:color="auto"/>
      </w:divBdr>
    </w:div>
    <w:div w:id="1852643750">
      <w:bodyDiv w:val="1"/>
      <w:marLeft w:val="0"/>
      <w:marRight w:val="0"/>
      <w:marTop w:val="0"/>
      <w:marBottom w:val="0"/>
      <w:divBdr>
        <w:top w:val="none" w:sz="0" w:space="0" w:color="auto"/>
        <w:left w:val="none" w:sz="0" w:space="0" w:color="auto"/>
        <w:bottom w:val="none" w:sz="0" w:space="0" w:color="auto"/>
        <w:right w:val="none" w:sz="0" w:space="0" w:color="auto"/>
      </w:divBdr>
    </w:div>
    <w:div w:id="1856839600">
      <w:bodyDiv w:val="1"/>
      <w:marLeft w:val="0"/>
      <w:marRight w:val="0"/>
      <w:marTop w:val="0"/>
      <w:marBottom w:val="0"/>
      <w:divBdr>
        <w:top w:val="none" w:sz="0" w:space="0" w:color="auto"/>
        <w:left w:val="none" w:sz="0" w:space="0" w:color="auto"/>
        <w:bottom w:val="none" w:sz="0" w:space="0" w:color="auto"/>
        <w:right w:val="none" w:sz="0" w:space="0" w:color="auto"/>
      </w:divBdr>
    </w:div>
    <w:div w:id="1858153446">
      <w:bodyDiv w:val="1"/>
      <w:marLeft w:val="0"/>
      <w:marRight w:val="0"/>
      <w:marTop w:val="0"/>
      <w:marBottom w:val="0"/>
      <w:divBdr>
        <w:top w:val="none" w:sz="0" w:space="0" w:color="auto"/>
        <w:left w:val="none" w:sz="0" w:space="0" w:color="auto"/>
        <w:bottom w:val="none" w:sz="0" w:space="0" w:color="auto"/>
        <w:right w:val="none" w:sz="0" w:space="0" w:color="auto"/>
      </w:divBdr>
      <w:divsChild>
        <w:div w:id="500437425">
          <w:marLeft w:val="660"/>
          <w:marRight w:val="660"/>
          <w:marTop w:val="0"/>
          <w:marBottom w:val="360"/>
          <w:divBdr>
            <w:top w:val="none" w:sz="0" w:space="0" w:color="auto"/>
            <w:left w:val="none" w:sz="0" w:space="0" w:color="auto"/>
            <w:bottom w:val="none" w:sz="0" w:space="0" w:color="auto"/>
            <w:right w:val="none" w:sz="0" w:space="0" w:color="auto"/>
          </w:divBdr>
          <w:divsChild>
            <w:div w:id="369915429">
              <w:marLeft w:val="0"/>
              <w:marRight w:val="0"/>
              <w:marTop w:val="0"/>
              <w:marBottom w:val="0"/>
              <w:divBdr>
                <w:top w:val="none" w:sz="0" w:space="0" w:color="auto"/>
                <w:left w:val="none" w:sz="0" w:space="0" w:color="auto"/>
                <w:bottom w:val="none" w:sz="0" w:space="0" w:color="auto"/>
                <w:right w:val="none" w:sz="0" w:space="0" w:color="auto"/>
              </w:divBdr>
              <w:divsChild>
                <w:div w:id="1608928889">
                  <w:marLeft w:val="0"/>
                  <w:marRight w:val="0"/>
                  <w:marTop w:val="0"/>
                  <w:marBottom w:val="0"/>
                  <w:divBdr>
                    <w:top w:val="none" w:sz="0" w:space="0" w:color="auto"/>
                    <w:left w:val="none" w:sz="0" w:space="0" w:color="auto"/>
                    <w:bottom w:val="none" w:sz="0" w:space="0" w:color="auto"/>
                    <w:right w:val="none" w:sz="0" w:space="0" w:color="auto"/>
                  </w:divBdr>
                  <w:divsChild>
                    <w:div w:id="8198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295721">
      <w:bodyDiv w:val="1"/>
      <w:marLeft w:val="0"/>
      <w:marRight w:val="0"/>
      <w:marTop w:val="0"/>
      <w:marBottom w:val="0"/>
      <w:divBdr>
        <w:top w:val="none" w:sz="0" w:space="0" w:color="auto"/>
        <w:left w:val="none" w:sz="0" w:space="0" w:color="auto"/>
        <w:bottom w:val="none" w:sz="0" w:space="0" w:color="auto"/>
        <w:right w:val="none" w:sz="0" w:space="0" w:color="auto"/>
      </w:divBdr>
    </w:div>
    <w:div w:id="1892961918">
      <w:bodyDiv w:val="1"/>
      <w:marLeft w:val="0"/>
      <w:marRight w:val="0"/>
      <w:marTop w:val="0"/>
      <w:marBottom w:val="0"/>
      <w:divBdr>
        <w:top w:val="none" w:sz="0" w:space="0" w:color="auto"/>
        <w:left w:val="none" w:sz="0" w:space="0" w:color="auto"/>
        <w:bottom w:val="none" w:sz="0" w:space="0" w:color="auto"/>
        <w:right w:val="none" w:sz="0" w:space="0" w:color="auto"/>
      </w:divBdr>
      <w:divsChild>
        <w:div w:id="497963243">
          <w:marLeft w:val="660"/>
          <w:marRight w:val="660"/>
          <w:marTop w:val="0"/>
          <w:marBottom w:val="360"/>
          <w:divBdr>
            <w:top w:val="none" w:sz="0" w:space="0" w:color="auto"/>
            <w:left w:val="none" w:sz="0" w:space="0" w:color="auto"/>
            <w:bottom w:val="none" w:sz="0" w:space="0" w:color="auto"/>
            <w:right w:val="none" w:sz="0" w:space="0" w:color="auto"/>
          </w:divBdr>
          <w:divsChild>
            <w:div w:id="450242377">
              <w:marLeft w:val="0"/>
              <w:marRight w:val="0"/>
              <w:marTop w:val="0"/>
              <w:marBottom w:val="0"/>
              <w:divBdr>
                <w:top w:val="none" w:sz="0" w:space="0" w:color="auto"/>
                <w:left w:val="none" w:sz="0" w:space="0" w:color="auto"/>
                <w:bottom w:val="none" w:sz="0" w:space="0" w:color="auto"/>
                <w:right w:val="none" w:sz="0" w:space="0" w:color="auto"/>
              </w:divBdr>
              <w:divsChild>
                <w:div w:id="219292495">
                  <w:marLeft w:val="0"/>
                  <w:marRight w:val="0"/>
                  <w:marTop w:val="0"/>
                  <w:marBottom w:val="0"/>
                  <w:divBdr>
                    <w:top w:val="none" w:sz="0" w:space="0" w:color="auto"/>
                    <w:left w:val="none" w:sz="0" w:space="0" w:color="auto"/>
                    <w:bottom w:val="none" w:sz="0" w:space="0" w:color="auto"/>
                    <w:right w:val="none" w:sz="0" w:space="0" w:color="auto"/>
                  </w:divBdr>
                  <w:divsChild>
                    <w:div w:id="8136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938584">
      <w:bodyDiv w:val="1"/>
      <w:marLeft w:val="0"/>
      <w:marRight w:val="0"/>
      <w:marTop w:val="0"/>
      <w:marBottom w:val="0"/>
      <w:divBdr>
        <w:top w:val="none" w:sz="0" w:space="0" w:color="auto"/>
        <w:left w:val="none" w:sz="0" w:space="0" w:color="auto"/>
        <w:bottom w:val="none" w:sz="0" w:space="0" w:color="auto"/>
        <w:right w:val="none" w:sz="0" w:space="0" w:color="auto"/>
      </w:divBdr>
      <w:divsChild>
        <w:div w:id="87120124">
          <w:marLeft w:val="660"/>
          <w:marRight w:val="660"/>
          <w:marTop w:val="0"/>
          <w:marBottom w:val="360"/>
          <w:divBdr>
            <w:top w:val="none" w:sz="0" w:space="0" w:color="auto"/>
            <w:left w:val="none" w:sz="0" w:space="0" w:color="auto"/>
            <w:bottom w:val="none" w:sz="0" w:space="0" w:color="auto"/>
            <w:right w:val="none" w:sz="0" w:space="0" w:color="auto"/>
          </w:divBdr>
          <w:divsChild>
            <w:div w:id="367922621">
              <w:marLeft w:val="0"/>
              <w:marRight w:val="0"/>
              <w:marTop w:val="0"/>
              <w:marBottom w:val="0"/>
              <w:divBdr>
                <w:top w:val="none" w:sz="0" w:space="0" w:color="auto"/>
                <w:left w:val="none" w:sz="0" w:space="0" w:color="auto"/>
                <w:bottom w:val="none" w:sz="0" w:space="0" w:color="auto"/>
                <w:right w:val="none" w:sz="0" w:space="0" w:color="auto"/>
              </w:divBdr>
              <w:divsChild>
                <w:div w:id="1450858890">
                  <w:marLeft w:val="0"/>
                  <w:marRight w:val="0"/>
                  <w:marTop w:val="0"/>
                  <w:marBottom w:val="0"/>
                  <w:divBdr>
                    <w:top w:val="none" w:sz="0" w:space="0" w:color="auto"/>
                    <w:left w:val="none" w:sz="0" w:space="0" w:color="auto"/>
                    <w:bottom w:val="none" w:sz="0" w:space="0" w:color="auto"/>
                    <w:right w:val="none" w:sz="0" w:space="0" w:color="auto"/>
                  </w:divBdr>
                  <w:divsChild>
                    <w:div w:id="6028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3618">
      <w:bodyDiv w:val="1"/>
      <w:marLeft w:val="0"/>
      <w:marRight w:val="0"/>
      <w:marTop w:val="0"/>
      <w:marBottom w:val="0"/>
      <w:divBdr>
        <w:top w:val="none" w:sz="0" w:space="0" w:color="auto"/>
        <w:left w:val="none" w:sz="0" w:space="0" w:color="auto"/>
        <w:bottom w:val="none" w:sz="0" w:space="0" w:color="auto"/>
        <w:right w:val="none" w:sz="0" w:space="0" w:color="auto"/>
      </w:divBdr>
    </w:div>
    <w:div w:id="1912034508">
      <w:bodyDiv w:val="1"/>
      <w:marLeft w:val="0"/>
      <w:marRight w:val="0"/>
      <w:marTop w:val="0"/>
      <w:marBottom w:val="0"/>
      <w:divBdr>
        <w:top w:val="none" w:sz="0" w:space="0" w:color="auto"/>
        <w:left w:val="none" w:sz="0" w:space="0" w:color="auto"/>
        <w:bottom w:val="none" w:sz="0" w:space="0" w:color="auto"/>
        <w:right w:val="none" w:sz="0" w:space="0" w:color="auto"/>
      </w:divBdr>
    </w:div>
    <w:div w:id="1919945797">
      <w:bodyDiv w:val="1"/>
      <w:marLeft w:val="0"/>
      <w:marRight w:val="0"/>
      <w:marTop w:val="0"/>
      <w:marBottom w:val="0"/>
      <w:divBdr>
        <w:top w:val="none" w:sz="0" w:space="0" w:color="auto"/>
        <w:left w:val="none" w:sz="0" w:space="0" w:color="auto"/>
        <w:bottom w:val="none" w:sz="0" w:space="0" w:color="auto"/>
        <w:right w:val="none" w:sz="0" w:space="0" w:color="auto"/>
      </w:divBdr>
    </w:div>
    <w:div w:id="1927767109">
      <w:bodyDiv w:val="1"/>
      <w:marLeft w:val="0"/>
      <w:marRight w:val="0"/>
      <w:marTop w:val="0"/>
      <w:marBottom w:val="0"/>
      <w:divBdr>
        <w:top w:val="none" w:sz="0" w:space="0" w:color="auto"/>
        <w:left w:val="none" w:sz="0" w:space="0" w:color="auto"/>
        <w:bottom w:val="none" w:sz="0" w:space="0" w:color="auto"/>
        <w:right w:val="none" w:sz="0" w:space="0" w:color="auto"/>
      </w:divBdr>
    </w:div>
    <w:div w:id="1935548197">
      <w:bodyDiv w:val="1"/>
      <w:marLeft w:val="0"/>
      <w:marRight w:val="0"/>
      <w:marTop w:val="0"/>
      <w:marBottom w:val="0"/>
      <w:divBdr>
        <w:top w:val="none" w:sz="0" w:space="0" w:color="auto"/>
        <w:left w:val="none" w:sz="0" w:space="0" w:color="auto"/>
        <w:bottom w:val="none" w:sz="0" w:space="0" w:color="auto"/>
        <w:right w:val="none" w:sz="0" w:space="0" w:color="auto"/>
      </w:divBdr>
    </w:div>
    <w:div w:id="1944723307">
      <w:bodyDiv w:val="1"/>
      <w:marLeft w:val="0"/>
      <w:marRight w:val="0"/>
      <w:marTop w:val="0"/>
      <w:marBottom w:val="0"/>
      <w:divBdr>
        <w:top w:val="none" w:sz="0" w:space="0" w:color="auto"/>
        <w:left w:val="none" w:sz="0" w:space="0" w:color="auto"/>
        <w:bottom w:val="none" w:sz="0" w:space="0" w:color="auto"/>
        <w:right w:val="none" w:sz="0" w:space="0" w:color="auto"/>
      </w:divBdr>
    </w:div>
    <w:div w:id="1944725670">
      <w:bodyDiv w:val="1"/>
      <w:marLeft w:val="0"/>
      <w:marRight w:val="0"/>
      <w:marTop w:val="0"/>
      <w:marBottom w:val="0"/>
      <w:divBdr>
        <w:top w:val="none" w:sz="0" w:space="0" w:color="auto"/>
        <w:left w:val="none" w:sz="0" w:space="0" w:color="auto"/>
        <w:bottom w:val="none" w:sz="0" w:space="0" w:color="auto"/>
        <w:right w:val="none" w:sz="0" w:space="0" w:color="auto"/>
      </w:divBdr>
    </w:div>
    <w:div w:id="1947035452">
      <w:bodyDiv w:val="1"/>
      <w:marLeft w:val="0"/>
      <w:marRight w:val="0"/>
      <w:marTop w:val="0"/>
      <w:marBottom w:val="0"/>
      <w:divBdr>
        <w:top w:val="none" w:sz="0" w:space="0" w:color="auto"/>
        <w:left w:val="none" w:sz="0" w:space="0" w:color="auto"/>
        <w:bottom w:val="none" w:sz="0" w:space="0" w:color="auto"/>
        <w:right w:val="none" w:sz="0" w:space="0" w:color="auto"/>
      </w:divBdr>
      <w:divsChild>
        <w:div w:id="1513447130">
          <w:marLeft w:val="0"/>
          <w:marRight w:val="0"/>
          <w:marTop w:val="0"/>
          <w:marBottom w:val="0"/>
          <w:divBdr>
            <w:top w:val="none" w:sz="0" w:space="0" w:color="auto"/>
            <w:left w:val="none" w:sz="0" w:space="0" w:color="auto"/>
            <w:bottom w:val="none" w:sz="0" w:space="0" w:color="auto"/>
            <w:right w:val="none" w:sz="0" w:space="0" w:color="auto"/>
          </w:divBdr>
          <w:divsChild>
            <w:div w:id="1823034389">
              <w:marLeft w:val="0"/>
              <w:marRight w:val="0"/>
              <w:marTop w:val="0"/>
              <w:marBottom w:val="0"/>
              <w:divBdr>
                <w:top w:val="none" w:sz="0" w:space="0" w:color="auto"/>
                <w:left w:val="none" w:sz="0" w:space="0" w:color="auto"/>
                <w:bottom w:val="none" w:sz="0" w:space="0" w:color="auto"/>
                <w:right w:val="none" w:sz="0" w:space="0" w:color="auto"/>
              </w:divBdr>
              <w:divsChild>
                <w:div w:id="2059862402">
                  <w:marLeft w:val="0"/>
                  <w:marRight w:val="0"/>
                  <w:marTop w:val="0"/>
                  <w:marBottom w:val="0"/>
                  <w:divBdr>
                    <w:top w:val="none" w:sz="0" w:space="0" w:color="auto"/>
                    <w:left w:val="none" w:sz="0" w:space="0" w:color="auto"/>
                    <w:bottom w:val="none" w:sz="0" w:space="0" w:color="auto"/>
                    <w:right w:val="none" w:sz="0" w:space="0" w:color="auto"/>
                  </w:divBdr>
                  <w:divsChild>
                    <w:div w:id="575937131">
                      <w:marLeft w:val="0"/>
                      <w:marRight w:val="0"/>
                      <w:marTop w:val="0"/>
                      <w:marBottom w:val="0"/>
                      <w:divBdr>
                        <w:top w:val="none" w:sz="0" w:space="0" w:color="auto"/>
                        <w:left w:val="none" w:sz="0" w:space="0" w:color="auto"/>
                        <w:bottom w:val="none" w:sz="0" w:space="0" w:color="auto"/>
                        <w:right w:val="none" w:sz="0" w:space="0" w:color="auto"/>
                      </w:divBdr>
                      <w:divsChild>
                        <w:div w:id="416364782">
                          <w:marLeft w:val="0"/>
                          <w:marRight w:val="0"/>
                          <w:marTop w:val="0"/>
                          <w:marBottom w:val="0"/>
                          <w:divBdr>
                            <w:top w:val="none" w:sz="0" w:space="0" w:color="auto"/>
                            <w:left w:val="none" w:sz="0" w:space="0" w:color="auto"/>
                            <w:bottom w:val="none" w:sz="0" w:space="0" w:color="auto"/>
                            <w:right w:val="none" w:sz="0" w:space="0" w:color="auto"/>
                          </w:divBdr>
                          <w:divsChild>
                            <w:div w:id="4396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248528">
      <w:bodyDiv w:val="1"/>
      <w:marLeft w:val="0"/>
      <w:marRight w:val="0"/>
      <w:marTop w:val="0"/>
      <w:marBottom w:val="0"/>
      <w:divBdr>
        <w:top w:val="none" w:sz="0" w:space="0" w:color="auto"/>
        <w:left w:val="none" w:sz="0" w:space="0" w:color="auto"/>
        <w:bottom w:val="none" w:sz="0" w:space="0" w:color="auto"/>
        <w:right w:val="none" w:sz="0" w:space="0" w:color="auto"/>
      </w:divBdr>
    </w:div>
    <w:div w:id="1966042717">
      <w:bodyDiv w:val="1"/>
      <w:marLeft w:val="0"/>
      <w:marRight w:val="0"/>
      <w:marTop w:val="0"/>
      <w:marBottom w:val="0"/>
      <w:divBdr>
        <w:top w:val="none" w:sz="0" w:space="0" w:color="auto"/>
        <w:left w:val="none" w:sz="0" w:space="0" w:color="auto"/>
        <w:bottom w:val="none" w:sz="0" w:space="0" w:color="auto"/>
        <w:right w:val="none" w:sz="0" w:space="0" w:color="auto"/>
      </w:divBdr>
    </w:div>
    <w:div w:id="1980458475">
      <w:bodyDiv w:val="1"/>
      <w:marLeft w:val="0"/>
      <w:marRight w:val="0"/>
      <w:marTop w:val="0"/>
      <w:marBottom w:val="0"/>
      <w:divBdr>
        <w:top w:val="none" w:sz="0" w:space="0" w:color="auto"/>
        <w:left w:val="none" w:sz="0" w:space="0" w:color="auto"/>
        <w:bottom w:val="none" w:sz="0" w:space="0" w:color="auto"/>
        <w:right w:val="none" w:sz="0" w:space="0" w:color="auto"/>
      </w:divBdr>
    </w:div>
    <w:div w:id="1996032658">
      <w:bodyDiv w:val="1"/>
      <w:marLeft w:val="0"/>
      <w:marRight w:val="0"/>
      <w:marTop w:val="0"/>
      <w:marBottom w:val="0"/>
      <w:divBdr>
        <w:top w:val="none" w:sz="0" w:space="0" w:color="auto"/>
        <w:left w:val="none" w:sz="0" w:space="0" w:color="auto"/>
        <w:bottom w:val="none" w:sz="0" w:space="0" w:color="auto"/>
        <w:right w:val="none" w:sz="0" w:space="0" w:color="auto"/>
      </w:divBdr>
    </w:div>
    <w:div w:id="2010214303">
      <w:bodyDiv w:val="1"/>
      <w:marLeft w:val="0"/>
      <w:marRight w:val="0"/>
      <w:marTop w:val="0"/>
      <w:marBottom w:val="0"/>
      <w:divBdr>
        <w:top w:val="none" w:sz="0" w:space="0" w:color="auto"/>
        <w:left w:val="none" w:sz="0" w:space="0" w:color="auto"/>
        <w:bottom w:val="none" w:sz="0" w:space="0" w:color="auto"/>
        <w:right w:val="none" w:sz="0" w:space="0" w:color="auto"/>
      </w:divBdr>
    </w:div>
    <w:div w:id="2018313085">
      <w:bodyDiv w:val="1"/>
      <w:marLeft w:val="0"/>
      <w:marRight w:val="0"/>
      <w:marTop w:val="0"/>
      <w:marBottom w:val="0"/>
      <w:divBdr>
        <w:top w:val="none" w:sz="0" w:space="0" w:color="auto"/>
        <w:left w:val="none" w:sz="0" w:space="0" w:color="auto"/>
        <w:bottom w:val="none" w:sz="0" w:space="0" w:color="auto"/>
        <w:right w:val="none" w:sz="0" w:space="0" w:color="auto"/>
      </w:divBdr>
      <w:divsChild>
        <w:div w:id="1265529073">
          <w:marLeft w:val="660"/>
          <w:marRight w:val="660"/>
          <w:marTop w:val="0"/>
          <w:marBottom w:val="360"/>
          <w:divBdr>
            <w:top w:val="none" w:sz="0" w:space="0" w:color="auto"/>
            <w:left w:val="none" w:sz="0" w:space="0" w:color="auto"/>
            <w:bottom w:val="none" w:sz="0" w:space="0" w:color="auto"/>
            <w:right w:val="none" w:sz="0" w:space="0" w:color="auto"/>
          </w:divBdr>
          <w:divsChild>
            <w:div w:id="354310295">
              <w:marLeft w:val="0"/>
              <w:marRight w:val="0"/>
              <w:marTop w:val="0"/>
              <w:marBottom w:val="0"/>
              <w:divBdr>
                <w:top w:val="none" w:sz="0" w:space="0" w:color="auto"/>
                <w:left w:val="none" w:sz="0" w:space="0" w:color="auto"/>
                <w:bottom w:val="none" w:sz="0" w:space="0" w:color="auto"/>
                <w:right w:val="none" w:sz="0" w:space="0" w:color="auto"/>
              </w:divBdr>
              <w:divsChild>
                <w:div w:id="1433435132">
                  <w:marLeft w:val="0"/>
                  <w:marRight w:val="0"/>
                  <w:marTop w:val="0"/>
                  <w:marBottom w:val="0"/>
                  <w:divBdr>
                    <w:top w:val="none" w:sz="0" w:space="0" w:color="auto"/>
                    <w:left w:val="none" w:sz="0" w:space="0" w:color="auto"/>
                    <w:bottom w:val="none" w:sz="0" w:space="0" w:color="auto"/>
                    <w:right w:val="none" w:sz="0" w:space="0" w:color="auto"/>
                  </w:divBdr>
                  <w:divsChild>
                    <w:div w:id="1582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115963">
      <w:bodyDiv w:val="1"/>
      <w:marLeft w:val="0"/>
      <w:marRight w:val="0"/>
      <w:marTop w:val="0"/>
      <w:marBottom w:val="0"/>
      <w:divBdr>
        <w:top w:val="none" w:sz="0" w:space="0" w:color="auto"/>
        <w:left w:val="none" w:sz="0" w:space="0" w:color="auto"/>
        <w:bottom w:val="none" w:sz="0" w:space="0" w:color="auto"/>
        <w:right w:val="none" w:sz="0" w:space="0" w:color="auto"/>
      </w:divBdr>
    </w:div>
    <w:div w:id="2020888780">
      <w:bodyDiv w:val="1"/>
      <w:marLeft w:val="0"/>
      <w:marRight w:val="0"/>
      <w:marTop w:val="0"/>
      <w:marBottom w:val="0"/>
      <w:divBdr>
        <w:top w:val="none" w:sz="0" w:space="0" w:color="auto"/>
        <w:left w:val="none" w:sz="0" w:space="0" w:color="auto"/>
        <w:bottom w:val="none" w:sz="0" w:space="0" w:color="auto"/>
        <w:right w:val="none" w:sz="0" w:space="0" w:color="auto"/>
      </w:divBdr>
    </w:div>
    <w:div w:id="2022511294">
      <w:bodyDiv w:val="1"/>
      <w:marLeft w:val="0"/>
      <w:marRight w:val="0"/>
      <w:marTop w:val="0"/>
      <w:marBottom w:val="0"/>
      <w:divBdr>
        <w:top w:val="none" w:sz="0" w:space="0" w:color="auto"/>
        <w:left w:val="none" w:sz="0" w:space="0" w:color="auto"/>
        <w:bottom w:val="none" w:sz="0" w:space="0" w:color="auto"/>
        <w:right w:val="none" w:sz="0" w:space="0" w:color="auto"/>
      </w:divBdr>
    </w:div>
    <w:div w:id="2023779909">
      <w:bodyDiv w:val="1"/>
      <w:marLeft w:val="0"/>
      <w:marRight w:val="0"/>
      <w:marTop w:val="0"/>
      <w:marBottom w:val="0"/>
      <w:divBdr>
        <w:top w:val="none" w:sz="0" w:space="0" w:color="auto"/>
        <w:left w:val="none" w:sz="0" w:space="0" w:color="auto"/>
        <w:bottom w:val="none" w:sz="0" w:space="0" w:color="auto"/>
        <w:right w:val="none" w:sz="0" w:space="0" w:color="auto"/>
      </w:divBdr>
    </w:div>
    <w:div w:id="2033333977">
      <w:bodyDiv w:val="1"/>
      <w:marLeft w:val="0"/>
      <w:marRight w:val="0"/>
      <w:marTop w:val="0"/>
      <w:marBottom w:val="0"/>
      <w:divBdr>
        <w:top w:val="none" w:sz="0" w:space="0" w:color="auto"/>
        <w:left w:val="none" w:sz="0" w:space="0" w:color="auto"/>
        <w:bottom w:val="none" w:sz="0" w:space="0" w:color="auto"/>
        <w:right w:val="none" w:sz="0" w:space="0" w:color="auto"/>
      </w:divBdr>
    </w:div>
    <w:div w:id="2033605051">
      <w:bodyDiv w:val="1"/>
      <w:marLeft w:val="0"/>
      <w:marRight w:val="0"/>
      <w:marTop w:val="0"/>
      <w:marBottom w:val="0"/>
      <w:divBdr>
        <w:top w:val="none" w:sz="0" w:space="0" w:color="auto"/>
        <w:left w:val="none" w:sz="0" w:space="0" w:color="auto"/>
        <w:bottom w:val="none" w:sz="0" w:space="0" w:color="auto"/>
        <w:right w:val="none" w:sz="0" w:space="0" w:color="auto"/>
      </w:divBdr>
    </w:div>
    <w:div w:id="2052610210">
      <w:bodyDiv w:val="1"/>
      <w:marLeft w:val="0"/>
      <w:marRight w:val="0"/>
      <w:marTop w:val="0"/>
      <w:marBottom w:val="0"/>
      <w:divBdr>
        <w:top w:val="none" w:sz="0" w:space="0" w:color="auto"/>
        <w:left w:val="none" w:sz="0" w:space="0" w:color="auto"/>
        <w:bottom w:val="none" w:sz="0" w:space="0" w:color="auto"/>
        <w:right w:val="none" w:sz="0" w:space="0" w:color="auto"/>
      </w:divBdr>
    </w:div>
    <w:div w:id="2059815980">
      <w:bodyDiv w:val="1"/>
      <w:marLeft w:val="0"/>
      <w:marRight w:val="0"/>
      <w:marTop w:val="0"/>
      <w:marBottom w:val="0"/>
      <w:divBdr>
        <w:top w:val="none" w:sz="0" w:space="0" w:color="auto"/>
        <w:left w:val="none" w:sz="0" w:space="0" w:color="auto"/>
        <w:bottom w:val="none" w:sz="0" w:space="0" w:color="auto"/>
        <w:right w:val="none" w:sz="0" w:space="0" w:color="auto"/>
      </w:divBdr>
    </w:div>
    <w:div w:id="2063676319">
      <w:bodyDiv w:val="1"/>
      <w:marLeft w:val="0"/>
      <w:marRight w:val="0"/>
      <w:marTop w:val="0"/>
      <w:marBottom w:val="0"/>
      <w:divBdr>
        <w:top w:val="none" w:sz="0" w:space="0" w:color="auto"/>
        <w:left w:val="none" w:sz="0" w:space="0" w:color="auto"/>
        <w:bottom w:val="none" w:sz="0" w:space="0" w:color="auto"/>
        <w:right w:val="none" w:sz="0" w:space="0" w:color="auto"/>
      </w:divBdr>
    </w:div>
    <w:div w:id="2068071358">
      <w:bodyDiv w:val="1"/>
      <w:marLeft w:val="0"/>
      <w:marRight w:val="0"/>
      <w:marTop w:val="0"/>
      <w:marBottom w:val="0"/>
      <w:divBdr>
        <w:top w:val="none" w:sz="0" w:space="0" w:color="auto"/>
        <w:left w:val="none" w:sz="0" w:space="0" w:color="auto"/>
        <w:bottom w:val="none" w:sz="0" w:space="0" w:color="auto"/>
        <w:right w:val="none" w:sz="0" w:space="0" w:color="auto"/>
      </w:divBdr>
      <w:divsChild>
        <w:div w:id="279530471">
          <w:marLeft w:val="540"/>
          <w:marRight w:val="540"/>
          <w:marTop w:val="0"/>
          <w:marBottom w:val="360"/>
          <w:divBdr>
            <w:top w:val="none" w:sz="0" w:space="0" w:color="auto"/>
            <w:left w:val="none" w:sz="0" w:space="0" w:color="auto"/>
            <w:bottom w:val="none" w:sz="0" w:space="0" w:color="auto"/>
            <w:right w:val="none" w:sz="0" w:space="0" w:color="auto"/>
          </w:divBdr>
          <w:divsChild>
            <w:div w:id="1422490610">
              <w:marLeft w:val="0"/>
              <w:marRight w:val="0"/>
              <w:marTop w:val="0"/>
              <w:marBottom w:val="0"/>
              <w:divBdr>
                <w:top w:val="none" w:sz="0" w:space="0" w:color="auto"/>
                <w:left w:val="none" w:sz="0" w:space="0" w:color="auto"/>
                <w:bottom w:val="none" w:sz="0" w:space="0" w:color="auto"/>
                <w:right w:val="none" w:sz="0" w:space="0" w:color="auto"/>
              </w:divBdr>
              <w:divsChild>
                <w:div w:id="451289112">
                  <w:marLeft w:val="0"/>
                  <w:marRight w:val="0"/>
                  <w:marTop w:val="0"/>
                  <w:marBottom w:val="0"/>
                  <w:divBdr>
                    <w:top w:val="none" w:sz="0" w:space="0" w:color="auto"/>
                    <w:left w:val="none" w:sz="0" w:space="0" w:color="auto"/>
                    <w:bottom w:val="none" w:sz="0" w:space="0" w:color="auto"/>
                    <w:right w:val="none" w:sz="0" w:space="0" w:color="auto"/>
                  </w:divBdr>
                  <w:divsChild>
                    <w:div w:id="23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4222">
      <w:bodyDiv w:val="1"/>
      <w:marLeft w:val="0"/>
      <w:marRight w:val="0"/>
      <w:marTop w:val="0"/>
      <w:marBottom w:val="0"/>
      <w:divBdr>
        <w:top w:val="none" w:sz="0" w:space="0" w:color="auto"/>
        <w:left w:val="none" w:sz="0" w:space="0" w:color="auto"/>
        <w:bottom w:val="none" w:sz="0" w:space="0" w:color="auto"/>
        <w:right w:val="none" w:sz="0" w:space="0" w:color="auto"/>
      </w:divBdr>
    </w:div>
    <w:div w:id="2086802545">
      <w:bodyDiv w:val="1"/>
      <w:marLeft w:val="0"/>
      <w:marRight w:val="0"/>
      <w:marTop w:val="0"/>
      <w:marBottom w:val="0"/>
      <w:divBdr>
        <w:top w:val="none" w:sz="0" w:space="0" w:color="auto"/>
        <w:left w:val="none" w:sz="0" w:space="0" w:color="auto"/>
        <w:bottom w:val="none" w:sz="0" w:space="0" w:color="auto"/>
        <w:right w:val="none" w:sz="0" w:space="0" w:color="auto"/>
      </w:divBdr>
    </w:div>
    <w:div w:id="2091196372">
      <w:bodyDiv w:val="1"/>
      <w:marLeft w:val="0"/>
      <w:marRight w:val="0"/>
      <w:marTop w:val="0"/>
      <w:marBottom w:val="0"/>
      <w:divBdr>
        <w:top w:val="none" w:sz="0" w:space="0" w:color="auto"/>
        <w:left w:val="none" w:sz="0" w:space="0" w:color="auto"/>
        <w:bottom w:val="none" w:sz="0" w:space="0" w:color="auto"/>
        <w:right w:val="none" w:sz="0" w:space="0" w:color="auto"/>
      </w:divBdr>
    </w:div>
    <w:div w:id="2094348673">
      <w:bodyDiv w:val="1"/>
      <w:marLeft w:val="0"/>
      <w:marRight w:val="0"/>
      <w:marTop w:val="0"/>
      <w:marBottom w:val="0"/>
      <w:divBdr>
        <w:top w:val="none" w:sz="0" w:space="0" w:color="auto"/>
        <w:left w:val="none" w:sz="0" w:space="0" w:color="auto"/>
        <w:bottom w:val="none" w:sz="0" w:space="0" w:color="auto"/>
        <w:right w:val="none" w:sz="0" w:space="0" w:color="auto"/>
      </w:divBdr>
      <w:divsChild>
        <w:div w:id="1932394675">
          <w:marLeft w:val="660"/>
          <w:marRight w:val="660"/>
          <w:marTop w:val="0"/>
          <w:marBottom w:val="360"/>
          <w:divBdr>
            <w:top w:val="none" w:sz="0" w:space="0" w:color="auto"/>
            <w:left w:val="none" w:sz="0" w:space="0" w:color="auto"/>
            <w:bottom w:val="none" w:sz="0" w:space="0" w:color="auto"/>
            <w:right w:val="none" w:sz="0" w:space="0" w:color="auto"/>
          </w:divBdr>
          <w:divsChild>
            <w:div w:id="1392776713">
              <w:marLeft w:val="0"/>
              <w:marRight w:val="0"/>
              <w:marTop w:val="0"/>
              <w:marBottom w:val="0"/>
              <w:divBdr>
                <w:top w:val="none" w:sz="0" w:space="0" w:color="auto"/>
                <w:left w:val="none" w:sz="0" w:space="0" w:color="auto"/>
                <w:bottom w:val="none" w:sz="0" w:space="0" w:color="auto"/>
                <w:right w:val="none" w:sz="0" w:space="0" w:color="auto"/>
              </w:divBdr>
              <w:divsChild>
                <w:div w:id="1325353314">
                  <w:marLeft w:val="0"/>
                  <w:marRight w:val="0"/>
                  <w:marTop w:val="0"/>
                  <w:marBottom w:val="0"/>
                  <w:divBdr>
                    <w:top w:val="none" w:sz="0" w:space="0" w:color="auto"/>
                    <w:left w:val="none" w:sz="0" w:space="0" w:color="auto"/>
                    <w:bottom w:val="none" w:sz="0" w:space="0" w:color="auto"/>
                    <w:right w:val="none" w:sz="0" w:space="0" w:color="auto"/>
                  </w:divBdr>
                  <w:divsChild>
                    <w:div w:id="95998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740571">
      <w:bodyDiv w:val="1"/>
      <w:marLeft w:val="0"/>
      <w:marRight w:val="0"/>
      <w:marTop w:val="0"/>
      <w:marBottom w:val="0"/>
      <w:divBdr>
        <w:top w:val="none" w:sz="0" w:space="0" w:color="auto"/>
        <w:left w:val="none" w:sz="0" w:space="0" w:color="auto"/>
        <w:bottom w:val="none" w:sz="0" w:space="0" w:color="auto"/>
        <w:right w:val="none" w:sz="0" w:space="0" w:color="auto"/>
      </w:divBdr>
    </w:div>
    <w:div w:id="2109111744">
      <w:bodyDiv w:val="1"/>
      <w:marLeft w:val="0"/>
      <w:marRight w:val="0"/>
      <w:marTop w:val="0"/>
      <w:marBottom w:val="0"/>
      <w:divBdr>
        <w:top w:val="none" w:sz="0" w:space="0" w:color="auto"/>
        <w:left w:val="none" w:sz="0" w:space="0" w:color="auto"/>
        <w:bottom w:val="none" w:sz="0" w:space="0" w:color="auto"/>
        <w:right w:val="none" w:sz="0" w:space="0" w:color="auto"/>
      </w:divBdr>
    </w:div>
    <w:div w:id="2116707656">
      <w:bodyDiv w:val="1"/>
      <w:marLeft w:val="0"/>
      <w:marRight w:val="0"/>
      <w:marTop w:val="0"/>
      <w:marBottom w:val="0"/>
      <w:divBdr>
        <w:top w:val="none" w:sz="0" w:space="0" w:color="auto"/>
        <w:left w:val="none" w:sz="0" w:space="0" w:color="auto"/>
        <w:bottom w:val="none" w:sz="0" w:space="0" w:color="auto"/>
        <w:right w:val="none" w:sz="0" w:space="0" w:color="auto"/>
      </w:divBdr>
    </w:div>
    <w:div w:id="2128963253">
      <w:bodyDiv w:val="1"/>
      <w:marLeft w:val="0"/>
      <w:marRight w:val="0"/>
      <w:marTop w:val="0"/>
      <w:marBottom w:val="0"/>
      <w:divBdr>
        <w:top w:val="none" w:sz="0" w:space="0" w:color="auto"/>
        <w:left w:val="none" w:sz="0" w:space="0" w:color="auto"/>
        <w:bottom w:val="none" w:sz="0" w:space="0" w:color="auto"/>
        <w:right w:val="none" w:sz="0" w:space="0" w:color="auto"/>
      </w:divBdr>
    </w:div>
    <w:div w:id="2135514032">
      <w:bodyDiv w:val="1"/>
      <w:marLeft w:val="0"/>
      <w:marRight w:val="0"/>
      <w:marTop w:val="0"/>
      <w:marBottom w:val="0"/>
      <w:divBdr>
        <w:top w:val="none" w:sz="0" w:space="0" w:color="auto"/>
        <w:left w:val="none" w:sz="0" w:space="0" w:color="auto"/>
        <w:bottom w:val="none" w:sz="0" w:space="0" w:color="auto"/>
        <w:right w:val="none" w:sz="0" w:space="0" w:color="auto"/>
      </w:divBdr>
    </w:div>
    <w:div w:id="2135560899">
      <w:bodyDiv w:val="1"/>
      <w:marLeft w:val="0"/>
      <w:marRight w:val="0"/>
      <w:marTop w:val="0"/>
      <w:marBottom w:val="0"/>
      <w:divBdr>
        <w:top w:val="none" w:sz="0" w:space="0" w:color="auto"/>
        <w:left w:val="none" w:sz="0" w:space="0" w:color="auto"/>
        <w:bottom w:val="none" w:sz="0" w:space="0" w:color="auto"/>
        <w:right w:val="none" w:sz="0" w:space="0" w:color="auto"/>
      </w:divBdr>
      <w:divsChild>
        <w:div w:id="1801537598">
          <w:marLeft w:val="0"/>
          <w:marRight w:val="0"/>
          <w:marTop w:val="0"/>
          <w:marBottom w:val="0"/>
          <w:divBdr>
            <w:top w:val="none" w:sz="0" w:space="0" w:color="auto"/>
            <w:left w:val="none" w:sz="0" w:space="0" w:color="auto"/>
            <w:bottom w:val="none" w:sz="0" w:space="0" w:color="auto"/>
            <w:right w:val="none" w:sz="0" w:space="0" w:color="auto"/>
          </w:divBdr>
          <w:divsChild>
            <w:div w:id="211747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73631">
      <w:bodyDiv w:val="1"/>
      <w:marLeft w:val="0"/>
      <w:marRight w:val="0"/>
      <w:marTop w:val="0"/>
      <w:marBottom w:val="0"/>
      <w:divBdr>
        <w:top w:val="none" w:sz="0" w:space="0" w:color="auto"/>
        <w:left w:val="none" w:sz="0" w:space="0" w:color="auto"/>
        <w:bottom w:val="none" w:sz="0" w:space="0" w:color="auto"/>
        <w:right w:val="none" w:sz="0" w:space="0" w:color="auto"/>
      </w:divBdr>
    </w:div>
    <w:div w:id="214580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adilet.zan.kz/rus/docs/K1500000375" TargetMode="External"/><Relationship Id="rId47" Type="http://schemas.openxmlformats.org/officeDocument/2006/relationships/hyperlink" Target="https://online.zakon.kz/Document/?doc_id=35771977&amp;pos=5;-106" TargetMode="External"/><Relationship Id="rId63" Type="http://schemas.openxmlformats.org/officeDocument/2006/relationships/hyperlink" Target="https://stat.uz/ru/ofitsialnaya-statistika/kalendar-ofitsial-naya-statistika" TargetMode="External"/><Relationship Id="rId68" Type="http://schemas.openxmlformats.org/officeDocument/2006/relationships/hyperlink" Target="https://eias.org/publications/op-ed/assessing-the-impact-of-the-eu-kazakhstan-memorandum-of-understand-on-critical-raw-materials/" TargetMode="External"/><Relationship Id="rId84" Type="http://schemas.openxmlformats.org/officeDocument/2006/relationships/hyperlink" Target="https://stat.gov.kz/ru/industries/business-statistics/stat-org/publications/280793/" TargetMode="External"/><Relationship Id="rId89" Type="http://schemas.openxmlformats.org/officeDocument/2006/relationships/hyperlink" Target="file:///C:/Users/user/Downloads/_gluster_2025_3_18_3d8fd6505a78591e9f62d430ba1574a5_original.20048653.pdf" TargetMode="External"/><Relationship Id="rId16" Type="http://schemas.openxmlformats.org/officeDocument/2006/relationships/image" Target="media/image7.png"/><Relationship Id="rId107" Type="http://schemas.openxmlformats.org/officeDocument/2006/relationships/footer" Target="footer3.xml"/><Relationship Id="rId11" Type="http://schemas.openxmlformats.org/officeDocument/2006/relationships/image" Target="media/image2.png"/><Relationship Id="rId32" Type="http://schemas.openxmlformats.org/officeDocument/2006/relationships/hyperlink" Target="https://www.lloydsbanktrade.com/en/market-potential/uzbekistan/investment" TargetMode="External"/><Relationship Id="rId37" Type="http://schemas.openxmlformats.org/officeDocument/2006/relationships/hyperlink" Target="https://carnegieeurope.eu/2023/04/13/new-opening-for-eu-central-asia-relations-pub-89454" TargetMode="External"/><Relationship Id="rId53" Type="http://schemas.openxmlformats.org/officeDocument/2006/relationships/hyperlink" Target="https://halykfinance.kz/download/files/analytics/HF_-_Neftyanoy_sektor.pdf" TargetMode="External"/><Relationship Id="rId58" Type="http://schemas.openxmlformats.org/officeDocument/2006/relationships/hyperlink" Target="https://www.vsemirnyjbank.org/ru/news/press-release/2024/01/09/global-economic-prospects-january-2024-press-release" TargetMode="External"/><Relationship Id="rId74" Type="http://schemas.openxmlformats.org/officeDocument/2006/relationships/hyperlink" Target="https://www.eeas.europa.eu/delegations/kazakhstan/eu-and-kazakhstan-take-next-step-their-cooperation-critical-raw-materials_en" TargetMode="External"/><Relationship Id="rId79" Type="http://schemas.openxmlformats.org/officeDocument/2006/relationships/hyperlink" Target="https://commission.europa.eu/document/download/0834fd47-c8cc-4f8a-9e9f-9afdbfed8069_en?filename=INTPA_AAR_2024_final.pdf" TargetMode="External"/><Relationship Id="rId102" Type="http://schemas.openxmlformats.org/officeDocument/2006/relationships/image" Target="media/image21.png"/><Relationship Id="rId5" Type="http://schemas.openxmlformats.org/officeDocument/2006/relationships/webSettings" Target="webSettings.xml"/><Relationship Id="rId90" Type="http://schemas.openxmlformats.org/officeDocument/2006/relationships/hyperlink" Target="https://lucentpetroleum.com/ru/%d0%be-%d0%bd%d0%b0%d1%81/%d0%b8%d1%81%d1%82%d0%be%d1%80%d0%b8%d1%8f-%d1%80%d0%b0%d0%b1%d0%be%d1%82/" TargetMode="External"/><Relationship Id="rId95" Type="http://schemas.openxmlformats.org/officeDocument/2006/relationships/hyperlink" Target="https://research-and-innovation.ec.europa.eu/strategy/support-policy-making/shaping-eu-research-and-innovation-policy/new-european-innovation-agenda_en"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hyperlink" Target="https://www.gov.kz/memleket/entities/invest/activities/1340?lang=ru" TargetMode="External"/><Relationship Id="rId48" Type="http://schemas.openxmlformats.org/officeDocument/2006/relationships/hyperlink" Target="https://adilet.zan.kz/rus/docs/P1600000013" TargetMode="External"/><Relationship Id="rId64" Type="http://schemas.openxmlformats.org/officeDocument/2006/relationships/hyperlink" Target="https://turkmenistan.gov.tm/index.php/en/post/93450/turkmenistans-economic-transformation-new-frontier-global-investment" TargetMode="External"/><Relationship Id="rId69" Type="http://schemas.openxmlformats.org/officeDocument/2006/relationships/hyperlink" Target="https://www.kun.uz/en/news/2024/04/06/uzbekistan-and-eu-sign-memorandum-of-understanding-on-critical-raw-materials" TargetMode="External"/><Relationship Id="rId80" Type="http://schemas.openxmlformats.org/officeDocument/2006/relationships/hyperlink" Target="https://international-partnerships.ec.europa.eu/news-and-events/news/global-gateway-eu-and-central-asian-countries-agree-building-blocks-develop-trans-caspian-transport-2024-01-30_en" TargetMode="External"/><Relationship Id="rId85" Type="http://schemas.openxmlformats.org/officeDocument/2006/relationships/hyperlink" Target="https://www.caravan.kz/news/pochemu-nemeckie-kompanii-zadumyvayutsya-o-begstve-iz-kazakhstana-v-uzbekistan-956969/" TargetMode="Externa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hyperlink" Target="https://www.oilgas.gov.tm/en/posts/1/13513/turkmenistan-attracted-11-billion-in-investments-in-2024" TargetMode="External"/><Relationship Id="rId38" Type="http://schemas.openxmlformats.org/officeDocument/2006/relationships/hyperlink" Target="https://invest.gov.kz/ru/about-us/corporate-governance/reports-and-plans/" TargetMode="External"/><Relationship Id="rId59" Type="http://schemas.openxmlformats.org/officeDocument/2006/relationships/hyperlink" Target="https://www.vsemirnyjbank.org/ru/news/press-release/2024/01/09/global-economic-prospects-january-2024-press-release" TargetMode="External"/><Relationship Id="rId103" Type="http://schemas.openxmlformats.org/officeDocument/2006/relationships/image" Target="media/image22.png"/><Relationship Id="rId108" Type="http://schemas.openxmlformats.org/officeDocument/2006/relationships/fontTable" Target="fontTable.xml"/><Relationship Id="rId54" Type="http://schemas.openxmlformats.org/officeDocument/2006/relationships/hyperlink" Target="https://www.adb.org/sites/default/files/publication/850386/public-private-partnership-monitor-kazakhstan-ru.pdf" TargetMode="External"/><Relationship Id="rId70" Type="http://schemas.openxmlformats.org/officeDocument/2006/relationships/hyperlink" Target="https://ec.europa.eu/commission/presscorner/detail/en/speech_23_2063" TargetMode="External"/><Relationship Id="rId75" Type="http://schemas.openxmlformats.org/officeDocument/2006/relationships/hyperlink" Target="https://rusmet.ru/press-center/uzbekistan-i-yuzhnaya-koreya-planiruyut-sovmestno-issledovat-mestorozhdenie-redkikh-metallov/" TargetMode="External"/><Relationship Id="rId91" Type="http://schemas.openxmlformats.org/officeDocument/2006/relationships/hyperlink" Target="https://atyrau.invest.gov.kz/ru/doing-business-here/intro/" TargetMode="External"/><Relationship Id="rId96" Type="http://schemas.openxmlformats.org/officeDocument/2006/relationships/hyperlink" Target="https://www.ey.com/content/dam/ey-unified-site/ey-com/ru-kz/newsroom/2025/ey-kazakhstan-investment-attractiveness-survey-202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hyperlink" Target="https://doi.org/10.1186/s13705-023-00406-3." TargetMode="External"/><Relationship Id="rId49" Type="http://schemas.openxmlformats.org/officeDocument/2006/relationships/hyperlink" Target="https://ratel.kz/raw/spasut_li_ekonomiku_inostrannye_investitsii_ili_sozdadut_dva_kazahstana" TargetMode="External"/><Relationship Id="rId57" Type="http://schemas.openxmlformats.org/officeDocument/2006/relationships/hyperlink" Target="https://adilet.zan.kz/rus/docs/V2300031722" TargetMode="External"/><Relationship Id="rId106" Type="http://schemas.openxmlformats.org/officeDocument/2006/relationships/footer" Target="footer2.xml"/><Relationship Id="rId10" Type="http://schemas.openxmlformats.org/officeDocument/2006/relationships/image" Target="media/image1.png"/><Relationship Id="rId31" Type="http://schemas.openxmlformats.org/officeDocument/2006/relationships/hyperlink" Target="https://www.nationalbank.kz/ru/news/pryamye-investicii-po-napravleniyu-vlozheniya" TargetMode="External"/><Relationship Id="rId44" Type="http://schemas.openxmlformats.org/officeDocument/2006/relationships/hyperlink" Target="https://www.europarl.europa.eu/delegations/en/the-new-eu-strategy-on-central-asia/product-details/20200331DPU25004" TargetMode="External"/><Relationship Id="rId52" Type="http://schemas.openxmlformats.org/officeDocument/2006/relationships/hyperlink" Target="https://adilet.zan.kz/rus/docs/Z1500000379" TargetMode="External"/><Relationship Id="rId60" Type="http://schemas.openxmlformats.org/officeDocument/2006/relationships/hyperlink" Target="https://docs.un.org/ru/E/2024/56" TargetMode="External"/><Relationship Id="rId65" Type="http://schemas.openxmlformats.org/officeDocument/2006/relationships/hyperlink" Target="https://qazinform.com/news/tajikistan-increased-volume-of-foreign-capital-inflow-in-2024-951289" TargetMode="External"/><Relationship Id="rId73" Type="http://schemas.openxmlformats.org/officeDocument/2006/relationships/hyperlink" Target="https://echo.kz/images/docs/About%20%20The%20Kazakhstan%20-%20EU%20Partnership%20on%20criticial%20raw%20materials%20_%20rus%201.pdf" TargetMode="External"/><Relationship Id="rId78" Type="http://schemas.openxmlformats.org/officeDocument/2006/relationships/hyperlink" Target="https://www.gazeta.uz/en/2025/04/05/ca-eu/" TargetMode="External"/><Relationship Id="rId81" Type="http://schemas.openxmlformats.org/officeDocument/2006/relationships/hyperlink" Target="https://forbes.kz/articles/kak-sdelat-sredniy-koridor-ekonomicheski-vygodnym" TargetMode="External"/><Relationship Id="rId86" Type="http://schemas.openxmlformats.org/officeDocument/2006/relationships/hyperlink" Target="&#1055;&#1088;&#1080;&#1086;&#1088;&#1080;&#1090;&#1077;&#1090;&#1085;&#1099;&#1077;%20&#1086;&#1090;&#1088;&#1072;&#1089;&#1083;&#1080;,%20&#1087;&#1088;&#1103;&#1084;&#1099;&#1077;%20&#1080;&#1085;&#1086;&#1089;&#1090;&#1088;&#1072;&#1085;&#1085;&#1099;&#1077;%20&#1080;&#1085;&#1074;&#1077;&#1089;&#1090;&#1080;&#1094;&#1080;&#1080;%20&#1080;%20&#1085;&#1086;&#1074;&#1099;&#1077;%20&#1087;&#1086;&#1076;&#1093;&#1086;&#1076;&#1099;%20&#8211;%20&#1082;&#1072;&#1082;&#1080;&#1077;%20&#1084;&#1077;&#1088;&#1099;%20&#1087;&#1086;%20&#1087;&#1088;&#1080;&#1074;&#1083;&#1077;&#1095;&#1077;&#1085;&#1080;&#1102;%20&#1080;&#1085;&#1074;&#1077;&#1089;&#1090;&#1080;&#1094;&#1080;&#1081;%20&#1087;&#1088;&#1080;&#1085;&#1080;&#1084;&#1072;&#1102;&#1090;&#1089;&#1103;%20&#1074;%20&#1050;&#1072;&#1079;&#1072;&#1093;&#1089;&#1090;&#1072;&#1085;&#1077;%20-%20&#1054;&#1092;&#1080;&#1094;&#1080;&#1072;&#1083;&#1100;&#1085;&#1099;&#1081;%20&#1080;&#1085;&#1092;&#1086;&#1088;&#1084;&#1072;&#1094;&#1080;&#1086;&#1085;&#1085;&#1099;&#1081;%20&#1088;&#1077;&#1089;&#1091;&#1088;&#1089;%20&#1055;&#1088;&#1077;&#1084;&#1100;&#1077;&#1088;-&#1084;&#1080;&#1085;&#1080;&#1089;&#1090;&#1088;&#1072;%20&#1056;&#1077;&#1089;&#1087;&#1091;&#1073;&#1083;&#1080;&#1082;&#1080;%20&#1050;&#1072;&#1079;&#1072;&#1093;&#1089;&#1090;&#1072;&#1085;" TargetMode="External"/><Relationship Id="rId94" Type="http://schemas.openxmlformats.org/officeDocument/2006/relationships/hyperlink" Target="https://invest.gov.kz/ru/invest-guide/support/" TargetMode="External"/><Relationship Id="rId99" Type="http://schemas.openxmlformats.org/officeDocument/2006/relationships/hyperlink" Target="https://www.edb.gov.sg/en/incentives-and-programmes/global-investor-programme.html" TargetMode="External"/><Relationship Id="rId10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adilet.zan.kz/rus/docs/P2400000868" TargetMode="External"/><Relationship Id="rId109" Type="http://schemas.openxmlformats.org/officeDocument/2006/relationships/theme" Target="theme/theme1.xml"/><Relationship Id="rId34" Type="http://schemas.openxmlformats.org/officeDocument/2006/relationships/hyperlink" Target="https://commission.europa.eu/strategy-and-policy/priorities-2019-2024/stronger-europe-world/global-gateway_en" TargetMode="External"/><Relationship Id="rId50" Type="http://schemas.openxmlformats.org/officeDocument/2006/relationships/hyperlink" Target="https://invest.gov.kz/ru/invest-guide/support/investment-activities/474/" TargetMode="External"/><Relationship Id="rId55" Type="http://schemas.openxmlformats.org/officeDocument/2006/relationships/hyperlink" Target="https://adilet.zan.kz/rus/docs/V2300032095" TargetMode="External"/><Relationship Id="rId76" Type="http://schemas.openxmlformats.org/officeDocument/2006/relationships/hyperlink" Target="https://www.europarl.europa.eu/doceo/document/A-9-2023-0407_EN.html" TargetMode="External"/><Relationship Id="rId97" Type="http://schemas.openxmlformats.org/officeDocument/2006/relationships/hyperlink" Target="https://kaztag.kz/en/news/kazakhstan-v-razy-otstaet-ot-razvitykh-stran-po-dole-niokr-v-vvp-senator" TargetMode="External"/><Relationship Id="rId10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ingle-market-economy.ec.europa.eu/sectors/raw-materials/areas-specific-interest/critical-raw-materials/critical-raw-materials-act_en" TargetMode="External"/><Relationship Id="rId92" Type="http://schemas.openxmlformats.org/officeDocument/2006/relationships/hyperlink" Target="https://adilet.zan.kz/rus/docs/U1300000577"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hyperlink" Target="https://adilet.zan.kz/rus/docs/Z910003200_" TargetMode="External"/><Relationship Id="rId45" Type="http://schemas.openxmlformats.org/officeDocument/2006/relationships/hyperlink" Target="https://data.consilium.europa.eu/doc/document/ST-14587-2023-INIT/en/pdf" TargetMode="External"/><Relationship Id="rId66" Type="http://schemas.openxmlformats.org/officeDocument/2006/relationships/hyperlink" Target="https://www.iss.europa.eu/sites/default/files/EUISSFiles/Brief_16_Central_Asia.pdf" TargetMode="External"/><Relationship Id="rId87" Type="http://schemas.openxmlformats.org/officeDocument/2006/relationships/hyperlink" Target="https://primeminister.kz/ru/news/reviews/prioritetnye-otrasli-pryamye-inostrannye-investicii-i-novye-podhody-kakie-mery-po-privlecheniyu-investiciy-prinimayutsya-v-kazahstane-3143955" TargetMode="External"/><Relationship Id="rId61" Type="http://schemas.openxmlformats.org/officeDocument/2006/relationships/hyperlink" Target="https://nationalbank.kz/ru/news/pryamye-investicii-po-napravleniyu-vlozheniya" TargetMode="External"/><Relationship Id="rId82" Type="http://schemas.openxmlformats.org/officeDocument/2006/relationships/hyperlink" Target="https://www.nationalbank.kz/file/download/92277)."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hyperlink" Target="https://unctad.org/publication/world-investment-report-2024" TargetMode="External"/><Relationship Id="rId35" Type="http://schemas.openxmlformats.org/officeDocument/2006/relationships/hyperlink" Target="https://stat.gov.kz/ru/industries/business-statistics/stat-invest/publications/280553/" TargetMode="External"/><Relationship Id="rId56" Type="http://schemas.openxmlformats.org/officeDocument/2006/relationships/hyperlink" Target="https://primeminister.kz/ru/news/interviews/intervyu-o-razvitie-gchp-v-kazahstane-sostoyanie-tendencii-i-perspektivy-1053646" TargetMode="External"/><Relationship Id="rId77" Type="http://schemas.openxmlformats.org/officeDocument/2006/relationships/hyperlink" Target="https://transport.ec.europa.eu/system/files/2023-" TargetMode="External"/><Relationship Id="rId100" Type="http://schemas.openxmlformats.org/officeDocument/2006/relationships/hyperlink" Target="https://www.investkorea.org/ik-en/index.do" TargetMode="External"/><Relationship Id="rId105" Type="http://schemas.openxmlformats.org/officeDocument/2006/relationships/image" Target="media/image23.png"/><Relationship Id="rId8" Type="http://schemas.openxmlformats.org/officeDocument/2006/relationships/chart" Target="charts/chart1.xml"/><Relationship Id="rId51" Type="http://schemas.openxmlformats.org/officeDocument/2006/relationships/hyperlink" Target="https://online.zakon.kz/Document/?doc_id=1000820" TargetMode="External"/><Relationship Id="rId72" Type="http://schemas.openxmlformats.org/officeDocument/2006/relationships/hyperlink" Target="https://aifc.kz/ru/novosti/zapasy-kriticheski-vazhnogo-syrya-pozvolyayut-kazahstanu-stat-vedushhim-postavshhikom-v-ramkah-energeticheskogo-perehoda/" TargetMode="External"/><Relationship Id="rId93" Type="http://schemas.openxmlformats.org/officeDocument/2006/relationships/hyperlink" Target="https://fic.kz/ru/kfica/members/9" TargetMode="External"/><Relationship Id="rId98" Type="http://schemas.openxmlformats.org/officeDocument/2006/relationships/hyperlink" Target="https://w3.unece.org/SDG/ru/Indicator?id=123"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international-partnerships.ec.europa.eu/news-and-events/news/global-gateway-eu300-billion-european-unions-strategy-boost-sustainable-links-around-world-2021-12-01_en" TargetMode="External"/><Relationship Id="rId67" Type="http://schemas.openxmlformats.org/officeDocument/2006/relationships/hyperlink" Target="https://nbn-resolving.org/urn:nbn:de:0168-ssoar-418806" TargetMode="External"/><Relationship Id="rId20" Type="http://schemas.openxmlformats.org/officeDocument/2006/relationships/image" Target="media/image11.png"/><Relationship Id="rId41" Type="http://schemas.openxmlformats.org/officeDocument/2006/relationships/hyperlink" Target="https://adilet.zan.kz/rus/docs/Z940009000_" TargetMode="External"/><Relationship Id="rId62" Type="http://schemas.openxmlformats.org/officeDocument/2006/relationships/hyperlink" Target="https://stat.gov.kg/ru/statistics/investicii/" TargetMode="External"/><Relationship Id="rId83" Type="http://schemas.openxmlformats.org/officeDocument/2006/relationships/hyperlink" Target="https://www.cluster-analysis.org/" TargetMode="External"/><Relationship Id="rId88" Type="http://schemas.openxmlformats.org/officeDocument/2006/relationships/hyperlink" Target="https://neftegaz.ru/news/nuclear/862180-frantsuzskaya-orano-i-kazatomprom-planiruyut-zapustit-uranopererabatyvayushchiy-komplek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2;&#1086;&#1103;%20&#1044;&#1080;&#1089;&#1089;&#1077;&#1088;&#1090;&#1072;&#1094;&#1080;&#1103;\&#1089;&#1090;&#1072;&#1090;%20&#1076;&#1072;&#1085;&#1085;&#1099;&#1077;\&#1048;&#1085;&#1074;&#1077;&#1089;&#1090;&#1080;&#1094;&#1080;&#1080;%20&#1045;&#1057;%20&#1074;%20&#1050;&#1072;&#1079;&#1072;&#1093;&#1089;&#1090;&#1072;&#1085;%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2;&#1086;&#1103;%20&#1044;&#1080;&#1089;&#1089;&#1077;&#1088;&#1090;&#1072;&#1094;&#1080;&#1103;\&#1089;&#1090;&#1072;&#1090;%20&#1076;&#1072;&#1085;&#1085;&#1099;&#1077;\&#1048;&#1085;&#1074;&#1077;&#1089;&#1090;&#1080;&#1094;&#1080;&#1080;%20&#1045;&#1057;%20&#1074;%20&#1050;&#1072;&#1079;&#1072;&#1093;&#1089;&#1090;&#1072;&#108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wnloads\Book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52631578947403E-2"/>
          <c:y val="0.15217391304347799"/>
          <c:w val="0.91649999999999998"/>
          <c:h val="0.67399829497016195"/>
        </c:manualLayout>
      </c:layout>
      <c:barChart>
        <c:barDir val="col"/>
        <c:grouping val="clustered"/>
        <c:varyColors val="0"/>
        <c:ser>
          <c:idx val="0"/>
          <c:order val="0"/>
          <c:tx>
            <c:strRef>
              <c:f>'[Инвестиции ЕС в Казахстан 2025.xlsx]ЦА диаграмма'!$A$4</c:f>
              <c:strCache>
                <c:ptCount val="1"/>
                <c:pt idx="0">
                  <c:v>общий объем ПИИ</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 ЕС в Казахстан 2025.xlsx]ЦА диаграмма'!$B$3:$F$3</c:f>
              <c:strCache>
                <c:ptCount val="5"/>
                <c:pt idx="0">
                  <c:v>Казахстан</c:v>
                </c:pt>
                <c:pt idx="1">
                  <c:v>Кыргызстан</c:v>
                </c:pt>
                <c:pt idx="2">
                  <c:v>Узбекистан</c:v>
                </c:pt>
                <c:pt idx="3">
                  <c:v>Таджикистан</c:v>
                </c:pt>
                <c:pt idx="4">
                  <c:v>Туркменистан</c:v>
                </c:pt>
              </c:strCache>
            </c:strRef>
          </c:cat>
          <c:val>
            <c:numRef>
              <c:f>'[Инвестиции ЕС в Казахстан 2025.xlsx]ЦА диаграмма'!$B$4:$F$4</c:f>
              <c:numCache>
                <c:formatCode>0.00</c:formatCode>
                <c:ptCount val="5"/>
                <c:pt idx="0">
                  <c:v>17.16</c:v>
                </c:pt>
                <c:pt idx="1">
                  <c:v>1.02</c:v>
                </c:pt>
                <c:pt idx="2">
                  <c:v>26.39</c:v>
                </c:pt>
                <c:pt idx="3">
                  <c:v>4.9000000000000004</c:v>
                </c:pt>
                <c:pt idx="4">
                  <c:v>11</c:v>
                </c:pt>
              </c:numCache>
            </c:numRef>
          </c:val>
          <c:extLst>
            <c:ext xmlns:c16="http://schemas.microsoft.com/office/drawing/2014/chart" uri="{C3380CC4-5D6E-409C-BE32-E72D297353CC}">
              <c16:uniqueId val="{00000000-9007-4002-9A3A-BCC5CA2DA411}"/>
            </c:ext>
          </c:extLst>
        </c:ser>
        <c:ser>
          <c:idx val="1"/>
          <c:order val="1"/>
          <c:tx>
            <c:strRef>
              <c:f>'[Инвестиции ЕС в Казахстан 2025.xlsx]ЦА диаграмма'!$A$5</c:f>
              <c:strCache>
                <c:ptCount val="1"/>
                <c:pt idx="0">
                  <c:v>из стран ЕС</c:v>
                </c:pt>
              </c:strCache>
            </c:strRef>
          </c:tx>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a:outerShdw blurRad="76200" dist="25400" dir="2700000" algn="tl" rotWithShape="0">
                <a:schemeClr val="accent2">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tx1">
                        <a:lumMod val="75000"/>
                        <a:lumOff val="25000"/>
                      </a:schemeClr>
                    </a:solidFill>
                    <a:latin typeface="+mn-lt"/>
                    <a:ea typeface="+mn-ea"/>
                    <a:cs typeface="+mn-cs"/>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'[Инвестиции ЕС в Казахстан 2025.xlsx]ЦА диаграмма'!$B$3:$F$3</c:f>
              <c:strCache>
                <c:ptCount val="5"/>
                <c:pt idx="0">
                  <c:v>Казахстан</c:v>
                </c:pt>
                <c:pt idx="1">
                  <c:v>Кыргызстан</c:v>
                </c:pt>
                <c:pt idx="2">
                  <c:v>Узбекистан</c:v>
                </c:pt>
                <c:pt idx="3">
                  <c:v>Таджикистан</c:v>
                </c:pt>
                <c:pt idx="4">
                  <c:v>Туркменистан</c:v>
                </c:pt>
              </c:strCache>
            </c:strRef>
          </c:cat>
          <c:val>
            <c:numRef>
              <c:f>'[Инвестиции ЕС в Казахстан 2025.xlsx]ЦА диаграмма'!$B$5:$F$5</c:f>
              <c:numCache>
                <c:formatCode>0.00</c:formatCode>
                <c:ptCount val="5"/>
                <c:pt idx="0">
                  <c:v>8.19</c:v>
                </c:pt>
                <c:pt idx="1">
                  <c:v>0.15</c:v>
                </c:pt>
                <c:pt idx="2">
                  <c:v>4.0999999999999996</c:v>
                </c:pt>
              </c:numCache>
            </c:numRef>
          </c:val>
          <c:extLst>
            <c:ext xmlns:c16="http://schemas.microsoft.com/office/drawing/2014/chart" uri="{C3380CC4-5D6E-409C-BE32-E72D297353CC}">
              <c16:uniqueId val="{00000001-9007-4002-9A3A-BCC5CA2DA411}"/>
            </c:ext>
          </c:extLst>
        </c:ser>
        <c:dLbls>
          <c:showLegendKey val="0"/>
          <c:showVal val="1"/>
          <c:showCatName val="0"/>
          <c:showSerName val="0"/>
          <c:showPercent val="0"/>
          <c:showBubbleSize val="0"/>
        </c:dLbls>
        <c:gapWidth val="246"/>
        <c:overlap val="-28"/>
        <c:axId val="277957636"/>
        <c:axId val="526765345"/>
      </c:barChart>
      <c:catAx>
        <c:axId val="2779576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crossAx val="526765345"/>
        <c:crosses val="autoZero"/>
        <c:auto val="1"/>
        <c:lblAlgn val="ctr"/>
        <c:lblOffset val="100"/>
        <c:noMultiLvlLbl val="0"/>
      </c:catAx>
      <c:valAx>
        <c:axId val="526765345"/>
        <c:scaling>
          <c:orientation val="minMax"/>
        </c:scaling>
        <c:delete val="1"/>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crossAx val="277957636"/>
        <c:crosses val="autoZero"/>
        <c:crossBetween val="between"/>
      </c:valAx>
      <c:spPr>
        <a:noFill/>
        <a:ln>
          <a:noFill/>
        </a:ln>
        <a:effectLst/>
      </c:spPr>
    </c:plotArea>
    <c:legend>
      <c:legendPos val="b"/>
      <c:layout>
        <c:manualLayout>
          <c:xMode val="edge"/>
          <c:yMode val="edge"/>
          <c:x val="0.311907894736842"/>
          <c:y val="0.91550925925925897"/>
          <c:w val="0.37799115378268111"/>
          <c:h val="0.10487896895422848"/>
        </c:manualLayout>
      </c:layout>
      <c:overlay val="0"/>
      <c:spPr>
        <a:noFill/>
        <a:ln>
          <a:noFill/>
        </a:ln>
        <a:effectLst/>
      </c:spPr>
      <c:txPr>
        <a:bodyPr rot="0" spcFirstLastPara="0" vertOverflow="ellipsis" vert="horz" wrap="square" anchor="ctr" anchorCtr="1"/>
        <a:lstStyle/>
        <a:p>
          <a:pPr>
            <a:defRPr lang="en-US"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ID4096"/>
        </a:p>
      </c:txPr>
    </c:legend>
    <c:plotVisOnly val="1"/>
    <c:dispBlanksAs val="gap"/>
    <c:showDLblsOverMax val="0"/>
    <c:extLst>
      <c:ext uri="{0b15fc19-7d7d-44ad-8c2d-2c3a37ce22c3}">
        <chartProps xmlns="https://web.wps.cn/et/2018/main" chartId="{0a0234b8-9e25-4b38-ad8a-cc077dfa70b2}"/>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LID4096"/>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'[Инвестиции ЕС в Казахстан.xlsx]Казах и Узбек диаграмма '!$C$2</c:f>
              <c:strCache>
                <c:ptCount val="1"/>
                <c:pt idx="0">
                  <c:v>Узбекистан</c:v>
                </c:pt>
              </c:strCache>
            </c:strRef>
          </c:tx>
          <c:spPr>
            <a:gradFill>
              <a:gsLst>
                <a:gs pos="100000">
                  <a:schemeClr val="accent1"/>
                </a:gs>
                <a:gs pos="0">
                  <a:schemeClr val="accent1">
                    <a:hueOff val="-1670000"/>
                  </a:schemeClr>
                </a:gs>
              </a:gsLst>
              <a:lin ang="10800000" scaled="0"/>
            </a:gradFill>
            <a:ln>
              <a:gradFill>
                <a:gsLst>
                  <a:gs pos="100000">
                    <a:schemeClr val="accent1">
                      <a:lumMod val="75000"/>
                    </a:schemeClr>
                  </a:gs>
                  <a:gs pos="0">
                    <a:schemeClr val="accent1">
                      <a:lumMod val="75000"/>
                      <a:hueOff val="-1670000"/>
                    </a:schemeClr>
                  </a:gs>
                </a:gsLst>
                <a:lin ang="10800000" scaled="0"/>
              </a:grad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'[Инвестиции ЕС в Казахстан.xlsx]Казах и Узбек диаграмма '!$B$3:$B$7</c:f>
              <c:strCache>
                <c:ptCount val="5"/>
                <c:pt idx="0">
                  <c:v>Обрабатывающая промышленность </c:v>
                </c:pt>
                <c:pt idx="1">
                  <c:v>Электро и газоснабжение</c:v>
                </c:pt>
                <c:pt idx="2">
                  <c:v>Горнодобывающая промышленность и разработка карьеров</c:v>
                </c:pt>
                <c:pt idx="3">
                  <c:v>Оптовая и розничная торговля; ремонт автомобилей и мотоциклов</c:v>
                </c:pt>
                <c:pt idx="4">
                  <c:v>Прочие отрасли </c:v>
                </c:pt>
              </c:strCache>
            </c:strRef>
          </c:cat>
          <c:val>
            <c:numRef>
              <c:f>'[Инвестиции ЕС в Казахстан.xlsx]Казах и Узбек диаграмма '!$C$3:$C$7</c:f>
              <c:numCache>
                <c:formatCode>General</c:formatCode>
                <c:ptCount val="5"/>
                <c:pt idx="0">
                  <c:v>9.42</c:v>
                </c:pt>
                <c:pt idx="1">
                  <c:v>5.14</c:v>
                </c:pt>
                <c:pt idx="2">
                  <c:v>4.41</c:v>
                </c:pt>
                <c:pt idx="4">
                  <c:v>7.42</c:v>
                </c:pt>
              </c:numCache>
            </c:numRef>
          </c:val>
          <c:extLst>
            <c:ext xmlns:c16="http://schemas.microsoft.com/office/drawing/2014/chart" uri="{C3380CC4-5D6E-409C-BE32-E72D297353CC}">
              <c16:uniqueId val="{00000000-0D58-44C3-83A9-AAF118CAA30B}"/>
            </c:ext>
          </c:extLst>
        </c:ser>
        <c:ser>
          <c:idx val="1"/>
          <c:order val="1"/>
          <c:tx>
            <c:strRef>
              <c:f>'[Инвестиции ЕС в Казахстан.xlsx]Казах и Узбек диаграмма '!$D$2</c:f>
              <c:strCache>
                <c:ptCount val="1"/>
                <c:pt idx="0">
                  <c:v>Казахстан</c:v>
                </c:pt>
              </c:strCache>
            </c:strRef>
          </c:tx>
          <c:spPr>
            <a:gradFill>
              <a:gsLst>
                <a:gs pos="100000">
                  <a:schemeClr val="accent2"/>
                </a:gs>
                <a:gs pos="0">
                  <a:schemeClr val="accent2">
                    <a:hueOff val="-1670000"/>
                  </a:schemeClr>
                </a:gs>
              </a:gsLst>
              <a:lin ang="10800000" scaled="0"/>
            </a:gradFill>
            <a:ln>
              <a:gradFill>
                <a:gsLst>
                  <a:gs pos="100000">
                    <a:schemeClr val="accent2">
                      <a:lumMod val="75000"/>
                    </a:schemeClr>
                  </a:gs>
                  <a:gs pos="0">
                    <a:schemeClr val="accent2">
                      <a:lumMod val="75000"/>
                      <a:hueOff val="-1670000"/>
                    </a:schemeClr>
                  </a:gs>
                </a:gsLst>
                <a:lin ang="10800000" scaled="0"/>
              </a:gradFill>
            </a:ln>
            <a:effectLst/>
          </c:spPr>
          <c:invertIfNegative val="0"/>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chemeClr val="dk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'[Инвестиции ЕС в Казахстан.xlsx]Казах и Узбек диаграмма '!$B$3:$B$7</c:f>
              <c:strCache>
                <c:ptCount val="5"/>
                <c:pt idx="0">
                  <c:v>Обрабатывающая промышленность </c:v>
                </c:pt>
                <c:pt idx="1">
                  <c:v>Электро и газоснабжение</c:v>
                </c:pt>
                <c:pt idx="2">
                  <c:v>Горнодобывающая промышленность и разработка карьеров</c:v>
                </c:pt>
                <c:pt idx="3">
                  <c:v>Оптовая и розничная торговля; ремонт автомобилей и мотоциклов</c:v>
                </c:pt>
                <c:pt idx="4">
                  <c:v>Прочие отрасли </c:v>
                </c:pt>
              </c:strCache>
            </c:strRef>
          </c:cat>
          <c:val>
            <c:numRef>
              <c:f>'[Инвестиции ЕС в Казахстан.xlsx]Казах и Узбек диаграмма '!$D$3:$D$7</c:f>
              <c:numCache>
                <c:formatCode>General</c:formatCode>
                <c:ptCount val="5"/>
                <c:pt idx="0" formatCode="#,##0.0">
                  <c:v>2.83</c:v>
                </c:pt>
                <c:pt idx="2" formatCode="#,##0.0">
                  <c:v>6.48</c:v>
                </c:pt>
                <c:pt idx="3" formatCode="#,##0.0">
                  <c:v>5.33</c:v>
                </c:pt>
                <c:pt idx="4" formatCode="#,##0">
                  <c:v>2.5</c:v>
                </c:pt>
              </c:numCache>
            </c:numRef>
          </c:val>
          <c:extLst>
            <c:ext xmlns:c16="http://schemas.microsoft.com/office/drawing/2014/chart" uri="{C3380CC4-5D6E-409C-BE32-E72D297353CC}">
              <c16:uniqueId val="{00000001-0D58-44C3-83A9-AAF118CAA30B}"/>
            </c:ext>
          </c:extLst>
        </c:ser>
        <c:dLbls>
          <c:showLegendKey val="0"/>
          <c:showVal val="1"/>
          <c:showCatName val="0"/>
          <c:showSerName val="0"/>
          <c:showPercent val="0"/>
          <c:showBubbleSize val="0"/>
        </c:dLbls>
        <c:gapWidth val="140"/>
        <c:overlap val="-40"/>
        <c:axId val="264393674"/>
        <c:axId val="492959452"/>
      </c:barChart>
      <c:catAx>
        <c:axId val="264393674"/>
        <c:scaling>
          <c:orientation val="minMax"/>
        </c:scaling>
        <c:delete val="0"/>
        <c:axPos val="l"/>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crossAx val="492959452"/>
        <c:crosses val="autoZero"/>
        <c:auto val="1"/>
        <c:lblAlgn val="ctr"/>
        <c:lblOffset val="100"/>
        <c:noMultiLvlLbl val="0"/>
      </c:catAx>
      <c:valAx>
        <c:axId val="492959452"/>
        <c:scaling>
          <c:orientation val="minMax"/>
        </c:scaling>
        <c:delete val="0"/>
        <c:axPos val="b"/>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crossAx val="264393674"/>
        <c:crosses val="autoZero"/>
        <c:crossBetween val="between"/>
      </c:valAx>
      <c:spPr>
        <a:noFill/>
        <a:ln>
          <a:noFill/>
        </a:ln>
        <a:effectLst/>
      </c:spPr>
    </c:plotArea>
    <c:legend>
      <c:legendPos val="r"/>
      <c:legendEntry>
        <c:idx val="0"/>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legendEntry>
      <c:legendEntry>
        <c:idx val="1"/>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legendEntry>
      <c:overlay val="0"/>
      <c:spPr>
        <a:noFill/>
        <a:ln>
          <a:noFill/>
        </a:ln>
        <a:effectLst/>
      </c:spPr>
      <c:txPr>
        <a:bodyPr rot="0" spcFirstLastPara="0" vertOverflow="ellipsis" vert="horz" wrap="square" anchor="ctr" anchorCtr="1"/>
        <a:lstStyle/>
        <a:p>
          <a:pPr>
            <a:defRPr lang="en-US"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legend>
    <c:plotVisOnly val="1"/>
    <c:dispBlanksAs val="gap"/>
    <c:showDLblsOverMax val="0"/>
    <c:extLst>
      <c:ext uri="{0b15fc19-7d7d-44ad-8c2d-2c3a37ce22c3}">
        <chartProps xmlns="https://web.wps.cn/et/2018/main" chartId="{8ad25b50-0943-4f34-8878-96cebe95e7fa}"/>
      </c:ext>
    </c:extLst>
  </c:chart>
  <c:spPr>
    <a:solidFill>
      <a:schemeClr val="lt1">
        <a:lumMod val="96000"/>
      </a:schemeClr>
    </a:solidFill>
    <a:ln w="9525" cap="flat" cmpd="sng" algn="ctr">
      <a:solidFill>
        <a:schemeClr val="tx1">
          <a:lumMod val="15000"/>
          <a:lumOff val="85000"/>
        </a:schemeClr>
      </a:solidFill>
      <a:round/>
    </a:ln>
    <a:effectLst/>
  </c:spPr>
  <c:txPr>
    <a:bodyPr/>
    <a:lstStyle/>
    <a:p>
      <a:pPr>
        <a:defRPr lang="en-US">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LID4096"/>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k-K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[Book1.xlsx]Sheet1!$C$3</c:f>
              <c:strCache>
                <c:ptCount val="1"/>
                <c:pt idx="0">
                  <c:v>Объем инвестиций в основной капитал</c:v>
                </c:pt>
              </c:strCache>
            </c:strRef>
          </c:tx>
          <c:spPr>
            <a:solidFill>
              <a:schemeClr val="bg1"/>
            </a:solidFill>
            <a:ln w="25400">
              <a:solidFill>
                <a:schemeClr val="tx1"/>
              </a:solidFill>
            </a:ln>
            <a:effectLst/>
            <a:scene3d>
              <a:camera prst="orthographicFront"/>
              <a:lightRig rig="threePt" dir="t"/>
            </a:scene3d>
            <a:sp3d>
              <a:bevelT/>
              <a:bevelB/>
            </a:sp3d>
          </c:spPr>
          <c:invertIfNegative val="0"/>
          <c:cat>
            <c:strRef>
              <c:f>[Book1.xlsx]Sheet1!$B$4:$B$19</c:f>
              <c:strCache>
                <c:ptCount val="16"/>
                <c:pt idx="0">
                  <c:v>Акмолинская</c:v>
                </c:pt>
                <c:pt idx="1">
                  <c:v>Актюбинская</c:v>
                </c:pt>
                <c:pt idx="2">
                  <c:v>Алматинская</c:v>
                </c:pt>
                <c:pt idx="3">
                  <c:v>Атырауская</c:v>
                </c:pt>
                <c:pt idx="4">
                  <c:v>ЗК</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c:v>
                </c:pt>
                <c:pt idx="12">
                  <c:v>ЮК</c:v>
                </c:pt>
                <c:pt idx="13">
                  <c:v>ВК</c:v>
                </c:pt>
                <c:pt idx="14">
                  <c:v>г. Астана</c:v>
                </c:pt>
                <c:pt idx="15">
                  <c:v>г. Алматы</c:v>
                </c:pt>
              </c:strCache>
            </c:strRef>
          </c:cat>
          <c:val>
            <c:numRef>
              <c:f>[Book1.xlsx]Sheet1!$C$4:$C$19</c:f>
              <c:numCache>
                <c:formatCode>#,##0.0</c:formatCode>
                <c:ptCount val="16"/>
                <c:pt idx="0">
                  <c:v>215.700990084327</c:v>
                </c:pt>
                <c:pt idx="1">
                  <c:v>362.149640758038</c:v>
                </c:pt>
                <c:pt idx="2">
                  <c:v>397.89374083175801</c:v>
                </c:pt>
                <c:pt idx="3">
                  <c:v>1603.37508299464</c:v>
                </c:pt>
                <c:pt idx="4">
                  <c:v>292.12259661507102</c:v>
                </c:pt>
                <c:pt idx="5">
                  <c:v>181.433276498662</c:v>
                </c:pt>
                <c:pt idx="6">
                  <c:v>354.87830770506599</c:v>
                </c:pt>
                <c:pt idx="7">
                  <c:v>177.12013596547999</c:v>
                </c:pt>
                <c:pt idx="8">
                  <c:v>188.70572173842601</c:v>
                </c:pt>
                <c:pt idx="9">
                  <c:v>337.49726146908898</c:v>
                </c:pt>
                <c:pt idx="10">
                  <c:v>311.13956913412898</c:v>
                </c:pt>
                <c:pt idx="11">
                  <c:v>146.41257782793599</c:v>
                </c:pt>
                <c:pt idx="12">
                  <c:v>469.87574921972299</c:v>
                </c:pt>
                <c:pt idx="13">
                  <c:v>371.504713180149</c:v>
                </c:pt>
                <c:pt idx="14">
                  <c:v>588.11024981853996</c:v>
                </c:pt>
                <c:pt idx="15">
                  <c:v>520.60130227442301</c:v>
                </c:pt>
              </c:numCache>
            </c:numRef>
          </c:val>
          <c:extLst>
            <c:ext xmlns:c16="http://schemas.microsoft.com/office/drawing/2014/chart" uri="{C3380CC4-5D6E-409C-BE32-E72D297353CC}">
              <c16:uniqueId val="{00000000-D969-4AD1-A3DF-80E797C76F73}"/>
            </c:ext>
          </c:extLst>
        </c:ser>
        <c:dLbls>
          <c:showLegendKey val="0"/>
          <c:showVal val="0"/>
          <c:showCatName val="0"/>
          <c:showSerName val="0"/>
          <c:showPercent val="0"/>
          <c:showBubbleSize val="0"/>
        </c:dLbls>
        <c:gapWidth val="100"/>
        <c:axId val="589540768"/>
        <c:axId val="589542928"/>
      </c:barChart>
      <c:stockChart>
        <c:ser>
          <c:idx val="1"/>
          <c:order val="1"/>
          <c:tx>
            <c:strRef>
              <c:f>[Book1.xlsx]Sheet1!$D$3</c:f>
              <c:strCache>
                <c:ptCount val="1"/>
                <c:pt idx="0">
                  <c:v>Курс открытия </c:v>
                </c:pt>
              </c:strCache>
            </c:strRef>
          </c:tx>
          <c:spPr>
            <a:ln w="19050" cap="rnd">
              <a:noFill/>
              <a:round/>
            </a:ln>
            <a:effectLst/>
          </c:spPr>
          <c:marker>
            <c:symbol val="none"/>
          </c:marker>
          <c:cat>
            <c:strRef>
              <c:f>[Book1.xlsx]Sheet1!$B$4:$B$19</c:f>
              <c:strCache>
                <c:ptCount val="16"/>
                <c:pt idx="0">
                  <c:v>Акмолинская</c:v>
                </c:pt>
                <c:pt idx="1">
                  <c:v>Актюбинская</c:v>
                </c:pt>
                <c:pt idx="2">
                  <c:v>Алматинская</c:v>
                </c:pt>
                <c:pt idx="3">
                  <c:v>Атырауская</c:v>
                </c:pt>
                <c:pt idx="4">
                  <c:v>ЗК</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c:v>
                </c:pt>
                <c:pt idx="12">
                  <c:v>ЮК</c:v>
                </c:pt>
                <c:pt idx="13">
                  <c:v>ВК</c:v>
                </c:pt>
                <c:pt idx="14">
                  <c:v>г. Астана</c:v>
                </c:pt>
                <c:pt idx="15">
                  <c:v>г. Алматы</c:v>
                </c:pt>
              </c:strCache>
            </c:strRef>
          </c:cat>
          <c:val>
            <c:numRef>
              <c:f>[Book1.xlsx]Sheet1!$D$4:$D$19</c:f>
              <c:numCache>
                <c:formatCode>#,##0.0</c:formatCode>
                <c:ptCount val="16"/>
                <c:pt idx="0">
                  <c:v>935.021227260974</c:v>
                </c:pt>
                <c:pt idx="1">
                  <c:v>493.204311152765</c:v>
                </c:pt>
                <c:pt idx="2">
                  <c:v>423.55981308411202</c:v>
                </c:pt>
                <c:pt idx="3">
                  <c:v>1055.7261682243</c:v>
                </c:pt>
                <c:pt idx="4">
                  <c:v>254.803773584906</c:v>
                </c:pt>
                <c:pt idx="5">
                  <c:v>194.00372093023299</c:v>
                </c:pt>
                <c:pt idx="6">
                  <c:v>381.34444444444398</c:v>
                </c:pt>
                <c:pt idx="7">
                  <c:v>179.39682539682499</c:v>
                </c:pt>
                <c:pt idx="8">
                  <c:v>243.357738646895</c:v>
                </c:pt>
                <c:pt idx="9">
                  <c:v>496.49160447761199</c:v>
                </c:pt>
                <c:pt idx="10">
                  <c:v>328.47627906976697</c:v>
                </c:pt>
                <c:pt idx="11">
                  <c:v>109.088619402985</c:v>
                </c:pt>
                <c:pt idx="12">
                  <c:v>417.64405204461002</c:v>
                </c:pt>
                <c:pt idx="13">
                  <c:v>322.107076350093</c:v>
                </c:pt>
                <c:pt idx="14">
                  <c:v>594.87948482060699</c:v>
                </c:pt>
                <c:pt idx="15">
                  <c:v>478.12897196261702</c:v>
                </c:pt>
              </c:numCache>
            </c:numRef>
          </c:val>
          <c:smooth val="0"/>
          <c:extLst>
            <c:ext xmlns:c16="http://schemas.microsoft.com/office/drawing/2014/chart" uri="{C3380CC4-5D6E-409C-BE32-E72D297353CC}">
              <c16:uniqueId val="{00000001-D969-4AD1-A3DF-80E797C76F73}"/>
            </c:ext>
          </c:extLst>
        </c:ser>
        <c:ser>
          <c:idx val="2"/>
          <c:order val="2"/>
          <c:tx>
            <c:strRef>
              <c:f>[Book1.xlsx]Sheet1!$E$3</c:f>
              <c:strCache>
                <c:ptCount val="1"/>
                <c:pt idx="0">
                  <c:v>Максимальный курс</c:v>
                </c:pt>
              </c:strCache>
            </c:strRef>
          </c:tx>
          <c:spPr>
            <a:ln w="19050" cap="rnd">
              <a:noFill/>
              <a:round/>
            </a:ln>
            <a:effectLst/>
          </c:spPr>
          <c:marker>
            <c:symbol val="dash"/>
            <c:size val="5"/>
            <c:spPr>
              <a:solidFill>
                <a:schemeClr val="tx1"/>
              </a:solidFill>
              <a:ln w="9525">
                <a:solidFill>
                  <a:schemeClr val="tx1"/>
                </a:solidFill>
              </a:ln>
              <a:effectLst/>
            </c:spPr>
          </c:marker>
          <c:cat>
            <c:strRef>
              <c:f>[Book1.xlsx]Sheet1!$B$4:$B$19</c:f>
              <c:strCache>
                <c:ptCount val="16"/>
                <c:pt idx="0">
                  <c:v>Акмолинская</c:v>
                </c:pt>
                <c:pt idx="1">
                  <c:v>Актюбинская</c:v>
                </c:pt>
                <c:pt idx="2">
                  <c:v>Алматинская</c:v>
                </c:pt>
                <c:pt idx="3">
                  <c:v>Атырауская</c:v>
                </c:pt>
                <c:pt idx="4">
                  <c:v>ЗК</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c:v>
                </c:pt>
                <c:pt idx="12">
                  <c:v>ЮК</c:v>
                </c:pt>
                <c:pt idx="13">
                  <c:v>ВК</c:v>
                </c:pt>
                <c:pt idx="14">
                  <c:v>г. Астана</c:v>
                </c:pt>
                <c:pt idx="15">
                  <c:v>г. Алматы</c:v>
                </c:pt>
              </c:strCache>
            </c:strRef>
          </c:cat>
          <c:val>
            <c:numRef>
              <c:f>[Book1.xlsx]Sheet1!$E$4:$E$19</c:f>
              <c:numCache>
                <c:formatCode>#,##0.0</c:formatCode>
                <c:ptCount val="16"/>
                <c:pt idx="0">
                  <c:v>1616.8600475844701</c:v>
                </c:pt>
                <c:pt idx="1">
                  <c:v>456.73130062494897</c:v>
                </c:pt>
                <c:pt idx="2">
                  <c:v>484.209006924307</c:v>
                </c:pt>
                <c:pt idx="3">
                  <c:v>2706.5425239374599</c:v>
                </c:pt>
                <c:pt idx="4">
                  <c:v>380.45517542563999</c:v>
                </c:pt>
                <c:pt idx="5">
                  <c:v>219.54674927461201</c:v>
                </c:pt>
                <c:pt idx="6">
                  <c:v>525.43188411172605</c:v>
                </c:pt>
                <c:pt idx="7">
                  <c:v>241.42168180814801</c:v>
                </c:pt>
                <c:pt idx="8">
                  <c:v>251.90558602669901</c:v>
                </c:pt>
                <c:pt idx="9">
                  <c:v>496.49160447761199</c:v>
                </c:pt>
                <c:pt idx="10">
                  <c:v>371.20059166735098</c:v>
                </c:pt>
                <c:pt idx="11">
                  <c:v>184.10267463027</c:v>
                </c:pt>
                <c:pt idx="12">
                  <c:v>682.77243831568705</c:v>
                </c:pt>
                <c:pt idx="13">
                  <c:v>486.28875695424603</c:v>
                </c:pt>
                <c:pt idx="14">
                  <c:v>612.35060009554695</c:v>
                </c:pt>
                <c:pt idx="15">
                  <c:v>747.003754370705</c:v>
                </c:pt>
              </c:numCache>
            </c:numRef>
          </c:val>
          <c:smooth val="0"/>
          <c:extLst>
            <c:ext xmlns:c16="http://schemas.microsoft.com/office/drawing/2014/chart" uri="{C3380CC4-5D6E-409C-BE32-E72D297353CC}">
              <c16:uniqueId val="{00000002-D969-4AD1-A3DF-80E797C76F73}"/>
            </c:ext>
          </c:extLst>
        </c:ser>
        <c:ser>
          <c:idx val="3"/>
          <c:order val="3"/>
          <c:tx>
            <c:strRef>
              <c:f>[Book1.xlsx]Sheet1!$F$3</c:f>
              <c:strCache>
                <c:ptCount val="1"/>
                <c:pt idx="0">
                  <c:v>Минимальный курс </c:v>
                </c:pt>
              </c:strCache>
            </c:strRef>
          </c:tx>
          <c:spPr>
            <a:ln w="19050" cap="rnd">
              <a:noFill/>
              <a:round/>
            </a:ln>
            <a:effectLst/>
          </c:spPr>
          <c:marker>
            <c:symbol val="dash"/>
            <c:size val="5"/>
            <c:spPr>
              <a:solidFill>
                <a:schemeClr val="tx1"/>
              </a:solidFill>
              <a:ln w="9525">
                <a:solidFill>
                  <a:schemeClr val="tx1"/>
                </a:solidFill>
              </a:ln>
              <a:effectLst/>
            </c:spPr>
          </c:marker>
          <c:cat>
            <c:strRef>
              <c:f>[Book1.xlsx]Sheet1!$B$4:$B$19</c:f>
              <c:strCache>
                <c:ptCount val="16"/>
                <c:pt idx="0">
                  <c:v>Акмолинская</c:v>
                </c:pt>
                <c:pt idx="1">
                  <c:v>Актюбинская</c:v>
                </c:pt>
                <c:pt idx="2">
                  <c:v>Алматинская</c:v>
                </c:pt>
                <c:pt idx="3">
                  <c:v>Атырауская</c:v>
                </c:pt>
                <c:pt idx="4">
                  <c:v>ЗК</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c:v>
                </c:pt>
                <c:pt idx="12">
                  <c:v>ЮК</c:v>
                </c:pt>
                <c:pt idx="13">
                  <c:v>ВК</c:v>
                </c:pt>
                <c:pt idx="14">
                  <c:v>г. Астана</c:v>
                </c:pt>
                <c:pt idx="15">
                  <c:v>г. Алматы</c:v>
                </c:pt>
              </c:strCache>
            </c:strRef>
          </c:cat>
          <c:val>
            <c:numRef>
              <c:f>[Book1.xlsx]Sheet1!$F$4:$F$19</c:f>
              <c:numCache>
                <c:formatCode>#,##0.0</c:formatCode>
                <c:ptCount val="16"/>
                <c:pt idx="0">
                  <c:v>1037.2605366519699</c:v>
                </c:pt>
                <c:pt idx="1">
                  <c:v>194.367974500342</c:v>
                </c:pt>
                <c:pt idx="2">
                  <c:v>234.01007095920599</c:v>
                </c:pt>
                <c:pt idx="3">
                  <c:v>721.69725199365098</c:v>
                </c:pt>
                <c:pt idx="4">
                  <c:v>239.21093835687401</c:v>
                </c:pt>
                <c:pt idx="5">
                  <c:v>114.42928155072801</c:v>
                </c:pt>
                <c:pt idx="6">
                  <c:v>204.614328327858</c:v>
                </c:pt>
                <c:pt idx="7">
                  <c:v>129.80282952700199</c:v>
                </c:pt>
                <c:pt idx="8">
                  <c:v>95.040145083723203</c:v>
                </c:pt>
                <c:pt idx="9">
                  <c:v>172.31912561515401</c:v>
                </c:pt>
                <c:pt idx="10">
                  <c:v>219.35200907294401</c:v>
                </c:pt>
                <c:pt idx="11">
                  <c:v>109.088619402985</c:v>
                </c:pt>
                <c:pt idx="12">
                  <c:v>287.70408400366</c:v>
                </c:pt>
                <c:pt idx="13">
                  <c:v>306.033961617302</c:v>
                </c:pt>
                <c:pt idx="14">
                  <c:v>431.17574841784199</c:v>
                </c:pt>
                <c:pt idx="15">
                  <c:v>411.97675179912801</c:v>
                </c:pt>
              </c:numCache>
            </c:numRef>
          </c:val>
          <c:smooth val="0"/>
          <c:extLst>
            <c:ext xmlns:c16="http://schemas.microsoft.com/office/drawing/2014/chart" uri="{C3380CC4-5D6E-409C-BE32-E72D297353CC}">
              <c16:uniqueId val="{00000003-D969-4AD1-A3DF-80E797C76F73}"/>
            </c:ext>
          </c:extLst>
        </c:ser>
        <c:ser>
          <c:idx val="4"/>
          <c:order val="4"/>
          <c:tx>
            <c:strRef>
              <c:f>[Book1.xlsx]Sheet1!$G$3</c:f>
              <c:strCache>
                <c:ptCount val="1"/>
                <c:pt idx="0">
                  <c:v>Курс закрытия</c:v>
                </c:pt>
              </c:strCache>
            </c:strRef>
          </c:tx>
          <c:spPr>
            <a:ln w="19050" cap="rnd">
              <a:noFill/>
              <a:round/>
            </a:ln>
            <a:effectLst/>
          </c:spPr>
          <c:marker>
            <c:symbol val="none"/>
          </c:marker>
          <c:cat>
            <c:strRef>
              <c:f>[Book1.xlsx]Sheet1!$B$4:$B$19</c:f>
              <c:strCache>
                <c:ptCount val="16"/>
                <c:pt idx="0">
                  <c:v>Акмолинская</c:v>
                </c:pt>
                <c:pt idx="1">
                  <c:v>Актюбинская</c:v>
                </c:pt>
                <c:pt idx="2">
                  <c:v>Алматинская</c:v>
                </c:pt>
                <c:pt idx="3">
                  <c:v>Атырауская</c:v>
                </c:pt>
                <c:pt idx="4">
                  <c:v>ЗК</c:v>
                </c:pt>
                <c:pt idx="5">
                  <c:v>Жамбылская</c:v>
                </c:pt>
                <c:pt idx="6">
                  <c:v>Карагандинская</c:v>
                </c:pt>
                <c:pt idx="7">
                  <c:v>Костанайская</c:v>
                </c:pt>
                <c:pt idx="8">
                  <c:v>Кызылординская</c:v>
                </c:pt>
                <c:pt idx="9">
                  <c:v>Мангистауская</c:v>
                </c:pt>
                <c:pt idx="10">
                  <c:v>Павлодарская</c:v>
                </c:pt>
                <c:pt idx="11">
                  <c:v>СК</c:v>
                </c:pt>
                <c:pt idx="12">
                  <c:v>ЮК</c:v>
                </c:pt>
                <c:pt idx="13">
                  <c:v>ВК</c:v>
                </c:pt>
                <c:pt idx="14">
                  <c:v>г. Астана</c:v>
                </c:pt>
                <c:pt idx="15">
                  <c:v>г. Алматы</c:v>
                </c:pt>
              </c:strCache>
            </c:strRef>
          </c:cat>
          <c:val>
            <c:numRef>
              <c:f>[Book1.xlsx]Sheet1!$G$4:$G$19</c:f>
              <c:numCache>
                <c:formatCode>#,##0.0</c:formatCode>
                <c:ptCount val="16"/>
                <c:pt idx="0">
                  <c:v>257.16287999999997</c:v>
                </c:pt>
                <c:pt idx="1">
                  <c:v>437.86036444760799</c:v>
                </c:pt>
                <c:pt idx="2">
                  <c:v>484.209006924307</c:v>
                </c:pt>
                <c:pt idx="3">
                  <c:v>1198.21717852148</c:v>
                </c:pt>
                <c:pt idx="4">
                  <c:v>287.00642505510802</c:v>
                </c:pt>
                <c:pt idx="5">
                  <c:v>225.91604479380501</c:v>
                </c:pt>
                <c:pt idx="6">
                  <c:v>456.82460468900001</c:v>
                </c:pt>
                <c:pt idx="7">
                  <c:v>239.35473242429899</c:v>
                </c:pt>
                <c:pt idx="8">
                  <c:v>213.70589941083901</c:v>
                </c:pt>
                <c:pt idx="9">
                  <c:v>419.398686343664</c:v>
                </c:pt>
                <c:pt idx="10">
                  <c:v>330.33044688266398</c:v>
                </c:pt>
                <c:pt idx="11">
                  <c:v>183.98641860906699</c:v>
                </c:pt>
                <c:pt idx="12">
                  <c:v>682.77243831568705</c:v>
                </c:pt>
                <c:pt idx="13">
                  <c:v>486.28875695424603</c:v>
                </c:pt>
                <c:pt idx="14">
                  <c:v>612.35060009554695</c:v>
                </c:pt>
                <c:pt idx="15">
                  <c:v>747.003754370705</c:v>
                </c:pt>
              </c:numCache>
            </c:numRef>
          </c:val>
          <c:smooth val="0"/>
          <c:extLst>
            <c:ext xmlns:c16="http://schemas.microsoft.com/office/drawing/2014/chart" uri="{C3380CC4-5D6E-409C-BE32-E72D297353CC}">
              <c16:uniqueId val="{00000004-D969-4AD1-A3DF-80E797C76F73}"/>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upDownBars>
          <c:gapWidth val="150"/>
          <c:upBars>
            <c:spPr>
              <a:solidFill>
                <a:srgbClr val="00B050"/>
              </a:solidFill>
              <a:ln w="9525" cap="flat" cmpd="sng" algn="ctr">
                <a:solidFill>
                  <a:srgbClr val="00B050"/>
                </a:solidFill>
                <a:round/>
              </a:ln>
              <a:effectLst/>
            </c:spPr>
          </c:upBars>
          <c:downBars>
            <c:spPr>
              <a:solidFill>
                <a:srgbClr val="FF0000"/>
              </a:solidFill>
              <a:ln w="9525" cap="flat" cmpd="sng" algn="ctr">
                <a:solidFill>
                  <a:srgbClr val="FF0000"/>
                </a:solidFill>
                <a:round/>
              </a:ln>
              <a:effectLst/>
              <a:scene3d>
                <a:camera prst="orthographicFront"/>
                <a:lightRig rig="threePt" dir="t"/>
              </a:scene3d>
              <a:sp3d>
                <a:bevelT/>
                <a:bevelB/>
              </a:sp3d>
            </c:spPr>
          </c:downBars>
        </c:upDownBars>
        <c:axId val="589544728"/>
        <c:axId val="589544368"/>
      </c:stockChart>
      <c:catAx>
        <c:axId val="58954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ID4096"/>
          </a:p>
        </c:txPr>
        <c:crossAx val="589542928"/>
        <c:crosses val="autoZero"/>
        <c:auto val="1"/>
        <c:lblAlgn val="ctr"/>
        <c:lblOffset val="100"/>
        <c:noMultiLvlLbl val="0"/>
      </c:catAx>
      <c:valAx>
        <c:axId val="589542928"/>
        <c:scaling>
          <c:orientation val="minMax"/>
          <c:max val="3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LID4096"/>
          </a:p>
        </c:txPr>
        <c:crossAx val="589540768"/>
        <c:crosses val="autoZero"/>
        <c:crossBetween val="between"/>
        <c:majorUnit val="200"/>
      </c:valAx>
      <c:catAx>
        <c:axId val="589544728"/>
        <c:scaling>
          <c:orientation val="minMax"/>
        </c:scaling>
        <c:delete val="1"/>
        <c:axPos val="b"/>
        <c:numFmt formatCode="General" sourceLinked="1"/>
        <c:majorTickMark val="none"/>
        <c:minorTickMark val="none"/>
        <c:tickLblPos val="nextTo"/>
        <c:crossAx val="589544368"/>
        <c:crosses val="autoZero"/>
        <c:auto val="1"/>
        <c:lblAlgn val="ctr"/>
        <c:lblOffset val="100"/>
        <c:noMultiLvlLbl val="0"/>
      </c:catAx>
      <c:valAx>
        <c:axId val="589544368"/>
        <c:scaling>
          <c:orientation val="minMax"/>
        </c:scaling>
        <c:delete val="1"/>
        <c:axPos val="r"/>
        <c:majorGridlines>
          <c:spPr>
            <a:ln w="9525" cap="flat" cmpd="sng" algn="ctr">
              <a:solidFill>
                <a:schemeClr val="tx1">
                  <a:lumMod val="15000"/>
                  <a:lumOff val="85000"/>
                </a:schemeClr>
              </a:solidFill>
              <a:prstDash val="sysDot"/>
              <a:round/>
            </a:ln>
            <a:effectLst/>
          </c:spPr>
        </c:majorGridlines>
        <c:numFmt formatCode="#,##0.0" sourceLinked="1"/>
        <c:majorTickMark val="none"/>
        <c:minorTickMark val="none"/>
        <c:tickLblPos val="nextTo"/>
        <c:crossAx val="589544728"/>
        <c:crosses val="max"/>
        <c:crossBetween val="between"/>
      </c:valAx>
      <c:spPr>
        <a:noFill/>
        <a:ln>
          <a:noFill/>
        </a:ln>
        <a:effectLst/>
      </c:spPr>
    </c:plotArea>
    <c:plotVisOnly val="1"/>
    <c:dispBlanksAs val="gap"/>
    <c:showDLblsOverMax val="0"/>
    <c:extLst>
      <c:ext uri="{0b15fc19-7d7d-44ad-8c2d-2c3a37ce22c3}">
        <chartProps xmlns="https://web.wps.cn/et/2018/main" chartId="{c8192785-7de8-4b7e-84d0-199d8a3a5670}"/>
      </c:ext>
    </c:extLst>
  </c:chart>
  <c:spPr>
    <a:solidFill>
      <a:schemeClr val="bg1"/>
    </a:solidFill>
    <a:ln w="9525" cap="flat" cmpd="sng" algn="ctr">
      <a:solidFill>
        <a:schemeClr val="tx1">
          <a:lumMod val="15000"/>
          <a:lumOff val="85000"/>
        </a:schemeClr>
      </a:solidFill>
      <a:round/>
    </a:ln>
    <a:effectLst/>
  </c:spPr>
  <c:txPr>
    <a:bodyPr/>
    <a:lstStyle/>
    <a:p>
      <a:pPr>
        <a:defRPr lang="en-US" sz="1200">
          <a:solidFill>
            <a:sysClr val="windowText" lastClr="000000"/>
          </a:solidFill>
          <a:latin typeface="Times New Roman" panose="02020603050405020304" charset="0"/>
          <a:cs typeface="Times New Roman" panose="02020603050405020304" charset="0"/>
        </a:defRPr>
      </a:pPr>
      <a:endParaRPr lang="LID4096"/>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26">
  <cs:axisTitle>
    <cs:lnRef idx="0"/>
    <cs:fillRef idx="0"/>
    <cs:effectRef idx="0"/>
    <cs:fontRef idx="minor">
      <a:schemeClr val="dk1">
        <a:lumMod val="65000"/>
        <a:lumOff val="35000"/>
      </a:schemeClr>
    </cs:fontRef>
    <cs:defRPr sz="10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lt1">
          <a:lumMod val="96000"/>
        </a:schemeClr>
      </a:solidFill>
      <a:ln w="9525" cap="flat" cmpd="sng" algn="ctr">
        <a:solidFill>
          <a:schemeClr val="tx1">
            <a:lumMod val="15000"/>
            <a:lumOff val="85000"/>
          </a:schemeClr>
        </a:solidFill>
        <a:round/>
      </a:ln>
    </cs:spPr>
    <cs:defRPr sz="1000" kern="1200"/>
  </cs:chartArea>
  <cs:dataLabel>
    <cs:lnRef idx="0"/>
    <cs:fillRef idx="0"/>
    <cs:effectRef idx="0"/>
    <cs:fontRef idx="minor">
      <a:schemeClr val="dk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100000">
            <a:schemeClr val="phClr"/>
          </a:gs>
          <a:gs pos="0">
            <a:schemeClr val="phClr">
              <a:hueOff val="-1670000"/>
            </a:schemeClr>
          </a:gs>
        </a:gsLst>
        <a:lin ang="10800000" scaled="0"/>
      </a:gradFill>
      <a:ln>
        <a:gradFill>
          <a:gsLst>
            <a:gs pos="100000">
              <a:schemeClr val="phClr">
                <a:lumMod val="75000"/>
              </a:schemeClr>
            </a:gs>
            <a:gs pos="0">
              <a:schemeClr val="phClr">
                <a:lumMod val="75000"/>
                <a:hueOff val="-1670000"/>
              </a:schemeClr>
            </a:gs>
          </a:gsLst>
          <a:lin ang="10800000" scaled="0"/>
        </a:grad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cap="flat" cmpd="sng" algn="ctr">
        <a:solidFill>
          <a:schemeClr val="dk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a:solidFill>
          <a:schemeClr val="dk1">
            <a:lumMod val="75000"/>
            <a:lumOff val="2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0CDBCB88-2B30-40CF-9D3C-07D2AFCDB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9121</TotalTime>
  <Pages>145</Pages>
  <Words>63999</Words>
  <Characters>364800</Characters>
  <Application>Microsoft Office Word</Application>
  <DocSecurity>0</DocSecurity>
  <Lines>3040</Lines>
  <Paragraphs>855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Айна</dc:creator>
  <cp:lastModifiedBy>user</cp:lastModifiedBy>
  <cp:revision>305</cp:revision>
  <cp:lastPrinted>2025-10-25T07:16:00Z</cp:lastPrinted>
  <dcterms:created xsi:type="dcterms:W3CDTF">2025-10-25T07:16:00Z</dcterms:created>
  <dcterms:modified xsi:type="dcterms:W3CDTF">2025-11-20T08:35:00Z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B8B2463606BA4983828461CFE41F8DD0_13</vt:lpwstr>
  </property>
</Properties>
</file>