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41776F" w14:textId="77777777" w:rsidR="00F74BAF" w:rsidRDefault="00737583">
      <w:pPr>
        <w:shd w:val="clear" w:color="auto" w:fill="FFFFFF"/>
        <w:ind w:right="182"/>
        <w:jc w:val="center"/>
        <w:rPr>
          <w:sz w:val="28"/>
          <w:szCs w:val="28"/>
        </w:rPr>
      </w:pPr>
      <w:r>
        <w:rPr>
          <w:sz w:val="28"/>
          <w:szCs w:val="28"/>
        </w:rPr>
        <w:t>L.N. Gumilyov Eurasian National University</w:t>
      </w:r>
    </w:p>
    <w:p w14:paraId="4F8FA1F5" w14:textId="77777777" w:rsidR="00F74BAF" w:rsidRDefault="00F74BAF">
      <w:pPr>
        <w:shd w:val="clear" w:color="auto" w:fill="FFFFFF"/>
        <w:tabs>
          <w:tab w:val="left" w:pos="3946"/>
        </w:tabs>
        <w:rPr>
          <w:sz w:val="28"/>
          <w:szCs w:val="28"/>
        </w:rPr>
      </w:pPr>
    </w:p>
    <w:p w14:paraId="54451C87" w14:textId="77777777" w:rsidR="00F74BAF" w:rsidRDefault="00F74BAF">
      <w:pPr>
        <w:shd w:val="clear" w:color="auto" w:fill="FFFFFF"/>
        <w:tabs>
          <w:tab w:val="left" w:pos="3946"/>
        </w:tabs>
        <w:rPr>
          <w:sz w:val="28"/>
          <w:szCs w:val="28"/>
        </w:rPr>
      </w:pPr>
    </w:p>
    <w:p w14:paraId="7A644FCA" w14:textId="77777777" w:rsidR="00F74BAF" w:rsidRDefault="00F74BAF">
      <w:pPr>
        <w:shd w:val="clear" w:color="auto" w:fill="FFFFFF"/>
        <w:tabs>
          <w:tab w:val="left" w:pos="3946"/>
        </w:tabs>
        <w:rPr>
          <w:sz w:val="28"/>
          <w:szCs w:val="28"/>
        </w:rPr>
      </w:pPr>
    </w:p>
    <w:p w14:paraId="7555F609" w14:textId="77777777" w:rsidR="00F74BAF" w:rsidRDefault="00737583">
      <w:pPr>
        <w:shd w:val="clear" w:color="auto" w:fill="FFFFFF"/>
        <w:tabs>
          <w:tab w:val="left" w:pos="3946"/>
        </w:tabs>
        <w:rPr>
          <w:sz w:val="28"/>
          <w:szCs w:val="28"/>
        </w:rPr>
      </w:pPr>
      <w:r>
        <w:rPr>
          <w:sz w:val="28"/>
          <w:szCs w:val="28"/>
        </w:rPr>
        <w:t>UDC 81’37</w:t>
      </w:r>
      <w:r>
        <w:rPr>
          <w:sz w:val="28"/>
          <w:szCs w:val="28"/>
        </w:rPr>
        <w:tab/>
      </w:r>
      <w:r>
        <w:rPr>
          <w:sz w:val="28"/>
          <w:szCs w:val="28"/>
        </w:rPr>
        <w:tab/>
      </w:r>
      <w:r>
        <w:rPr>
          <w:sz w:val="28"/>
          <w:szCs w:val="28"/>
        </w:rPr>
        <w:tab/>
      </w:r>
      <w:r>
        <w:rPr>
          <w:sz w:val="28"/>
          <w:szCs w:val="28"/>
        </w:rPr>
        <w:tab/>
      </w:r>
      <w:r>
        <w:rPr>
          <w:sz w:val="28"/>
          <w:szCs w:val="28"/>
        </w:rPr>
        <w:tab/>
        <w:t>Manuscript Copyright</w:t>
      </w:r>
    </w:p>
    <w:p w14:paraId="7DCCA8A2" w14:textId="77777777" w:rsidR="00F74BAF" w:rsidRDefault="00F74BAF">
      <w:pPr>
        <w:pBdr>
          <w:top w:val="nil"/>
          <w:left w:val="nil"/>
          <w:bottom w:val="nil"/>
          <w:right w:val="nil"/>
          <w:between w:val="nil"/>
        </w:pBdr>
        <w:jc w:val="both"/>
        <w:rPr>
          <w:b/>
          <w:bCs/>
          <w:color w:val="000000"/>
        </w:rPr>
      </w:pPr>
    </w:p>
    <w:p w14:paraId="2F6E4850" w14:textId="77777777" w:rsidR="00F74BAF" w:rsidRDefault="00F74BAF">
      <w:pPr>
        <w:pBdr>
          <w:top w:val="nil"/>
          <w:left w:val="nil"/>
          <w:bottom w:val="nil"/>
          <w:right w:val="nil"/>
          <w:between w:val="nil"/>
        </w:pBdr>
        <w:jc w:val="both"/>
        <w:rPr>
          <w:b/>
          <w:bCs/>
          <w:color w:val="000000"/>
          <w:sz w:val="28"/>
          <w:szCs w:val="28"/>
        </w:rPr>
      </w:pPr>
    </w:p>
    <w:p w14:paraId="34D8E979" w14:textId="77777777" w:rsidR="00F74BAF" w:rsidRDefault="00F74BAF">
      <w:pPr>
        <w:pBdr>
          <w:top w:val="nil"/>
          <w:left w:val="nil"/>
          <w:bottom w:val="nil"/>
          <w:right w:val="nil"/>
          <w:between w:val="nil"/>
        </w:pBdr>
        <w:jc w:val="both"/>
        <w:rPr>
          <w:b/>
          <w:bCs/>
          <w:color w:val="000000"/>
          <w:sz w:val="28"/>
          <w:szCs w:val="28"/>
        </w:rPr>
      </w:pPr>
    </w:p>
    <w:p w14:paraId="00819A95" w14:textId="77777777" w:rsidR="00F74BAF" w:rsidRDefault="00737583">
      <w:pPr>
        <w:pBdr>
          <w:top w:val="nil"/>
          <w:left w:val="nil"/>
          <w:bottom w:val="nil"/>
          <w:right w:val="nil"/>
          <w:between w:val="nil"/>
        </w:pBdr>
        <w:jc w:val="center"/>
        <w:rPr>
          <w:b/>
          <w:bCs/>
          <w:color w:val="000000"/>
          <w:sz w:val="28"/>
          <w:szCs w:val="28"/>
        </w:rPr>
      </w:pPr>
      <w:r>
        <w:rPr>
          <w:b/>
          <w:bCs/>
          <w:color w:val="000000"/>
          <w:sz w:val="28"/>
          <w:szCs w:val="28"/>
        </w:rPr>
        <w:t>YEERBOLE MUNAI</w:t>
      </w:r>
    </w:p>
    <w:p w14:paraId="0713EE85" w14:textId="77777777" w:rsidR="00F74BAF" w:rsidRDefault="00F74BAF">
      <w:pPr>
        <w:pBdr>
          <w:top w:val="nil"/>
          <w:left w:val="nil"/>
          <w:bottom w:val="nil"/>
          <w:right w:val="nil"/>
          <w:between w:val="nil"/>
        </w:pBdr>
        <w:jc w:val="center"/>
        <w:rPr>
          <w:b/>
          <w:bCs/>
          <w:color w:val="000000"/>
          <w:sz w:val="28"/>
          <w:szCs w:val="28"/>
        </w:rPr>
      </w:pPr>
    </w:p>
    <w:p w14:paraId="22B21420" w14:textId="77777777" w:rsidR="00F74BAF" w:rsidRDefault="00F74BAF">
      <w:pPr>
        <w:pBdr>
          <w:top w:val="nil"/>
          <w:left w:val="nil"/>
          <w:bottom w:val="nil"/>
          <w:right w:val="nil"/>
          <w:between w:val="nil"/>
        </w:pBdr>
        <w:jc w:val="center"/>
        <w:rPr>
          <w:color w:val="000000"/>
          <w:sz w:val="28"/>
          <w:szCs w:val="28"/>
        </w:rPr>
      </w:pPr>
    </w:p>
    <w:p w14:paraId="24BACA42" w14:textId="77777777" w:rsidR="00F74BAF" w:rsidRDefault="00F74BAF">
      <w:pPr>
        <w:pBdr>
          <w:top w:val="nil"/>
          <w:left w:val="nil"/>
          <w:bottom w:val="nil"/>
          <w:right w:val="nil"/>
          <w:between w:val="nil"/>
        </w:pBdr>
        <w:jc w:val="center"/>
        <w:rPr>
          <w:color w:val="000000"/>
          <w:sz w:val="28"/>
          <w:szCs w:val="28"/>
        </w:rPr>
      </w:pPr>
    </w:p>
    <w:p w14:paraId="2CEE11C5" w14:textId="7423F844" w:rsidR="00F74BAF" w:rsidRDefault="00737583">
      <w:pPr>
        <w:pBdr>
          <w:top w:val="nil"/>
          <w:left w:val="nil"/>
          <w:bottom w:val="nil"/>
          <w:right w:val="nil"/>
          <w:between w:val="nil"/>
        </w:pBdr>
        <w:jc w:val="center"/>
        <w:rPr>
          <w:b/>
          <w:bCs/>
          <w:color w:val="000000"/>
          <w:sz w:val="28"/>
          <w:szCs w:val="28"/>
        </w:rPr>
      </w:pPr>
      <w:r>
        <w:rPr>
          <w:b/>
          <w:bCs/>
          <w:color w:val="000000"/>
          <w:sz w:val="28"/>
          <w:szCs w:val="28"/>
        </w:rPr>
        <w:t xml:space="preserve">The </w:t>
      </w:r>
      <w:r w:rsidR="00B13633">
        <w:rPr>
          <w:b/>
          <w:bCs/>
          <w:color w:val="000000"/>
          <w:sz w:val="28"/>
          <w:szCs w:val="28"/>
        </w:rPr>
        <w:t xml:space="preserve">semantic field of social relations in the </w:t>
      </w:r>
      <w:r>
        <w:rPr>
          <w:b/>
          <w:bCs/>
          <w:color w:val="000000"/>
          <w:sz w:val="28"/>
          <w:szCs w:val="28"/>
        </w:rPr>
        <w:t xml:space="preserve">Kypchak </w:t>
      </w:r>
      <w:r w:rsidR="00B13633">
        <w:rPr>
          <w:b/>
          <w:bCs/>
          <w:color w:val="000000"/>
          <w:sz w:val="28"/>
          <w:szCs w:val="28"/>
        </w:rPr>
        <w:t>monuments</w:t>
      </w:r>
    </w:p>
    <w:p w14:paraId="442C6ED9" w14:textId="77777777" w:rsidR="00F74BAF" w:rsidRDefault="00F74BAF">
      <w:pPr>
        <w:pBdr>
          <w:top w:val="nil"/>
          <w:left w:val="nil"/>
          <w:bottom w:val="nil"/>
          <w:right w:val="nil"/>
          <w:between w:val="nil"/>
        </w:pBdr>
        <w:jc w:val="center"/>
        <w:rPr>
          <w:color w:val="000000"/>
          <w:sz w:val="28"/>
          <w:szCs w:val="28"/>
        </w:rPr>
      </w:pPr>
      <w:bookmarkStart w:id="0" w:name="_GoBack"/>
      <w:bookmarkEnd w:id="0"/>
    </w:p>
    <w:p w14:paraId="77A54678" w14:textId="77777777" w:rsidR="00F74BAF" w:rsidRDefault="00F74BAF">
      <w:pPr>
        <w:pBdr>
          <w:top w:val="nil"/>
          <w:left w:val="nil"/>
          <w:bottom w:val="nil"/>
          <w:right w:val="nil"/>
          <w:between w:val="nil"/>
        </w:pBdr>
        <w:jc w:val="center"/>
        <w:rPr>
          <w:color w:val="000000"/>
          <w:sz w:val="28"/>
          <w:szCs w:val="28"/>
        </w:rPr>
      </w:pPr>
      <w:bookmarkStart w:id="1" w:name="_heading=h.6s0b7mtofxp8" w:colFirst="0" w:colLast="0"/>
      <w:bookmarkEnd w:id="1"/>
    </w:p>
    <w:p w14:paraId="1A8D64A1" w14:textId="77777777" w:rsidR="00F74BAF" w:rsidRDefault="00F74BAF">
      <w:pPr>
        <w:pBdr>
          <w:top w:val="nil"/>
          <w:left w:val="nil"/>
          <w:bottom w:val="nil"/>
          <w:right w:val="nil"/>
          <w:between w:val="nil"/>
        </w:pBdr>
        <w:jc w:val="center"/>
        <w:rPr>
          <w:color w:val="000000"/>
          <w:sz w:val="28"/>
          <w:szCs w:val="28"/>
        </w:rPr>
      </w:pPr>
    </w:p>
    <w:p w14:paraId="3D5A31DB" w14:textId="77777777" w:rsidR="00F74BAF" w:rsidRDefault="00737583">
      <w:pPr>
        <w:pBdr>
          <w:top w:val="nil"/>
          <w:left w:val="nil"/>
          <w:bottom w:val="nil"/>
          <w:right w:val="nil"/>
          <w:between w:val="nil"/>
        </w:pBdr>
        <w:jc w:val="center"/>
        <w:rPr>
          <w:color w:val="000000"/>
          <w:sz w:val="28"/>
          <w:szCs w:val="28"/>
        </w:rPr>
      </w:pPr>
      <w:r>
        <w:rPr>
          <w:color w:val="000000"/>
          <w:sz w:val="28"/>
          <w:szCs w:val="28"/>
        </w:rPr>
        <w:t>8D02212 ‒ Turkology</w:t>
      </w:r>
    </w:p>
    <w:p w14:paraId="48376F55" w14:textId="77777777" w:rsidR="00F74BAF" w:rsidRDefault="00F74BAF">
      <w:pPr>
        <w:pBdr>
          <w:top w:val="nil"/>
          <w:left w:val="nil"/>
          <w:bottom w:val="nil"/>
          <w:right w:val="nil"/>
          <w:between w:val="nil"/>
        </w:pBdr>
        <w:jc w:val="both"/>
        <w:rPr>
          <w:color w:val="000000"/>
          <w:sz w:val="28"/>
          <w:szCs w:val="28"/>
        </w:rPr>
      </w:pPr>
    </w:p>
    <w:p w14:paraId="11B6E261" w14:textId="77777777" w:rsidR="00F74BAF" w:rsidRDefault="00F74BAF">
      <w:pPr>
        <w:pBdr>
          <w:top w:val="nil"/>
          <w:left w:val="nil"/>
          <w:bottom w:val="nil"/>
          <w:right w:val="nil"/>
          <w:between w:val="nil"/>
        </w:pBdr>
        <w:jc w:val="right"/>
        <w:rPr>
          <w:color w:val="000000"/>
          <w:sz w:val="28"/>
          <w:szCs w:val="28"/>
        </w:rPr>
      </w:pPr>
    </w:p>
    <w:p w14:paraId="30175631" w14:textId="77777777" w:rsidR="00F74BAF" w:rsidRDefault="00F74BAF">
      <w:pPr>
        <w:pBdr>
          <w:top w:val="nil"/>
          <w:left w:val="nil"/>
          <w:bottom w:val="nil"/>
          <w:right w:val="nil"/>
          <w:between w:val="nil"/>
        </w:pBdr>
        <w:jc w:val="right"/>
        <w:rPr>
          <w:color w:val="000000"/>
          <w:sz w:val="28"/>
          <w:szCs w:val="28"/>
        </w:rPr>
      </w:pPr>
    </w:p>
    <w:p w14:paraId="0A525D10" w14:textId="77777777" w:rsidR="00F74BAF" w:rsidRDefault="00737583">
      <w:pPr>
        <w:shd w:val="clear" w:color="auto" w:fill="FFFFFF"/>
        <w:jc w:val="center"/>
        <w:rPr>
          <w:sz w:val="28"/>
          <w:szCs w:val="28"/>
        </w:rPr>
      </w:pPr>
      <w:r>
        <w:rPr>
          <w:sz w:val="28"/>
          <w:szCs w:val="28"/>
        </w:rPr>
        <w:t>Thesis for the Degree of</w:t>
      </w:r>
    </w:p>
    <w:p w14:paraId="14C8D853" w14:textId="77777777" w:rsidR="00F74BAF" w:rsidRDefault="00737583">
      <w:pPr>
        <w:pBdr>
          <w:top w:val="nil"/>
          <w:left w:val="nil"/>
          <w:bottom w:val="nil"/>
          <w:right w:val="nil"/>
          <w:between w:val="nil"/>
        </w:pBdr>
        <w:jc w:val="center"/>
        <w:rPr>
          <w:color w:val="000000"/>
          <w:sz w:val="28"/>
          <w:szCs w:val="28"/>
        </w:rPr>
      </w:pPr>
      <w:r>
        <w:rPr>
          <w:color w:val="000000"/>
          <w:sz w:val="28"/>
          <w:szCs w:val="28"/>
        </w:rPr>
        <w:t>doctor of Philosophy (PhD)</w:t>
      </w:r>
    </w:p>
    <w:p w14:paraId="781FB3C0" w14:textId="77777777" w:rsidR="00F74BAF" w:rsidRDefault="00F74BAF">
      <w:pPr>
        <w:pBdr>
          <w:top w:val="nil"/>
          <w:left w:val="nil"/>
          <w:bottom w:val="nil"/>
          <w:right w:val="nil"/>
          <w:between w:val="nil"/>
        </w:pBdr>
        <w:jc w:val="right"/>
        <w:rPr>
          <w:color w:val="000000"/>
          <w:sz w:val="28"/>
          <w:szCs w:val="28"/>
        </w:rPr>
      </w:pPr>
    </w:p>
    <w:p w14:paraId="733FD784" w14:textId="77777777" w:rsidR="00F74BAF" w:rsidRDefault="00F74BAF">
      <w:pPr>
        <w:pBdr>
          <w:top w:val="nil"/>
          <w:left w:val="nil"/>
          <w:bottom w:val="nil"/>
          <w:right w:val="nil"/>
          <w:between w:val="nil"/>
        </w:pBdr>
        <w:jc w:val="right"/>
        <w:rPr>
          <w:color w:val="000000"/>
          <w:sz w:val="28"/>
          <w:szCs w:val="28"/>
        </w:rPr>
      </w:pPr>
    </w:p>
    <w:p w14:paraId="733BCC13" w14:textId="77777777" w:rsidR="00F74BAF" w:rsidRDefault="00F74BAF">
      <w:pPr>
        <w:pBdr>
          <w:top w:val="nil"/>
          <w:left w:val="nil"/>
          <w:bottom w:val="nil"/>
          <w:right w:val="nil"/>
          <w:between w:val="nil"/>
        </w:pBdr>
        <w:jc w:val="right"/>
        <w:rPr>
          <w:color w:val="000000"/>
          <w:sz w:val="28"/>
          <w:szCs w:val="28"/>
        </w:rPr>
      </w:pPr>
    </w:p>
    <w:p w14:paraId="5810EF1C" w14:textId="77777777" w:rsidR="00F74BAF" w:rsidRDefault="00737583">
      <w:pPr>
        <w:pBdr>
          <w:top w:val="nil"/>
          <w:left w:val="nil"/>
          <w:bottom w:val="nil"/>
          <w:right w:val="nil"/>
          <w:between w:val="nil"/>
        </w:pBdr>
        <w:jc w:val="right"/>
        <w:rPr>
          <w:sz w:val="28"/>
          <w:szCs w:val="28"/>
        </w:rPr>
      </w:pPr>
      <w:r>
        <w:rPr>
          <w:sz w:val="28"/>
          <w:szCs w:val="28"/>
        </w:rPr>
        <w:t>Scientific advisor:</w:t>
      </w:r>
    </w:p>
    <w:p w14:paraId="1CB1E8E7" w14:textId="77777777" w:rsidR="00F74BAF" w:rsidRDefault="00737583">
      <w:pPr>
        <w:pBdr>
          <w:top w:val="nil"/>
          <w:left w:val="nil"/>
          <w:bottom w:val="nil"/>
          <w:right w:val="nil"/>
          <w:between w:val="nil"/>
        </w:pBdr>
        <w:jc w:val="right"/>
        <w:rPr>
          <w:sz w:val="28"/>
          <w:szCs w:val="28"/>
        </w:rPr>
      </w:pPr>
      <w:r>
        <w:rPr>
          <w:sz w:val="28"/>
          <w:szCs w:val="28"/>
        </w:rPr>
        <w:t>Doctor of Philology, Professor</w:t>
      </w:r>
    </w:p>
    <w:p w14:paraId="7040B6B0" w14:textId="77777777" w:rsidR="00F74BAF" w:rsidRDefault="00737583">
      <w:pPr>
        <w:pBdr>
          <w:top w:val="nil"/>
          <w:left w:val="nil"/>
          <w:bottom w:val="nil"/>
          <w:right w:val="nil"/>
          <w:between w:val="nil"/>
        </w:pBdr>
        <w:jc w:val="right"/>
        <w:rPr>
          <w:sz w:val="28"/>
          <w:szCs w:val="28"/>
        </w:rPr>
      </w:pPr>
      <w:r>
        <w:rPr>
          <w:sz w:val="28"/>
          <w:szCs w:val="28"/>
        </w:rPr>
        <w:t>Shaimerdinova Nurila Gabbasovna</w:t>
      </w:r>
    </w:p>
    <w:p w14:paraId="7DAD76CB" w14:textId="77777777" w:rsidR="00F74BAF" w:rsidRDefault="00F74BAF">
      <w:pPr>
        <w:pBdr>
          <w:top w:val="nil"/>
          <w:left w:val="nil"/>
          <w:bottom w:val="nil"/>
          <w:right w:val="nil"/>
          <w:between w:val="nil"/>
        </w:pBdr>
        <w:jc w:val="right"/>
        <w:rPr>
          <w:sz w:val="28"/>
          <w:szCs w:val="28"/>
        </w:rPr>
      </w:pPr>
    </w:p>
    <w:p w14:paraId="02B34981" w14:textId="77777777" w:rsidR="00F74BAF" w:rsidRDefault="00737583">
      <w:pPr>
        <w:pBdr>
          <w:top w:val="nil"/>
          <w:left w:val="nil"/>
          <w:bottom w:val="nil"/>
          <w:right w:val="nil"/>
          <w:between w:val="nil"/>
        </w:pBdr>
        <w:jc w:val="right"/>
        <w:rPr>
          <w:sz w:val="28"/>
          <w:szCs w:val="28"/>
        </w:rPr>
      </w:pPr>
      <w:r>
        <w:rPr>
          <w:sz w:val="28"/>
          <w:szCs w:val="28"/>
        </w:rPr>
        <w:t>Foreign scientific advisor:</w:t>
      </w:r>
    </w:p>
    <w:p w14:paraId="331781CD" w14:textId="77777777" w:rsidR="00F74BAF" w:rsidRDefault="00737583">
      <w:pPr>
        <w:pBdr>
          <w:top w:val="nil"/>
          <w:left w:val="nil"/>
          <w:bottom w:val="nil"/>
          <w:right w:val="nil"/>
          <w:between w:val="nil"/>
        </w:pBdr>
        <w:jc w:val="right"/>
        <w:rPr>
          <w:sz w:val="28"/>
          <w:szCs w:val="28"/>
        </w:rPr>
      </w:pPr>
      <w:r>
        <w:rPr>
          <w:sz w:val="28"/>
          <w:szCs w:val="28"/>
        </w:rPr>
        <w:t>Ph.D., Professor</w:t>
      </w:r>
    </w:p>
    <w:p w14:paraId="27DB6833" w14:textId="77777777" w:rsidR="00F74BAF" w:rsidRDefault="00737583">
      <w:pPr>
        <w:pBdr>
          <w:top w:val="nil"/>
          <w:left w:val="nil"/>
          <w:bottom w:val="nil"/>
          <w:right w:val="nil"/>
          <w:between w:val="nil"/>
        </w:pBdr>
        <w:jc w:val="right"/>
        <w:rPr>
          <w:sz w:val="28"/>
          <w:szCs w:val="28"/>
        </w:rPr>
      </w:pPr>
      <w:r>
        <w:rPr>
          <w:sz w:val="28"/>
          <w:szCs w:val="28"/>
        </w:rPr>
        <w:t>László Károly</w:t>
      </w:r>
    </w:p>
    <w:p w14:paraId="27392506" w14:textId="77777777" w:rsidR="00F74BAF" w:rsidRDefault="00737583">
      <w:pPr>
        <w:pBdr>
          <w:top w:val="nil"/>
          <w:left w:val="nil"/>
          <w:bottom w:val="nil"/>
          <w:right w:val="nil"/>
          <w:between w:val="nil"/>
        </w:pBdr>
        <w:jc w:val="right"/>
        <w:rPr>
          <w:sz w:val="28"/>
          <w:szCs w:val="28"/>
        </w:rPr>
      </w:pPr>
      <w:r>
        <w:rPr>
          <w:sz w:val="28"/>
          <w:szCs w:val="28"/>
        </w:rPr>
        <w:t>(Uppsala, Sweden: Uppsala University)</w:t>
      </w:r>
    </w:p>
    <w:p w14:paraId="564E2F5F" w14:textId="77777777" w:rsidR="00F74BAF" w:rsidRDefault="00F74BAF">
      <w:pPr>
        <w:pBdr>
          <w:top w:val="nil"/>
          <w:left w:val="nil"/>
          <w:bottom w:val="nil"/>
          <w:right w:val="nil"/>
          <w:between w:val="nil"/>
        </w:pBdr>
        <w:rPr>
          <w:sz w:val="28"/>
          <w:szCs w:val="28"/>
        </w:rPr>
      </w:pPr>
    </w:p>
    <w:p w14:paraId="107C2156" w14:textId="77777777" w:rsidR="00F74BAF" w:rsidRDefault="00F74BAF">
      <w:pPr>
        <w:pBdr>
          <w:top w:val="nil"/>
          <w:left w:val="nil"/>
          <w:bottom w:val="nil"/>
          <w:right w:val="nil"/>
          <w:between w:val="nil"/>
        </w:pBdr>
        <w:jc w:val="right"/>
        <w:rPr>
          <w:color w:val="000000"/>
          <w:sz w:val="28"/>
          <w:szCs w:val="28"/>
        </w:rPr>
      </w:pPr>
    </w:p>
    <w:p w14:paraId="0517A135" w14:textId="77777777" w:rsidR="00F74BAF" w:rsidRDefault="00F74BAF">
      <w:pPr>
        <w:pBdr>
          <w:top w:val="nil"/>
          <w:left w:val="nil"/>
          <w:bottom w:val="nil"/>
          <w:right w:val="nil"/>
          <w:between w:val="nil"/>
        </w:pBdr>
        <w:jc w:val="right"/>
        <w:rPr>
          <w:color w:val="000000"/>
          <w:sz w:val="28"/>
          <w:szCs w:val="28"/>
        </w:rPr>
      </w:pPr>
    </w:p>
    <w:p w14:paraId="7690343C" w14:textId="77777777" w:rsidR="00F74BAF" w:rsidRDefault="00F74BAF">
      <w:pPr>
        <w:pBdr>
          <w:top w:val="nil"/>
          <w:left w:val="nil"/>
          <w:bottom w:val="nil"/>
          <w:right w:val="nil"/>
          <w:between w:val="nil"/>
        </w:pBdr>
        <w:rPr>
          <w:color w:val="000000"/>
          <w:sz w:val="28"/>
          <w:szCs w:val="28"/>
        </w:rPr>
      </w:pPr>
    </w:p>
    <w:p w14:paraId="1530D4AA" w14:textId="77777777" w:rsidR="00F74BAF" w:rsidRDefault="00F74BAF">
      <w:pPr>
        <w:pBdr>
          <w:top w:val="nil"/>
          <w:left w:val="nil"/>
          <w:bottom w:val="nil"/>
          <w:right w:val="nil"/>
          <w:between w:val="nil"/>
        </w:pBdr>
        <w:jc w:val="right"/>
        <w:rPr>
          <w:color w:val="000000"/>
          <w:sz w:val="28"/>
          <w:szCs w:val="28"/>
        </w:rPr>
      </w:pPr>
    </w:p>
    <w:p w14:paraId="0D5B42C5" w14:textId="77777777" w:rsidR="00F74BAF" w:rsidRDefault="00F74BAF">
      <w:pPr>
        <w:pBdr>
          <w:top w:val="nil"/>
          <w:left w:val="nil"/>
          <w:bottom w:val="nil"/>
          <w:right w:val="nil"/>
          <w:between w:val="nil"/>
        </w:pBdr>
        <w:jc w:val="right"/>
        <w:rPr>
          <w:color w:val="000000"/>
          <w:sz w:val="28"/>
          <w:szCs w:val="28"/>
        </w:rPr>
      </w:pPr>
    </w:p>
    <w:p w14:paraId="011D3E36" w14:textId="77777777" w:rsidR="00F74BAF" w:rsidRDefault="00F74BAF">
      <w:pPr>
        <w:pBdr>
          <w:top w:val="nil"/>
          <w:left w:val="nil"/>
          <w:bottom w:val="nil"/>
          <w:right w:val="nil"/>
          <w:between w:val="nil"/>
        </w:pBdr>
        <w:jc w:val="right"/>
        <w:rPr>
          <w:color w:val="000000"/>
          <w:sz w:val="28"/>
          <w:szCs w:val="28"/>
        </w:rPr>
      </w:pPr>
    </w:p>
    <w:p w14:paraId="59E84B66" w14:textId="77777777" w:rsidR="00F74BAF" w:rsidRDefault="00F74BAF">
      <w:pPr>
        <w:pBdr>
          <w:top w:val="nil"/>
          <w:left w:val="nil"/>
          <w:bottom w:val="nil"/>
          <w:right w:val="nil"/>
          <w:between w:val="nil"/>
        </w:pBdr>
        <w:rPr>
          <w:color w:val="000000"/>
          <w:sz w:val="28"/>
          <w:szCs w:val="28"/>
        </w:rPr>
      </w:pPr>
    </w:p>
    <w:p w14:paraId="3FA16139" w14:textId="77777777" w:rsidR="00F74BAF" w:rsidRDefault="00F74BAF">
      <w:pPr>
        <w:pBdr>
          <w:top w:val="nil"/>
          <w:left w:val="nil"/>
          <w:bottom w:val="nil"/>
          <w:right w:val="nil"/>
          <w:between w:val="nil"/>
        </w:pBdr>
        <w:jc w:val="right"/>
        <w:rPr>
          <w:color w:val="000000"/>
          <w:sz w:val="28"/>
          <w:szCs w:val="28"/>
        </w:rPr>
      </w:pPr>
    </w:p>
    <w:p w14:paraId="2D1B8C7E" w14:textId="77777777" w:rsidR="00F74BAF" w:rsidRDefault="00F74BAF">
      <w:pPr>
        <w:pBdr>
          <w:top w:val="nil"/>
          <w:left w:val="nil"/>
          <w:bottom w:val="nil"/>
          <w:right w:val="nil"/>
          <w:between w:val="nil"/>
        </w:pBdr>
        <w:jc w:val="right"/>
        <w:rPr>
          <w:color w:val="000000"/>
          <w:sz w:val="28"/>
          <w:szCs w:val="28"/>
        </w:rPr>
      </w:pPr>
    </w:p>
    <w:p w14:paraId="14E98DE0" w14:textId="77777777" w:rsidR="00F74BAF" w:rsidRDefault="00737583">
      <w:pPr>
        <w:pBdr>
          <w:top w:val="nil"/>
          <w:left w:val="nil"/>
          <w:bottom w:val="nil"/>
          <w:right w:val="nil"/>
          <w:between w:val="nil"/>
        </w:pBdr>
        <w:jc w:val="center"/>
        <w:rPr>
          <w:color w:val="000000"/>
          <w:sz w:val="28"/>
          <w:szCs w:val="28"/>
        </w:rPr>
      </w:pPr>
      <w:r>
        <w:rPr>
          <w:color w:val="000000"/>
          <w:sz w:val="28"/>
          <w:szCs w:val="28"/>
        </w:rPr>
        <w:t>Republic of Kazakhstan</w:t>
      </w:r>
    </w:p>
    <w:p w14:paraId="5EF48485" w14:textId="77777777" w:rsidR="00F74BAF" w:rsidRDefault="00737583">
      <w:pPr>
        <w:pBdr>
          <w:top w:val="nil"/>
          <w:left w:val="nil"/>
          <w:bottom w:val="nil"/>
          <w:right w:val="nil"/>
          <w:between w:val="nil"/>
        </w:pBdr>
        <w:jc w:val="center"/>
        <w:rPr>
          <w:color w:val="000000"/>
          <w:sz w:val="28"/>
          <w:szCs w:val="28"/>
        </w:rPr>
      </w:pPr>
      <w:r>
        <w:rPr>
          <w:color w:val="000000"/>
          <w:sz w:val="28"/>
          <w:szCs w:val="28"/>
        </w:rPr>
        <w:t>Astana, 2025</w:t>
      </w:r>
    </w:p>
    <w:p w14:paraId="658CBA5B" w14:textId="77777777" w:rsidR="00F74BAF" w:rsidRDefault="00737583">
      <w:pPr>
        <w:pBdr>
          <w:top w:val="nil"/>
          <w:left w:val="nil"/>
          <w:bottom w:val="nil"/>
          <w:right w:val="nil"/>
          <w:between w:val="nil"/>
        </w:pBdr>
        <w:jc w:val="center"/>
        <w:rPr>
          <w:b/>
          <w:bCs/>
          <w:color w:val="000000"/>
          <w:sz w:val="28"/>
          <w:szCs w:val="28"/>
        </w:rPr>
      </w:pPr>
      <w:r>
        <w:rPr>
          <w:b/>
          <w:bCs/>
          <w:color w:val="000000"/>
          <w:sz w:val="28"/>
          <w:szCs w:val="28"/>
        </w:rPr>
        <w:lastRenderedPageBreak/>
        <w:t>CONTENT</w:t>
      </w:r>
    </w:p>
    <w:p w14:paraId="62D61F4E" w14:textId="77777777" w:rsidR="00F74BAF" w:rsidRDefault="00F74BAF">
      <w:pPr>
        <w:pBdr>
          <w:top w:val="nil"/>
          <w:left w:val="nil"/>
          <w:bottom w:val="nil"/>
          <w:right w:val="nil"/>
          <w:between w:val="nil"/>
        </w:pBdr>
        <w:jc w:val="right"/>
        <w:rPr>
          <w:b/>
          <w:bCs/>
          <w:color w:val="000000"/>
          <w:sz w:val="28"/>
          <w:szCs w:val="28"/>
        </w:rPr>
      </w:pPr>
    </w:p>
    <w:tbl>
      <w:tblPr>
        <w:tblStyle w:val="af1"/>
        <w:tblW w:w="9782" w:type="dxa"/>
        <w:tblInd w:w="-42" w:type="dxa"/>
        <w:tblBorders>
          <w:top w:val="nil"/>
          <w:left w:val="nil"/>
          <w:bottom w:val="nil"/>
          <w:right w:val="nil"/>
          <w:insideH w:val="nil"/>
          <w:insideV w:val="nil"/>
        </w:tblBorders>
        <w:tblLayout w:type="fixed"/>
        <w:tblLook w:val="0400" w:firstRow="0" w:lastRow="0" w:firstColumn="0" w:lastColumn="0" w:noHBand="0" w:noVBand="1"/>
      </w:tblPr>
      <w:tblGrid>
        <w:gridCol w:w="9115"/>
        <w:gridCol w:w="667"/>
      </w:tblGrid>
      <w:tr w:rsidR="00F74BAF" w14:paraId="61D9D27F" w14:textId="77777777">
        <w:tc>
          <w:tcPr>
            <w:tcW w:w="9115" w:type="dxa"/>
          </w:tcPr>
          <w:p w14:paraId="4B7BE2E7"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jc w:val="both"/>
              <w:rPr>
                <w:b/>
                <w:bCs/>
                <w:color w:val="000000"/>
                <w:sz w:val="28"/>
                <w:szCs w:val="28"/>
              </w:rPr>
            </w:pPr>
            <w:r>
              <w:rPr>
                <w:b/>
                <w:bCs/>
                <w:color w:val="000000"/>
                <w:sz w:val="28"/>
                <w:szCs w:val="28"/>
              </w:rPr>
              <w:t>INTRODUCTION</w:t>
            </w:r>
            <w:r>
              <w:rPr>
                <w:color w:val="000000"/>
                <w:sz w:val="28"/>
                <w:szCs w:val="28"/>
              </w:rPr>
              <w:t xml:space="preserve"> ………………………………………………………..……</w:t>
            </w:r>
          </w:p>
        </w:tc>
        <w:tc>
          <w:tcPr>
            <w:tcW w:w="667" w:type="dxa"/>
          </w:tcPr>
          <w:p w14:paraId="6ABCA383"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rPr>
                <w:color w:val="000000"/>
                <w:sz w:val="28"/>
                <w:szCs w:val="28"/>
              </w:rPr>
            </w:pPr>
            <w:r>
              <w:rPr>
                <w:sz w:val="28"/>
                <w:szCs w:val="28"/>
              </w:rPr>
              <w:t>3</w:t>
            </w:r>
          </w:p>
        </w:tc>
      </w:tr>
      <w:tr w:rsidR="00F74BAF" w14:paraId="0F13BE9C" w14:textId="77777777">
        <w:tc>
          <w:tcPr>
            <w:tcW w:w="9115" w:type="dxa"/>
          </w:tcPr>
          <w:p w14:paraId="7C6D4047"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jc w:val="both"/>
              <w:rPr>
                <w:b/>
                <w:bCs/>
                <w:color w:val="000000"/>
                <w:sz w:val="28"/>
                <w:szCs w:val="28"/>
              </w:rPr>
            </w:pPr>
            <w:r>
              <w:rPr>
                <w:b/>
                <w:bCs/>
                <w:color w:val="000000"/>
                <w:sz w:val="28"/>
                <w:szCs w:val="28"/>
              </w:rPr>
              <w:t>1</w:t>
            </w:r>
            <w:r>
              <w:rPr>
                <w:b/>
                <w:bCs/>
                <w:sz w:val="28"/>
                <w:szCs w:val="28"/>
              </w:rPr>
              <w:t xml:space="preserve"> </w:t>
            </w:r>
            <w:r>
              <w:rPr>
                <w:b/>
                <w:bCs/>
                <w:color w:val="000000"/>
                <w:sz w:val="28"/>
                <w:szCs w:val="28"/>
              </w:rPr>
              <w:t>THEORETICAL BASIS OF THE STUDY</w:t>
            </w:r>
            <w:r>
              <w:rPr>
                <w:color w:val="000000"/>
                <w:sz w:val="28"/>
                <w:szCs w:val="28"/>
              </w:rPr>
              <w:t>…………….…….……...…….</w:t>
            </w:r>
          </w:p>
        </w:tc>
        <w:tc>
          <w:tcPr>
            <w:tcW w:w="667" w:type="dxa"/>
          </w:tcPr>
          <w:p w14:paraId="0647E473"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rPr>
                <w:color w:val="000000"/>
                <w:sz w:val="28"/>
                <w:szCs w:val="28"/>
              </w:rPr>
            </w:pPr>
            <w:r>
              <w:rPr>
                <w:sz w:val="28"/>
                <w:szCs w:val="28"/>
              </w:rPr>
              <w:t>10</w:t>
            </w:r>
          </w:p>
        </w:tc>
      </w:tr>
      <w:tr w:rsidR="00F74BAF" w14:paraId="4032674C" w14:textId="77777777">
        <w:tc>
          <w:tcPr>
            <w:tcW w:w="9115" w:type="dxa"/>
          </w:tcPr>
          <w:p w14:paraId="03842E4F"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jc w:val="both"/>
              <w:rPr>
                <w:b/>
                <w:bCs/>
                <w:color w:val="000000"/>
                <w:sz w:val="28"/>
                <w:szCs w:val="28"/>
              </w:rPr>
            </w:pPr>
            <w:r>
              <w:rPr>
                <w:color w:val="000000"/>
                <w:sz w:val="28"/>
                <w:szCs w:val="28"/>
              </w:rPr>
              <w:t>1.1</w:t>
            </w:r>
            <w:r>
              <w:rPr>
                <w:sz w:val="28"/>
                <w:szCs w:val="28"/>
              </w:rPr>
              <w:t xml:space="preserve"> Historical and Cultural Context of The Golden Horde era</w:t>
            </w:r>
            <w:r>
              <w:rPr>
                <w:color w:val="000000"/>
                <w:sz w:val="28"/>
                <w:szCs w:val="28"/>
              </w:rPr>
              <w:t>……….…………………….…</w:t>
            </w:r>
            <w:r>
              <w:rPr>
                <w:sz w:val="28"/>
                <w:szCs w:val="28"/>
              </w:rPr>
              <w:t>……………………………………..</w:t>
            </w:r>
            <w:r>
              <w:rPr>
                <w:color w:val="000000"/>
                <w:sz w:val="28"/>
                <w:szCs w:val="28"/>
              </w:rPr>
              <w:t>.……….</w:t>
            </w:r>
          </w:p>
        </w:tc>
        <w:tc>
          <w:tcPr>
            <w:tcW w:w="667" w:type="dxa"/>
          </w:tcPr>
          <w:p w14:paraId="00F132B1"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rPr>
                <w:color w:val="000000"/>
                <w:sz w:val="28"/>
                <w:szCs w:val="28"/>
              </w:rPr>
            </w:pPr>
            <w:r>
              <w:rPr>
                <w:sz w:val="28"/>
                <w:szCs w:val="28"/>
              </w:rPr>
              <w:t>10</w:t>
            </w:r>
          </w:p>
        </w:tc>
      </w:tr>
      <w:tr w:rsidR="00F74BAF" w14:paraId="22DC2C3B" w14:textId="77777777">
        <w:tc>
          <w:tcPr>
            <w:tcW w:w="9115" w:type="dxa"/>
          </w:tcPr>
          <w:p w14:paraId="68B1B4E3"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jc w:val="both"/>
              <w:rPr>
                <w:b/>
                <w:bCs/>
                <w:sz w:val="28"/>
                <w:szCs w:val="28"/>
              </w:rPr>
            </w:pPr>
            <w:r>
              <w:rPr>
                <w:sz w:val="28"/>
                <w:szCs w:val="28"/>
              </w:rPr>
              <w:t>1.2 Theory of Lexical Semantics……………….……….………….…………..</w:t>
            </w:r>
          </w:p>
        </w:tc>
        <w:tc>
          <w:tcPr>
            <w:tcW w:w="667" w:type="dxa"/>
          </w:tcPr>
          <w:p w14:paraId="04754B73"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rPr>
                <w:color w:val="000000"/>
                <w:sz w:val="28"/>
                <w:szCs w:val="28"/>
              </w:rPr>
            </w:pPr>
            <w:r>
              <w:rPr>
                <w:sz w:val="28"/>
                <w:szCs w:val="28"/>
              </w:rPr>
              <w:t>11</w:t>
            </w:r>
          </w:p>
        </w:tc>
      </w:tr>
      <w:tr w:rsidR="00F74BAF" w14:paraId="5B23758B" w14:textId="77777777">
        <w:tc>
          <w:tcPr>
            <w:tcW w:w="9115" w:type="dxa"/>
          </w:tcPr>
          <w:p w14:paraId="7399A8C6"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jc w:val="both"/>
              <w:rPr>
                <w:b/>
                <w:bCs/>
                <w:color w:val="000000"/>
                <w:sz w:val="28"/>
                <w:szCs w:val="28"/>
              </w:rPr>
            </w:pPr>
            <w:r>
              <w:rPr>
                <w:color w:val="000000"/>
                <w:sz w:val="28"/>
                <w:szCs w:val="28"/>
              </w:rPr>
              <w:t>1.</w:t>
            </w:r>
            <w:r>
              <w:rPr>
                <w:sz w:val="28"/>
                <w:szCs w:val="28"/>
              </w:rPr>
              <w:t>3</w:t>
            </w:r>
            <w:r>
              <w:rPr>
                <w:color w:val="000000"/>
                <w:sz w:val="28"/>
                <w:szCs w:val="28"/>
              </w:rPr>
              <w:t xml:space="preserve"> Semantic Field………………………………………………….……………</w:t>
            </w:r>
          </w:p>
        </w:tc>
        <w:tc>
          <w:tcPr>
            <w:tcW w:w="667" w:type="dxa"/>
          </w:tcPr>
          <w:p w14:paraId="68ECAFDC"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rPr>
                <w:color w:val="000000"/>
                <w:sz w:val="28"/>
                <w:szCs w:val="28"/>
              </w:rPr>
            </w:pPr>
            <w:r>
              <w:rPr>
                <w:sz w:val="28"/>
                <w:szCs w:val="28"/>
              </w:rPr>
              <w:t>18</w:t>
            </w:r>
          </w:p>
        </w:tc>
      </w:tr>
      <w:tr w:rsidR="00F74BAF" w14:paraId="5815B8E7" w14:textId="77777777">
        <w:tc>
          <w:tcPr>
            <w:tcW w:w="9115" w:type="dxa"/>
          </w:tcPr>
          <w:p w14:paraId="7A61418A"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jc w:val="both"/>
              <w:rPr>
                <w:b/>
                <w:bCs/>
                <w:color w:val="000000"/>
                <w:sz w:val="28"/>
                <w:szCs w:val="28"/>
              </w:rPr>
            </w:pPr>
            <w:r>
              <w:rPr>
                <w:color w:val="000000"/>
                <w:sz w:val="28"/>
                <w:szCs w:val="28"/>
              </w:rPr>
              <w:t>1.</w:t>
            </w:r>
            <w:r>
              <w:rPr>
                <w:sz w:val="28"/>
                <w:szCs w:val="28"/>
              </w:rPr>
              <w:t>4</w:t>
            </w:r>
            <w:r>
              <w:rPr>
                <w:color w:val="000000"/>
                <w:sz w:val="28"/>
                <w:szCs w:val="28"/>
              </w:rPr>
              <w:t xml:space="preserve"> Semantic Relations………………………………………………………….</w:t>
            </w:r>
          </w:p>
        </w:tc>
        <w:tc>
          <w:tcPr>
            <w:tcW w:w="667" w:type="dxa"/>
          </w:tcPr>
          <w:p w14:paraId="001C487E"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rPr>
                <w:color w:val="000000"/>
                <w:sz w:val="28"/>
                <w:szCs w:val="28"/>
              </w:rPr>
            </w:pPr>
            <w:r>
              <w:rPr>
                <w:sz w:val="28"/>
                <w:szCs w:val="28"/>
              </w:rPr>
              <w:t>26</w:t>
            </w:r>
          </w:p>
        </w:tc>
      </w:tr>
      <w:tr w:rsidR="00F74BAF" w14:paraId="45972F8E" w14:textId="77777777">
        <w:tc>
          <w:tcPr>
            <w:tcW w:w="9115" w:type="dxa"/>
          </w:tcPr>
          <w:p w14:paraId="5463596C"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jc w:val="both"/>
              <w:rPr>
                <w:b/>
                <w:bCs/>
                <w:color w:val="000000"/>
                <w:sz w:val="28"/>
                <w:szCs w:val="28"/>
              </w:rPr>
            </w:pPr>
            <w:r>
              <w:rPr>
                <w:b/>
                <w:bCs/>
                <w:color w:val="000000"/>
                <w:sz w:val="28"/>
                <w:szCs w:val="28"/>
              </w:rPr>
              <w:t xml:space="preserve">2 SEMANTIC FIELDS OF </w:t>
            </w:r>
            <w:r>
              <w:rPr>
                <w:b/>
                <w:bCs/>
                <w:sz w:val="28"/>
                <w:szCs w:val="28"/>
              </w:rPr>
              <w:t>DAFTAR-I CHINGIZ</w:t>
            </w:r>
            <w:r>
              <w:rPr>
                <w:b/>
                <w:bCs/>
                <w:color w:val="000000"/>
                <w:sz w:val="28"/>
                <w:szCs w:val="28"/>
              </w:rPr>
              <w:t xml:space="preserve"> AND GOLDEN HORDE YARÏĠS</w:t>
            </w:r>
            <w:r>
              <w:rPr>
                <w:color w:val="000000"/>
                <w:sz w:val="28"/>
                <w:szCs w:val="28"/>
              </w:rPr>
              <w:t>……………………………………….……………………..</w:t>
            </w:r>
          </w:p>
        </w:tc>
        <w:tc>
          <w:tcPr>
            <w:tcW w:w="667" w:type="dxa"/>
          </w:tcPr>
          <w:p w14:paraId="026A74DB" w14:textId="77777777" w:rsidR="00F74BAF" w:rsidRDefault="00F74BAF">
            <w:pPr>
              <w:pBdr>
                <w:top w:val="none" w:sz="0" w:space="0" w:color="000000"/>
                <w:left w:val="none" w:sz="0" w:space="0" w:color="000000"/>
                <w:bottom w:val="none" w:sz="0" w:space="0" w:color="000000"/>
                <w:right w:val="none" w:sz="0" w:space="0" w:color="000000"/>
                <w:between w:val="none" w:sz="0" w:space="0" w:color="000000"/>
              </w:pBdr>
              <w:rPr>
                <w:color w:val="000000"/>
                <w:sz w:val="28"/>
                <w:szCs w:val="28"/>
              </w:rPr>
            </w:pPr>
          </w:p>
          <w:p w14:paraId="4911A942"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rPr>
                <w:color w:val="000000"/>
                <w:sz w:val="28"/>
                <w:szCs w:val="28"/>
              </w:rPr>
            </w:pPr>
            <w:r>
              <w:rPr>
                <w:sz w:val="28"/>
                <w:szCs w:val="28"/>
              </w:rPr>
              <w:t>40</w:t>
            </w:r>
          </w:p>
        </w:tc>
      </w:tr>
      <w:tr w:rsidR="00F74BAF" w14:paraId="32B57096" w14:textId="77777777">
        <w:tc>
          <w:tcPr>
            <w:tcW w:w="9115" w:type="dxa"/>
          </w:tcPr>
          <w:p w14:paraId="54083E9D"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jc w:val="both"/>
              <w:rPr>
                <w:b/>
                <w:bCs/>
                <w:color w:val="000000"/>
                <w:sz w:val="28"/>
                <w:szCs w:val="28"/>
              </w:rPr>
            </w:pPr>
            <w:r>
              <w:rPr>
                <w:color w:val="000000"/>
                <w:sz w:val="28"/>
                <w:szCs w:val="28"/>
              </w:rPr>
              <w:t>2.1 Kinship Terms…………………..…………………………………….……..</w:t>
            </w:r>
          </w:p>
        </w:tc>
        <w:tc>
          <w:tcPr>
            <w:tcW w:w="667" w:type="dxa"/>
          </w:tcPr>
          <w:p w14:paraId="5B56F9AE"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rPr>
                <w:color w:val="000000"/>
                <w:sz w:val="28"/>
                <w:szCs w:val="28"/>
              </w:rPr>
            </w:pPr>
            <w:r>
              <w:rPr>
                <w:sz w:val="28"/>
                <w:szCs w:val="28"/>
              </w:rPr>
              <w:t>41</w:t>
            </w:r>
          </w:p>
        </w:tc>
      </w:tr>
      <w:tr w:rsidR="00F74BAF" w14:paraId="74DE1543" w14:textId="77777777">
        <w:tc>
          <w:tcPr>
            <w:tcW w:w="9115" w:type="dxa"/>
          </w:tcPr>
          <w:p w14:paraId="75AD054D"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jc w:val="both"/>
              <w:rPr>
                <w:b/>
                <w:bCs/>
                <w:color w:val="000000"/>
                <w:sz w:val="28"/>
                <w:szCs w:val="28"/>
              </w:rPr>
            </w:pPr>
            <w:r>
              <w:rPr>
                <w:color w:val="000000"/>
                <w:sz w:val="28"/>
                <w:szCs w:val="28"/>
              </w:rPr>
              <w:t xml:space="preserve">2.2 Profession </w:t>
            </w:r>
            <w:r>
              <w:rPr>
                <w:color w:val="000000"/>
                <w:sz w:val="28"/>
                <w:szCs w:val="28"/>
              </w:rPr>
              <w:t>Names……………………..……………………….…………….</w:t>
            </w:r>
          </w:p>
        </w:tc>
        <w:tc>
          <w:tcPr>
            <w:tcW w:w="667" w:type="dxa"/>
          </w:tcPr>
          <w:p w14:paraId="09B160E0"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rPr>
                <w:color w:val="000000"/>
                <w:sz w:val="28"/>
                <w:szCs w:val="28"/>
              </w:rPr>
            </w:pPr>
            <w:r>
              <w:rPr>
                <w:sz w:val="28"/>
                <w:szCs w:val="28"/>
              </w:rPr>
              <w:t>61</w:t>
            </w:r>
          </w:p>
        </w:tc>
      </w:tr>
      <w:tr w:rsidR="00F74BAF" w14:paraId="1500D96D" w14:textId="77777777">
        <w:tc>
          <w:tcPr>
            <w:tcW w:w="9115" w:type="dxa"/>
          </w:tcPr>
          <w:p w14:paraId="06E2ABC5"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jc w:val="both"/>
              <w:rPr>
                <w:color w:val="000000"/>
                <w:sz w:val="28"/>
                <w:szCs w:val="28"/>
              </w:rPr>
            </w:pPr>
            <w:r>
              <w:rPr>
                <w:b/>
                <w:bCs/>
                <w:color w:val="000000"/>
                <w:sz w:val="28"/>
                <w:szCs w:val="28"/>
              </w:rPr>
              <w:t xml:space="preserve">3 SEMANTIC FIELDS OF ÖTÄMIŠ ḤĀJĪ'S </w:t>
            </w:r>
            <w:r>
              <w:rPr>
                <w:b/>
                <w:bCs/>
                <w:sz w:val="28"/>
                <w:szCs w:val="28"/>
              </w:rPr>
              <w:t>ČINGIZ-NAMA</w:t>
            </w:r>
            <w:r>
              <w:rPr>
                <w:color w:val="000000"/>
                <w:sz w:val="28"/>
                <w:szCs w:val="28"/>
              </w:rPr>
              <w:t>…………...</w:t>
            </w:r>
          </w:p>
        </w:tc>
        <w:tc>
          <w:tcPr>
            <w:tcW w:w="667" w:type="dxa"/>
          </w:tcPr>
          <w:p w14:paraId="40E464EE"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rPr>
                <w:color w:val="000000"/>
                <w:sz w:val="28"/>
                <w:szCs w:val="28"/>
              </w:rPr>
            </w:pPr>
            <w:r>
              <w:rPr>
                <w:sz w:val="28"/>
                <w:szCs w:val="28"/>
              </w:rPr>
              <w:t>70</w:t>
            </w:r>
          </w:p>
        </w:tc>
      </w:tr>
      <w:tr w:rsidR="00F74BAF" w14:paraId="7D1D5024" w14:textId="77777777">
        <w:tc>
          <w:tcPr>
            <w:tcW w:w="9115" w:type="dxa"/>
          </w:tcPr>
          <w:p w14:paraId="5CA1F1B4"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jc w:val="both"/>
              <w:rPr>
                <w:b/>
                <w:bCs/>
                <w:color w:val="000000"/>
                <w:sz w:val="28"/>
                <w:szCs w:val="28"/>
              </w:rPr>
            </w:pPr>
            <w:r>
              <w:rPr>
                <w:color w:val="000000"/>
                <w:sz w:val="28"/>
                <w:szCs w:val="28"/>
              </w:rPr>
              <w:t>3.1 Military Terms ………………………………..……………..…..………….</w:t>
            </w:r>
          </w:p>
        </w:tc>
        <w:tc>
          <w:tcPr>
            <w:tcW w:w="667" w:type="dxa"/>
          </w:tcPr>
          <w:p w14:paraId="4BC26EB1"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rPr>
                <w:color w:val="000000"/>
                <w:sz w:val="28"/>
                <w:szCs w:val="28"/>
              </w:rPr>
            </w:pPr>
            <w:r>
              <w:rPr>
                <w:sz w:val="28"/>
                <w:szCs w:val="28"/>
              </w:rPr>
              <w:t>70</w:t>
            </w:r>
          </w:p>
        </w:tc>
      </w:tr>
      <w:tr w:rsidR="00F74BAF" w14:paraId="5AE4B9D2" w14:textId="77777777">
        <w:tc>
          <w:tcPr>
            <w:tcW w:w="9115" w:type="dxa"/>
          </w:tcPr>
          <w:p w14:paraId="68987F18"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jc w:val="both"/>
              <w:rPr>
                <w:b/>
                <w:bCs/>
                <w:color w:val="000000"/>
                <w:sz w:val="28"/>
                <w:szCs w:val="28"/>
              </w:rPr>
            </w:pPr>
            <w:r>
              <w:rPr>
                <w:color w:val="000000"/>
                <w:sz w:val="28"/>
                <w:szCs w:val="28"/>
              </w:rPr>
              <w:t>3.2 Socio-Political Terms………………….………..……..…………………….</w:t>
            </w:r>
          </w:p>
        </w:tc>
        <w:tc>
          <w:tcPr>
            <w:tcW w:w="667" w:type="dxa"/>
          </w:tcPr>
          <w:p w14:paraId="3D50AC09"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rPr>
                <w:color w:val="000000"/>
                <w:sz w:val="28"/>
                <w:szCs w:val="28"/>
              </w:rPr>
            </w:pPr>
            <w:r>
              <w:rPr>
                <w:sz w:val="28"/>
                <w:szCs w:val="28"/>
              </w:rPr>
              <w:t>79</w:t>
            </w:r>
          </w:p>
        </w:tc>
      </w:tr>
      <w:tr w:rsidR="00F74BAF" w14:paraId="41275425" w14:textId="77777777">
        <w:tc>
          <w:tcPr>
            <w:tcW w:w="9115" w:type="dxa"/>
          </w:tcPr>
          <w:p w14:paraId="13B9A45A"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jc w:val="both"/>
              <w:rPr>
                <w:b/>
                <w:bCs/>
                <w:sz w:val="28"/>
                <w:szCs w:val="28"/>
              </w:rPr>
            </w:pPr>
            <w:r>
              <w:rPr>
                <w:b/>
                <w:bCs/>
                <w:sz w:val="28"/>
                <w:szCs w:val="28"/>
              </w:rPr>
              <w:t>CONCLUSION</w:t>
            </w:r>
            <w:r>
              <w:rPr>
                <w:sz w:val="28"/>
                <w:szCs w:val="28"/>
              </w:rPr>
              <w:t>………..………………………………………..……..………..</w:t>
            </w:r>
          </w:p>
        </w:tc>
        <w:tc>
          <w:tcPr>
            <w:tcW w:w="667" w:type="dxa"/>
          </w:tcPr>
          <w:p w14:paraId="53E2DC39"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rPr>
                <w:color w:val="000000"/>
                <w:sz w:val="28"/>
                <w:szCs w:val="28"/>
              </w:rPr>
            </w:pPr>
            <w:r>
              <w:rPr>
                <w:sz w:val="28"/>
                <w:szCs w:val="28"/>
              </w:rPr>
              <w:t>96</w:t>
            </w:r>
          </w:p>
        </w:tc>
      </w:tr>
      <w:tr w:rsidR="00F74BAF" w14:paraId="64923811" w14:textId="77777777">
        <w:tc>
          <w:tcPr>
            <w:tcW w:w="9115" w:type="dxa"/>
          </w:tcPr>
          <w:p w14:paraId="1CD3D653"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jc w:val="both"/>
              <w:rPr>
                <w:b/>
                <w:bCs/>
                <w:sz w:val="28"/>
                <w:szCs w:val="28"/>
              </w:rPr>
            </w:pPr>
            <w:r>
              <w:rPr>
                <w:b/>
                <w:bCs/>
                <w:sz w:val="28"/>
                <w:szCs w:val="28"/>
              </w:rPr>
              <w:t>LIST OF</w:t>
            </w:r>
            <w:r>
              <w:rPr>
                <w:b/>
                <w:bCs/>
                <w:sz w:val="28"/>
                <w:szCs w:val="28"/>
              </w:rPr>
              <w:t xml:space="preserve"> SOURCES USED</w:t>
            </w:r>
            <w:r>
              <w:rPr>
                <w:sz w:val="28"/>
                <w:szCs w:val="28"/>
              </w:rPr>
              <w:t xml:space="preserve"> ………………………………………..…………</w:t>
            </w:r>
          </w:p>
        </w:tc>
        <w:tc>
          <w:tcPr>
            <w:tcW w:w="667" w:type="dxa"/>
          </w:tcPr>
          <w:p w14:paraId="05D2018D" w14:textId="77777777" w:rsidR="00F74BAF" w:rsidRDefault="00737583">
            <w:pPr>
              <w:pBdr>
                <w:top w:val="none" w:sz="0" w:space="0" w:color="000000"/>
                <w:left w:val="none" w:sz="0" w:space="0" w:color="000000"/>
                <w:bottom w:val="none" w:sz="0" w:space="0" w:color="000000"/>
                <w:right w:val="none" w:sz="0" w:space="0" w:color="000000"/>
                <w:between w:val="none" w:sz="0" w:space="0" w:color="000000"/>
              </w:pBdr>
              <w:rPr>
                <w:color w:val="000000"/>
                <w:sz w:val="28"/>
                <w:szCs w:val="28"/>
              </w:rPr>
            </w:pPr>
            <w:r>
              <w:rPr>
                <w:sz w:val="28"/>
                <w:szCs w:val="28"/>
              </w:rPr>
              <w:t>102</w:t>
            </w:r>
          </w:p>
        </w:tc>
      </w:tr>
      <w:tr w:rsidR="00F74BAF" w14:paraId="76BBAD54" w14:textId="77777777">
        <w:tc>
          <w:tcPr>
            <w:tcW w:w="9115" w:type="dxa"/>
          </w:tcPr>
          <w:p w14:paraId="587DC6B5" w14:textId="77777777" w:rsidR="00F74BAF" w:rsidRDefault="00F74BAF">
            <w:pPr>
              <w:pBdr>
                <w:top w:val="none" w:sz="0" w:space="0" w:color="000000"/>
                <w:left w:val="none" w:sz="0" w:space="0" w:color="000000"/>
                <w:bottom w:val="none" w:sz="0" w:space="0" w:color="000000"/>
                <w:right w:val="none" w:sz="0" w:space="0" w:color="000000"/>
                <w:between w:val="none" w:sz="0" w:space="0" w:color="000000"/>
              </w:pBdr>
              <w:jc w:val="both"/>
              <w:rPr>
                <w:b/>
                <w:bCs/>
                <w:color w:val="000000"/>
                <w:sz w:val="28"/>
                <w:szCs w:val="28"/>
              </w:rPr>
            </w:pPr>
          </w:p>
        </w:tc>
        <w:tc>
          <w:tcPr>
            <w:tcW w:w="667" w:type="dxa"/>
          </w:tcPr>
          <w:p w14:paraId="6C3CE21F" w14:textId="77777777" w:rsidR="00F74BAF" w:rsidRDefault="00F74BAF">
            <w:pPr>
              <w:pBdr>
                <w:top w:val="none" w:sz="0" w:space="0" w:color="000000"/>
                <w:left w:val="none" w:sz="0" w:space="0" w:color="000000"/>
                <w:bottom w:val="none" w:sz="0" w:space="0" w:color="000000"/>
                <w:right w:val="none" w:sz="0" w:space="0" w:color="000000"/>
                <w:between w:val="none" w:sz="0" w:space="0" w:color="000000"/>
              </w:pBdr>
              <w:rPr>
                <w:color w:val="000000"/>
                <w:sz w:val="28"/>
                <w:szCs w:val="28"/>
              </w:rPr>
            </w:pPr>
          </w:p>
        </w:tc>
      </w:tr>
    </w:tbl>
    <w:p w14:paraId="18F56947" w14:textId="77777777" w:rsidR="00F74BAF" w:rsidRDefault="00F74BAF">
      <w:pPr>
        <w:pBdr>
          <w:top w:val="nil"/>
          <w:left w:val="nil"/>
          <w:bottom w:val="nil"/>
          <w:right w:val="nil"/>
          <w:between w:val="nil"/>
        </w:pBdr>
        <w:spacing w:line="288" w:lineRule="auto"/>
        <w:jc w:val="center"/>
        <w:rPr>
          <w:b/>
          <w:bCs/>
          <w:color w:val="000000"/>
          <w:sz w:val="28"/>
          <w:szCs w:val="28"/>
        </w:rPr>
      </w:pPr>
    </w:p>
    <w:p w14:paraId="19D482B7" w14:textId="77777777" w:rsidR="00F74BAF" w:rsidRDefault="00F74BAF">
      <w:pPr>
        <w:pBdr>
          <w:top w:val="nil"/>
          <w:left w:val="nil"/>
          <w:bottom w:val="nil"/>
          <w:right w:val="nil"/>
          <w:between w:val="nil"/>
        </w:pBdr>
        <w:spacing w:line="288" w:lineRule="auto"/>
        <w:jc w:val="center"/>
        <w:rPr>
          <w:b/>
          <w:bCs/>
          <w:color w:val="000000"/>
          <w:sz w:val="28"/>
          <w:szCs w:val="28"/>
        </w:rPr>
      </w:pPr>
    </w:p>
    <w:p w14:paraId="08A7699F" w14:textId="77777777" w:rsidR="00F74BAF" w:rsidRDefault="00F74BAF">
      <w:pPr>
        <w:pBdr>
          <w:top w:val="nil"/>
          <w:left w:val="nil"/>
          <w:bottom w:val="nil"/>
          <w:right w:val="nil"/>
          <w:between w:val="nil"/>
        </w:pBdr>
        <w:spacing w:line="288" w:lineRule="auto"/>
        <w:jc w:val="center"/>
        <w:rPr>
          <w:b/>
          <w:bCs/>
          <w:color w:val="000000"/>
          <w:sz w:val="28"/>
          <w:szCs w:val="28"/>
        </w:rPr>
      </w:pPr>
    </w:p>
    <w:p w14:paraId="198BA2A6" w14:textId="77777777" w:rsidR="00F74BAF" w:rsidRDefault="00F74BAF">
      <w:pPr>
        <w:pBdr>
          <w:top w:val="nil"/>
          <w:left w:val="nil"/>
          <w:bottom w:val="nil"/>
          <w:right w:val="nil"/>
          <w:between w:val="nil"/>
        </w:pBdr>
        <w:spacing w:line="288" w:lineRule="auto"/>
        <w:jc w:val="center"/>
        <w:rPr>
          <w:b/>
          <w:bCs/>
          <w:color w:val="000000"/>
          <w:sz w:val="28"/>
          <w:szCs w:val="28"/>
        </w:rPr>
      </w:pPr>
    </w:p>
    <w:p w14:paraId="1CEB8263" w14:textId="77777777" w:rsidR="00F74BAF" w:rsidRDefault="00F74BAF">
      <w:pPr>
        <w:pBdr>
          <w:top w:val="nil"/>
          <w:left w:val="nil"/>
          <w:bottom w:val="nil"/>
          <w:right w:val="nil"/>
          <w:between w:val="nil"/>
        </w:pBdr>
        <w:spacing w:line="288" w:lineRule="auto"/>
        <w:jc w:val="center"/>
        <w:rPr>
          <w:b/>
          <w:bCs/>
          <w:color w:val="000000"/>
          <w:sz w:val="28"/>
          <w:szCs w:val="28"/>
        </w:rPr>
      </w:pPr>
    </w:p>
    <w:p w14:paraId="11F5DFC4" w14:textId="77777777" w:rsidR="00F74BAF" w:rsidRDefault="00F74BAF">
      <w:pPr>
        <w:pBdr>
          <w:top w:val="nil"/>
          <w:left w:val="nil"/>
          <w:bottom w:val="nil"/>
          <w:right w:val="nil"/>
          <w:between w:val="nil"/>
        </w:pBdr>
        <w:spacing w:line="288" w:lineRule="auto"/>
        <w:jc w:val="center"/>
        <w:rPr>
          <w:b/>
          <w:bCs/>
          <w:color w:val="000000"/>
          <w:sz w:val="28"/>
          <w:szCs w:val="28"/>
        </w:rPr>
      </w:pPr>
    </w:p>
    <w:p w14:paraId="209626D7" w14:textId="77777777" w:rsidR="00F74BAF" w:rsidRDefault="00F74BAF">
      <w:pPr>
        <w:pBdr>
          <w:top w:val="nil"/>
          <w:left w:val="nil"/>
          <w:bottom w:val="nil"/>
          <w:right w:val="nil"/>
          <w:between w:val="nil"/>
        </w:pBdr>
        <w:spacing w:line="288" w:lineRule="auto"/>
        <w:jc w:val="center"/>
        <w:rPr>
          <w:b/>
          <w:bCs/>
          <w:color w:val="000000"/>
          <w:sz w:val="28"/>
          <w:szCs w:val="28"/>
        </w:rPr>
      </w:pPr>
    </w:p>
    <w:p w14:paraId="3B5CC845" w14:textId="77777777" w:rsidR="00F74BAF" w:rsidRDefault="00F74BAF">
      <w:pPr>
        <w:pBdr>
          <w:top w:val="nil"/>
          <w:left w:val="nil"/>
          <w:bottom w:val="nil"/>
          <w:right w:val="nil"/>
          <w:between w:val="nil"/>
        </w:pBdr>
        <w:spacing w:line="288" w:lineRule="auto"/>
        <w:jc w:val="center"/>
        <w:rPr>
          <w:b/>
          <w:bCs/>
          <w:color w:val="000000"/>
          <w:sz w:val="28"/>
          <w:szCs w:val="28"/>
        </w:rPr>
      </w:pPr>
    </w:p>
    <w:p w14:paraId="717BC173" w14:textId="77777777" w:rsidR="00F74BAF" w:rsidRDefault="00F74BAF">
      <w:pPr>
        <w:pBdr>
          <w:top w:val="nil"/>
          <w:left w:val="nil"/>
          <w:bottom w:val="nil"/>
          <w:right w:val="nil"/>
          <w:between w:val="nil"/>
        </w:pBdr>
        <w:spacing w:line="288" w:lineRule="auto"/>
        <w:jc w:val="center"/>
        <w:rPr>
          <w:b/>
          <w:bCs/>
          <w:color w:val="000000"/>
          <w:sz w:val="28"/>
          <w:szCs w:val="28"/>
        </w:rPr>
      </w:pPr>
    </w:p>
    <w:p w14:paraId="33B9566F" w14:textId="77777777" w:rsidR="00F74BAF" w:rsidRDefault="00F74BAF">
      <w:pPr>
        <w:pBdr>
          <w:top w:val="nil"/>
          <w:left w:val="nil"/>
          <w:bottom w:val="nil"/>
          <w:right w:val="nil"/>
          <w:between w:val="nil"/>
        </w:pBdr>
        <w:spacing w:line="288" w:lineRule="auto"/>
        <w:jc w:val="center"/>
        <w:rPr>
          <w:b/>
          <w:bCs/>
          <w:color w:val="000000"/>
          <w:sz w:val="28"/>
          <w:szCs w:val="28"/>
        </w:rPr>
      </w:pPr>
    </w:p>
    <w:p w14:paraId="6835AB53" w14:textId="77777777" w:rsidR="00F74BAF" w:rsidRDefault="00F74BAF">
      <w:pPr>
        <w:pBdr>
          <w:top w:val="nil"/>
          <w:left w:val="nil"/>
          <w:bottom w:val="nil"/>
          <w:right w:val="nil"/>
          <w:between w:val="nil"/>
        </w:pBdr>
        <w:spacing w:line="288" w:lineRule="auto"/>
        <w:jc w:val="center"/>
        <w:rPr>
          <w:b/>
          <w:bCs/>
          <w:color w:val="000000"/>
          <w:sz w:val="28"/>
          <w:szCs w:val="28"/>
        </w:rPr>
      </w:pPr>
    </w:p>
    <w:p w14:paraId="6DFA8889" w14:textId="77777777" w:rsidR="00F74BAF" w:rsidRDefault="00F74BAF">
      <w:pPr>
        <w:pBdr>
          <w:top w:val="nil"/>
          <w:left w:val="nil"/>
          <w:bottom w:val="nil"/>
          <w:right w:val="nil"/>
          <w:between w:val="nil"/>
        </w:pBdr>
        <w:spacing w:line="288" w:lineRule="auto"/>
        <w:jc w:val="center"/>
        <w:rPr>
          <w:b/>
          <w:bCs/>
          <w:color w:val="000000"/>
          <w:sz w:val="28"/>
          <w:szCs w:val="28"/>
        </w:rPr>
      </w:pPr>
    </w:p>
    <w:p w14:paraId="3F54D380" w14:textId="77777777" w:rsidR="00F74BAF" w:rsidRDefault="00F74BAF">
      <w:pPr>
        <w:pBdr>
          <w:top w:val="nil"/>
          <w:left w:val="nil"/>
          <w:bottom w:val="nil"/>
          <w:right w:val="nil"/>
          <w:between w:val="nil"/>
        </w:pBdr>
        <w:spacing w:line="288" w:lineRule="auto"/>
        <w:jc w:val="center"/>
        <w:rPr>
          <w:b/>
          <w:bCs/>
          <w:color w:val="000000"/>
          <w:sz w:val="28"/>
          <w:szCs w:val="28"/>
        </w:rPr>
      </w:pPr>
    </w:p>
    <w:p w14:paraId="3442A659" w14:textId="77777777" w:rsidR="00F74BAF" w:rsidRDefault="00F74BAF">
      <w:pPr>
        <w:pBdr>
          <w:top w:val="nil"/>
          <w:left w:val="nil"/>
          <w:bottom w:val="nil"/>
          <w:right w:val="nil"/>
          <w:between w:val="nil"/>
        </w:pBdr>
        <w:spacing w:line="288" w:lineRule="auto"/>
        <w:jc w:val="center"/>
        <w:rPr>
          <w:b/>
          <w:bCs/>
          <w:color w:val="000000"/>
          <w:sz w:val="28"/>
          <w:szCs w:val="28"/>
        </w:rPr>
      </w:pPr>
    </w:p>
    <w:p w14:paraId="7BF47DCB" w14:textId="77777777" w:rsidR="00F74BAF" w:rsidRDefault="00F74BAF">
      <w:pPr>
        <w:pBdr>
          <w:top w:val="nil"/>
          <w:left w:val="nil"/>
          <w:bottom w:val="nil"/>
          <w:right w:val="nil"/>
          <w:between w:val="nil"/>
        </w:pBdr>
        <w:spacing w:line="288" w:lineRule="auto"/>
        <w:jc w:val="center"/>
        <w:rPr>
          <w:b/>
          <w:bCs/>
          <w:color w:val="000000"/>
          <w:sz w:val="28"/>
          <w:szCs w:val="28"/>
        </w:rPr>
      </w:pPr>
    </w:p>
    <w:p w14:paraId="6D8AD04D" w14:textId="77777777" w:rsidR="00F74BAF" w:rsidRDefault="00F74BAF">
      <w:pPr>
        <w:pBdr>
          <w:top w:val="nil"/>
          <w:left w:val="nil"/>
          <w:bottom w:val="nil"/>
          <w:right w:val="nil"/>
          <w:between w:val="nil"/>
        </w:pBdr>
        <w:spacing w:line="288" w:lineRule="auto"/>
        <w:jc w:val="center"/>
        <w:rPr>
          <w:b/>
          <w:bCs/>
          <w:color w:val="000000"/>
          <w:sz w:val="28"/>
          <w:szCs w:val="28"/>
        </w:rPr>
      </w:pPr>
    </w:p>
    <w:p w14:paraId="0166080C" w14:textId="77777777" w:rsidR="00F74BAF" w:rsidRDefault="00F74BAF">
      <w:pPr>
        <w:pBdr>
          <w:top w:val="nil"/>
          <w:left w:val="nil"/>
          <w:bottom w:val="nil"/>
          <w:right w:val="nil"/>
          <w:between w:val="nil"/>
        </w:pBdr>
        <w:spacing w:line="288" w:lineRule="auto"/>
        <w:jc w:val="center"/>
        <w:rPr>
          <w:b/>
          <w:bCs/>
          <w:color w:val="000000"/>
          <w:sz w:val="28"/>
          <w:szCs w:val="28"/>
        </w:rPr>
      </w:pPr>
    </w:p>
    <w:p w14:paraId="424F6164" w14:textId="77777777" w:rsidR="00F74BAF" w:rsidRDefault="00F74BAF">
      <w:pPr>
        <w:pBdr>
          <w:top w:val="nil"/>
          <w:left w:val="nil"/>
          <w:bottom w:val="nil"/>
          <w:right w:val="nil"/>
          <w:between w:val="nil"/>
        </w:pBdr>
        <w:spacing w:line="288" w:lineRule="auto"/>
        <w:jc w:val="center"/>
        <w:rPr>
          <w:b/>
          <w:bCs/>
          <w:sz w:val="28"/>
          <w:szCs w:val="28"/>
        </w:rPr>
      </w:pPr>
    </w:p>
    <w:p w14:paraId="7A581989" w14:textId="77777777" w:rsidR="00F74BAF" w:rsidRDefault="00F74BAF">
      <w:pPr>
        <w:pBdr>
          <w:top w:val="nil"/>
          <w:left w:val="nil"/>
          <w:bottom w:val="nil"/>
          <w:right w:val="nil"/>
          <w:between w:val="nil"/>
        </w:pBdr>
        <w:spacing w:line="288" w:lineRule="auto"/>
        <w:jc w:val="center"/>
        <w:rPr>
          <w:b/>
          <w:bCs/>
          <w:sz w:val="28"/>
          <w:szCs w:val="28"/>
        </w:rPr>
      </w:pPr>
    </w:p>
    <w:p w14:paraId="20D88AC4" w14:textId="77777777" w:rsidR="00F74BAF" w:rsidRDefault="00F74BAF">
      <w:pPr>
        <w:pBdr>
          <w:top w:val="nil"/>
          <w:left w:val="nil"/>
          <w:bottom w:val="nil"/>
          <w:right w:val="nil"/>
          <w:between w:val="nil"/>
        </w:pBdr>
        <w:spacing w:line="288" w:lineRule="auto"/>
        <w:rPr>
          <w:b/>
          <w:bCs/>
          <w:color w:val="000000"/>
          <w:sz w:val="28"/>
          <w:szCs w:val="28"/>
        </w:rPr>
      </w:pPr>
    </w:p>
    <w:p w14:paraId="2E504D8E" w14:textId="77777777" w:rsidR="00F74BAF" w:rsidRDefault="00F74BAF">
      <w:pPr>
        <w:pBdr>
          <w:top w:val="nil"/>
          <w:left w:val="nil"/>
          <w:bottom w:val="nil"/>
          <w:right w:val="nil"/>
          <w:between w:val="nil"/>
        </w:pBdr>
        <w:spacing w:line="288" w:lineRule="auto"/>
        <w:jc w:val="center"/>
        <w:rPr>
          <w:b/>
          <w:bCs/>
          <w:color w:val="000000"/>
          <w:sz w:val="28"/>
          <w:szCs w:val="28"/>
        </w:rPr>
      </w:pPr>
    </w:p>
    <w:p w14:paraId="59BC1DF2" w14:textId="77777777" w:rsidR="00F74BAF" w:rsidRDefault="00F74BAF">
      <w:pPr>
        <w:pBdr>
          <w:top w:val="nil"/>
          <w:left w:val="nil"/>
          <w:bottom w:val="nil"/>
          <w:right w:val="nil"/>
          <w:between w:val="nil"/>
        </w:pBdr>
        <w:spacing w:line="288" w:lineRule="auto"/>
        <w:jc w:val="center"/>
        <w:rPr>
          <w:b/>
          <w:bCs/>
          <w:color w:val="000000"/>
          <w:sz w:val="28"/>
          <w:szCs w:val="28"/>
        </w:rPr>
      </w:pPr>
    </w:p>
    <w:p w14:paraId="20D5B332" w14:textId="77777777" w:rsidR="00F74BAF" w:rsidRDefault="00737583">
      <w:pPr>
        <w:pBdr>
          <w:top w:val="nil"/>
          <w:left w:val="nil"/>
          <w:bottom w:val="nil"/>
          <w:right w:val="nil"/>
          <w:between w:val="nil"/>
        </w:pBdr>
        <w:spacing w:line="288" w:lineRule="auto"/>
        <w:jc w:val="center"/>
        <w:rPr>
          <w:b/>
          <w:bCs/>
          <w:color w:val="000000"/>
          <w:sz w:val="28"/>
          <w:szCs w:val="28"/>
        </w:rPr>
      </w:pPr>
      <w:r>
        <w:rPr>
          <w:b/>
          <w:bCs/>
          <w:color w:val="000000"/>
          <w:sz w:val="28"/>
          <w:szCs w:val="28"/>
        </w:rPr>
        <w:t>INTRODUCTION</w:t>
      </w:r>
    </w:p>
    <w:p w14:paraId="41483651" w14:textId="77777777" w:rsidR="00F74BAF" w:rsidRDefault="00F74BAF">
      <w:pPr>
        <w:pBdr>
          <w:top w:val="nil"/>
          <w:left w:val="nil"/>
          <w:bottom w:val="nil"/>
          <w:right w:val="nil"/>
          <w:between w:val="nil"/>
        </w:pBdr>
        <w:spacing w:line="288" w:lineRule="auto"/>
        <w:ind w:firstLine="567"/>
        <w:jc w:val="center"/>
        <w:rPr>
          <w:b/>
          <w:bCs/>
          <w:color w:val="000000"/>
          <w:sz w:val="28"/>
          <w:szCs w:val="28"/>
        </w:rPr>
      </w:pPr>
    </w:p>
    <w:p w14:paraId="0A58A143" w14:textId="77777777" w:rsidR="00F74BAF" w:rsidRDefault="00737583">
      <w:pPr>
        <w:ind w:firstLine="709"/>
        <w:jc w:val="both"/>
        <w:rPr>
          <w:sz w:val="28"/>
          <w:szCs w:val="28"/>
        </w:rPr>
      </w:pPr>
      <w:r>
        <w:rPr>
          <w:b/>
          <w:bCs/>
          <w:sz w:val="28"/>
          <w:szCs w:val="28"/>
        </w:rPr>
        <w:t>General Characteristics of the study.</w:t>
      </w:r>
      <w:r>
        <w:rPr>
          <w:sz w:val="28"/>
          <w:szCs w:val="28"/>
        </w:rPr>
        <w:t xml:space="preserve"> The dissertation research is devoted to the study of Kypchak monuments that explicitly reference the ethnonym «Kypchak». The Kypchaks were a nomadic people of the Eurasian Steppe who were particularly active during the tenth–thirteenth centuries. In the n</w:t>
      </w:r>
      <w:r>
        <w:rPr>
          <w:sz w:val="28"/>
          <w:szCs w:val="28"/>
        </w:rPr>
        <w:t>inth–eleventh centuries, the Kypchaks were incorporated into the Kimak Khaganate and later became a major confederation in the Eurasian Steppe. By the beginning of the eleventh century, they had absorbed the Kimak Khaganate, occupied its territory, and exp</w:t>
      </w:r>
      <w:r>
        <w:rPr>
          <w:sz w:val="28"/>
          <w:szCs w:val="28"/>
        </w:rPr>
        <w:t>anded westward into the so-called Oghuz steppes (mainly within modern Kazakhstan) and toward the Caspian region. Later they conquered southern Russia. At the height of their power, their political influence reached as far as the Byzantine Empire and the Da</w:t>
      </w:r>
      <w:r>
        <w:rPr>
          <w:sz w:val="28"/>
          <w:szCs w:val="28"/>
        </w:rPr>
        <w:t>nube. Thus, by the early twelfth century, the Kypchak confederation was considered a powerful nomadic confederation. It is known that in the early thirteenth century, after their defeat at the Battle of the Kalka River in 1223, the Kypchaks were incorporat</w:t>
      </w:r>
      <w:r>
        <w:rPr>
          <w:sz w:val="28"/>
          <w:szCs w:val="28"/>
        </w:rPr>
        <w:t>ed into the Mongol Empire. The Kypchaks left an indelible mark on the history, culture, and language of the Eurasian Steppe, reflected in their written monuments. Beginning in the eleventh century, Kypchak monuments were created by both famous and anonymou</w:t>
      </w:r>
      <w:r>
        <w:rPr>
          <w:sz w:val="28"/>
          <w:szCs w:val="28"/>
        </w:rPr>
        <w:t>s authors in literary and spoken Kypchak, using Arabic, Armenian, Latin, and Chagatai scripts. These monuments were diverse in genre—historical chronicles, epistolary decrees of rulers, religious treatises, literary and poetic works, dictionaries, and gram</w:t>
      </w:r>
      <w:r>
        <w:rPr>
          <w:sz w:val="28"/>
          <w:szCs w:val="28"/>
        </w:rPr>
        <w:t>mars.</w:t>
      </w:r>
    </w:p>
    <w:p w14:paraId="052F4708" w14:textId="77777777" w:rsidR="00F74BAF" w:rsidRDefault="00737583">
      <w:pPr>
        <w:ind w:firstLine="709"/>
        <w:jc w:val="both"/>
        <w:rPr>
          <w:sz w:val="28"/>
          <w:szCs w:val="28"/>
        </w:rPr>
      </w:pPr>
      <w:r>
        <w:rPr>
          <w:sz w:val="28"/>
          <w:szCs w:val="28"/>
        </w:rPr>
        <w:t>Yeerbole Munai’s dissertation focuses on the Kypchak monuments of the Golden Horde and post-Golden Horde era. Although the Mongol khanate of the Golden Horde was politically Mongol, it was culturally and linguistically assimilated by numerous Kypchak</w:t>
      </w:r>
      <w:r>
        <w:rPr>
          <w:sz w:val="28"/>
          <w:szCs w:val="28"/>
        </w:rPr>
        <w:t>-speaking tribes inhabiting its territories. Despite the relative study of this period in historical, cultural, and linguistic aspects, there remain many «blank spots» that require further investigation in modern Turkology. Among such lacunae are the decre</w:t>
      </w:r>
      <w:r>
        <w:rPr>
          <w:sz w:val="28"/>
          <w:szCs w:val="28"/>
        </w:rPr>
        <w:t>es and diplomatic correspondences of the khans of the Golden Horde, the chronicle works such as «Čingiz-nama» by Utemish Hajji and «Daftar-i Jingiz-nama» («The Book of Legends about Chingiz»). Studying these is both relevant and necessary, as through seman</w:t>
      </w:r>
      <w:r>
        <w:rPr>
          <w:sz w:val="28"/>
          <w:szCs w:val="28"/>
        </w:rPr>
        <w:t>tic analysis of the language of these monuments, the researcher seeks to reveal the worldview of that era and to present a new perspective on the society and culture of Kypchak-speaking peoples between the fourteenth and seventeenth centuries.</w:t>
      </w:r>
    </w:p>
    <w:p w14:paraId="01C4C086" w14:textId="77777777" w:rsidR="00F74BAF" w:rsidRDefault="00737583">
      <w:pPr>
        <w:ind w:firstLine="709"/>
        <w:jc w:val="both"/>
        <w:rPr>
          <w:color w:val="0D0D14"/>
          <w:sz w:val="21"/>
          <w:szCs w:val="21"/>
        </w:rPr>
      </w:pPr>
      <w:r>
        <w:rPr>
          <w:b/>
          <w:bCs/>
          <w:sz w:val="28"/>
          <w:szCs w:val="28"/>
        </w:rPr>
        <w:t>Significance</w:t>
      </w:r>
      <w:r>
        <w:rPr>
          <w:b/>
          <w:bCs/>
          <w:sz w:val="28"/>
          <w:szCs w:val="28"/>
        </w:rPr>
        <w:t xml:space="preserve"> of the study’s topic.</w:t>
      </w:r>
      <w:r>
        <w:rPr>
          <w:sz w:val="28"/>
          <w:szCs w:val="28"/>
        </w:rPr>
        <w:t xml:space="preserve"> The study of the semantics of Turkic languages has always been relatively less focused on Turkology, especially in ancient Turkic language studies. The lexical field study did not occur until Dankoff and Kelly divided all morphemes i</w:t>
      </w:r>
      <w:r>
        <w:rPr>
          <w:sz w:val="28"/>
          <w:szCs w:val="28"/>
        </w:rPr>
        <w:t>n «Dīwān Lughāt al-Turk» into semantic domains and subdomains in 1985. Their general domains are nature (subdomains include astronomy, weather, time, light and darkness, topography, etc.), animals and plants, daily life, society, spiritual life, human char</w:t>
      </w:r>
      <w:r>
        <w:rPr>
          <w:sz w:val="28"/>
          <w:szCs w:val="28"/>
        </w:rPr>
        <w:t xml:space="preserve">acteristics, activities and various behaviors, senses, abstractions and various relationships, particles (including a very rich collection of onomatopoeia). Thus, they took the first step in studying the lexical field. However, it only covers a small part </w:t>
      </w:r>
      <w:r>
        <w:rPr>
          <w:sz w:val="28"/>
          <w:szCs w:val="28"/>
        </w:rPr>
        <w:t>of the largest part of the vocabulary of ancient Turkic. Erdal comments that vocabulary reflects the professions of speakers and writers and their spiritual world. By means of studying vocabulary and semantics, we can have a deeper understanding of the cul</w:t>
      </w:r>
      <w:r>
        <w:rPr>
          <w:sz w:val="28"/>
          <w:szCs w:val="28"/>
        </w:rPr>
        <w:t>tural customs and lifestyles of people in the past. Therefore, the author's research also hopes to fill the gap in the study of semantics in Turkology and provide inspiration for peers who focus on the semantic research of Turkic languages.</w:t>
      </w:r>
    </w:p>
    <w:p w14:paraId="741A7426" w14:textId="77777777" w:rsidR="00F74BAF" w:rsidRDefault="00737583">
      <w:pPr>
        <w:ind w:firstLine="709"/>
        <w:jc w:val="both"/>
        <w:rPr>
          <w:sz w:val="28"/>
          <w:szCs w:val="28"/>
        </w:rPr>
      </w:pPr>
      <w:r>
        <w:rPr>
          <w:sz w:val="28"/>
          <w:szCs w:val="28"/>
        </w:rPr>
        <w:t>The study of Tu</w:t>
      </w:r>
      <w:r>
        <w:rPr>
          <w:sz w:val="28"/>
          <w:szCs w:val="28"/>
        </w:rPr>
        <w:t>rkic vocabulary has a long history, which has exceeded a thousand years since Mahmud Kashgari compiled the «Dīwān Lughāt al-Turk» in the eleventh century. In the early fourteenth century, European missionaries and Italian merchants specially compiled the C</w:t>
      </w:r>
      <w:r>
        <w:rPr>
          <w:sz w:val="28"/>
          <w:szCs w:val="28"/>
        </w:rPr>
        <w:t>odex Cumanicus to study the Kypchak language, recording many Kypchak words. These achievements are all based on medieval lexicological means. Today, thanks to the gradual progress and improvement of linguistic theories, we can establish the study of the Tu</w:t>
      </w:r>
      <w:r>
        <w:rPr>
          <w:sz w:val="28"/>
          <w:szCs w:val="28"/>
        </w:rPr>
        <w:t>rkic historical lexicon based on inheriting the research results of predecessors' contributions. The introduction of modern semantic theories, such as cognitive semantics theory, semantic field theory, and semantic component analysis method, is of great si</w:t>
      </w:r>
      <w:r>
        <w:rPr>
          <w:sz w:val="28"/>
          <w:szCs w:val="28"/>
        </w:rPr>
        <w:t>gnificance for in-depth research on the Turkic lexical system. Although these theories are far from perfect, and it is impossible to construct the entire Turkic lexical system with just one theory, introducing modern semantic theories and combining them wi</w:t>
      </w:r>
      <w:r>
        <w:rPr>
          <w:sz w:val="28"/>
          <w:szCs w:val="28"/>
        </w:rPr>
        <w:t>th the ancient Turkic language for research is a meaningful attempt. This study is based on the Kypchak documents published from the fourteenth to the seventeenth century and applies semantic field theory to study Turkic vocabulary systems. The author hope</w:t>
      </w:r>
      <w:r>
        <w:rPr>
          <w:sz w:val="28"/>
          <w:szCs w:val="28"/>
        </w:rPr>
        <w:t>s to make a humble contribution to the study of semantics in Turkology.</w:t>
      </w:r>
    </w:p>
    <w:p w14:paraId="35E6BABD" w14:textId="77777777" w:rsidR="00F74BAF" w:rsidRDefault="00737583">
      <w:pPr>
        <w:ind w:firstLine="709"/>
        <w:jc w:val="both"/>
        <w:rPr>
          <w:sz w:val="28"/>
          <w:szCs w:val="28"/>
        </w:rPr>
      </w:pPr>
      <w:r>
        <w:rPr>
          <w:sz w:val="28"/>
          <w:szCs w:val="28"/>
        </w:rPr>
        <w:t>Semantic field theory is an important achievement in modern semantics research. Although the number of words in a language is nearly infinite, they are not random; words are related in</w:t>
      </w:r>
      <w:r>
        <w:rPr>
          <w:sz w:val="28"/>
          <w:szCs w:val="28"/>
        </w:rPr>
        <w:t xml:space="preserve"> a self-contained system. The key to the problem differs from how many semantic fields there are in language, how many members there are in the semantic field, or how many kinds of relations there are between words. As a linguistic theory, it should explai</w:t>
      </w:r>
      <w:r>
        <w:rPr>
          <w:sz w:val="28"/>
          <w:szCs w:val="28"/>
        </w:rPr>
        <w:t>n the lexical system itself. Therefore, we need to use semantic field theory to describe the system of lexical meanings. By doing so, we can better observe the social structure, historical information, and cultural background reflected in the study.</w:t>
      </w:r>
    </w:p>
    <w:p w14:paraId="6F96A279" w14:textId="77777777" w:rsidR="00F74BAF" w:rsidRDefault="00737583">
      <w:pPr>
        <w:ind w:firstLine="709"/>
        <w:jc w:val="both"/>
        <w:rPr>
          <w:sz w:val="28"/>
          <w:szCs w:val="28"/>
        </w:rPr>
      </w:pPr>
      <w:r>
        <w:rPr>
          <w:b/>
          <w:bCs/>
          <w:sz w:val="28"/>
          <w:szCs w:val="28"/>
        </w:rPr>
        <w:t>Object</w:t>
      </w:r>
      <w:r>
        <w:rPr>
          <w:b/>
          <w:bCs/>
          <w:sz w:val="28"/>
          <w:szCs w:val="28"/>
        </w:rPr>
        <w:t xml:space="preserve"> of the study.</w:t>
      </w:r>
      <w:r>
        <w:rPr>
          <w:sz w:val="28"/>
          <w:szCs w:val="28"/>
        </w:rPr>
        <w:t xml:space="preserve">  The research object is the historical and social situation that developed among the Kipchak tribes during the Golden Horde era, which is reflected in the language  of two Kipchak monuments from the fourteenth–seventeenth centuries «Čingiz-n</w:t>
      </w:r>
      <w:r>
        <w:rPr>
          <w:sz w:val="28"/>
          <w:szCs w:val="28"/>
        </w:rPr>
        <w:t>ama» by Utemish Hajji and «Daftar-i Jingiz-nama»</w:t>
      </w:r>
    </w:p>
    <w:p w14:paraId="00E3F68B" w14:textId="77777777" w:rsidR="00F74BAF" w:rsidRDefault="00737583">
      <w:pPr>
        <w:ind w:firstLine="709"/>
        <w:jc w:val="both"/>
        <w:rPr>
          <w:sz w:val="28"/>
          <w:szCs w:val="28"/>
        </w:rPr>
      </w:pPr>
      <w:r>
        <w:rPr>
          <w:b/>
          <w:bCs/>
          <w:sz w:val="28"/>
          <w:szCs w:val="28"/>
        </w:rPr>
        <w:t xml:space="preserve">Subject of the study. </w:t>
      </w:r>
      <w:r>
        <w:rPr>
          <w:sz w:val="28"/>
          <w:szCs w:val="28"/>
        </w:rPr>
        <w:t>The subject of the study is the semantic system of lexemes that denote social relations, institutions, and cultural realities in the Kypchak monuments of the fourteenth to seventeenth c</w:t>
      </w:r>
      <w:r>
        <w:rPr>
          <w:sz w:val="28"/>
          <w:szCs w:val="28"/>
        </w:rPr>
        <w:t>enturies, specifically in Golden Horde yarliġs and bitigs, «Daftar-i Jingiz-nama» and «Čingiz-nama» by Ütämiş Ḥājjī. The research focuses on identifying and analyzing the linguistic units that reflect the social, political, and cultural structure of the Go</w:t>
      </w:r>
      <w:r>
        <w:rPr>
          <w:sz w:val="28"/>
          <w:szCs w:val="28"/>
        </w:rPr>
        <w:t>lden Horde and its following era. These lexemes, belonging to domains such as kinship, profession, military hierarchy, and socio-political organization, are examined through the framework of semantic field theory. By exploring their paradigmatic and syntag</w:t>
      </w:r>
      <w:r>
        <w:rPr>
          <w:sz w:val="28"/>
          <w:szCs w:val="28"/>
        </w:rPr>
        <w:t>matic relations, the study seeks to reveal how lexical meaning encodes the worldview and social order of Kypchak-speaking societies during the Golden Horde and post-Golden Horde periods.</w:t>
      </w:r>
    </w:p>
    <w:p w14:paraId="4475EC44" w14:textId="77777777" w:rsidR="00F74BAF" w:rsidRDefault="00737583">
      <w:pPr>
        <w:ind w:firstLine="709"/>
        <w:jc w:val="both"/>
        <w:rPr>
          <w:sz w:val="28"/>
          <w:szCs w:val="28"/>
        </w:rPr>
      </w:pPr>
      <w:r>
        <w:rPr>
          <w:b/>
          <w:bCs/>
          <w:sz w:val="28"/>
          <w:szCs w:val="28"/>
        </w:rPr>
        <w:t>Research Objective.</w:t>
      </w:r>
      <w:r>
        <w:rPr>
          <w:sz w:val="28"/>
          <w:szCs w:val="28"/>
        </w:rPr>
        <w:t xml:space="preserve"> The main goal of the research is to study the sem</w:t>
      </w:r>
      <w:r>
        <w:rPr>
          <w:sz w:val="28"/>
          <w:szCs w:val="28"/>
        </w:rPr>
        <w:t>antics of lexemes in the Kipchak monuments of the fourteenth and seventeenth centuries («Golden Horde Yarliġs and Bitigs, «Daftar-i Jingiz-nama», and «Čingiz-nama» by Utemish Hajji) and to construct a semantic field that reveals the social relations and re</w:t>
      </w:r>
      <w:r>
        <w:rPr>
          <w:sz w:val="28"/>
          <w:szCs w:val="28"/>
        </w:rPr>
        <w:t>alities of the Golden Horde era (including social titles, institutions, political symbols, and weaponry).</w:t>
      </w:r>
    </w:p>
    <w:p w14:paraId="7AF5C843" w14:textId="77777777" w:rsidR="00F74BAF" w:rsidRDefault="00737583">
      <w:pPr>
        <w:ind w:firstLine="709"/>
        <w:jc w:val="both"/>
        <w:rPr>
          <w:b/>
          <w:bCs/>
          <w:sz w:val="28"/>
          <w:szCs w:val="28"/>
        </w:rPr>
      </w:pPr>
      <w:r>
        <w:rPr>
          <w:b/>
          <w:bCs/>
          <w:sz w:val="28"/>
          <w:szCs w:val="28"/>
        </w:rPr>
        <w:t>The objectives of the research include:</w:t>
      </w:r>
    </w:p>
    <w:p w14:paraId="4210BCA8" w14:textId="77777777" w:rsidR="00F74BAF" w:rsidRDefault="00737583">
      <w:pPr>
        <w:ind w:firstLine="709"/>
        <w:jc w:val="both"/>
        <w:rPr>
          <w:sz w:val="28"/>
          <w:szCs w:val="28"/>
        </w:rPr>
      </w:pPr>
      <w:r>
        <w:rPr>
          <w:sz w:val="28"/>
          <w:szCs w:val="28"/>
        </w:rPr>
        <w:t>To study the semantics of lexemes in the Kypchak monuments of the fourteenth–seventeenth centuries — «Golden H</w:t>
      </w:r>
      <w:r>
        <w:rPr>
          <w:sz w:val="28"/>
          <w:szCs w:val="28"/>
        </w:rPr>
        <w:t>orde Yarliġs and Bitigs», «Daftar-i Jingiz-nama», and «Čingiz-nama» by Utemish Hajji — and to construct a semantic field that reveals the social relations and realities of the Golden Horde and the following era (including social titles, social institutions</w:t>
      </w:r>
      <w:r>
        <w:rPr>
          <w:sz w:val="28"/>
          <w:szCs w:val="28"/>
        </w:rPr>
        <w:t>, political symbols, and weaponry).</w:t>
      </w:r>
    </w:p>
    <w:p w14:paraId="17225EDD" w14:textId="77777777" w:rsidR="00F74BAF" w:rsidRDefault="00737583">
      <w:pPr>
        <w:ind w:firstLine="709"/>
        <w:jc w:val="both"/>
        <w:rPr>
          <w:sz w:val="28"/>
          <w:szCs w:val="28"/>
        </w:rPr>
      </w:pPr>
      <w:r>
        <w:rPr>
          <w:sz w:val="28"/>
          <w:szCs w:val="28"/>
        </w:rPr>
        <w:t>This dissertation’s goal entails the following objectives:</w:t>
      </w:r>
    </w:p>
    <w:p w14:paraId="1C9DF1FE" w14:textId="77777777" w:rsidR="00F74BAF" w:rsidRDefault="00737583">
      <w:pPr>
        <w:numPr>
          <w:ilvl w:val="0"/>
          <w:numId w:val="1"/>
        </w:numPr>
        <w:jc w:val="both"/>
        <w:rPr>
          <w:sz w:val="28"/>
          <w:szCs w:val="28"/>
        </w:rPr>
      </w:pPr>
      <w:r>
        <w:rPr>
          <w:sz w:val="28"/>
          <w:szCs w:val="28"/>
        </w:rPr>
        <w:t>To describe the historical and cultural situation of the Golden Horde and its following period;</w:t>
      </w:r>
    </w:p>
    <w:p w14:paraId="72596F78" w14:textId="77777777" w:rsidR="00F74BAF" w:rsidRDefault="00737583">
      <w:pPr>
        <w:numPr>
          <w:ilvl w:val="0"/>
          <w:numId w:val="1"/>
        </w:numPr>
        <w:jc w:val="both"/>
        <w:rPr>
          <w:sz w:val="28"/>
          <w:szCs w:val="28"/>
        </w:rPr>
      </w:pPr>
      <w:r>
        <w:rPr>
          <w:sz w:val="28"/>
          <w:szCs w:val="28"/>
        </w:rPr>
        <w:t>To conduct a thematic selection of lexemes related to social rela</w:t>
      </w:r>
      <w:r>
        <w:rPr>
          <w:sz w:val="28"/>
          <w:szCs w:val="28"/>
        </w:rPr>
        <w:t>tions during the Golden Horde and post-Golden Horde era;</w:t>
      </w:r>
    </w:p>
    <w:p w14:paraId="6C163265" w14:textId="77777777" w:rsidR="00F74BAF" w:rsidRDefault="00737583">
      <w:pPr>
        <w:numPr>
          <w:ilvl w:val="0"/>
          <w:numId w:val="1"/>
        </w:numPr>
        <w:jc w:val="both"/>
        <w:rPr>
          <w:sz w:val="28"/>
          <w:szCs w:val="28"/>
        </w:rPr>
      </w:pPr>
      <w:r>
        <w:rPr>
          <w:sz w:val="28"/>
          <w:szCs w:val="28"/>
        </w:rPr>
        <w:t>To reveal the semantics of the syntagmatic connections between the lexemes;</w:t>
      </w:r>
    </w:p>
    <w:p w14:paraId="2A984ACC" w14:textId="77777777" w:rsidR="00F74BAF" w:rsidRDefault="00737583">
      <w:pPr>
        <w:numPr>
          <w:ilvl w:val="0"/>
          <w:numId w:val="1"/>
        </w:numPr>
        <w:jc w:val="both"/>
        <w:rPr>
          <w:sz w:val="28"/>
          <w:szCs w:val="28"/>
        </w:rPr>
      </w:pPr>
      <w:r>
        <w:rPr>
          <w:sz w:val="28"/>
          <w:szCs w:val="28"/>
        </w:rPr>
        <w:t>To examine the system of paradigmatic relations (synonymic, antonymic, and hyponymic, etc.);</w:t>
      </w:r>
    </w:p>
    <w:p w14:paraId="2F7A4290" w14:textId="77777777" w:rsidR="00F74BAF" w:rsidRDefault="00737583">
      <w:pPr>
        <w:numPr>
          <w:ilvl w:val="0"/>
          <w:numId w:val="1"/>
        </w:numPr>
        <w:jc w:val="both"/>
        <w:rPr>
          <w:sz w:val="28"/>
          <w:szCs w:val="28"/>
        </w:rPr>
      </w:pPr>
      <w:r>
        <w:rPr>
          <w:sz w:val="28"/>
          <w:szCs w:val="28"/>
        </w:rPr>
        <w:t>To identify the associative an</w:t>
      </w:r>
      <w:r>
        <w:rPr>
          <w:sz w:val="28"/>
          <w:szCs w:val="28"/>
        </w:rPr>
        <w:t>d derivational connections of lexemes that reflect the historical and cultural background of the given period;</w:t>
      </w:r>
    </w:p>
    <w:p w14:paraId="0058489C" w14:textId="77777777" w:rsidR="00F74BAF" w:rsidRDefault="00737583">
      <w:pPr>
        <w:numPr>
          <w:ilvl w:val="0"/>
          <w:numId w:val="1"/>
        </w:numPr>
        <w:jc w:val="both"/>
        <w:rPr>
          <w:sz w:val="28"/>
          <w:szCs w:val="28"/>
        </w:rPr>
      </w:pPr>
      <w:r>
        <w:rPr>
          <w:sz w:val="28"/>
          <w:szCs w:val="28"/>
        </w:rPr>
        <w:t>To reconstruct the semantic field of lexemes that represent social relations and realities in the texts of the Kypchak monuments;</w:t>
      </w:r>
    </w:p>
    <w:p w14:paraId="55E64849" w14:textId="77777777" w:rsidR="00F74BAF" w:rsidRDefault="00737583">
      <w:pPr>
        <w:numPr>
          <w:ilvl w:val="0"/>
          <w:numId w:val="1"/>
        </w:numPr>
        <w:jc w:val="both"/>
        <w:rPr>
          <w:sz w:val="28"/>
          <w:szCs w:val="28"/>
        </w:rPr>
      </w:pPr>
      <w:r>
        <w:rPr>
          <w:sz w:val="28"/>
          <w:szCs w:val="28"/>
        </w:rPr>
        <w:t>To elucidate th</w:t>
      </w:r>
      <w:r>
        <w:rPr>
          <w:sz w:val="28"/>
          <w:szCs w:val="28"/>
        </w:rPr>
        <w:t>e semantic changes of words in the historical lexicon of Turkic languages and to determine their continuity with modern Turkic languages.</w:t>
      </w:r>
    </w:p>
    <w:p w14:paraId="7E6FFA86" w14:textId="77777777" w:rsidR="00F74BAF" w:rsidRDefault="00737583">
      <w:pPr>
        <w:ind w:firstLine="720"/>
        <w:jc w:val="both"/>
        <w:rPr>
          <w:sz w:val="28"/>
          <w:szCs w:val="28"/>
        </w:rPr>
      </w:pPr>
      <w:r>
        <w:rPr>
          <w:b/>
          <w:bCs/>
          <w:sz w:val="28"/>
          <w:szCs w:val="28"/>
        </w:rPr>
        <w:t>The methodological basis of the study.</w:t>
      </w:r>
      <w:r>
        <w:rPr>
          <w:sz w:val="28"/>
          <w:szCs w:val="28"/>
        </w:rPr>
        <w:t xml:space="preserve"> The dissertation employs general scientific methods such as description, classi</w:t>
      </w:r>
      <w:r>
        <w:rPr>
          <w:sz w:val="28"/>
          <w:szCs w:val="28"/>
        </w:rPr>
        <w:t>fication, generalization, and analysis. Historical and cultural methods, including the study of sources and historical materials, are of particular importance for analyzing the history and culture of the Kypchaks during the Golden Horde period. These sourc</w:t>
      </w:r>
      <w:r>
        <w:rPr>
          <w:sz w:val="28"/>
          <w:szCs w:val="28"/>
        </w:rPr>
        <w:t>es include Chinese dynastic chronicles, as well as Arab-Persian and European texts.</w:t>
      </w:r>
    </w:p>
    <w:p w14:paraId="28EAE563" w14:textId="77777777" w:rsidR="00F74BAF" w:rsidRDefault="00737583">
      <w:pPr>
        <w:ind w:firstLine="720"/>
        <w:jc w:val="both"/>
        <w:rPr>
          <w:sz w:val="28"/>
          <w:szCs w:val="28"/>
        </w:rPr>
      </w:pPr>
      <w:r>
        <w:rPr>
          <w:sz w:val="28"/>
          <w:szCs w:val="28"/>
        </w:rPr>
        <w:t>From a linguistic perspective, the study applies the principles of structural linguistics and comparative-historical linguistics. One of the main methods used in this resea</w:t>
      </w:r>
      <w:r>
        <w:rPr>
          <w:sz w:val="28"/>
          <w:szCs w:val="28"/>
        </w:rPr>
        <w:t>rch is semantic analysis, which makes it possible to reveal the syntagmatic and paradigmatic meanings of social lexemes and their polysemy. This method also allows for the consideration of word meanings in their diachronic development and the identificatio</w:t>
      </w:r>
      <w:r>
        <w:rPr>
          <w:sz w:val="28"/>
          <w:szCs w:val="28"/>
        </w:rPr>
        <w:t>n of successive semantic connections with modern Turkic languages.</w:t>
      </w:r>
    </w:p>
    <w:p w14:paraId="566EC06F" w14:textId="77777777" w:rsidR="00F74BAF" w:rsidRDefault="00737583">
      <w:pPr>
        <w:ind w:firstLine="720"/>
        <w:jc w:val="both"/>
        <w:rPr>
          <w:sz w:val="28"/>
          <w:szCs w:val="28"/>
        </w:rPr>
      </w:pPr>
      <w:r>
        <w:rPr>
          <w:b/>
          <w:bCs/>
          <w:sz w:val="28"/>
          <w:szCs w:val="28"/>
        </w:rPr>
        <w:t>Research materials.</w:t>
      </w:r>
      <w:r>
        <w:rPr>
          <w:sz w:val="28"/>
          <w:szCs w:val="28"/>
        </w:rPr>
        <w:t xml:space="preserve"> The materials of the research consist of three Kypchak monuments from the Golden Horde and its following period: «Golden Horde Yarliġs and Bitigs» collected by A. M. Özy</w:t>
      </w:r>
      <w:r>
        <w:rPr>
          <w:sz w:val="28"/>
          <w:szCs w:val="28"/>
        </w:rPr>
        <w:t xml:space="preserve">etgin, «Daftar-i Jingiz-nama» edited by Maria Ivanich and Mirkasim Usmanov, and «Čingiz-nama» by Utemish Hajji. The term «yarlïġ» refers to diplomatic correspondence exchanged between khans or sultans to share information on various issues of external and </w:t>
      </w:r>
      <w:r>
        <w:rPr>
          <w:sz w:val="28"/>
          <w:szCs w:val="28"/>
        </w:rPr>
        <w:t>internal relations and did not carry the nature of a direct command. In this study, five «yarlïġs» and «bitigs» from the Golden Horde period are analyzed. The is a seventeenth-century Volga-Turkī historical text that compiles narratives about Chinggis Khan</w:t>
      </w:r>
      <w:r>
        <w:rPr>
          <w:sz w:val="28"/>
          <w:szCs w:val="28"/>
        </w:rPr>
        <w:t>, Timur, Edigü, and other major steppe figures. It preserves key events from the thirteenth–seventeenth centuries across the Volga, North Caucasus, Aral Sea, and Siberian regions, reflecting the political and cultural memory of the Golden Horde world. It s</w:t>
      </w:r>
      <w:r>
        <w:rPr>
          <w:sz w:val="28"/>
          <w:szCs w:val="28"/>
        </w:rPr>
        <w:t xml:space="preserve">erves as an important primary source for understanding the governance and language of the Golden Horde period. The «Čingiz-nama» by Utemish Hajji, written in the sixteenth century in a Turkic language, presents a narrative history of Chinggis Khan and his </w:t>
      </w:r>
      <w:r>
        <w:rPr>
          <w:sz w:val="28"/>
          <w:szCs w:val="28"/>
        </w:rPr>
        <w:t>descendants based on oral traditions and earlier chronicles. Together, these works offer complementary insights into the political structures, cultural memory, and historical consciousness of the Kipchak worlds.</w:t>
      </w:r>
    </w:p>
    <w:p w14:paraId="71D94860" w14:textId="77777777" w:rsidR="00F74BAF" w:rsidRDefault="00737583">
      <w:pPr>
        <w:ind w:firstLine="709"/>
        <w:jc w:val="both"/>
        <w:rPr>
          <w:sz w:val="28"/>
          <w:szCs w:val="28"/>
        </w:rPr>
      </w:pPr>
      <w:r>
        <w:rPr>
          <w:b/>
          <w:bCs/>
          <w:sz w:val="28"/>
          <w:szCs w:val="28"/>
        </w:rPr>
        <w:t>Level of study of the topic.</w:t>
      </w:r>
      <w:r>
        <w:rPr>
          <w:sz w:val="28"/>
          <w:szCs w:val="28"/>
        </w:rPr>
        <w:t xml:space="preserve"> In Turkological</w:t>
      </w:r>
      <w:r>
        <w:rPr>
          <w:sz w:val="28"/>
          <w:szCs w:val="28"/>
        </w:rPr>
        <w:t xml:space="preserve"> studies, the semantics of the Turkic languages have long been explored from phonological, morphological, and historical-linguistic perspectives. However, semantic field analysis as a systematic method remains underrepresented. In this regard, the present </w:t>
      </w:r>
      <w:r>
        <w:rPr>
          <w:sz w:val="28"/>
          <w:szCs w:val="28"/>
        </w:rPr>
        <w:t>dissertation draws upon both domestic and international scholarship on Turkic historical semantics and semantic field theory.</w:t>
      </w:r>
    </w:p>
    <w:p w14:paraId="37BA73DA" w14:textId="77777777" w:rsidR="00F74BAF" w:rsidRDefault="00737583">
      <w:pPr>
        <w:ind w:firstLine="709"/>
        <w:jc w:val="both"/>
        <w:rPr>
          <w:sz w:val="28"/>
          <w:szCs w:val="28"/>
        </w:rPr>
      </w:pPr>
      <w:r>
        <w:rPr>
          <w:sz w:val="28"/>
          <w:szCs w:val="28"/>
        </w:rPr>
        <w:t>Among the scholars who have significantly contributed to the study of Turkic semantics are R. Dankoff, C. Kelly, M. Erdal, A. Kono</w:t>
      </w:r>
      <w:r>
        <w:rPr>
          <w:sz w:val="28"/>
          <w:szCs w:val="28"/>
        </w:rPr>
        <w:t>nov, E. Tenishev, N. Baskakov, A. Nadzhip, E. Rásonyi, and T. Tekin, whose works established the descriptive, grammatical, and lexical foundations for Old and Middle Turkic studies. These include such classical monographs as A Grammar of Old Turkic (Erdal,</w:t>
      </w:r>
      <w:r>
        <w:rPr>
          <w:sz w:val="28"/>
          <w:szCs w:val="28"/>
        </w:rPr>
        <w:t xml:space="preserve"> 2004), Compendium of the Turkic Dialects (Dīwān Lughāt al-Turk) (Dankoff &amp; Kelly, 1985), and Grammatika sovremennogo turetskogo yazyka (Kononov, 1956), which, although focused primarily on morphology and phonology, provide a necessary groundwork for furth</w:t>
      </w:r>
      <w:r>
        <w:rPr>
          <w:sz w:val="28"/>
          <w:szCs w:val="28"/>
        </w:rPr>
        <w:t xml:space="preserve">er semantic research. The semantic aspects of Turkic vocabulary were later addressed in the works of E. V. Sevortyan, N. A. Baskakov, and M. Räsänen, who produced etymological and comparative dictionaries that identify semantic evolution within the Turkic </w:t>
      </w:r>
      <w:r>
        <w:rPr>
          <w:sz w:val="28"/>
          <w:szCs w:val="28"/>
        </w:rPr>
        <w:t>lexicon, offering material crucial for reconstructing semantic shifts across the Turkic world.</w:t>
      </w:r>
    </w:p>
    <w:p w14:paraId="06FB381B" w14:textId="77777777" w:rsidR="00F74BAF" w:rsidRDefault="00737583">
      <w:pPr>
        <w:ind w:firstLine="709"/>
        <w:jc w:val="both"/>
        <w:rPr>
          <w:sz w:val="28"/>
          <w:szCs w:val="28"/>
        </w:rPr>
      </w:pPr>
      <w:r>
        <w:rPr>
          <w:sz w:val="28"/>
          <w:szCs w:val="28"/>
        </w:rPr>
        <w:t>In Kazakh linguistic scholarship, the problem of semantics has been discussed by A. Ahanov, A. Kuryshzhanov, and M. Orazov whose studies on the historical lexico</w:t>
      </w:r>
      <w:r>
        <w:rPr>
          <w:sz w:val="28"/>
          <w:szCs w:val="28"/>
        </w:rPr>
        <w:t>n of the Kazakh language examine the origins and transformations of meaning in medieval and early modern texts. Their works— «Ескі түркі жазба ескерткіштері» ‘Old Turkic written monuments’ (Құрышжанов, 1986), and «Қазақ тілінің семантикасы» ‘Semantics of t</w:t>
      </w:r>
      <w:r>
        <w:rPr>
          <w:sz w:val="28"/>
          <w:szCs w:val="28"/>
        </w:rPr>
        <w:t>he Kazakh language’ (Оразов, 1991)—demonstrate a national continuity in exploring meaning within the broader context of Turkic philology.</w:t>
      </w:r>
    </w:p>
    <w:p w14:paraId="6EA42957" w14:textId="77777777" w:rsidR="00F74BAF" w:rsidRDefault="00737583">
      <w:pPr>
        <w:ind w:firstLine="709"/>
        <w:jc w:val="both"/>
        <w:rPr>
          <w:sz w:val="28"/>
          <w:szCs w:val="28"/>
        </w:rPr>
      </w:pPr>
      <w:r>
        <w:rPr>
          <w:sz w:val="28"/>
          <w:szCs w:val="28"/>
        </w:rPr>
        <w:t>Recent decades have witnessed the gradual introduction of semantic field theory into Turkological research. Scholars s</w:t>
      </w:r>
      <w:r>
        <w:rPr>
          <w:sz w:val="28"/>
          <w:szCs w:val="28"/>
        </w:rPr>
        <w:t>uch as A. V. Dybo, S. E. Malov, I. Kormushin, and E. M. Murzaev have contributed to identifying semantic networks and associative clusters within historical Turkic texts, emphasizing their cultural and cognitive underpinnings. Of particular relevance are d</w:t>
      </w:r>
      <w:r>
        <w:rPr>
          <w:sz w:val="28"/>
          <w:szCs w:val="28"/>
        </w:rPr>
        <w:t>issertations and articles devoted to the lexico-semantic system of medieval monuments, including works by M. Gubaeva («лексическое поле «интеллектуальные способности человека» в языке поэмы «кысса-и йусуф» кул гали (1233)» ‘lexical field ‘Human intellectua</w:t>
      </w:r>
      <w:r>
        <w:rPr>
          <w:sz w:val="28"/>
          <w:szCs w:val="28"/>
        </w:rPr>
        <w:t>l abilities’ in the language of the poem ‘qíssai yosif’ (tale of yusuf) by qol ghali (1233)’, 2015), B. A. Musukov («лексико-семантические особенности цветообозначающих прилагательных в тюркских языках» ‘lexical and semantic peculiarities of colour symboli</w:t>
      </w:r>
      <w:r>
        <w:rPr>
          <w:sz w:val="28"/>
          <w:szCs w:val="28"/>
        </w:rPr>
        <w:t>zing adjectives in turkic languages’, 2014), all of which apply modern semantic and cognitive approaches to Kipchak languages.</w:t>
      </w:r>
    </w:p>
    <w:p w14:paraId="2AD2DE07" w14:textId="77777777" w:rsidR="00F74BAF" w:rsidRDefault="00737583">
      <w:pPr>
        <w:ind w:firstLine="709"/>
        <w:jc w:val="both"/>
        <w:rPr>
          <w:sz w:val="28"/>
          <w:szCs w:val="28"/>
        </w:rPr>
      </w:pPr>
      <w:r>
        <w:rPr>
          <w:sz w:val="28"/>
          <w:szCs w:val="28"/>
        </w:rPr>
        <w:t>In broader Turkological and Eurasian studies, the semantic interpretation of social and political terminology has also been influ</w:t>
      </w:r>
      <w:r>
        <w:rPr>
          <w:sz w:val="28"/>
          <w:szCs w:val="28"/>
        </w:rPr>
        <w:t>enced by cross-disciplinary approaches integrating historical linguistics, ethnolinguistics, and cultural semantics. Important contributions include A. Alyılmaz’s «Türk Dilinde Anlam Alanları Üzerine» ‘On Semantic Fields in the Turkish Language’ (2019), F.</w:t>
      </w:r>
      <w:r>
        <w:rPr>
          <w:sz w:val="28"/>
          <w:szCs w:val="28"/>
        </w:rPr>
        <w:t xml:space="preserve"> Yıldırım’s «Tarihî Türk Yazıtlarında Kavram Alanları» ‘Conceptual Fields in Historical Turkish Inscriptions’ (2021), and R. Muhamedov’s «Lexico-Semantic Fields in Old Uyghur Texts» (2020). These works demonstrate the gradual shift of Turkic linguistics to</w:t>
      </w:r>
      <w:r>
        <w:rPr>
          <w:sz w:val="28"/>
          <w:szCs w:val="28"/>
        </w:rPr>
        <w:t>ward field-theoretical and conceptual frameworks.</w:t>
      </w:r>
    </w:p>
    <w:p w14:paraId="769C69E9" w14:textId="77777777" w:rsidR="00F74BAF" w:rsidRDefault="00737583">
      <w:pPr>
        <w:ind w:firstLine="709"/>
        <w:jc w:val="both"/>
        <w:rPr>
          <w:sz w:val="28"/>
          <w:szCs w:val="28"/>
        </w:rPr>
      </w:pPr>
      <w:r>
        <w:rPr>
          <w:sz w:val="28"/>
          <w:szCs w:val="28"/>
        </w:rPr>
        <w:t>At the international level, the theoretical foundation of semantic field theory was laid by scholars such as J. Trier, L. Weisgerber, and J. Lyons, whose works (Der deutsche Wortschatz im Sinnbezirk des Ver</w:t>
      </w:r>
      <w:r>
        <w:rPr>
          <w:sz w:val="28"/>
          <w:szCs w:val="28"/>
        </w:rPr>
        <w:t>standes, 1931; Introduction to Theoretical Linguistics, 1968) informed the later development of cognitive semantics. Their ideas were further developed in Turkology through the works of H. Boeschoten, G. Clauson, and G. Doerfer, who applied semantic compar</w:t>
      </w:r>
      <w:r>
        <w:rPr>
          <w:sz w:val="28"/>
          <w:szCs w:val="28"/>
        </w:rPr>
        <w:t>ison to explain Turkic word families and etymological transformations.</w:t>
      </w:r>
    </w:p>
    <w:p w14:paraId="699818C3" w14:textId="77777777" w:rsidR="00F74BAF" w:rsidRDefault="00737583">
      <w:pPr>
        <w:ind w:firstLine="709"/>
        <w:jc w:val="both"/>
        <w:rPr>
          <w:sz w:val="28"/>
          <w:szCs w:val="28"/>
        </w:rPr>
      </w:pPr>
      <w:r>
        <w:rPr>
          <w:sz w:val="28"/>
          <w:szCs w:val="28"/>
        </w:rPr>
        <w:t>Thus, the study of semantics in historical Turkic monuments—especially within the context of the Golden Horde and Middle Kypchak periods—has a solid but fragmentary research foundation.</w:t>
      </w:r>
      <w:r>
        <w:rPr>
          <w:sz w:val="28"/>
          <w:szCs w:val="28"/>
        </w:rPr>
        <w:t xml:space="preserve"> While earlier scholarship concentrated on morphology and etymology, only recent studies have begun to employ semantic field theory as a tool to reconstruct the cultural and social reality encoded in language. The present dissertation, therefore, continues</w:t>
      </w:r>
      <w:r>
        <w:rPr>
          <w:sz w:val="28"/>
          <w:szCs w:val="28"/>
        </w:rPr>
        <w:t xml:space="preserve"> this emerging line of inquiry, combining the methodologies of comparative-historical linguistics and semantic field analysis to reveal the social and cultural meanings embedded in the lexicon of «Golden Horde Yarliġs and Bitigs», «Daftar-i Jingiz-nama», a</w:t>
      </w:r>
      <w:r>
        <w:rPr>
          <w:sz w:val="28"/>
          <w:szCs w:val="28"/>
        </w:rPr>
        <w:t>nd «Čingiz-nama».</w:t>
      </w:r>
    </w:p>
    <w:p w14:paraId="0AFADA44" w14:textId="77777777" w:rsidR="00F74BAF" w:rsidRDefault="00737583">
      <w:pPr>
        <w:ind w:firstLine="709"/>
        <w:jc w:val="both"/>
        <w:rPr>
          <w:sz w:val="28"/>
          <w:szCs w:val="28"/>
        </w:rPr>
      </w:pPr>
      <w:r>
        <w:rPr>
          <w:b/>
          <w:bCs/>
          <w:sz w:val="28"/>
          <w:szCs w:val="28"/>
        </w:rPr>
        <w:t>Scientific Novelty of the Research.</w:t>
      </w:r>
      <w:r>
        <w:rPr>
          <w:sz w:val="28"/>
          <w:szCs w:val="28"/>
        </w:rPr>
        <w:t xml:space="preserve"> The study of new Kypchak monuments using modern technologies and methodologies is a priority task of contemporary Turkology. This dissertation analyzes previously understudied monuments of the Golden Ho</w:t>
      </w:r>
      <w:r>
        <w:rPr>
          <w:sz w:val="28"/>
          <w:szCs w:val="28"/>
        </w:rPr>
        <w:t>rde period—particularly diplomatic correspondences, decrees, and other documents of khans and sultans from the fourteenth–seventeenth centuries. These texts reveal both the activities of rulers and the broader socio-historical and cultural worldview of the</w:t>
      </w:r>
      <w:r>
        <w:rPr>
          <w:sz w:val="28"/>
          <w:szCs w:val="28"/>
        </w:rPr>
        <w:t xml:space="preserve"> period. Within this context, the dissertation examines the historical and cultural constants of the Golden Horde and post Golden Horde eras. From «Golden Horde Yarliġs and Bitigs», «Daftar-i Jingiz-nama», and «Čingiz-nama», lexemes reflecting the social w</w:t>
      </w:r>
      <w:r>
        <w:rPr>
          <w:sz w:val="28"/>
          <w:szCs w:val="28"/>
        </w:rPr>
        <w:t xml:space="preserve">orldview were selected and thematically classified. One of the main results of the study is the semantic analysis of historical lexemes through conceptual methodology—analysis of syntagmatic and paradigmatic semantic relations and associative-derivational </w:t>
      </w:r>
      <w:r>
        <w:rPr>
          <w:sz w:val="28"/>
          <w:szCs w:val="28"/>
        </w:rPr>
        <w:t>connections (polysemy and derivational potential). This approach has made it possible to define the semantic field of social relations and social reality in the Golden Horde states. An important new result of the research is the study of the semantics of h</w:t>
      </w:r>
      <w:r>
        <w:rPr>
          <w:sz w:val="28"/>
          <w:szCs w:val="28"/>
        </w:rPr>
        <w:t>istorical lexicon in the monuments and its continuity with the lexical semantics of modern Turkic languages, as well as the identification of semantic transformations.</w:t>
      </w:r>
    </w:p>
    <w:p w14:paraId="54942BFB" w14:textId="77777777" w:rsidR="00F74BAF" w:rsidRDefault="00737583">
      <w:pPr>
        <w:ind w:firstLine="709"/>
        <w:jc w:val="both"/>
        <w:rPr>
          <w:sz w:val="28"/>
          <w:szCs w:val="28"/>
        </w:rPr>
      </w:pPr>
      <w:r>
        <w:rPr>
          <w:b/>
          <w:bCs/>
          <w:sz w:val="28"/>
          <w:szCs w:val="28"/>
        </w:rPr>
        <w:t>Theoretical significance of the study.</w:t>
      </w:r>
      <w:r>
        <w:rPr>
          <w:sz w:val="28"/>
          <w:szCs w:val="28"/>
        </w:rPr>
        <w:t xml:space="preserve"> The results of the study can contribute to the de</w:t>
      </w:r>
      <w:r>
        <w:rPr>
          <w:sz w:val="28"/>
          <w:szCs w:val="28"/>
        </w:rPr>
        <w:t xml:space="preserve">velopment of theoretical foundations of historical lexicology and semantic analysis in Turkic languages. The dissertation expands the boundaries of lexical semantics, enriching its theoretical models and revealing new dimensions in the interaction between </w:t>
      </w:r>
      <w:r>
        <w:rPr>
          <w:sz w:val="28"/>
          <w:szCs w:val="28"/>
        </w:rPr>
        <w:t>language and culture.</w:t>
      </w:r>
    </w:p>
    <w:p w14:paraId="53682EC0" w14:textId="77777777" w:rsidR="00F74BAF" w:rsidRDefault="00737583">
      <w:pPr>
        <w:ind w:firstLine="709"/>
        <w:jc w:val="both"/>
        <w:rPr>
          <w:sz w:val="28"/>
          <w:szCs w:val="28"/>
        </w:rPr>
      </w:pPr>
      <w:r>
        <w:rPr>
          <w:b/>
          <w:bCs/>
          <w:sz w:val="28"/>
          <w:szCs w:val="28"/>
        </w:rPr>
        <w:t>Practical significance of the study.</w:t>
      </w:r>
      <w:r>
        <w:rPr>
          <w:sz w:val="28"/>
          <w:szCs w:val="28"/>
        </w:rPr>
        <w:t xml:space="preserve"> The research can be applied in the teaching of Turkic languages, in the compilation of dictionaries, and in further studies in historical semantics and semantic field methodology. The methodology of semantic analysis will be especially useful in the study</w:t>
      </w:r>
      <w:r>
        <w:rPr>
          <w:sz w:val="28"/>
          <w:szCs w:val="28"/>
        </w:rPr>
        <w:t xml:space="preserve"> of Turkic written monuments produced in various writing systems.</w:t>
      </w:r>
    </w:p>
    <w:p w14:paraId="5ED64B2C" w14:textId="77777777" w:rsidR="00F74BAF" w:rsidRDefault="00737583">
      <w:pPr>
        <w:ind w:firstLine="709"/>
        <w:jc w:val="both"/>
        <w:rPr>
          <w:sz w:val="28"/>
          <w:szCs w:val="28"/>
        </w:rPr>
      </w:pPr>
      <w:r>
        <w:rPr>
          <w:b/>
          <w:bCs/>
          <w:sz w:val="28"/>
          <w:szCs w:val="28"/>
        </w:rPr>
        <w:t xml:space="preserve">Main propositions to be defended. </w:t>
      </w:r>
      <w:r>
        <w:rPr>
          <w:sz w:val="28"/>
          <w:szCs w:val="28"/>
        </w:rPr>
        <w:t xml:space="preserve">The study of the language of Kipchak monuments is an integral part of the broader research into the language of Turkic written monuments, which have been </w:t>
      </w:r>
      <w:r>
        <w:rPr>
          <w:sz w:val="28"/>
          <w:szCs w:val="28"/>
        </w:rPr>
        <w:t>created over millennia using various graphic systems. Based on the conducted research, the following points are submitted for defense.</w:t>
      </w:r>
    </w:p>
    <w:p w14:paraId="5E0EC581" w14:textId="77777777" w:rsidR="00F74BAF" w:rsidRDefault="00737583">
      <w:pPr>
        <w:ind w:firstLine="709"/>
        <w:jc w:val="both"/>
        <w:rPr>
          <w:sz w:val="28"/>
          <w:szCs w:val="28"/>
        </w:rPr>
      </w:pPr>
      <w:r>
        <w:rPr>
          <w:sz w:val="28"/>
          <w:szCs w:val="28"/>
        </w:rPr>
        <w:t>1. In the early twelfth century, the Kipchak confederation became part of the Mongol Empire, which later fragmented acros</w:t>
      </w:r>
      <w:r>
        <w:rPr>
          <w:sz w:val="28"/>
          <w:szCs w:val="28"/>
        </w:rPr>
        <w:t xml:space="preserve">s Eurasia into several khanates. Among these, the Golden Horde period holds particular historical and political importance, as it was largely assimilated by numerous Kipchak-speaking tribes inhabiting its territories. Within this context, the dissertation </w:t>
      </w:r>
      <w:r>
        <w:rPr>
          <w:sz w:val="28"/>
          <w:szCs w:val="28"/>
        </w:rPr>
        <w:t>identifies the historical and cultural tendencies of development characteristic of the Golden Horde era.</w:t>
      </w:r>
    </w:p>
    <w:p w14:paraId="77BBBCA1" w14:textId="77777777" w:rsidR="00F74BAF" w:rsidRDefault="00737583">
      <w:pPr>
        <w:ind w:firstLine="709"/>
        <w:jc w:val="both"/>
        <w:rPr>
          <w:sz w:val="28"/>
          <w:szCs w:val="28"/>
        </w:rPr>
      </w:pPr>
      <w:r>
        <w:rPr>
          <w:sz w:val="28"/>
          <w:szCs w:val="28"/>
        </w:rPr>
        <w:t>2. The Kipchak monuments—written in Arabic, Armenian, Latin, and Chagatai scripts—are diverse in genre, including historical chronicles and corresponde</w:t>
      </w:r>
      <w:r>
        <w:rPr>
          <w:sz w:val="28"/>
          <w:szCs w:val="28"/>
        </w:rPr>
        <w:t>nce, spiritual and artistic literature, grammars, and dictionaries. The dissertation focuses on the study of diplomatic correspondences (documents) and decrees of the Golden Horde khans as preserved in such works as «Golden Horde Yarliġs and Bitigs», «Daft</w:t>
      </w:r>
      <w:r>
        <w:rPr>
          <w:sz w:val="28"/>
          <w:szCs w:val="28"/>
        </w:rPr>
        <w:t>ar-i Jingiz-nama», and «Čingiz-nama». The lexical system of these monuments is analyzed, lexemes are selected, and they are thematically classified according to social relations in the Golden Horde period.</w:t>
      </w:r>
    </w:p>
    <w:p w14:paraId="7840535D" w14:textId="77777777" w:rsidR="00F74BAF" w:rsidRDefault="00737583">
      <w:pPr>
        <w:ind w:firstLine="709"/>
        <w:jc w:val="both"/>
        <w:rPr>
          <w:sz w:val="28"/>
          <w:szCs w:val="28"/>
        </w:rPr>
      </w:pPr>
      <w:r>
        <w:rPr>
          <w:sz w:val="28"/>
          <w:szCs w:val="28"/>
        </w:rPr>
        <w:t>3. The semantic analysis of lexemes is carried out</w:t>
      </w:r>
      <w:r>
        <w:rPr>
          <w:sz w:val="28"/>
          <w:szCs w:val="28"/>
        </w:rPr>
        <w:t xml:space="preserve"> within a specific model, particularly identifying syntagmatic semantic relations (the combinability of historical lexemes within sentence context), as well as paradigmatic categories (lexical categories of synonymy, antonymy, and hyponymy), and associativ</w:t>
      </w:r>
      <w:r>
        <w:rPr>
          <w:sz w:val="28"/>
          <w:szCs w:val="28"/>
        </w:rPr>
        <w:t>e-derivational relations (polysemy and derivational potential of lexemes).</w:t>
      </w:r>
    </w:p>
    <w:p w14:paraId="56CAFFC2" w14:textId="77777777" w:rsidR="00F74BAF" w:rsidRDefault="00737583">
      <w:pPr>
        <w:ind w:firstLine="709"/>
        <w:jc w:val="both"/>
        <w:rPr>
          <w:sz w:val="28"/>
          <w:szCs w:val="28"/>
        </w:rPr>
      </w:pPr>
      <w:r>
        <w:rPr>
          <w:sz w:val="28"/>
          <w:szCs w:val="28"/>
        </w:rPr>
        <w:t>4. The determination of syntagmatic and paradigmatic relations, polysemantic and derivational connections makes it possible to reconstruct the semantic field of social relations, re</w:t>
      </w:r>
      <w:r>
        <w:rPr>
          <w:sz w:val="28"/>
          <w:szCs w:val="28"/>
        </w:rPr>
        <w:t>vealing the worldview of people in the Middle Ages, during the Golden Horde era and its following period.</w:t>
      </w:r>
    </w:p>
    <w:p w14:paraId="44C2A1BF" w14:textId="77777777" w:rsidR="00F74BAF" w:rsidRDefault="00737583">
      <w:pPr>
        <w:ind w:firstLine="709"/>
        <w:jc w:val="both"/>
        <w:rPr>
          <w:sz w:val="28"/>
          <w:szCs w:val="28"/>
        </w:rPr>
      </w:pPr>
      <w:r>
        <w:rPr>
          <w:sz w:val="28"/>
          <w:szCs w:val="28"/>
        </w:rPr>
        <w:t xml:space="preserve">5. Within the semantic field of lexemes that reflect the social relations of people in a given historical period, the study identifies the historical </w:t>
      </w:r>
      <w:r>
        <w:rPr>
          <w:sz w:val="28"/>
          <w:szCs w:val="28"/>
        </w:rPr>
        <w:t>meanings of words, their transformation, and their continuity with similar lexemes in modern Turkic languages.</w:t>
      </w:r>
    </w:p>
    <w:p w14:paraId="79C40848" w14:textId="77777777" w:rsidR="00F74BAF" w:rsidRDefault="00737583">
      <w:pPr>
        <w:ind w:firstLine="709"/>
        <w:jc w:val="both"/>
        <w:rPr>
          <w:sz w:val="28"/>
          <w:szCs w:val="28"/>
        </w:rPr>
      </w:pPr>
      <w:r>
        <w:rPr>
          <w:b/>
          <w:bCs/>
          <w:sz w:val="28"/>
          <w:szCs w:val="28"/>
        </w:rPr>
        <w:t>Approbation.</w:t>
      </w:r>
      <w:r>
        <w:rPr>
          <w:sz w:val="28"/>
          <w:szCs w:val="28"/>
        </w:rPr>
        <w:t xml:space="preserve"> The main results of the research were discussed at the academic seminar of the Department of Turkology at L.N. Gumilyov Eurasian Nat</w:t>
      </w:r>
      <w:r>
        <w:rPr>
          <w:sz w:val="28"/>
          <w:szCs w:val="28"/>
        </w:rPr>
        <w:t xml:space="preserve">ional University, presented at the Permanent International Altaistic Conference (PIAC), at the academic seminar of the Department of Turkology at Uppsala University during my research internship in Sweden, and at the international scientific and practical </w:t>
      </w:r>
      <w:r>
        <w:rPr>
          <w:sz w:val="28"/>
          <w:szCs w:val="28"/>
        </w:rPr>
        <w:t>conference “Research Problems of the Turkic Runic Monuments” organized by the Department of Turkology at L.N. Gumilyov Eurasian National University.</w:t>
      </w:r>
    </w:p>
    <w:p w14:paraId="707EA192" w14:textId="77777777" w:rsidR="00F74BAF" w:rsidRDefault="00737583">
      <w:pPr>
        <w:ind w:firstLine="709"/>
        <w:jc w:val="both"/>
        <w:rPr>
          <w:sz w:val="28"/>
          <w:szCs w:val="28"/>
        </w:rPr>
      </w:pPr>
      <w:r>
        <w:rPr>
          <w:sz w:val="28"/>
          <w:szCs w:val="28"/>
        </w:rPr>
        <w:t>A total of 5 articles have been published on the topic of the dissertation, including 3 articles in journal</w:t>
      </w:r>
      <w:r>
        <w:rPr>
          <w:sz w:val="28"/>
          <w:szCs w:val="28"/>
        </w:rPr>
        <w:t>s listed by the «Committee for Quality Assurance in the Sphere of Science and Higher Education (CQASSHE) of the Republic of Kazakhstan. One article was published in an international indexed journal included in the Scopus database.</w:t>
      </w:r>
    </w:p>
    <w:p w14:paraId="45096223" w14:textId="77777777" w:rsidR="00F74BAF" w:rsidRDefault="00737583">
      <w:pPr>
        <w:ind w:firstLine="709"/>
        <w:jc w:val="both"/>
        <w:rPr>
          <w:sz w:val="28"/>
          <w:szCs w:val="28"/>
        </w:rPr>
      </w:pPr>
      <w:r>
        <w:rPr>
          <w:sz w:val="28"/>
          <w:szCs w:val="28"/>
        </w:rPr>
        <w:t>1. «Lexical-Semantic Anal</w:t>
      </w:r>
      <w:r>
        <w:rPr>
          <w:sz w:val="28"/>
          <w:szCs w:val="28"/>
        </w:rPr>
        <w:t>ysis of Socio-Political Lexemes of Altïn Orda Khan Tokhtamysh’s Yarlïğ to Grand Duke Jogaila» // Bulletin of the L.N. Gumilyov Eurasian National University. Political Science. Regional Studies. Oriental Studies. Turkology Series Vol. 142 No. 1 (2023). P. 3</w:t>
      </w:r>
      <w:r>
        <w:rPr>
          <w:sz w:val="28"/>
          <w:szCs w:val="28"/>
        </w:rPr>
        <w:t>38-345.</w:t>
      </w:r>
    </w:p>
    <w:p w14:paraId="1406BB8C" w14:textId="77777777" w:rsidR="00F74BAF" w:rsidRDefault="00737583">
      <w:pPr>
        <w:ind w:firstLine="709"/>
        <w:jc w:val="both"/>
        <w:rPr>
          <w:sz w:val="28"/>
          <w:szCs w:val="28"/>
        </w:rPr>
      </w:pPr>
      <w:r>
        <w:rPr>
          <w:sz w:val="28"/>
          <w:szCs w:val="28"/>
        </w:rPr>
        <w:t>2. «Derivatives -či-/čï in the medieval Kypchak manuscript Temür Qutlugh Khan’s yarlïğ» // Turkic Studies Journal 3 (2023). Р. 136-145.</w:t>
      </w:r>
    </w:p>
    <w:p w14:paraId="6155B3BD" w14:textId="77777777" w:rsidR="00F74BAF" w:rsidRDefault="00737583">
      <w:pPr>
        <w:ind w:firstLine="709"/>
        <w:jc w:val="both"/>
        <w:rPr>
          <w:sz w:val="28"/>
          <w:szCs w:val="28"/>
        </w:rPr>
      </w:pPr>
      <w:r>
        <w:rPr>
          <w:sz w:val="28"/>
          <w:szCs w:val="28"/>
        </w:rPr>
        <w:t>3. «Research on the Noble Titles in Ötämiš Ḥāj’īs Čingiz-Nāma» // Otan tarikhy. Vol. 27. No 2 (2024). P. 403-412</w:t>
      </w:r>
      <w:r>
        <w:rPr>
          <w:sz w:val="28"/>
          <w:szCs w:val="28"/>
        </w:rPr>
        <w:t>.</w:t>
      </w:r>
    </w:p>
    <w:p w14:paraId="2FDD373F" w14:textId="77777777" w:rsidR="00F74BAF" w:rsidRDefault="00737583">
      <w:pPr>
        <w:ind w:firstLine="709"/>
        <w:jc w:val="both"/>
        <w:rPr>
          <w:sz w:val="28"/>
          <w:szCs w:val="28"/>
        </w:rPr>
      </w:pPr>
      <w:r>
        <w:rPr>
          <w:sz w:val="28"/>
          <w:szCs w:val="28"/>
        </w:rPr>
        <w:t>4. «Old Turkic political terms used in the Altïn Orda Khan's edict» // Proceedings of the international scientific and practical conference “Research prob- lems of the Turkic runic monuments” 25.05.2023. P. 182-186.</w:t>
      </w:r>
    </w:p>
    <w:p w14:paraId="549D40B4" w14:textId="77777777" w:rsidR="00F74BAF" w:rsidRDefault="00737583">
      <w:pPr>
        <w:ind w:firstLine="709"/>
        <w:jc w:val="both"/>
        <w:rPr>
          <w:sz w:val="28"/>
          <w:szCs w:val="28"/>
        </w:rPr>
      </w:pPr>
      <w:r>
        <w:rPr>
          <w:sz w:val="28"/>
          <w:szCs w:val="28"/>
        </w:rPr>
        <w:t>5. «A Semantic Study of the Military T</w:t>
      </w:r>
      <w:r>
        <w:rPr>
          <w:sz w:val="28"/>
          <w:szCs w:val="28"/>
        </w:rPr>
        <w:t>erms in Ötämis Haji's Cingiz-nama» // Eurasian Journal of Applied Linguistics. 2024. - V. 10., Iss. 3. - P. 185 - 193.</w:t>
      </w:r>
    </w:p>
    <w:p w14:paraId="2FC82AE9" w14:textId="77777777" w:rsidR="00F74BAF" w:rsidRDefault="00737583">
      <w:pPr>
        <w:ind w:firstLine="709"/>
        <w:jc w:val="both"/>
        <w:rPr>
          <w:sz w:val="28"/>
          <w:szCs w:val="28"/>
        </w:rPr>
      </w:pPr>
      <w:r>
        <w:rPr>
          <w:b/>
          <w:bCs/>
          <w:sz w:val="28"/>
          <w:szCs w:val="28"/>
        </w:rPr>
        <w:t>Structure and Volume of the Dissertation.</w:t>
      </w:r>
      <w:r>
        <w:rPr>
          <w:sz w:val="28"/>
          <w:szCs w:val="28"/>
        </w:rPr>
        <w:t xml:space="preserve"> The dissertation consists of an introduction, three chapters, a conclusion, and a list of sourc</w:t>
      </w:r>
      <w:r>
        <w:rPr>
          <w:sz w:val="28"/>
          <w:szCs w:val="28"/>
        </w:rPr>
        <w:t>es. Its total volume is 10</w:t>
      </w:r>
      <w:r w:rsidRPr="00F76770">
        <w:rPr>
          <w:sz w:val="28"/>
          <w:szCs w:val="28"/>
        </w:rPr>
        <w:t>5</w:t>
      </w:r>
      <w:r>
        <w:rPr>
          <w:sz w:val="28"/>
          <w:szCs w:val="28"/>
        </w:rPr>
        <w:t xml:space="preserve"> pages.</w:t>
      </w:r>
    </w:p>
    <w:p w14:paraId="2D22E73D" w14:textId="77777777" w:rsidR="00F74BAF" w:rsidRDefault="00F74BAF">
      <w:pPr>
        <w:pBdr>
          <w:top w:val="nil"/>
          <w:left w:val="nil"/>
          <w:bottom w:val="nil"/>
          <w:right w:val="nil"/>
          <w:between w:val="nil"/>
        </w:pBdr>
        <w:jc w:val="both"/>
        <w:rPr>
          <w:b/>
          <w:bCs/>
          <w:sz w:val="28"/>
          <w:szCs w:val="28"/>
        </w:rPr>
      </w:pPr>
      <w:bookmarkStart w:id="2" w:name="_heading=h.zanvnbqpndam" w:colFirst="0" w:colLast="0"/>
      <w:bookmarkEnd w:id="2"/>
    </w:p>
    <w:p w14:paraId="2F0DEAA6" w14:textId="77777777" w:rsidR="00F74BAF" w:rsidRDefault="00F74BAF">
      <w:pPr>
        <w:pBdr>
          <w:top w:val="nil"/>
          <w:left w:val="nil"/>
          <w:bottom w:val="nil"/>
          <w:right w:val="nil"/>
          <w:between w:val="nil"/>
        </w:pBdr>
        <w:spacing w:line="288" w:lineRule="auto"/>
        <w:jc w:val="both"/>
        <w:rPr>
          <w:sz w:val="28"/>
          <w:szCs w:val="28"/>
        </w:rPr>
      </w:pPr>
    </w:p>
    <w:p w14:paraId="43EFB3D4" w14:textId="77777777" w:rsidR="00F74BAF" w:rsidRDefault="00F74BAF">
      <w:pPr>
        <w:pBdr>
          <w:top w:val="nil"/>
          <w:left w:val="nil"/>
          <w:bottom w:val="nil"/>
          <w:right w:val="nil"/>
          <w:between w:val="nil"/>
        </w:pBdr>
        <w:spacing w:line="288" w:lineRule="auto"/>
        <w:jc w:val="both"/>
        <w:rPr>
          <w:sz w:val="28"/>
          <w:szCs w:val="28"/>
        </w:rPr>
      </w:pPr>
    </w:p>
    <w:p w14:paraId="5DD29778" w14:textId="77777777" w:rsidR="00F74BAF" w:rsidRDefault="00F74BAF">
      <w:pPr>
        <w:pBdr>
          <w:top w:val="nil"/>
          <w:left w:val="nil"/>
          <w:bottom w:val="nil"/>
          <w:right w:val="nil"/>
          <w:between w:val="nil"/>
        </w:pBdr>
        <w:spacing w:line="288" w:lineRule="auto"/>
        <w:jc w:val="both"/>
        <w:rPr>
          <w:color w:val="000000"/>
          <w:sz w:val="28"/>
          <w:szCs w:val="28"/>
        </w:rPr>
      </w:pPr>
    </w:p>
    <w:p w14:paraId="7309AD0F" w14:textId="77777777" w:rsidR="00F74BAF" w:rsidRDefault="00F74BAF">
      <w:pPr>
        <w:pBdr>
          <w:top w:val="nil"/>
          <w:left w:val="nil"/>
          <w:bottom w:val="nil"/>
          <w:right w:val="nil"/>
          <w:between w:val="nil"/>
        </w:pBdr>
        <w:spacing w:line="288" w:lineRule="auto"/>
        <w:ind w:firstLine="567"/>
        <w:jc w:val="both"/>
        <w:rPr>
          <w:color w:val="000000"/>
          <w:sz w:val="28"/>
          <w:szCs w:val="28"/>
        </w:rPr>
      </w:pPr>
    </w:p>
    <w:p w14:paraId="554109D1" w14:textId="77777777" w:rsidR="00F74BAF" w:rsidRDefault="00F74BAF">
      <w:pPr>
        <w:pBdr>
          <w:top w:val="nil"/>
          <w:left w:val="nil"/>
          <w:bottom w:val="nil"/>
          <w:right w:val="nil"/>
          <w:between w:val="nil"/>
        </w:pBdr>
        <w:spacing w:line="288" w:lineRule="auto"/>
        <w:jc w:val="both"/>
        <w:rPr>
          <w:sz w:val="28"/>
          <w:szCs w:val="28"/>
        </w:rPr>
      </w:pPr>
    </w:p>
    <w:p w14:paraId="3B226A06" w14:textId="77777777" w:rsidR="00F74BAF" w:rsidRDefault="00F74BAF">
      <w:pPr>
        <w:pBdr>
          <w:top w:val="nil"/>
          <w:left w:val="nil"/>
          <w:bottom w:val="nil"/>
          <w:right w:val="nil"/>
          <w:between w:val="nil"/>
        </w:pBdr>
        <w:spacing w:line="288" w:lineRule="auto"/>
        <w:ind w:firstLine="567"/>
        <w:jc w:val="both"/>
        <w:rPr>
          <w:sz w:val="28"/>
          <w:szCs w:val="28"/>
        </w:rPr>
      </w:pPr>
    </w:p>
    <w:p w14:paraId="324A2C84" w14:textId="77777777" w:rsidR="00F74BAF" w:rsidRDefault="00F74BAF">
      <w:pPr>
        <w:pBdr>
          <w:top w:val="nil"/>
          <w:left w:val="nil"/>
          <w:bottom w:val="nil"/>
          <w:right w:val="nil"/>
          <w:between w:val="nil"/>
        </w:pBdr>
        <w:spacing w:line="288" w:lineRule="auto"/>
        <w:ind w:firstLine="567"/>
        <w:jc w:val="both"/>
        <w:rPr>
          <w:sz w:val="28"/>
          <w:szCs w:val="28"/>
        </w:rPr>
      </w:pPr>
    </w:p>
    <w:p w14:paraId="629A909A" w14:textId="77777777" w:rsidR="00F74BAF" w:rsidRDefault="00F74BAF">
      <w:pPr>
        <w:pBdr>
          <w:top w:val="nil"/>
          <w:left w:val="nil"/>
          <w:bottom w:val="nil"/>
          <w:right w:val="nil"/>
          <w:between w:val="nil"/>
        </w:pBdr>
        <w:spacing w:line="288" w:lineRule="auto"/>
        <w:ind w:firstLine="567"/>
        <w:jc w:val="both"/>
        <w:rPr>
          <w:sz w:val="28"/>
          <w:szCs w:val="28"/>
        </w:rPr>
      </w:pPr>
    </w:p>
    <w:p w14:paraId="5EAA5D2E" w14:textId="77777777" w:rsidR="00F74BAF" w:rsidRPr="00DB2C6C" w:rsidRDefault="00F74BAF">
      <w:pPr>
        <w:pBdr>
          <w:top w:val="nil"/>
          <w:left w:val="nil"/>
          <w:bottom w:val="nil"/>
          <w:right w:val="nil"/>
          <w:between w:val="nil"/>
        </w:pBdr>
        <w:spacing w:line="288" w:lineRule="auto"/>
        <w:ind w:firstLine="567"/>
        <w:jc w:val="both"/>
        <w:rPr>
          <w:sz w:val="28"/>
          <w:szCs w:val="28"/>
          <w:lang w:val="en-US"/>
        </w:rPr>
      </w:pPr>
    </w:p>
    <w:p w14:paraId="5B3B1970" w14:textId="77777777" w:rsidR="00F76770" w:rsidRPr="00DB2C6C" w:rsidRDefault="00F76770">
      <w:pPr>
        <w:pBdr>
          <w:top w:val="nil"/>
          <w:left w:val="nil"/>
          <w:bottom w:val="nil"/>
          <w:right w:val="nil"/>
          <w:between w:val="nil"/>
        </w:pBdr>
        <w:spacing w:line="288" w:lineRule="auto"/>
        <w:ind w:firstLine="567"/>
        <w:jc w:val="both"/>
        <w:rPr>
          <w:sz w:val="28"/>
          <w:szCs w:val="28"/>
          <w:lang w:val="en-US"/>
        </w:rPr>
      </w:pPr>
    </w:p>
    <w:p w14:paraId="45A6FDE3" w14:textId="77777777" w:rsidR="00F76770" w:rsidRPr="00DB2C6C" w:rsidRDefault="00F76770">
      <w:pPr>
        <w:pBdr>
          <w:top w:val="nil"/>
          <w:left w:val="nil"/>
          <w:bottom w:val="nil"/>
          <w:right w:val="nil"/>
          <w:between w:val="nil"/>
        </w:pBdr>
        <w:spacing w:line="288" w:lineRule="auto"/>
        <w:ind w:firstLine="567"/>
        <w:jc w:val="both"/>
        <w:rPr>
          <w:sz w:val="28"/>
          <w:szCs w:val="28"/>
          <w:lang w:val="en-US"/>
        </w:rPr>
      </w:pPr>
    </w:p>
    <w:p w14:paraId="48C58381" w14:textId="77777777" w:rsidR="00F74BAF" w:rsidRDefault="00737583">
      <w:pPr>
        <w:pBdr>
          <w:top w:val="nil"/>
          <w:left w:val="nil"/>
          <w:bottom w:val="nil"/>
          <w:right w:val="nil"/>
          <w:between w:val="nil"/>
        </w:pBdr>
        <w:ind w:firstLine="709"/>
        <w:jc w:val="both"/>
        <w:rPr>
          <w:b/>
          <w:bCs/>
          <w:color w:val="000000"/>
          <w:sz w:val="28"/>
          <w:szCs w:val="28"/>
        </w:rPr>
      </w:pPr>
      <w:r>
        <w:rPr>
          <w:b/>
          <w:bCs/>
          <w:color w:val="000000"/>
          <w:sz w:val="28"/>
          <w:szCs w:val="28"/>
        </w:rPr>
        <w:t>1. THEORETICAL BASIS OF THE STUDY</w:t>
      </w:r>
    </w:p>
    <w:p w14:paraId="5C52C4E0" w14:textId="77777777" w:rsidR="00F74BAF" w:rsidRDefault="00F74BAF">
      <w:pPr>
        <w:pBdr>
          <w:top w:val="nil"/>
          <w:left w:val="nil"/>
          <w:bottom w:val="nil"/>
          <w:right w:val="nil"/>
          <w:between w:val="nil"/>
        </w:pBdr>
        <w:jc w:val="both"/>
        <w:rPr>
          <w:b/>
          <w:bCs/>
          <w:color w:val="000000"/>
          <w:sz w:val="28"/>
          <w:szCs w:val="28"/>
        </w:rPr>
      </w:pPr>
    </w:p>
    <w:p w14:paraId="6E57BD7C" w14:textId="77777777" w:rsidR="00F74BAF" w:rsidRDefault="00737583">
      <w:pPr>
        <w:pBdr>
          <w:top w:val="nil"/>
          <w:left w:val="nil"/>
          <w:bottom w:val="nil"/>
          <w:right w:val="nil"/>
          <w:between w:val="nil"/>
        </w:pBdr>
        <w:ind w:firstLine="709"/>
        <w:jc w:val="both"/>
        <w:rPr>
          <w:b/>
          <w:bCs/>
          <w:sz w:val="28"/>
          <w:szCs w:val="28"/>
        </w:rPr>
      </w:pPr>
      <w:r>
        <w:rPr>
          <w:b/>
          <w:bCs/>
          <w:color w:val="000000"/>
          <w:sz w:val="28"/>
          <w:szCs w:val="28"/>
        </w:rPr>
        <w:t xml:space="preserve">1.1 </w:t>
      </w:r>
      <w:r>
        <w:rPr>
          <w:b/>
          <w:bCs/>
          <w:sz w:val="28"/>
          <w:szCs w:val="28"/>
        </w:rPr>
        <w:t>Historical and Cultural Context of The Golden Horde Era</w:t>
      </w:r>
    </w:p>
    <w:p w14:paraId="370D1E68" w14:textId="77777777" w:rsidR="00F74BAF" w:rsidRDefault="00737583">
      <w:pPr>
        <w:ind w:firstLine="709"/>
        <w:jc w:val="both"/>
        <w:rPr>
          <w:sz w:val="28"/>
          <w:szCs w:val="28"/>
        </w:rPr>
      </w:pPr>
      <w:r>
        <w:rPr>
          <w:sz w:val="28"/>
          <w:szCs w:val="28"/>
        </w:rPr>
        <w:t xml:space="preserve">The Golden Horde, known in various sources as Jochid Ulus or Ulug Ulus, emerged in the thirteenth century as one </w:t>
      </w:r>
      <w:r>
        <w:rPr>
          <w:sz w:val="28"/>
          <w:szCs w:val="28"/>
        </w:rPr>
        <w:t>of the principal successor states of the Mongol Empire. Formed after the western campaigns of Jochi Khan and Batu Khan, the Golden Horde encompassed a vast and culturally diverse region stretching from the lower Volga and the Pontic steppe to Crimea, the U</w:t>
      </w:r>
      <w:r>
        <w:rPr>
          <w:sz w:val="28"/>
          <w:szCs w:val="28"/>
        </w:rPr>
        <w:t>ral basin, and parts of Central Asia. By the fourteenth century, this territory became a dynamic center where nomadic, sedentary, Islamic, and steppe traditions intersected, shaping an environment highly significant for the development of Kypchak linguisti</w:t>
      </w:r>
      <w:r>
        <w:rPr>
          <w:sz w:val="28"/>
          <w:szCs w:val="28"/>
        </w:rPr>
        <w:t>c and cultural identity. Understanding the historical and cultural background of this period is crucial for interpreting the lexical-semantic structure of the Kypchak monuments analyzed in this dissertation.</w:t>
      </w:r>
    </w:p>
    <w:p w14:paraId="0D54460A" w14:textId="77777777" w:rsidR="00F74BAF" w:rsidRDefault="00737583">
      <w:pPr>
        <w:ind w:firstLine="709"/>
        <w:jc w:val="both"/>
        <w:rPr>
          <w:sz w:val="28"/>
          <w:szCs w:val="28"/>
        </w:rPr>
      </w:pPr>
      <w:r>
        <w:rPr>
          <w:sz w:val="28"/>
          <w:szCs w:val="28"/>
        </w:rPr>
        <w:t>Politically, the Golden Horde preserved core ele</w:t>
      </w:r>
      <w:r>
        <w:rPr>
          <w:sz w:val="28"/>
          <w:szCs w:val="28"/>
        </w:rPr>
        <w:t>ments of Mongol administrative practices, especially the decimal military organization, hierarchical ranking system, and the institution of yarlïqs as instruments of governance and diplomacy. At the same time, the khanate underwent a gradual process of Tur</w:t>
      </w:r>
      <w:r>
        <w:rPr>
          <w:sz w:val="28"/>
          <w:szCs w:val="28"/>
        </w:rPr>
        <w:t>kicization. The ruling elite spoke Mongolian at the outset, but the majority population consisted of Kypchak-speaking Turkic tribes who became dominant in everyday communication, administration, and cultural production. By the fourteenth century, the Kypch</w:t>
      </w:r>
      <w:r>
        <w:rPr>
          <w:sz w:val="28"/>
          <w:szCs w:val="28"/>
        </w:rPr>
        <w:t xml:space="preserve">ak language had become the primary language of the region. </w:t>
      </w:r>
    </w:p>
    <w:p w14:paraId="750FA155" w14:textId="77777777" w:rsidR="00F74BAF" w:rsidRDefault="00737583">
      <w:pPr>
        <w:ind w:firstLine="709"/>
        <w:jc w:val="both"/>
        <w:rPr>
          <w:sz w:val="28"/>
          <w:szCs w:val="28"/>
        </w:rPr>
      </w:pPr>
      <w:r>
        <w:rPr>
          <w:sz w:val="28"/>
          <w:szCs w:val="28"/>
        </w:rPr>
        <w:t>The social structure of the Golden Horde was characterized by a complex hierarchy that integrated nomadic culture relations with emerging state institutions. Tribal affiliations remained essential, especially in defining kinship networks, military obligati</w:t>
      </w:r>
      <w:r>
        <w:rPr>
          <w:sz w:val="28"/>
          <w:szCs w:val="28"/>
        </w:rPr>
        <w:t>ons, and social status. Economically, the Golden Horde controlled critical segments of the Silk Road and the north–south trade routes connecting Rus, the Islamic world, and Central Asia. As a result, merchant activity, taxation, and administrative oversigh</w:t>
      </w:r>
      <w:r>
        <w:rPr>
          <w:sz w:val="28"/>
          <w:szCs w:val="28"/>
        </w:rPr>
        <w:t>t formed central components of governance. Culturally, the Golden Horde was a meeting point of multiple religious and literary traditions. While early rulers adhered to traditional Mongol beliefs, the conversion of Özbek Khan to Islam in the early fourteen</w:t>
      </w:r>
      <w:r>
        <w:rPr>
          <w:sz w:val="28"/>
          <w:szCs w:val="28"/>
        </w:rPr>
        <w:t xml:space="preserve">th century significantly reshaped the cultural landscape. </w:t>
      </w:r>
    </w:p>
    <w:p w14:paraId="73AD2074" w14:textId="77777777" w:rsidR="00F74BAF" w:rsidRDefault="00737583">
      <w:pPr>
        <w:ind w:firstLine="709"/>
        <w:jc w:val="both"/>
        <w:rPr>
          <w:sz w:val="28"/>
          <w:szCs w:val="28"/>
        </w:rPr>
      </w:pPr>
      <w:r>
        <w:rPr>
          <w:sz w:val="28"/>
          <w:szCs w:val="28"/>
        </w:rPr>
        <w:t>The textual production of the period further illuminates this cultural synthesis. The Kypchak monuments under study belong to different genres—diplomatic correspondence, narrative chronicles, and h</w:t>
      </w:r>
      <w:r>
        <w:rPr>
          <w:sz w:val="28"/>
          <w:szCs w:val="28"/>
        </w:rPr>
        <w:t>istorical compilations—yet they all encode the social realities of the Golden Horde through their vocabulary. The Daftar-i Jingiz-nama and Ütämiş Ḥājjī’s Čingiz-nama, for instance, preserves a mixture of oral tradition, historical memory, genealogical trad</w:t>
      </w:r>
      <w:r>
        <w:rPr>
          <w:sz w:val="28"/>
          <w:szCs w:val="28"/>
        </w:rPr>
        <w:t>ition, and administrative culture, demonstrating how collective identity was articulated through language. Therefore, these Middle Kipchak monuments are offering valuable insight into how the Kypchak-speaking people view the world, the society, and the cul</w:t>
      </w:r>
      <w:r>
        <w:rPr>
          <w:sz w:val="28"/>
          <w:szCs w:val="28"/>
        </w:rPr>
        <w:t>ture.</w:t>
      </w:r>
    </w:p>
    <w:p w14:paraId="53C2F59B" w14:textId="77777777" w:rsidR="00F74BAF" w:rsidRDefault="00737583">
      <w:pPr>
        <w:pBdr>
          <w:top w:val="nil"/>
          <w:left w:val="nil"/>
          <w:bottom w:val="nil"/>
          <w:right w:val="nil"/>
          <w:between w:val="nil"/>
        </w:pBdr>
        <w:jc w:val="both"/>
        <w:rPr>
          <w:sz w:val="28"/>
          <w:szCs w:val="28"/>
        </w:rPr>
      </w:pPr>
      <w:r>
        <w:rPr>
          <w:sz w:val="28"/>
          <w:szCs w:val="28"/>
        </w:rPr>
        <w:tab/>
        <w:t>The cultural environment of the Golden Horde also promoted multilingual interaction. Arabic and Persian served as languages of Islamic scholarship and diplomacy; Armenian and Latin appeared in contexts related to local communities and Western mercha</w:t>
      </w:r>
      <w:r>
        <w:rPr>
          <w:sz w:val="28"/>
          <w:szCs w:val="28"/>
        </w:rPr>
        <w:t xml:space="preserve">nts. Nevertheless, the Kypchak language dominated as the practical medium of communication. This multilingualism contributed to semantic borrowing, polysemy, and the coexistence of variant forms—all of which can be observed in the lexemes analyzed in this </w:t>
      </w:r>
      <w:r>
        <w:rPr>
          <w:sz w:val="28"/>
          <w:szCs w:val="28"/>
        </w:rPr>
        <w:t>dissertation. The semantic fields of kinship, profession, military hierarchy, and socio-political organization all bear traces of this layered linguistic environment, making semantic field analysis an effective method for reconstructing the intellectual an</w:t>
      </w:r>
      <w:r>
        <w:rPr>
          <w:sz w:val="28"/>
          <w:szCs w:val="28"/>
        </w:rPr>
        <w:t>d cultural world of the period.</w:t>
      </w:r>
    </w:p>
    <w:p w14:paraId="795511B3" w14:textId="77777777" w:rsidR="00F74BAF" w:rsidRDefault="00737583">
      <w:pPr>
        <w:ind w:firstLine="720"/>
        <w:jc w:val="both"/>
        <w:rPr>
          <w:sz w:val="28"/>
          <w:szCs w:val="28"/>
        </w:rPr>
      </w:pPr>
      <w:r>
        <w:rPr>
          <w:sz w:val="28"/>
          <w:szCs w:val="28"/>
        </w:rPr>
        <w:t>Finally, the broader historical trajectory of the Golden Horde—from its rise under Batu Khan to its fragmentation in the fifteenth and sixteenth centuries—had a direct influence on linguistic development. As successor states</w:t>
      </w:r>
      <w:r>
        <w:rPr>
          <w:sz w:val="28"/>
          <w:szCs w:val="28"/>
        </w:rPr>
        <w:t xml:space="preserve"> emerged, including the Crimean Khanate, Kazan Khanate, and Astrakhan Khanate, the Kypchak lexicon diversified and underwent semantic shifts that can be observed in later monuments. The persistence of certain lexemes, the narrowing or broadening of others,</w:t>
      </w:r>
      <w:r>
        <w:rPr>
          <w:sz w:val="28"/>
          <w:szCs w:val="28"/>
        </w:rPr>
        <w:t xml:space="preserve"> and the introduction of new semantic elements reflect the political and cultural changes experienced by Kypchak-speaking communities. These diachronic developments are essential for understanding the semantic continuity between medieval Kypchak and modern</w:t>
      </w:r>
      <w:r>
        <w:rPr>
          <w:sz w:val="28"/>
          <w:szCs w:val="28"/>
        </w:rPr>
        <w:t xml:space="preserve"> Turkic languages.</w:t>
      </w:r>
    </w:p>
    <w:p w14:paraId="4F94EA6D" w14:textId="77777777" w:rsidR="00F74BAF" w:rsidRDefault="00737583">
      <w:pPr>
        <w:ind w:firstLine="720"/>
        <w:jc w:val="both"/>
        <w:rPr>
          <w:sz w:val="28"/>
          <w:szCs w:val="28"/>
        </w:rPr>
      </w:pPr>
      <w:r>
        <w:rPr>
          <w:sz w:val="28"/>
          <w:szCs w:val="28"/>
        </w:rPr>
        <w:t>In sum, the Golden Horde era constituted a formative period in the history of the Kypchak world, marked by political integration, cultural synthesis, and linguistic transformation. The historical and cultural context of this period provi</w:t>
      </w:r>
      <w:r>
        <w:rPr>
          <w:sz w:val="28"/>
          <w:szCs w:val="28"/>
        </w:rPr>
        <w:t>des the essential backdrop for interpreting the semantic structures present in the Kypchak monuments analyzed in this dissertation. It is within this environment that social relations, administrative practices, and cultural values were encoded into languag</w:t>
      </w:r>
      <w:r>
        <w:rPr>
          <w:sz w:val="28"/>
          <w:szCs w:val="28"/>
        </w:rPr>
        <w:t>e—offering a rich field for semantic analysis and contributing to our broader understanding of Turkic historical linguistics.</w:t>
      </w:r>
    </w:p>
    <w:p w14:paraId="1EF22EBE" w14:textId="77777777" w:rsidR="00F74BAF" w:rsidRDefault="00F74BAF">
      <w:pPr>
        <w:pBdr>
          <w:top w:val="nil"/>
          <w:left w:val="nil"/>
          <w:bottom w:val="nil"/>
          <w:right w:val="nil"/>
          <w:between w:val="nil"/>
        </w:pBdr>
        <w:ind w:firstLine="709"/>
        <w:jc w:val="both"/>
        <w:rPr>
          <w:b/>
          <w:bCs/>
          <w:color w:val="000000"/>
          <w:sz w:val="28"/>
          <w:szCs w:val="28"/>
        </w:rPr>
      </w:pPr>
    </w:p>
    <w:p w14:paraId="4BF7EC04" w14:textId="77777777" w:rsidR="00F74BAF" w:rsidRDefault="00737583">
      <w:pPr>
        <w:pBdr>
          <w:top w:val="nil"/>
          <w:left w:val="nil"/>
          <w:bottom w:val="nil"/>
          <w:right w:val="nil"/>
          <w:between w:val="nil"/>
        </w:pBdr>
        <w:ind w:firstLine="709"/>
        <w:jc w:val="both"/>
        <w:rPr>
          <w:b/>
          <w:bCs/>
          <w:sz w:val="28"/>
          <w:szCs w:val="28"/>
        </w:rPr>
      </w:pPr>
      <w:r>
        <w:rPr>
          <w:b/>
          <w:bCs/>
          <w:color w:val="000000"/>
          <w:sz w:val="28"/>
          <w:szCs w:val="28"/>
        </w:rPr>
        <w:t xml:space="preserve">1.2 </w:t>
      </w:r>
      <w:r>
        <w:rPr>
          <w:b/>
          <w:bCs/>
          <w:sz w:val="28"/>
          <w:szCs w:val="28"/>
        </w:rPr>
        <w:t>Theory of Lexical Semantics</w:t>
      </w:r>
    </w:p>
    <w:p w14:paraId="012629C0" w14:textId="77777777" w:rsidR="00F74BAF" w:rsidRDefault="00F74BAF">
      <w:pPr>
        <w:pBdr>
          <w:top w:val="nil"/>
          <w:left w:val="nil"/>
          <w:bottom w:val="nil"/>
          <w:right w:val="nil"/>
          <w:between w:val="nil"/>
        </w:pBdr>
        <w:ind w:firstLine="709"/>
        <w:jc w:val="both"/>
        <w:rPr>
          <w:b/>
          <w:bCs/>
          <w:sz w:val="28"/>
          <w:szCs w:val="28"/>
        </w:rPr>
      </w:pPr>
    </w:p>
    <w:p w14:paraId="301C6B7D" w14:textId="77777777" w:rsidR="00F74BAF" w:rsidRDefault="00737583">
      <w:pPr>
        <w:ind w:firstLine="709"/>
        <w:jc w:val="both"/>
        <w:rPr>
          <w:sz w:val="28"/>
          <w:szCs w:val="28"/>
        </w:rPr>
      </w:pPr>
      <w:r>
        <w:rPr>
          <w:sz w:val="28"/>
          <w:szCs w:val="28"/>
        </w:rPr>
        <w:t xml:space="preserve">The history of human reflection and inquiry into the problem of meaning has been long-standing. </w:t>
      </w:r>
      <w:r>
        <w:rPr>
          <w:sz w:val="28"/>
          <w:szCs w:val="28"/>
        </w:rPr>
        <w:t>However, semantics has only existed for just over a hundred years as an independent discipline. Over the past century, although semantic studies has made impressive progress in many areas, its theoretical framework as an independent discipline is still und</w:t>
      </w:r>
      <w:r>
        <w:rPr>
          <w:sz w:val="28"/>
          <w:szCs w:val="28"/>
        </w:rPr>
        <w:t>er construction. Many theoretical problems are awaited for further study and remain to be deeply explored, one of which is ' what is the object of semantics?' </w:t>
      </w:r>
    </w:p>
    <w:p w14:paraId="4D5471DA" w14:textId="77777777" w:rsidR="00F74BAF" w:rsidRDefault="00F74BAF">
      <w:pPr>
        <w:ind w:firstLine="709"/>
        <w:jc w:val="both"/>
        <w:rPr>
          <w:b/>
          <w:bCs/>
          <w:sz w:val="28"/>
          <w:szCs w:val="28"/>
        </w:rPr>
      </w:pPr>
    </w:p>
    <w:p w14:paraId="3BA09C90" w14:textId="77777777" w:rsidR="00F74BAF" w:rsidRDefault="00737583">
      <w:pPr>
        <w:ind w:firstLine="709"/>
        <w:jc w:val="both"/>
        <w:rPr>
          <w:sz w:val="28"/>
          <w:szCs w:val="28"/>
        </w:rPr>
      </w:pPr>
      <w:r>
        <w:rPr>
          <w:sz w:val="28"/>
          <w:szCs w:val="28"/>
        </w:rPr>
        <w:t>Linguistic meaning and Non-linguistic Meaning</w:t>
      </w:r>
    </w:p>
    <w:p w14:paraId="1BA312BC" w14:textId="77777777" w:rsidR="00F74BAF" w:rsidRDefault="00737583">
      <w:pPr>
        <w:ind w:firstLine="709"/>
        <w:jc w:val="both"/>
        <w:rPr>
          <w:sz w:val="28"/>
          <w:szCs w:val="28"/>
        </w:rPr>
      </w:pPr>
      <w:r>
        <w:rPr>
          <w:sz w:val="28"/>
          <w:szCs w:val="28"/>
        </w:rPr>
        <w:t>In essence, semantics is the study of meaning. Se</w:t>
      </w:r>
      <w:r>
        <w:rPr>
          <w:sz w:val="28"/>
          <w:szCs w:val="28"/>
        </w:rPr>
        <w:t>mantics was initially defined as 'the science of meaning.' Nevertheless, scholars have various views on interpreting the meaning of 'meaning.' C.K. Ogden and I.A. Richards, published in 1923, had the very title, «the meaning of meaning», and presented a li</w:t>
      </w:r>
      <w:r>
        <w:rPr>
          <w:sz w:val="28"/>
          <w:szCs w:val="28"/>
        </w:rPr>
        <w:t>st of twenty-three definitions, taking different non-theoretical or theoretical starting points. There are some of the meanings he presented as below [1, p. 172]:</w:t>
      </w:r>
    </w:p>
    <w:p w14:paraId="5A1288A4" w14:textId="77777777" w:rsidR="00F74BAF" w:rsidRDefault="00737583">
      <w:pPr>
        <w:ind w:firstLine="709"/>
        <w:jc w:val="both"/>
        <w:rPr>
          <w:sz w:val="28"/>
          <w:szCs w:val="28"/>
        </w:rPr>
      </w:pPr>
      <w:r>
        <w:rPr>
          <w:sz w:val="28"/>
          <w:szCs w:val="28"/>
        </w:rPr>
        <w:t xml:space="preserve">«an intrinsic property </w:t>
      </w:r>
    </w:p>
    <w:p w14:paraId="1410ED53" w14:textId="77777777" w:rsidR="00F74BAF" w:rsidRDefault="00737583">
      <w:pPr>
        <w:ind w:firstLine="709"/>
        <w:jc w:val="both"/>
        <w:rPr>
          <w:sz w:val="28"/>
          <w:szCs w:val="28"/>
        </w:rPr>
      </w:pPr>
      <w:r>
        <w:rPr>
          <w:sz w:val="28"/>
          <w:szCs w:val="28"/>
        </w:rPr>
        <w:t>the other words annexed to a word in the dictionary</w:t>
      </w:r>
    </w:p>
    <w:p w14:paraId="686D3249" w14:textId="77777777" w:rsidR="00F74BAF" w:rsidRDefault="00737583">
      <w:pPr>
        <w:ind w:firstLine="709"/>
        <w:jc w:val="both"/>
        <w:rPr>
          <w:sz w:val="28"/>
          <w:szCs w:val="28"/>
        </w:rPr>
      </w:pPr>
      <w:r>
        <w:rPr>
          <w:sz w:val="28"/>
          <w:szCs w:val="28"/>
        </w:rPr>
        <w:t xml:space="preserve">the connotation </w:t>
      </w:r>
      <w:r>
        <w:rPr>
          <w:sz w:val="28"/>
          <w:szCs w:val="28"/>
        </w:rPr>
        <w:t>of a word</w:t>
      </w:r>
    </w:p>
    <w:p w14:paraId="402F1002" w14:textId="77777777" w:rsidR="00F74BAF" w:rsidRDefault="00737583">
      <w:pPr>
        <w:ind w:firstLine="709"/>
        <w:jc w:val="both"/>
        <w:rPr>
          <w:sz w:val="28"/>
          <w:szCs w:val="28"/>
        </w:rPr>
      </w:pPr>
      <w:r>
        <w:rPr>
          <w:sz w:val="28"/>
          <w:szCs w:val="28"/>
        </w:rPr>
        <w:t>the place of anything in a system</w:t>
      </w:r>
    </w:p>
    <w:p w14:paraId="6885EF5F" w14:textId="77777777" w:rsidR="00F74BAF" w:rsidRDefault="00737583">
      <w:pPr>
        <w:ind w:firstLine="709"/>
        <w:jc w:val="both"/>
        <w:rPr>
          <w:sz w:val="28"/>
          <w:szCs w:val="28"/>
        </w:rPr>
      </w:pPr>
      <w:r>
        <w:rPr>
          <w:sz w:val="28"/>
          <w:szCs w:val="28"/>
        </w:rPr>
        <w:t>the practical consequences of a thing in our future experience</w:t>
      </w:r>
    </w:p>
    <w:p w14:paraId="753CF6C3" w14:textId="77777777" w:rsidR="00F74BAF" w:rsidRDefault="00737583">
      <w:pPr>
        <w:ind w:firstLine="709"/>
        <w:jc w:val="both"/>
        <w:rPr>
          <w:sz w:val="28"/>
          <w:szCs w:val="28"/>
        </w:rPr>
      </w:pPr>
      <w:r>
        <w:rPr>
          <w:sz w:val="28"/>
          <w:szCs w:val="28"/>
        </w:rPr>
        <w:t>that to which the user of a symbol actually refers</w:t>
      </w:r>
    </w:p>
    <w:p w14:paraId="3ED37C38" w14:textId="77777777" w:rsidR="00F74BAF" w:rsidRDefault="00737583">
      <w:pPr>
        <w:ind w:firstLine="709"/>
        <w:jc w:val="both"/>
        <w:rPr>
          <w:sz w:val="28"/>
          <w:szCs w:val="28"/>
        </w:rPr>
      </w:pPr>
      <w:r>
        <w:rPr>
          <w:sz w:val="28"/>
          <w:szCs w:val="28"/>
        </w:rPr>
        <w:t>that to which the user of a symbol ought to be referring</w:t>
      </w:r>
    </w:p>
    <w:p w14:paraId="5251410A" w14:textId="77777777" w:rsidR="00F74BAF" w:rsidRDefault="00737583">
      <w:pPr>
        <w:ind w:firstLine="709"/>
        <w:jc w:val="both"/>
        <w:rPr>
          <w:sz w:val="28"/>
          <w:szCs w:val="28"/>
        </w:rPr>
      </w:pPr>
      <w:r>
        <w:rPr>
          <w:sz w:val="28"/>
          <w:szCs w:val="28"/>
        </w:rPr>
        <w:t>that to which the user of a symbol believ</w:t>
      </w:r>
      <w:r>
        <w:rPr>
          <w:sz w:val="28"/>
          <w:szCs w:val="28"/>
        </w:rPr>
        <w:t>es himself to be referring</w:t>
      </w:r>
    </w:p>
    <w:p w14:paraId="12390E87" w14:textId="77777777" w:rsidR="00F74BAF" w:rsidRDefault="00737583">
      <w:pPr>
        <w:ind w:firstLine="709"/>
        <w:jc w:val="both"/>
        <w:rPr>
          <w:sz w:val="28"/>
          <w:szCs w:val="28"/>
        </w:rPr>
      </w:pPr>
      <w:r>
        <w:rPr>
          <w:sz w:val="28"/>
          <w:szCs w:val="28"/>
        </w:rPr>
        <w:t>that to which the interpreter of a symbol:</w:t>
      </w:r>
    </w:p>
    <w:p w14:paraId="31EF081E" w14:textId="77777777" w:rsidR="00F74BAF" w:rsidRDefault="00737583">
      <w:pPr>
        <w:ind w:firstLine="851"/>
        <w:jc w:val="both"/>
        <w:rPr>
          <w:sz w:val="28"/>
          <w:szCs w:val="28"/>
        </w:rPr>
      </w:pPr>
      <w:r>
        <w:rPr>
          <w:sz w:val="28"/>
          <w:szCs w:val="28"/>
        </w:rPr>
        <w:t>a) refers;</w:t>
      </w:r>
    </w:p>
    <w:p w14:paraId="3A172DC8" w14:textId="77777777" w:rsidR="00F74BAF" w:rsidRDefault="00737583">
      <w:pPr>
        <w:ind w:firstLine="851"/>
        <w:jc w:val="both"/>
        <w:rPr>
          <w:sz w:val="28"/>
          <w:szCs w:val="28"/>
        </w:rPr>
      </w:pPr>
      <w:r>
        <w:rPr>
          <w:sz w:val="28"/>
          <w:szCs w:val="28"/>
        </w:rPr>
        <w:t>b) believes himself to be referring;</w:t>
      </w:r>
    </w:p>
    <w:p w14:paraId="2644250E" w14:textId="77777777" w:rsidR="00F74BAF" w:rsidRDefault="00737583">
      <w:pPr>
        <w:ind w:firstLine="851"/>
        <w:jc w:val="both"/>
        <w:rPr>
          <w:sz w:val="28"/>
          <w:szCs w:val="28"/>
        </w:rPr>
      </w:pPr>
      <w:r>
        <w:rPr>
          <w:sz w:val="28"/>
          <w:szCs w:val="28"/>
        </w:rPr>
        <w:t>c) believes the user to be referring……».</w:t>
      </w:r>
    </w:p>
    <w:p w14:paraId="1F4E43EF" w14:textId="77777777" w:rsidR="00F74BAF" w:rsidRDefault="00737583">
      <w:pPr>
        <w:ind w:firstLine="709"/>
        <w:jc w:val="both"/>
        <w:rPr>
          <w:sz w:val="28"/>
          <w:szCs w:val="28"/>
        </w:rPr>
      </w:pPr>
      <w:r>
        <w:rPr>
          <w:sz w:val="28"/>
          <w:szCs w:val="28"/>
        </w:rPr>
        <w:t>The definitions above are primarily outside of the linguistic sense. In presenting this list, Ogd</w:t>
      </w:r>
      <w:r>
        <w:rPr>
          <w:sz w:val="28"/>
          <w:szCs w:val="28"/>
        </w:rPr>
        <w:t>en and Richards tried to show how confusing and misunderstanding the meaning of 'meaning' is [2, p. 1].</w:t>
      </w:r>
    </w:p>
    <w:p w14:paraId="1890E3FF" w14:textId="77777777" w:rsidR="00F74BAF" w:rsidRDefault="00737583">
      <w:pPr>
        <w:ind w:firstLine="709"/>
        <w:jc w:val="both"/>
        <w:rPr>
          <w:sz w:val="28"/>
          <w:szCs w:val="28"/>
        </w:rPr>
      </w:pPr>
      <w:r>
        <w:rPr>
          <w:sz w:val="28"/>
          <w:szCs w:val="28"/>
        </w:rPr>
        <w:t xml:space="preserve">The concept of 'meaning' is extremely broad, encompassing everything we perceive through our senses, say, sight, hearing, smell, temperature, taste, or </w:t>
      </w:r>
      <w:r>
        <w:rPr>
          <w:sz w:val="28"/>
          <w:szCs w:val="28"/>
        </w:rPr>
        <w:t>touch. In other words, all signs carry meaning, and countless objects and phenomena in the world, including animal behaviors (as well as humans) and social phenomena, can be viewed as signs. These signs, such as letters, words, ritual forms, military signa</w:t>
      </w:r>
      <w:r>
        <w:rPr>
          <w:sz w:val="28"/>
          <w:szCs w:val="28"/>
        </w:rPr>
        <w:t xml:space="preserve">ls, and gestures, are all symbolic phenomena, and each one possesses its own meaning. </w:t>
      </w:r>
    </w:p>
    <w:p w14:paraId="09875BA5" w14:textId="77777777" w:rsidR="00F74BAF" w:rsidRDefault="00737583">
      <w:pPr>
        <w:ind w:firstLine="709"/>
        <w:jc w:val="both"/>
        <w:rPr>
          <w:sz w:val="28"/>
          <w:szCs w:val="28"/>
        </w:rPr>
      </w:pPr>
      <w:r>
        <w:rPr>
          <w:sz w:val="28"/>
          <w:szCs w:val="28"/>
        </w:rPr>
        <w:t>However, language stands apart from other signs, not just holding a unique position but a position of utmost significance. It is the most classic and essential sign, and</w:t>
      </w:r>
      <w:r>
        <w:rPr>
          <w:sz w:val="28"/>
          <w:szCs w:val="28"/>
        </w:rPr>
        <w:t xml:space="preserve"> therefore, the meaning of language signs occupies an unparalleled position in symbols. The distinction between verbal and nonverbal meaning is undeniably necessary. Semiotics takes all types of meaning (including verbal and nonverbal) as its primary resea</w:t>
      </w:r>
      <w:r>
        <w:rPr>
          <w:sz w:val="28"/>
          <w:szCs w:val="28"/>
        </w:rPr>
        <w:t xml:space="preserve">rch object, whereas semantics focuses specifically on linguistic meaning. More precisely, semantics should be the study of the meaning of spoken language. </w:t>
      </w:r>
    </w:p>
    <w:p w14:paraId="28D390A6" w14:textId="77777777" w:rsidR="00F74BAF" w:rsidRDefault="00F74BAF">
      <w:pPr>
        <w:ind w:firstLine="709"/>
        <w:jc w:val="both"/>
        <w:rPr>
          <w:sz w:val="28"/>
          <w:szCs w:val="28"/>
        </w:rPr>
      </w:pPr>
    </w:p>
    <w:p w14:paraId="576103A0" w14:textId="77777777" w:rsidR="00F74BAF" w:rsidRDefault="00737583">
      <w:pPr>
        <w:ind w:firstLine="709"/>
        <w:jc w:val="both"/>
        <w:rPr>
          <w:sz w:val="28"/>
          <w:szCs w:val="28"/>
        </w:rPr>
      </w:pPr>
      <w:r>
        <w:rPr>
          <w:sz w:val="28"/>
          <w:szCs w:val="28"/>
        </w:rPr>
        <w:t>Early semantic research in philosophy and linguistics</w:t>
      </w:r>
    </w:p>
    <w:p w14:paraId="3FD4EA5D" w14:textId="77777777" w:rsidR="00F74BAF" w:rsidRDefault="00737583">
      <w:pPr>
        <w:ind w:firstLine="709"/>
        <w:jc w:val="both"/>
        <w:rPr>
          <w:sz w:val="28"/>
          <w:szCs w:val="28"/>
        </w:rPr>
      </w:pPr>
      <w:r>
        <w:rPr>
          <w:sz w:val="28"/>
          <w:szCs w:val="28"/>
        </w:rPr>
        <w:t>The earliest inquiries into language were mad</w:t>
      </w:r>
      <w:r>
        <w:rPr>
          <w:sz w:val="28"/>
          <w:szCs w:val="28"/>
        </w:rPr>
        <w:t>e by philosophers. It can even be said that the development of philosophy, from the past to the present, has been inseparable from the study of language, especially the study of «meaning». In Plato's dialogue «Cratylus», the discussion over whether the ori</w:t>
      </w:r>
      <w:r>
        <w:rPr>
          <w:sz w:val="28"/>
          <w:szCs w:val="28"/>
        </w:rPr>
        <w:t xml:space="preserve">gin of words is based on «nature» or «convention» [3, 11]. Medieval scholastic philosophy, as well as various modern and contemporary Western philosophical schools, have paid close attention to the problems of definition of meaning. </w:t>
      </w:r>
    </w:p>
    <w:p w14:paraId="662FD86F" w14:textId="77777777" w:rsidR="00F74BAF" w:rsidRDefault="00737583">
      <w:pPr>
        <w:ind w:firstLine="709"/>
        <w:jc w:val="both"/>
        <w:rPr>
          <w:sz w:val="28"/>
          <w:szCs w:val="28"/>
        </w:rPr>
      </w:pPr>
      <w:r>
        <w:rPr>
          <w:sz w:val="28"/>
          <w:szCs w:val="28"/>
        </w:rPr>
        <w:t>It is worth noting tha</w:t>
      </w:r>
      <w:r>
        <w:rPr>
          <w:sz w:val="28"/>
          <w:szCs w:val="28"/>
        </w:rPr>
        <w:t>t the shift of exploring semantics took place at the end of the 19th century and the beginning of the twentieth century, which led to an unprecedented new situation in semantic research. In particular, the emergence of the «linguistic turn» in philosophica</w:t>
      </w:r>
      <w:r>
        <w:rPr>
          <w:sz w:val="28"/>
          <w:szCs w:val="28"/>
        </w:rPr>
        <w:t>l research has profoundly influenced the development of semantic research. This shift led to language issues being put at the primary position in philosophy and even reduced all philosophical problems to language issues. It was believed that «Language is t</w:t>
      </w:r>
      <w:r>
        <w:rPr>
          <w:sz w:val="28"/>
          <w:szCs w:val="28"/>
        </w:rPr>
        <w:t>he only research object of philosophy. Logical analysis and conceptual analysis are the most important methods of philosophical research. The task of philosophy is to explain the meaning of scientific language or daily language» [4, p. 191-192]. This trend</w:t>
      </w:r>
      <w:r>
        <w:rPr>
          <w:sz w:val="28"/>
          <w:szCs w:val="28"/>
        </w:rPr>
        <w:t xml:space="preserve"> aroused a vital interest in the language's meaning among many philosophers, both social scientists and natural scientists. As a result, the study of semantics developed to a new era. Philosophical semantics, logic semantics, and other disciplines appeared</w:t>
      </w:r>
      <w:r>
        <w:rPr>
          <w:sz w:val="28"/>
          <w:szCs w:val="28"/>
        </w:rPr>
        <w:t xml:space="preserve"> one after another.</w:t>
      </w:r>
    </w:p>
    <w:p w14:paraId="548F14AE" w14:textId="77777777" w:rsidR="00F74BAF" w:rsidRDefault="00737583">
      <w:pPr>
        <w:ind w:firstLine="709"/>
        <w:jc w:val="both"/>
        <w:rPr>
          <w:sz w:val="28"/>
          <w:szCs w:val="28"/>
        </w:rPr>
      </w:pPr>
      <w:r>
        <w:rPr>
          <w:sz w:val="28"/>
          <w:szCs w:val="28"/>
        </w:rPr>
        <w:t>Meanwhile, semantics as a branch of linguistics also gradually took shape at the end of the nineteenth century ‒ subsequently, semantic research with apparent linguistic features developed quite rapidly. As a result, a clear distinction</w:t>
      </w:r>
      <w:r>
        <w:rPr>
          <w:sz w:val="28"/>
          <w:szCs w:val="28"/>
        </w:rPr>
        <w:t xml:space="preserve"> has been drawn between the philosophical and linguistic directions in semantic research [5, p. 191-192].</w:t>
      </w:r>
    </w:p>
    <w:p w14:paraId="101948CE" w14:textId="77777777" w:rsidR="00F74BAF" w:rsidRDefault="00F74BAF">
      <w:pPr>
        <w:ind w:firstLine="709"/>
        <w:jc w:val="both"/>
        <w:rPr>
          <w:sz w:val="28"/>
          <w:szCs w:val="28"/>
        </w:rPr>
      </w:pPr>
    </w:p>
    <w:p w14:paraId="350AC866" w14:textId="77777777" w:rsidR="00F74BAF" w:rsidRDefault="00737583">
      <w:pPr>
        <w:ind w:firstLine="709"/>
        <w:jc w:val="both"/>
        <w:rPr>
          <w:sz w:val="28"/>
          <w:szCs w:val="28"/>
        </w:rPr>
      </w:pPr>
      <w:r>
        <w:rPr>
          <w:sz w:val="28"/>
          <w:szCs w:val="28"/>
        </w:rPr>
        <w:t>The origin of the modern semantics</w:t>
      </w:r>
    </w:p>
    <w:p w14:paraId="79B6C86B" w14:textId="77777777" w:rsidR="00F74BAF" w:rsidRDefault="00737583">
      <w:pPr>
        <w:ind w:firstLine="709"/>
        <w:jc w:val="both"/>
        <w:rPr>
          <w:sz w:val="28"/>
          <w:szCs w:val="28"/>
        </w:rPr>
      </w:pPr>
      <w:r>
        <w:rPr>
          <w:sz w:val="28"/>
          <w:szCs w:val="28"/>
        </w:rPr>
        <w:t>The term «semantics» was relatively newly introduced into English and has a short history. The history of its usag</w:t>
      </w:r>
      <w:r>
        <w:rPr>
          <w:sz w:val="28"/>
          <w:szCs w:val="28"/>
        </w:rPr>
        <w:t>e is detailed in Allen Walker Read's article, «An account of the word «semantics»»</w:t>
      </w:r>
      <w:r>
        <w:rPr>
          <w:i/>
          <w:iCs/>
          <w:sz w:val="28"/>
          <w:szCs w:val="28"/>
        </w:rPr>
        <w:t>,</w:t>
      </w:r>
      <w:r>
        <w:rPr>
          <w:sz w:val="28"/>
          <w:szCs w:val="28"/>
        </w:rPr>
        <w:t xml:space="preserve"> in 1948. An early instance of a related term, «semantick», appeared in the seventeenth century, but the concept of 'semantics' did not appear until 1894. It was first used </w:t>
      </w:r>
      <w:r>
        <w:rPr>
          <w:sz w:val="28"/>
          <w:szCs w:val="28"/>
        </w:rPr>
        <w:t>by Michel Bréal, who coined the French equivalent, «sémantique», derived from a Greek word. M. Bréal introduced the term in the context of what is now known as historical semantics, focusing on the evolution of meanings rather than just meanings themselves</w:t>
      </w:r>
      <w:r>
        <w:rPr>
          <w:sz w:val="28"/>
          <w:szCs w:val="28"/>
        </w:rPr>
        <w:t>. In 1894, Harvard professor Charles R. Lanman presented a report named reflected meanings ‒ a point in semantics, in which he officially introduced the term 'semantics' into English [3, р. 1-2].</w:t>
      </w:r>
    </w:p>
    <w:p w14:paraId="7433A921" w14:textId="77777777" w:rsidR="00F74BAF" w:rsidRDefault="00737583">
      <w:pPr>
        <w:ind w:firstLine="709"/>
        <w:jc w:val="both"/>
        <w:rPr>
          <w:sz w:val="28"/>
          <w:szCs w:val="28"/>
        </w:rPr>
      </w:pPr>
      <w:r>
        <w:rPr>
          <w:sz w:val="28"/>
          <w:szCs w:val="28"/>
        </w:rPr>
        <w:t>Bréal further expanded this concept in his 1900 book, «Seman</w:t>
      </w:r>
      <w:r>
        <w:rPr>
          <w:sz w:val="28"/>
          <w:szCs w:val="28"/>
        </w:rPr>
        <w:t>tics: Studies in the Science of Meaning», published in French three years earlier. His work is considered pioneering in considering semantics as a scientific study of meaning, distinct from a purely historical perspective. Despite its significance, the ter</w:t>
      </w:r>
      <w:r>
        <w:rPr>
          <w:sz w:val="28"/>
          <w:szCs w:val="28"/>
        </w:rPr>
        <w:t>m «semantics» did not become popular immediately. A notable later work, «The meaning of meaning», by C.K. Ogden, I.A. Richards, published in 1923, did not use the term 'semantics' in the main text but included it in an influential appendix written by anthr</w:t>
      </w:r>
      <w:r>
        <w:rPr>
          <w:sz w:val="28"/>
          <w:szCs w:val="28"/>
        </w:rPr>
        <w:t>opologist Malinowski [3, р. 1-2]</w:t>
      </w:r>
    </w:p>
    <w:p w14:paraId="7CEC455B"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Modern semantics is commonly considered starting with the French linguist Michel Bréal's work in 1883, «Essai de semantique», in which he used the term</w:t>
      </w:r>
      <w:r>
        <w:rPr>
          <w:i/>
          <w:iCs/>
          <w:color w:val="000000"/>
          <w:sz w:val="28"/>
          <w:szCs w:val="28"/>
        </w:rPr>
        <w:t xml:space="preserve"> </w:t>
      </w:r>
      <w:r>
        <w:rPr>
          <w:color w:val="000000"/>
          <w:sz w:val="28"/>
          <w:szCs w:val="28"/>
        </w:rPr>
        <w:t>«semantique»</w:t>
      </w:r>
      <w:r>
        <w:rPr>
          <w:i/>
          <w:iCs/>
          <w:color w:val="000000"/>
          <w:sz w:val="28"/>
          <w:szCs w:val="28"/>
        </w:rPr>
        <w:t xml:space="preserve"> </w:t>
      </w:r>
      <w:r>
        <w:rPr>
          <w:color w:val="000000"/>
          <w:sz w:val="28"/>
          <w:szCs w:val="28"/>
        </w:rPr>
        <w:t>for the first time. Since then, several schools of thought</w:t>
      </w:r>
      <w:r>
        <w:rPr>
          <w:color w:val="000000"/>
          <w:sz w:val="28"/>
          <w:szCs w:val="28"/>
        </w:rPr>
        <w:t xml:space="preserve"> have emerged in the development of modern semantics. These various schools showcase different methodological means, yet there are certain connections and overlaps between them [</w:t>
      </w:r>
      <w:r>
        <w:rPr>
          <w:sz w:val="28"/>
          <w:szCs w:val="28"/>
        </w:rPr>
        <w:t>6</w:t>
      </w:r>
      <w:r>
        <w:rPr>
          <w:color w:val="000000"/>
          <w:sz w:val="28"/>
          <w:szCs w:val="28"/>
        </w:rPr>
        <w:t>, p. 10-25].</w:t>
      </w:r>
    </w:p>
    <w:p w14:paraId="0F2DA355" w14:textId="77777777" w:rsidR="00F74BAF" w:rsidRDefault="00F74BAF">
      <w:pPr>
        <w:pBdr>
          <w:top w:val="nil"/>
          <w:left w:val="nil"/>
          <w:bottom w:val="nil"/>
          <w:right w:val="nil"/>
          <w:between w:val="nil"/>
        </w:pBdr>
        <w:ind w:firstLine="709"/>
        <w:jc w:val="both"/>
        <w:rPr>
          <w:b/>
          <w:bCs/>
          <w:color w:val="000000"/>
          <w:sz w:val="28"/>
          <w:szCs w:val="28"/>
        </w:rPr>
      </w:pPr>
    </w:p>
    <w:p w14:paraId="64DF9D50"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Historical-philological semantics</w:t>
      </w:r>
    </w:p>
    <w:p w14:paraId="71A2F10F"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Historical-philological seman</w:t>
      </w:r>
      <w:r>
        <w:rPr>
          <w:color w:val="0E101A"/>
          <w:sz w:val="28"/>
          <w:szCs w:val="28"/>
        </w:rPr>
        <w:t>tics (also called historical semantics) was the mainstream of the first stage of modern semantics. Since the focus of our subsequent discussion is on the changes and development of structural semantics after its emergence and rarely involves historical lin</w:t>
      </w:r>
      <w:r>
        <w:rPr>
          <w:color w:val="0E101A"/>
          <w:sz w:val="28"/>
          <w:szCs w:val="28"/>
        </w:rPr>
        <w:t>guistic semantics, I will briefly introduce the characteristics of this school of thought.</w:t>
      </w:r>
    </w:p>
    <w:p w14:paraId="1306B4FA"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xml:space="preserve">Two factors of the academic background attributes to the emergence of historical-philological semantics: </w:t>
      </w:r>
    </w:p>
    <w:p w14:paraId="03599D49"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First, it is influenced by the trend of psychological thoug</w:t>
      </w:r>
      <w:r>
        <w:rPr>
          <w:color w:val="0E101A"/>
          <w:sz w:val="28"/>
          <w:szCs w:val="28"/>
        </w:rPr>
        <w:t>ht. One of the major shortcomings of linguistic research prior to the nineteenth-century was confusing logic with language. It was not until the mid-nineteenth century, with H. Steinthal and M. Lazarus founding the Journal, «Zeitschrift für Völkerpsycholog</w:t>
      </w:r>
      <w:r>
        <w:rPr>
          <w:color w:val="0E101A"/>
          <w:sz w:val="28"/>
          <w:szCs w:val="28"/>
        </w:rPr>
        <w:t>ie und Sprachwissenschaft» («Journal of Ethnic Psychology and Linguistics») in 1860, at the same time with the publication of some of their works on linguistic psychology, that linguistics began to free itself from the frame of logic. Gradually, 'semantics</w:t>
      </w:r>
      <w:r>
        <w:rPr>
          <w:color w:val="0E101A"/>
          <w:sz w:val="28"/>
          <w:szCs w:val="28"/>
        </w:rPr>
        <w:t xml:space="preserve"> was brought to the forefront, as it became the linguistic discipline best suited for examining the influence of psychological processes on linguistic material' [7, p. 186]. Wilhelm Wundt, often regarded as the father of experimental psychology for establi</w:t>
      </w:r>
      <w:r>
        <w:rPr>
          <w:color w:val="0E101A"/>
          <w:sz w:val="28"/>
          <w:szCs w:val="28"/>
        </w:rPr>
        <w:t xml:space="preserve">shing the first psychology laboratory, also developed «Völkerpsychologie» </w:t>
      </w:r>
      <w:r>
        <w:rPr>
          <w:i/>
          <w:iCs/>
          <w:color w:val="0E101A"/>
          <w:sz w:val="28"/>
          <w:szCs w:val="28"/>
        </w:rPr>
        <w:t xml:space="preserve">‒ </w:t>
      </w:r>
      <w:r>
        <w:rPr>
          <w:color w:val="0E101A"/>
          <w:sz w:val="28"/>
          <w:szCs w:val="28"/>
        </w:rPr>
        <w:t xml:space="preserve">a field that focuses on symbolic expressions like language, myths, and customs. His significant work, «Völkerpsychologie» (1900), dedicated a whole volume to language and semantic </w:t>
      </w:r>
      <w:r>
        <w:rPr>
          <w:color w:val="0E101A"/>
          <w:sz w:val="28"/>
          <w:szCs w:val="28"/>
        </w:rPr>
        <w:t xml:space="preserve">change. However, despite some influence on the classification of semantic changes, Wundt's «Völkerpsychologie» had limited success in linguistics. The main issue was that it did not adequately explain how collective beliefs and values emerge or change, as </w:t>
      </w:r>
      <w:r>
        <w:rPr>
          <w:color w:val="0E101A"/>
          <w:sz w:val="28"/>
          <w:szCs w:val="28"/>
        </w:rPr>
        <w:t>postulating a collective mind alone is insufficient without assuming it has an independent existence [6, p. 18] Nevertheless, the shift in academic trends was one of the essential factors that prompted psychologists and linguists to pay attention to semant</w:t>
      </w:r>
      <w:r>
        <w:rPr>
          <w:color w:val="0E101A"/>
          <w:sz w:val="28"/>
          <w:szCs w:val="28"/>
        </w:rPr>
        <w:t xml:space="preserve">ic research and eventually pushed semantic research to embark on an independent path. </w:t>
      </w:r>
    </w:p>
    <w:p w14:paraId="1FF3B16B"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The second factor was the emergence of a new trend in the development of historical-comparative linguistics. The historical comparative method established in the early n</w:t>
      </w:r>
      <w:r>
        <w:rPr>
          <w:color w:val="0E101A"/>
          <w:sz w:val="28"/>
          <w:szCs w:val="28"/>
        </w:rPr>
        <w:t>ineteenth century was mainly based on studying phonetic and grammatical forms [8, p. 10]. Thus, as Bréal points out, historical-comparative linguists have long adopted a dismissive attitude toward semantics. In their view, the meanings of words and grammat</w:t>
      </w:r>
      <w:r>
        <w:rPr>
          <w:color w:val="0E101A"/>
          <w:sz w:val="28"/>
          <w:szCs w:val="28"/>
        </w:rPr>
        <w:t>ical forms are related to the human spirit, and it is impossible to draw any strict laws from them as phonetics [6, p. 4] However, by the end of the nineteenth century, a new tendency gradually emerged in the works of some scholars, which was an attempt to</w:t>
      </w:r>
      <w:r>
        <w:rPr>
          <w:color w:val="0E101A"/>
          <w:sz w:val="28"/>
          <w:szCs w:val="28"/>
        </w:rPr>
        <w:t xml:space="preserve"> introduce the methods and principles of studying phonetic laws into the field of semantic research. H. Paul is the leading theorist of the Neogrammarians, and his views are formulated in his influential introduction to historical linguistics, «Prinzipien </w:t>
      </w:r>
      <w:r>
        <w:rPr>
          <w:color w:val="0E101A"/>
          <w:sz w:val="28"/>
          <w:szCs w:val="28"/>
        </w:rPr>
        <w:t>der Sprachgeschichte», first published in 1880. Paul develops a pragmatic, usage-based theory of semantic change: the foundation of semantic change is modulating usual meanings into occasional meanings. The mechanisms of semantic change that semanticians a</w:t>
      </w:r>
      <w:r>
        <w:rPr>
          <w:color w:val="0E101A"/>
          <w:sz w:val="28"/>
          <w:szCs w:val="28"/>
        </w:rPr>
        <w:t>re so eager to classify are essentially the exact mechanisms that allow speakers to modulate those usual meanings [6, p. 16]. This marked a clear turning point and directly contributed to the birth of historical-philological semantics. Therefore, while Bré</w:t>
      </w:r>
      <w:r>
        <w:rPr>
          <w:color w:val="0E101A"/>
          <w:sz w:val="28"/>
          <w:szCs w:val="28"/>
        </w:rPr>
        <w:t>al's work is widely considered as the starting point of modern semantics, discussions of historical-philological semantics typically begin with Hermann Paul.</w:t>
      </w:r>
    </w:p>
    <w:p w14:paraId="62EA1CAD"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Overall, the main works of historical philological semantics include Paul's «Prinzipien der Sprach</w:t>
      </w:r>
      <w:r>
        <w:rPr>
          <w:color w:val="000000"/>
          <w:sz w:val="28"/>
          <w:szCs w:val="28"/>
        </w:rPr>
        <w:t>geschichte», Darmesteter's «La vie des mots» (1887, first published in English 1886), Bréal's «Essai de Sémantique», Wundt's «Die sperache»</w:t>
      </w:r>
      <w:r>
        <w:rPr>
          <w:i/>
          <w:iCs/>
          <w:color w:val="000000"/>
          <w:sz w:val="28"/>
          <w:szCs w:val="28"/>
        </w:rPr>
        <w:t xml:space="preserve"> </w:t>
      </w:r>
      <w:r>
        <w:rPr>
          <w:color w:val="000000"/>
          <w:sz w:val="28"/>
          <w:szCs w:val="28"/>
        </w:rPr>
        <w:t xml:space="preserve">(1900), G. Stern's «Meaning and сhange of meaning» (1931), etc. Although these works differ in many ways, most have </w:t>
      </w:r>
      <w:r>
        <w:rPr>
          <w:color w:val="000000"/>
          <w:sz w:val="28"/>
          <w:szCs w:val="28"/>
        </w:rPr>
        <w:t>the following two essential characteristics.</w:t>
      </w:r>
    </w:p>
    <w:p w14:paraId="4A5B0BA3"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 first is the diachronic orientation of semantics. In this regard, Bréal's work is very representative. On the first page of «Essai de Sémantique»</w:t>
      </w:r>
      <w:r>
        <w:rPr>
          <w:i/>
          <w:iCs/>
          <w:color w:val="000000"/>
          <w:sz w:val="28"/>
          <w:szCs w:val="28"/>
        </w:rPr>
        <w:t>,</w:t>
      </w:r>
      <w:r>
        <w:rPr>
          <w:color w:val="000000"/>
          <w:sz w:val="28"/>
          <w:szCs w:val="28"/>
        </w:rPr>
        <w:t xml:space="preserve"> he notes: «Only history can give to the words the degree of </w:t>
      </w:r>
      <w:r>
        <w:rPr>
          <w:color w:val="000000"/>
          <w:sz w:val="28"/>
          <w:szCs w:val="28"/>
        </w:rPr>
        <w:t>precision that we require to understand them adequately» [</w:t>
      </w:r>
      <w:r>
        <w:rPr>
          <w:sz w:val="28"/>
          <w:szCs w:val="28"/>
        </w:rPr>
        <w:t>6</w:t>
      </w:r>
      <w:r>
        <w:rPr>
          <w:color w:val="000000"/>
          <w:sz w:val="28"/>
          <w:szCs w:val="28"/>
        </w:rPr>
        <w:t xml:space="preserve">, p. 11]. Bréal's view was representative because according to the ideas of the Neogrammarian, which was dominant at the end of the nineteenth century, only historical research could be considered </w:t>
      </w:r>
      <w:r>
        <w:rPr>
          <w:color w:val="000000"/>
          <w:sz w:val="28"/>
          <w:szCs w:val="28"/>
        </w:rPr>
        <w:t>in scientific nature. Modern semantics places particular emphasis on its historical tendency. It should be said that this is not only a reflection of the spirit of the times but also a need for the development of historical-comparative linguistics. Underst</w:t>
      </w:r>
      <w:r>
        <w:rPr>
          <w:color w:val="000000"/>
          <w:sz w:val="28"/>
          <w:szCs w:val="28"/>
        </w:rPr>
        <w:t>anding the various mechanisms of semantic change is a prerequisite for historical research on various formal aspects of language. For example, structure construction using the historical-comparative method requires comparing relevant aspects of the semanti</w:t>
      </w:r>
      <w:r>
        <w:rPr>
          <w:color w:val="000000"/>
          <w:sz w:val="28"/>
          <w:szCs w:val="28"/>
        </w:rPr>
        <w:t>cs of multiple languages. For this purpose, a comprehensive understanding of the regular mechanism of semantic change is required [</w:t>
      </w:r>
      <w:r>
        <w:rPr>
          <w:sz w:val="28"/>
          <w:szCs w:val="28"/>
        </w:rPr>
        <w:t>6</w:t>
      </w:r>
      <w:r>
        <w:rPr>
          <w:color w:val="000000"/>
          <w:sz w:val="28"/>
          <w:szCs w:val="28"/>
        </w:rPr>
        <w:t>, p. 96]. It is worth noting that although Bréal emphasized the historical characteristics of semantics, as we have mentione</w:t>
      </w:r>
      <w:r>
        <w:rPr>
          <w:color w:val="000000"/>
          <w:sz w:val="28"/>
          <w:szCs w:val="28"/>
        </w:rPr>
        <w:t>d before, he did not believe that the research object of semantics was only the study of word changes. His scope of exploration was much more comprehensive than that of his contemporaries [</w:t>
      </w:r>
      <w:r>
        <w:rPr>
          <w:sz w:val="28"/>
          <w:szCs w:val="28"/>
        </w:rPr>
        <w:t>8</w:t>
      </w:r>
      <w:r>
        <w:rPr>
          <w:color w:val="000000"/>
          <w:sz w:val="28"/>
          <w:szCs w:val="28"/>
        </w:rPr>
        <w:t>, р. 10].</w:t>
      </w:r>
    </w:p>
    <w:p w14:paraId="21DA508C"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 second is the tendency of psychology, which was firs</w:t>
      </w:r>
      <w:r>
        <w:rPr>
          <w:color w:val="000000"/>
          <w:sz w:val="28"/>
          <w:szCs w:val="28"/>
        </w:rPr>
        <w:t>t reflected in the research on classifying semantic changes by historical linguistic semanticists. Paul was the first person to propose a taxonomy of semantic changes. He divided semantic changes into three categories [</w:t>
      </w:r>
      <w:r>
        <w:rPr>
          <w:sz w:val="28"/>
          <w:szCs w:val="28"/>
        </w:rPr>
        <w:t>9, p. 204</w:t>
      </w:r>
      <w:r>
        <w:rPr>
          <w:color w:val="000000"/>
          <w:sz w:val="28"/>
          <w:szCs w:val="28"/>
        </w:rPr>
        <w:t>]:</w:t>
      </w:r>
    </w:p>
    <w:p w14:paraId="4F50C6A7" w14:textId="77777777" w:rsidR="00F74BAF" w:rsidRDefault="00737583">
      <w:pPr>
        <w:numPr>
          <w:ilvl w:val="0"/>
          <w:numId w:val="2"/>
        </w:numPr>
        <w:pBdr>
          <w:top w:val="nil"/>
          <w:left w:val="nil"/>
          <w:bottom w:val="nil"/>
          <w:right w:val="nil"/>
          <w:between w:val="nil"/>
        </w:pBdr>
        <w:jc w:val="both"/>
        <w:rPr>
          <w:color w:val="000000"/>
          <w:sz w:val="28"/>
          <w:szCs w:val="28"/>
        </w:rPr>
      </w:pPr>
      <w:r>
        <w:rPr>
          <w:color w:val="000000"/>
          <w:sz w:val="28"/>
          <w:szCs w:val="28"/>
        </w:rPr>
        <w:t>Narrowing.</w:t>
      </w:r>
    </w:p>
    <w:p w14:paraId="68E1CC8F" w14:textId="77777777" w:rsidR="00F74BAF" w:rsidRDefault="00737583">
      <w:pPr>
        <w:numPr>
          <w:ilvl w:val="0"/>
          <w:numId w:val="2"/>
        </w:numPr>
        <w:pBdr>
          <w:top w:val="nil"/>
          <w:left w:val="nil"/>
          <w:bottom w:val="nil"/>
          <w:right w:val="nil"/>
          <w:between w:val="nil"/>
        </w:pBdr>
        <w:jc w:val="both"/>
        <w:rPr>
          <w:color w:val="000000"/>
          <w:sz w:val="28"/>
          <w:szCs w:val="28"/>
        </w:rPr>
      </w:pPr>
      <w:r>
        <w:rPr>
          <w:color w:val="000000"/>
          <w:sz w:val="28"/>
          <w:szCs w:val="28"/>
        </w:rPr>
        <w:t>Widening.</w:t>
      </w:r>
    </w:p>
    <w:p w14:paraId="39716643" w14:textId="77777777" w:rsidR="00F74BAF" w:rsidRDefault="00737583">
      <w:pPr>
        <w:numPr>
          <w:ilvl w:val="0"/>
          <w:numId w:val="2"/>
        </w:numPr>
        <w:pBdr>
          <w:top w:val="nil"/>
          <w:left w:val="nil"/>
          <w:bottom w:val="nil"/>
          <w:right w:val="nil"/>
          <w:between w:val="nil"/>
        </w:pBdr>
        <w:jc w:val="both"/>
        <w:rPr>
          <w:color w:val="000000"/>
          <w:sz w:val="28"/>
          <w:szCs w:val="28"/>
        </w:rPr>
      </w:pPr>
      <w:r>
        <w:rPr>
          <w:color w:val="000000"/>
          <w:sz w:val="28"/>
          <w:szCs w:val="28"/>
        </w:rPr>
        <w:t xml:space="preserve"> Tra</w:t>
      </w:r>
      <w:r>
        <w:rPr>
          <w:color w:val="000000"/>
          <w:sz w:val="28"/>
          <w:szCs w:val="28"/>
        </w:rPr>
        <w:t>nsfer.</w:t>
      </w:r>
    </w:p>
    <w:p w14:paraId="4E6CE9C9"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Wundt's «Völkerpsychologie» aimed to address this gap by emphasizing the collective and cultural dimensions of psychological processes, including language. He thought that semantic change could not be fully understood by focusing solely on individua</w:t>
      </w:r>
      <w:r>
        <w:rPr>
          <w:color w:val="000000"/>
          <w:sz w:val="28"/>
          <w:szCs w:val="28"/>
        </w:rPr>
        <w:t>l psychology, as Paul did. Instead, Wundt argued for the importance of symbolic expressions such as language, myths, and customs in shaping collective consciousness and semantic shifts.</w:t>
      </w:r>
    </w:p>
    <w:p w14:paraId="4351AEDE"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However, Wundt's approach also faced criticism for not providing a cle</w:t>
      </w:r>
      <w:r>
        <w:rPr>
          <w:color w:val="000000"/>
          <w:sz w:val="28"/>
          <w:szCs w:val="28"/>
        </w:rPr>
        <w:t>ar mechanism for how shared beliefs and values emerge and change within a collective. While he acknowledged the influence of Paul's individualistic perspective, Wundt sought to expand the analysis to include broader cultural and social factors, thus highli</w:t>
      </w:r>
      <w:r>
        <w:rPr>
          <w:color w:val="000000"/>
          <w:sz w:val="28"/>
          <w:szCs w:val="28"/>
        </w:rPr>
        <w:t>ghting the need for a more holistic understanding of semantic change.</w:t>
      </w:r>
    </w:p>
    <w:p w14:paraId="2FAE553D" w14:textId="77777777" w:rsidR="00F74BAF" w:rsidRDefault="00F74BAF">
      <w:pPr>
        <w:pBdr>
          <w:top w:val="nil"/>
          <w:left w:val="nil"/>
          <w:bottom w:val="nil"/>
          <w:right w:val="nil"/>
          <w:between w:val="nil"/>
        </w:pBdr>
        <w:ind w:firstLine="709"/>
        <w:jc w:val="both"/>
        <w:rPr>
          <w:b/>
          <w:bCs/>
          <w:color w:val="000000"/>
          <w:sz w:val="28"/>
          <w:szCs w:val="28"/>
        </w:rPr>
      </w:pPr>
    </w:p>
    <w:p w14:paraId="4E08CFCA"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Structural semantics</w:t>
      </w:r>
    </w:p>
    <w:p w14:paraId="43184EED"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 formation of structural semantics is the result of F. de Saussure's thought on structural linguistics [</w:t>
      </w:r>
      <w:r>
        <w:rPr>
          <w:sz w:val="28"/>
          <w:szCs w:val="28"/>
        </w:rPr>
        <w:t>6</w:t>
      </w:r>
      <w:r>
        <w:rPr>
          <w:color w:val="000000"/>
          <w:sz w:val="28"/>
          <w:szCs w:val="28"/>
        </w:rPr>
        <w:t>, р. 48] Structuralists believe that semantics should be studied from the perspective of diachrony and non-psychological autonomy. According to Saussure's theory on the delimitation between synchronic and diachronic, structuralists abandoned the emphasis o</w:t>
      </w:r>
      <w:r>
        <w:rPr>
          <w:color w:val="000000"/>
          <w:sz w:val="28"/>
          <w:szCs w:val="28"/>
        </w:rPr>
        <w:t>n diachrony by historical-philological linguists and have established the principle on the priority of diachronic analysis. Meanwhile, structuralists insist that there is an autonomous semantic structure. «Autonomy» in semantics refers to the idea that the</w:t>
      </w:r>
      <w:r>
        <w:rPr>
          <w:color w:val="000000"/>
          <w:sz w:val="28"/>
          <w:szCs w:val="28"/>
        </w:rPr>
        <w:t xml:space="preserve"> meaning of a linguistic unit - such as a word, phrase, or sentence - can be understood independently of its context. In other words, the meaning of a linguistic unit is self-contained and can be analyzed without reference to the surrounding words or sente</w:t>
      </w:r>
      <w:r>
        <w:rPr>
          <w:color w:val="000000"/>
          <w:sz w:val="28"/>
          <w:szCs w:val="28"/>
        </w:rPr>
        <w:t>nces.</w:t>
      </w:r>
    </w:p>
    <w:p w14:paraId="1698AC1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This concept is important because it highlights the inherent meaning carried by linguistic units themselves. It suggests that words and phrases have semantic properties that contribute to their meaning, regardless of where they appear in a sentence o</w:t>
      </w:r>
      <w:r>
        <w:rPr>
          <w:color w:val="000000"/>
          <w:sz w:val="28"/>
          <w:szCs w:val="28"/>
        </w:rPr>
        <w:t xml:space="preserve">r discourse. Therefore, structuralists consider semantics not psychological in nature but a linguistic phenomenon and only studying linguistic </w:t>
      </w:r>
      <w:r>
        <w:rPr>
          <w:sz w:val="28"/>
          <w:szCs w:val="28"/>
        </w:rPr>
        <w:t>phenomena</w:t>
      </w:r>
      <w:r>
        <w:rPr>
          <w:color w:val="000000"/>
          <w:sz w:val="28"/>
          <w:szCs w:val="28"/>
        </w:rPr>
        <w:t xml:space="preserve"> can reveal the structure of semantics. This concept is totally opposite to the view of historical-philo</w:t>
      </w:r>
      <w:r>
        <w:rPr>
          <w:color w:val="000000"/>
          <w:sz w:val="28"/>
          <w:szCs w:val="28"/>
        </w:rPr>
        <w:t>logical semantics. Those psychologically</w:t>
      </w:r>
      <w:r>
        <w:rPr>
          <w:sz w:val="28"/>
          <w:szCs w:val="28"/>
        </w:rPr>
        <w:t xml:space="preserve"> </w:t>
      </w:r>
      <w:r>
        <w:rPr>
          <w:color w:val="000000"/>
          <w:sz w:val="28"/>
          <w:szCs w:val="28"/>
        </w:rPr>
        <w:t>oriented historical-philological linguists proclaim that language is not an autonomous discipline but an existence in human beings' cognitive ability. That is, in the view of the structuralists, mistakenly confusing</w:t>
      </w:r>
      <w:r>
        <w:rPr>
          <w:color w:val="000000"/>
          <w:sz w:val="28"/>
          <w:szCs w:val="28"/>
        </w:rPr>
        <w:t xml:space="preserve"> the semantic structure, a linguistic phenomenon, with cognition, which is a psychological phenomenon [</w:t>
      </w:r>
      <w:r>
        <w:rPr>
          <w:sz w:val="28"/>
          <w:szCs w:val="28"/>
        </w:rPr>
        <w:t>6</w:t>
      </w:r>
      <w:r>
        <w:rPr>
          <w:color w:val="000000"/>
          <w:sz w:val="28"/>
          <w:szCs w:val="28"/>
        </w:rPr>
        <w:t>, р. 49-50]. </w:t>
      </w:r>
    </w:p>
    <w:p w14:paraId="7A0DFD6F" w14:textId="77777777" w:rsidR="00F74BAF" w:rsidRDefault="00F74BAF">
      <w:pPr>
        <w:pBdr>
          <w:top w:val="nil"/>
          <w:left w:val="nil"/>
          <w:bottom w:val="nil"/>
          <w:right w:val="nil"/>
          <w:between w:val="nil"/>
        </w:pBdr>
        <w:ind w:firstLine="709"/>
        <w:jc w:val="both"/>
        <w:rPr>
          <w:b/>
          <w:bCs/>
          <w:color w:val="000000"/>
          <w:sz w:val="28"/>
          <w:szCs w:val="28"/>
        </w:rPr>
      </w:pPr>
    </w:p>
    <w:p w14:paraId="05C095CC"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Linguists' Views </w:t>
      </w:r>
      <w:r>
        <w:rPr>
          <w:sz w:val="28"/>
          <w:szCs w:val="28"/>
        </w:rPr>
        <w:t>o</w:t>
      </w:r>
      <w:r>
        <w:rPr>
          <w:color w:val="000000"/>
          <w:sz w:val="28"/>
          <w:szCs w:val="28"/>
        </w:rPr>
        <w:t>n Semantics</w:t>
      </w:r>
    </w:p>
    <w:p w14:paraId="483F59FF" w14:textId="77777777" w:rsidR="00F74BAF" w:rsidRDefault="00F74BAF">
      <w:pPr>
        <w:pBdr>
          <w:top w:val="nil"/>
          <w:left w:val="nil"/>
          <w:bottom w:val="nil"/>
          <w:right w:val="nil"/>
          <w:between w:val="nil"/>
        </w:pBdr>
        <w:ind w:firstLine="709"/>
        <w:jc w:val="both"/>
        <w:rPr>
          <w:color w:val="000000"/>
          <w:sz w:val="16"/>
          <w:szCs w:val="16"/>
        </w:rPr>
      </w:pPr>
    </w:p>
    <w:p w14:paraId="416C6FE4"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Saussure's view</w:t>
      </w:r>
    </w:p>
    <w:p w14:paraId="780D5903"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xml:space="preserve">Although Ferdinand de Saussure did not devote a separate chapter to semantics in his </w:t>
      </w:r>
      <w:r>
        <w:rPr>
          <w:color w:val="0E101A"/>
          <w:sz w:val="28"/>
          <w:szCs w:val="28"/>
        </w:rPr>
        <w:t>«Course in General Linguistics», his discussions on the nature of linguistic signs and the concept of linguistic value clearly touch upon semantic issues, revealing his views on meaning. To explain Saussure's perspective on semantics, we must begin with hi</w:t>
      </w:r>
      <w:r>
        <w:rPr>
          <w:color w:val="0E101A"/>
          <w:sz w:val="28"/>
          <w:szCs w:val="28"/>
        </w:rPr>
        <w:t>s theory of linguistic signs. Saussure points out that «the linguistic unit is a double entity, one formed by associating two terms». He clarifies that the two terms linguistic signs connect are not «a thing» and «a name» but «a concept» and «a sound-image</w:t>
      </w:r>
      <w:r>
        <w:rPr>
          <w:color w:val="0E101A"/>
          <w:sz w:val="28"/>
          <w:szCs w:val="28"/>
        </w:rPr>
        <w:t>». This understanding leads us to recognize the linguistic sign as a two-sided psychological entity [10, р. 66] As illustrated in the diagram below:</w:t>
      </w:r>
    </w:p>
    <w:p w14:paraId="331CCA77"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The two elements of a sign are not just united, but their combination is of profound significance. The arro</w:t>
      </w:r>
      <w:r>
        <w:rPr>
          <w:color w:val="0E101A"/>
          <w:sz w:val="28"/>
          <w:szCs w:val="28"/>
        </w:rPr>
        <w:t xml:space="preserve">ws in the diagram symbolize these crucial relationships. For instance, the fusion of hydrogen (H) and oxygen (O) results in water (H2O), but the elements lose their water-like properties when separated. Similarly, the two elements of a linguistic sign are </w:t>
      </w:r>
      <w:r>
        <w:rPr>
          <w:color w:val="0E101A"/>
          <w:sz w:val="28"/>
          <w:szCs w:val="28"/>
        </w:rPr>
        <w:t xml:space="preserve">intricately combined in a manner that is equally fascinating. </w:t>
      </w:r>
    </w:p>
    <w:p w14:paraId="7290132A"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Saussure proclaims that «whether we try to find the meaning of the Latin word arbor or the word that Latin uses to designate the concept «tree», it is clear that only the associations sanctione</w:t>
      </w:r>
      <w:r>
        <w:rPr>
          <w:color w:val="0E101A"/>
          <w:sz w:val="28"/>
          <w:szCs w:val="28"/>
        </w:rPr>
        <w:t>d by that language appear to us to conform to reality, and we disregard whatever others might be imagined» [10, р. 66-67]. That means only when the sound image of the arbor is closely unified with the concept of «tree» can it be a sign. The two of them rep</w:t>
      </w:r>
      <w:r>
        <w:rPr>
          <w:color w:val="0E101A"/>
          <w:sz w:val="28"/>
          <w:szCs w:val="28"/>
        </w:rPr>
        <w:t>resent the two elements of the sign. The reason why «arbor» can be one of the two elements of this sign is that it is used to convey the concept of «tree», and likewise, «tree» as a concept has to be realized by the sound image, arbor. Then Saussure invent</w:t>
      </w:r>
      <w:r>
        <w:rPr>
          <w:color w:val="0E101A"/>
          <w:sz w:val="28"/>
          <w:szCs w:val="28"/>
        </w:rPr>
        <w:t>ed the terms «signified» and «signifier» to respectively substitute «concept» and «sound-image», and «sign» is the unification of «signified» and «signifier». As the drawing below (figures 1. 2).</w:t>
      </w:r>
    </w:p>
    <w:p w14:paraId="1C3C2D98" w14:textId="77777777" w:rsidR="00F74BAF" w:rsidRDefault="00F74BAF">
      <w:pPr>
        <w:pBdr>
          <w:top w:val="nil"/>
          <w:left w:val="nil"/>
          <w:bottom w:val="nil"/>
          <w:right w:val="nil"/>
          <w:between w:val="nil"/>
        </w:pBdr>
        <w:spacing w:line="288" w:lineRule="auto"/>
        <w:ind w:firstLine="567"/>
        <w:jc w:val="both"/>
        <w:rPr>
          <w:color w:val="000000"/>
          <w:sz w:val="28"/>
          <w:szCs w:val="28"/>
        </w:rPr>
      </w:pPr>
    </w:p>
    <w:p w14:paraId="4BADD318" w14:textId="77777777" w:rsidR="00F74BAF" w:rsidRDefault="00737583">
      <w:pPr>
        <w:pBdr>
          <w:top w:val="nil"/>
          <w:left w:val="nil"/>
          <w:bottom w:val="nil"/>
          <w:right w:val="nil"/>
          <w:between w:val="nil"/>
        </w:pBdr>
        <w:rPr>
          <w:color w:val="000000"/>
          <w:sz w:val="16"/>
          <w:szCs w:val="16"/>
        </w:rPr>
      </w:pPr>
      <w:r>
        <w:rPr>
          <w:noProof/>
          <w:lang w:val="ru-RU" w:eastAsia="ru-RU"/>
        </w:rPr>
        <w:drawing>
          <wp:anchor distT="0" distB="0" distL="114300" distR="114300" simplePos="0" relativeHeight="251658240" behindDoc="0" locked="0" layoutInCell="1" hidden="0" allowOverlap="1" wp14:anchorId="72F3D3EE" wp14:editId="0F1634F8">
            <wp:simplePos x="0" y="0"/>
            <wp:positionH relativeFrom="column">
              <wp:posOffset>822325</wp:posOffset>
            </wp:positionH>
            <wp:positionV relativeFrom="paragraph">
              <wp:posOffset>139065</wp:posOffset>
            </wp:positionV>
            <wp:extent cx="4469765" cy="1867535"/>
            <wp:effectExtent l="0" t="0" r="0" b="0"/>
            <wp:wrapTopAndBottom distT="0" distB="0"/>
            <wp:docPr id="1073741894" name="image6.png" descr="Image"/>
            <wp:cNvGraphicFramePr/>
            <a:graphic xmlns:a="http://schemas.openxmlformats.org/drawingml/2006/main">
              <a:graphicData uri="http://schemas.openxmlformats.org/drawingml/2006/picture">
                <pic:pic xmlns:pic="http://schemas.openxmlformats.org/drawingml/2006/picture">
                  <pic:nvPicPr>
                    <pic:cNvPr id="0" name="image6.png" descr="Image"/>
                    <pic:cNvPicPr preferRelativeResize="0"/>
                  </pic:nvPicPr>
                  <pic:blipFill>
                    <a:blip r:embed="rId8"/>
                    <a:srcRect t="922" b="922"/>
                    <a:stretch>
                      <a:fillRect/>
                    </a:stretch>
                  </pic:blipFill>
                  <pic:spPr>
                    <a:xfrm>
                      <a:off x="0" y="0"/>
                      <a:ext cx="4469765" cy="1867535"/>
                    </a:xfrm>
                    <a:prstGeom prst="rect">
                      <a:avLst/>
                    </a:prstGeom>
                    <a:ln/>
                  </pic:spPr>
                </pic:pic>
              </a:graphicData>
            </a:graphic>
          </wp:anchor>
        </w:drawing>
      </w:r>
    </w:p>
    <w:p w14:paraId="6688265E" w14:textId="77777777" w:rsidR="00F74BAF" w:rsidRDefault="00F74BAF">
      <w:pPr>
        <w:pBdr>
          <w:top w:val="nil"/>
          <w:left w:val="nil"/>
          <w:bottom w:val="nil"/>
          <w:right w:val="nil"/>
          <w:between w:val="nil"/>
        </w:pBdr>
        <w:jc w:val="center"/>
        <w:rPr>
          <w:sz w:val="28"/>
          <w:szCs w:val="28"/>
        </w:rPr>
      </w:pPr>
    </w:p>
    <w:p w14:paraId="1034DE82" w14:textId="77777777" w:rsidR="00F74BAF" w:rsidRDefault="00737583">
      <w:pPr>
        <w:pBdr>
          <w:top w:val="nil"/>
          <w:left w:val="nil"/>
          <w:bottom w:val="nil"/>
          <w:right w:val="nil"/>
          <w:between w:val="nil"/>
        </w:pBdr>
        <w:jc w:val="center"/>
        <w:rPr>
          <w:rFonts w:ascii="Helvetica Neue Light" w:eastAsia="Helvetica Neue Light" w:hAnsi="Helvetica Neue Light" w:cs="Helvetica Neue Light"/>
          <w:i/>
          <w:iCs/>
          <w:color w:val="000000"/>
        </w:rPr>
      </w:pPr>
      <w:r>
        <w:rPr>
          <w:color w:val="000000"/>
          <w:sz w:val="28"/>
          <w:szCs w:val="28"/>
        </w:rPr>
        <w:t xml:space="preserve">Figure 1. Concept - Sound Image Relationship: </w:t>
      </w:r>
      <w:r>
        <w:rPr>
          <w:sz w:val="28"/>
          <w:szCs w:val="28"/>
          <w:highlight w:val="white"/>
        </w:rPr>
        <w:t xml:space="preserve"> </w:t>
      </w:r>
      <w:r>
        <w:rPr>
          <w:i/>
          <w:iCs/>
          <w:sz w:val="28"/>
          <w:szCs w:val="28"/>
          <w:highlight w:val="white"/>
        </w:rPr>
        <w:t xml:space="preserve">Saussure </w:t>
      </w:r>
      <w:r>
        <w:rPr>
          <w:i/>
          <w:iCs/>
          <w:sz w:val="28"/>
          <w:szCs w:val="28"/>
          <w:highlight w:val="white"/>
        </w:rPr>
        <w:t>F. Course in general linguistics. – NY.: Philosophical Library, 1959.</w:t>
      </w:r>
      <w:r>
        <w:rPr>
          <w:i/>
          <w:iCs/>
          <w:sz w:val="28"/>
          <w:szCs w:val="28"/>
        </w:rPr>
        <w:t xml:space="preserve"> Р.</w:t>
      </w:r>
      <w:r>
        <w:rPr>
          <w:i/>
          <w:iCs/>
          <w:color w:val="000000"/>
          <w:sz w:val="28"/>
          <w:szCs w:val="28"/>
        </w:rPr>
        <w:t xml:space="preserve"> 66</w:t>
      </w:r>
    </w:p>
    <w:p w14:paraId="5748EC74" w14:textId="77777777" w:rsidR="00F74BAF" w:rsidRDefault="00F74BAF">
      <w:pPr>
        <w:pBdr>
          <w:top w:val="nil"/>
          <w:left w:val="nil"/>
          <w:bottom w:val="nil"/>
          <w:right w:val="nil"/>
          <w:between w:val="nil"/>
        </w:pBdr>
        <w:ind w:firstLine="709"/>
        <w:jc w:val="both"/>
        <w:rPr>
          <w:color w:val="000000"/>
          <w:sz w:val="28"/>
          <w:szCs w:val="28"/>
        </w:rPr>
      </w:pPr>
    </w:p>
    <w:p w14:paraId="23A40611" w14:textId="77777777" w:rsidR="00F74BAF" w:rsidRDefault="00F74BAF">
      <w:pPr>
        <w:pBdr>
          <w:top w:val="nil"/>
          <w:left w:val="nil"/>
          <w:bottom w:val="nil"/>
          <w:right w:val="nil"/>
          <w:between w:val="nil"/>
        </w:pBdr>
        <w:ind w:firstLine="709"/>
        <w:jc w:val="both"/>
        <w:rPr>
          <w:color w:val="000000"/>
          <w:sz w:val="28"/>
          <w:szCs w:val="28"/>
        </w:rPr>
      </w:pPr>
    </w:p>
    <w:p w14:paraId="6689918A" w14:textId="77777777" w:rsidR="00F74BAF" w:rsidRDefault="00737583">
      <w:pPr>
        <w:pBdr>
          <w:top w:val="nil"/>
          <w:left w:val="nil"/>
          <w:bottom w:val="nil"/>
          <w:right w:val="nil"/>
          <w:between w:val="nil"/>
        </w:pBdr>
        <w:ind w:firstLine="709"/>
        <w:jc w:val="both"/>
        <w:rPr>
          <w:color w:val="000000"/>
          <w:sz w:val="16"/>
          <w:szCs w:val="16"/>
        </w:rPr>
      </w:pPr>
      <w:r>
        <w:rPr>
          <w:noProof/>
          <w:lang w:val="ru-RU" w:eastAsia="ru-RU"/>
        </w:rPr>
        <w:drawing>
          <wp:anchor distT="0" distB="0" distL="114300" distR="114300" simplePos="0" relativeHeight="251659264" behindDoc="0" locked="0" layoutInCell="1" hidden="0" allowOverlap="1" wp14:anchorId="61FAC9F6" wp14:editId="6D22C139">
            <wp:simplePos x="0" y="0"/>
            <wp:positionH relativeFrom="column">
              <wp:posOffset>557530</wp:posOffset>
            </wp:positionH>
            <wp:positionV relativeFrom="paragraph">
              <wp:posOffset>90805</wp:posOffset>
            </wp:positionV>
            <wp:extent cx="4905375" cy="2400935"/>
            <wp:effectExtent l="0" t="0" r="0" b="0"/>
            <wp:wrapTopAndBottom distT="0" distB="0"/>
            <wp:docPr id="1073741895" name="image2.png" descr="Image"/>
            <wp:cNvGraphicFramePr/>
            <a:graphic xmlns:a="http://schemas.openxmlformats.org/drawingml/2006/main">
              <a:graphicData uri="http://schemas.openxmlformats.org/drawingml/2006/picture">
                <pic:pic xmlns:pic="http://schemas.openxmlformats.org/drawingml/2006/picture">
                  <pic:nvPicPr>
                    <pic:cNvPr id="0" name="image2.png" descr="Image"/>
                    <pic:cNvPicPr preferRelativeResize="0"/>
                  </pic:nvPicPr>
                  <pic:blipFill>
                    <a:blip r:embed="rId9"/>
                    <a:srcRect l="4912" t="12608" r="13181" b="12607"/>
                    <a:stretch>
                      <a:fillRect/>
                    </a:stretch>
                  </pic:blipFill>
                  <pic:spPr>
                    <a:xfrm>
                      <a:off x="0" y="0"/>
                      <a:ext cx="4905375" cy="2400935"/>
                    </a:xfrm>
                    <a:prstGeom prst="rect">
                      <a:avLst/>
                    </a:prstGeom>
                    <a:ln/>
                  </pic:spPr>
                </pic:pic>
              </a:graphicData>
            </a:graphic>
          </wp:anchor>
        </w:drawing>
      </w:r>
    </w:p>
    <w:p w14:paraId="46A15365" w14:textId="77777777" w:rsidR="00F74BAF" w:rsidRDefault="00F74BAF">
      <w:pPr>
        <w:pBdr>
          <w:top w:val="nil"/>
          <w:left w:val="nil"/>
          <w:bottom w:val="nil"/>
          <w:right w:val="nil"/>
          <w:between w:val="nil"/>
        </w:pBdr>
        <w:ind w:firstLine="709"/>
        <w:jc w:val="both"/>
        <w:rPr>
          <w:color w:val="000000"/>
          <w:sz w:val="16"/>
          <w:szCs w:val="16"/>
        </w:rPr>
      </w:pPr>
    </w:p>
    <w:p w14:paraId="360911A0" w14:textId="77777777" w:rsidR="00F74BAF" w:rsidRDefault="00737583">
      <w:pPr>
        <w:pBdr>
          <w:top w:val="nil"/>
          <w:left w:val="nil"/>
          <w:bottom w:val="nil"/>
          <w:right w:val="nil"/>
          <w:between w:val="nil"/>
        </w:pBdr>
        <w:ind w:firstLine="720"/>
        <w:jc w:val="center"/>
        <w:rPr>
          <w:i/>
          <w:iCs/>
          <w:color w:val="000000"/>
          <w:sz w:val="28"/>
          <w:szCs w:val="28"/>
        </w:rPr>
      </w:pPr>
      <w:r>
        <w:rPr>
          <w:color w:val="000000"/>
          <w:sz w:val="28"/>
          <w:szCs w:val="28"/>
        </w:rPr>
        <w:t xml:space="preserve">Figure 2. Semiotic Triangle: </w:t>
      </w:r>
      <w:r>
        <w:rPr>
          <w:i/>
          <w:iCs/>
          <w:sz w:val="28"/>
          <w:szCs w:val="28"/>
          <w:highlight w:val="white"/>
        </w:rPr>
        <w:t>Ogden C.K., Richards I.A. The Meaning of Meaning. – London: Routledge &amp; Kegan Paul, 1923.</w:t>
      </w:r>
      <w:r>
        <w:rPr>
          <w:i/>
          <w:iCs/>
          <w:sz w:val="28"/>
          <w:szCs w:val="28"/>
        </w:rPr>
        <w:t xml:space="preserve"> Р. 10.</w:t>
      </w:r>
    </w:p>
    <w:p w14:paraId="14F5E8FD" w14:textId="77777777" w:rsidR="00F74BAF" w:rsidRDefault="00F74BAF">
      <w:pPr>
        <w:pBdr>
          <w:top w:val="nil"/>
          <w:left w:val="nil"/>
          <w:bottom w:val="nil"/>
          <w:right w:val="nil"/>
          <w:between w:val="nil"/>
        </w:pBdr>
        <w:ind w:firstLine="709"/>
        <w:jc w:val="both"/>
        <w:rPr>
          <w:color w:val="000000"/>
          <w:sz w:val="28"/>
          <w:szCs w:val="28"/>
        </w:rPr>
      </w:pPr>
    </w:p>
    <w:p w14:paraId="38F7FECA"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Saussure points out that any sign possesses «sig</w:t>
      </w:r>
      <w:r>
        <w:rPr>
          <w:color w:val="000000"/>
          <w:sz w:val="28"/>
          <w:szCs w:val="28"/>
        </w:rPr>
        <w:t>nified» and «signifier», and «meaning» is formed by the unification of the two elements, so-called «signification».  </w:t>
      </w:r>
    </w:p>
    <w:p w14:paraId="1CF64CCC"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 'semiotic triangle' of Ogden and Richards</w:t>
      </w:r>
    </w:p>
    <w:p w14:paraId="2FECF78A"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The English linguists C.K. Ogden, I.A. Richards proposed the theory of the semiotic </w:t>
      </w:r>
      <w:r>
        <w:rPr>
          <w:sz w:val="28"/>
          <w:szCs w:val="28"/>
        </w:rPr>
        <w:t>triangle</w:t>
      </w:r>
      <w:r>
        <w:rPr>
          <w:color w:val="000000"/>
          <w:sz w:val="28"/>
          <w:szCs w:val="28"/>
        </w:rPr>
        <w:t xml:space="preserve"> in their book, «The meaning of meaning». In the book, they claim that the question of meaning is important not only in philosophy, logic, and psychology but also in linguistics [</w:t>
      </w:r>
      <w:r>
        <w:rPr>
          <w:sz w:val="28"/>
          <w:szCs w:val="28"/>
        </w:rPr>
        <w:t>1</w:t>
      </w:r>
      <w:r>
        <w:rPr>
          <w:color w:val="000000"/>
          <w:sz w:val="28"/>
          <w:szCs w:val="28"/>
        </w:rPr>
        <w:t xml:space="preserve">, р. 6-8] They strive to understand «meaning» through the triangle relation </w:t>
      </w:r>
      <w:r>
        <w:rPr>
          <w:color w:val="000000"/>
          <w:sz w:val="28"/>
          <w:szCs w:val="28"/>
        </w:rPr>
        <w:t>between signs and thoughts and referents. They present the drawing as below:</w:t>
      </w:r>
    </w:p>
    <w:p w14:paraId="30E14346"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Through the diagram, C.K. Ogden, I.A. Richards </w:t>
      </w:r>
      <w:r>
        <w:rPr>
          <w:sz w:val="28"/>
          <w:szCs w:val="28"/>
        </w:rPr>
        <w:t>intends</w:t>
      </w:r>
      <w:r>
        <w:rPr>
          <w:color w:val="000000"/>
          <w:sz w:val="28"/>
          <w:szCs w:val="28"/>
        </w:rPr>
        <w:t xml:space="preserve"> to illustrate: the three points of the triangle represent the three elements when we speak or understand a sentence; the lines representing two kinds of relation are the most basic, which both are causal relations. They are mostly direct relations (includ</w:t>
      </w:r>
      <w:r>
        <w:rPr>
          <w:color w:val="000000"/>
          <w:sz w:val="28"/>
          <w:szCs w:val="28"/>
        </w:rPr>
        <w:t>ing some indirect relations). They point out that the bottom line of the diagram is different from the other two lines, which means the dotted line between «symbol» and «referent» is in indirect relation. Ogden and Richards emphasis the relation as below [</w:t>
      </w:r>
      <w:r>
        <w:rPr>
          <w:sz w:val="28"/>
          <w:szCs w:val="28"/>
        </w:rPr>
        <w:t>1</w:t>
      </w:r>
      <w:r>
        <w:rPr>
          <w:color w:val="000000"/>
          <w:sz w:val="28"/>
          <w:szCs w:val="28"/>
        </w:rPr>
        <w:t xml:space="preserve">, р. 11-12]: </w:t>
      </w:r>
    </w:p>
    <w:p w14:paraId="4CDE9B9C"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«Between the symbol and the referent there is no relevant relation other than the indirect one, which consists in its being used by someone to stand for a referent. Symbol and Referent, that is to say, are not connected directly (and when, </w:t>
      </w:r>
      <w:r>
        <w:rPr>
          <w:color w:val="000000"/>
          <w:sz w:val="28"/>
          <w:szCs w:val="28"/>
        </w:rPr>
        <w:t>for grammatical reasons, we imply such a relation, it will merely be an imputed, as opposed to a real, relation) but only indirectly round the two sides of the triangle».</w:t>
      </w:r>
    </w:p>
    <w:p w14:paraId="13049EF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The remarkable semanticist, John Lyons, regards the viewpoint of Ogden and Richards, </w:t>
      </w:r>
      <w:r>
        <w:rPr>
          <w:color w:val="000000"/>
          <w:sz w:val="28"/>
          <w:szCs w:val="28"/>
        </w:rPr>
        <w:t xml:space="preserve">in the general case, as behavioristic. That is because, as they see it, an entity from the outside world induces a thought in the speaker, and soon after this thought would lead him to think of a symbol which then leads him to a referential behavior. That </w:t>
      </w:r>
      <w:r>
        <w:rPr>
          <w:color w:val="000000"/>
          <w:sz w:val="28"/>
          <w:szCs w:val="28"/>
        </w:rPr>
        <w:t>means the emergence of the thought of a speaker is decided by the outside element which generates a causal relation [</w:t>
      </w:r>
      <w:r>
        <w:rPr>
          <w:sz w:val="28"/>
          <w:szCs w:val="28"/>
        </w:rPr>
        <w:t>11, p. 99-100</w:t>
      </w:r>
      <w:r>
        <w:rPr>
          <w:color w:val="000000"/>
          <w:sz w:val="28"/>
          <w:szCs w:val="28"/>
        </w:rPr>
        <w:t>]. Ogden and Richards build their behavioristic point of view upon the concept of «sign-situations». They believe people's und</w:t>
      </w:r>
      <w:r>
        <w:rPr>
          <w:color w:val="000000"/>
          <w:sz w:val="28"/>
          <w:szCs w:val="28"/>
        </w:rPr>
        <w:t xml:space="preserve">erstanding </w:t>
      </w:r>
      <w:r>
        <w:rPr>
          <w:sz w:val="28"/>
          <w:szCs w:val="28"/>
        </w:rPr>
        <w:t>towards the process</w:t>
      </w:r>
      <w:r>
        <w:rPr>
          <w:color w:val="000000"/>
          <w:sz w:val="28"/>
          <w:szCs w:val="28"/>
        </w:rPr>
        <w:t xml:space="preserve"> is under the influence of their experience [</w:t>
      </w:r>
      <w:r>
        <w:rPr>
          <w:sz w:val="28"/>
          <w:szCs w:val="28"/>
        </w:rPr>
        <w:t>12, p. 24</w:t>
      </w:r>
      <w:r>
        <w:rPr>
          <w:color w:val="000000"/>
          <w:sz w:val="28"/>
          <w:szCs w:val="28"/>
        </w:rPr>
        <w:t xml:space="preserve">]. John Lyons has also discussed this matter in his book, semantics, and modified the semiotic triangle theory of Ogden and Richards. He eventually </w:t>
      </w:r>
      <w:r>
        <w:rPr>
          <w:sz w:val="28"/>
          <w:szCs w:val="28"/>
        </w:rPr>
        <w:t>replaced</w:t>
      </w:r>
      <w:r>
        <w:rPr>
          <w:color w:val="000000"/>
          <w:sz w:val="28"/>
          <w:szCs w:val="28"/>
        </w:rPr>
        <w:t xml:space="preserve"> «sign» with «sy</w:t>
      </w:r>
      <w:r>
        <w:rPr>
          <w:color w:val="000000"/>
          <w:sz w:val="28"/>
          <w:szCs w:val="28"/>
        </w:rPr>
        <w:t xml:space="preserve">mbol» and the </w:t>
      </w:r>
      <w:r>
        <w:rPr>
          <w:sz w:val="28"/>
          <w:szCs w:val="28"/>
        </w:rPr>
        <w:t>Latin</w:t>
      </w:r>
      <w:r>
        <w:rPr>
          <w:color w:val="000000"/>
          <w:sz w:val="28"/>
          <w:szCs w:val="28"/>
        </w:rPr>
        <w:t xml:space="preserve"> term, «significatum» </w:t>
      </w:r>
      <w:r>
        <w:rPr>
          <w:sz w:val="28"/>
          <w:szCs w:val="28"/>
        </w:rPr>
        <w:t>with</w:t>
      </w:r>
      <w:r>
        <w:rPr>
          <w:color w:val="000000"/>
          <w:sz w:val="28"/>
          <w:szCs w:val="28"/>
        </w:rPr>
        <w:t xml:space="preserve"> «reference». </w:t>
      </w:r>
    </w:p>
    <w:p w14:paraId="33525347" w14:textId="77777777" w:rsidR="00F74BAF" w:rsidRDefault="00F74BAF">
      <w:pPr>
        <w:pBdr>
          <w:top w:val="nil"/>
          <w:left w:val="nil"/>
          <w:bottom w:val="nil"/>
          <w:right w:val="nil"/>
          <w:between w:val="nil"/>
        </w:pBdr>
        <w:ind w:firstLine="709"/>
        <w:jc w:val="both"/>
        <w:rPr>
          <w:b/>
          <w:bCs/>
          <w:color w:val="000000"/>
          <w:sz w:val="28"/>
          <w:szCs w:val="28"/>
        </w:rPr>
      </w:pPr>
    </w:p>
    <w:p w14:paraId="78518875" w14:textId="77777777" w:rsidR="00F74BAF" w:rsidRDefault="00737583">
      <w:pPr>
        <w:pBdr>
          <w:top w:val="nil"/>
          <w:left w:val="nil"/>
          <w:bottom w:val="nil"/>
          <w:right w:val="nil"/>
          <w:between w:val="nil"/>
        </w:pBdr>
        <w:ind w:firstLine="709"/>
        <w:jc w:val="both"/>
        <w:rPr>
          <w:b/>
          <w:bCs/>
          <w:color w:val="000000"/>
          <w:sz w:val="28"/>
          <w:szCs w:val="28"/>
        </w:rPr>
      </w:pPr>
      <w:r>
        <w:rPr>
          <w:b/>
          <w:bCs/>
          <w:color w:val="000000"/>
          <w:sz w:val="28"/>
          <w:szCs w:val="28"/>
        </w:rPr>
        <w:t>1.</w:t>
      </w:r>
      <w:r>
        <w:rPr>
          <w:b/>
          <w:bCs/>
          <w:sz w:val="28"/>
          <w:szCs w:val="28"/>
        </w:rPr>
        <w:t>3</w:t>
      </w:r>
      <w:r>
        <w:rPr>
          <w:b/>
          <w:bCs/>
          <w:color w:val="000000"/>
          <w:sz w:val="28"/>
          <w:szCs w:val="28"/>
        </w:rPr>
        <w:t xml:space="preserve"> Semantic Field</w:t>
      </w:r>
    </w:p>
    <w:p w14:paraId="6AECDD26" w14:textId="77777777" w:rsidR="00F74BAF" w:rsidRDefault="00F74BAF">
      <w:pPr>
        <w:pBdr>
          <w:top w:val="nil"/>
          <w:left w:val="nil"/>
          <w:bottom w:val="nil"/>
          <w:right w:val="nil"/>
          <w:between w:val="nil"/>
        </w:pBdr>
        <w:ind w:firstLine="709"/>
        <w:jc w:val="both"/>
        <w:rPr>
          <w:b/>
          <w:bCs/>
          <w:color w:val="000000"/>
          <w:sz w:val="16"/>
          <w:szCs w:val="16"/>
        </w:rPr>
      </w:pPr>
    </w:p>
    <w:p w14:paraId="1BECE355"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 Origin of Semantic Field Theory</w:t>
      </w:r>
    </w:p>
    <w:p w14:paraId="69D9F657"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 concept and term «semantic field» was first proposed by German scholar Gunther Ipsen in his book, «Der alte Orient und die Indogermanen</w:t>
      </w:r>
      <w:r>
        <w:rPr>
          <w:color w:val="000000"/>
          <w:sz w:val="28"/>
          <w:szCs w:val="28"/>
        </w:rPr>
        <w:t>» («The Ancient Orient and the Indo-Europeans»), in</w:t>
      </w:r>
      <w:r>
        <w:rPr>
          <w:i/>
          <w:iCs/>
          <w:color w:val="000000"/>
          <w:sz w:val="28"/>
          <w:szCs w:val="28"/>
        </w:rPr>
        <w:t xml:space="preserve"> </w:t>
      </w:r>
      <w:r>
        <w:rPr>
          <w:color w:val="000000"/>
          <w:sz w:val="28"/>
          <w:szCs w:val="28"/>
        </w:rPr>
        <w:t>1924, but the more systematic theory of semantic field was established by another German scholar Jost Trier in the 1930 s. [</w:t>
      </w:r>
      <w:r>
        <w:rPr>
          <w:sz w:val="28"/>
          <w:szCs w:val="28"/>
        </w:rPr>
        <w:t>9</w:t>
      </w:r>
      <w:r>
        <w:rPr>
          <w:color w:val="000000"/>
          <w:sz w:val="28"/>
          <w:szCs w:val="28"/>
        </w:rPr>
        <w:t xml:space="preserve">, р. 155-156] Therefore, people generally regard Trier as the founder and main </w:t>
      </w:r>
      <w:r>
        <w:rPr>
          <w:color w:val="000000"/>
          <w:sz w:val="28"/>
          <w:szCs w:val="28"/>
        </w:rPr>
        <w:t xml:space="preserve">representative of semantic field theory. The so-called «semantic field» («Bedeutungsfeld» in German) refers to a group of words with related meanings that together form a set (or area), and the meaning of the components in the field can only be determined </w:t>
      </w:r>
      <w:r>
        <w:rPr>
          <w:color w:val="000000"/>
          <w:sz w:val="28"/>
          <w:szCs w:val="28"/>
        </w:rPr>
        <w:t>by the relationship and distinction between it and other components. This concept has many different names in Europe: «linguistic field», «semantic field», «lexical field», etc. Trier did not use the term «semantic field» but «linguistic field» and «lexica</w:t>
      </w:r>
      <w:r>
        <w:rPr>
          <w:color w:val="000000"/>
          <w:sz w:val="28"/>
          <w:szCs w:val="28"/>
        </w:rPr>
        <w:t>l field» in his work. The American linguist E. Nida called it «semantic field» and defined it as «A definable area of cultural experience covered by a set of related terms; the defining features of the domain are represented by the common components of the</w:t>
      </w:r>
      <w:r>
        <w:rPr>
          <w:color w:val="000000"/>
          <w:sz w:val="28"/>
          <w:szCs w:val="28"/>
        </w:rPr>
        <w:t xml:space="preserve"> meanings of the terms in the domain; also called semantic field» [</w:t>
      </w:r>
      <w:r>
        <w:rPr>
          <w:sz w:val="28"/>
          <w:szCs w:val="28"/>
        </w:rPr>
        <w:t>13, p. 229</w:t>
      </w:r>
      <w:r>
        <w:rPr>
          <w:color w:val="000000"/>
          <w:sz w:val="28"/>
          <w:szCs w:val="28"/>
        </w:rPr>
        <w:t>]. Following the consensus of most scholars, we call it «semantic field» or «field theory».</w:t>
      </w:r>
    </w:p>
    <w:p w14:paraId="69CC45DD"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 idea of the semantic field mainly comes from the structural concept of language and</w:t>
      </w:r>
      <w:r>
        <w:rPr>
          <w:color w:val="000000"/>
          <w:sz w:val="28"/>
          <w:szCs w:val="28"/>
        </w:rPr>
        <w:t xml:space="preserve"> structuralist thought, which can be traced back to at least some of Humboldt's discussions, especially his theory of «world image» and «internal form» [</w:t>
      </w:r>
      <w:r>
        <w:rPr>
          <w:sz w:val="28"/>
          <w:szCs w:val="28"/>
        </w:rPr>
        <w:t>8</w:t>
      </w:r>
      <w:r>
        <w:rPr>
          <w:color w:val="000000"/>
          <w:sz w:val="28"/>
          <w:szCs w:val="28"/>
        </w:rPr>
        <w:t>, р. 205]. The direct inspiration of the semantic field is Saussure's theory: «associative relationshi</w:t>
      </w:r>
      <w:r>
        <w:rPr>
          <w:color w:val="000000"/>
          <w:sz w:val="28"/>
          <w:szCs w:val="28"/>
        </w:rPr>
        <w:t>p» and «value» concepts. J. Trier once explicitly admitted that his theory directly relates to two great pioneers: Saussure and Ipsen [</w:t>
      </w:r>
      <w:r>
        <w:rPr>
          <w:sz w:val="28"/>
          <w:szCs w:val="28"/>
        </w:rPr>
        <w:t>14, p. 41</w:t>
      </w:r>
      <w:r>
        <w:rPr>
          <w:color w:val="000000"/>
          <w:sz w:val="28"/>
          <w:szCs w:val="28"/>
        </w:rPr>
        <w:t>].</w:t>
      </w:r>
    </w:p>
    <w:p w14:paraId="5CA11C74"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Saussure emphasized that «language is a symbol system», which means that the components within the system are</w:t>
      </w:r>
      <w:r>
        <w:rPr>
          <w:color w:val="000000"/>
          <w:sz w:val="28"/>
          <w:szCs w:val="28"/>
        </w:rPr>
        <w:t xml:space="preserve"> interrelated and mutually constrained. When he talked about «associative relationship», he pointed out that there is one associative relationship, which is to gather some related words together according to the similarity of the reference to form an assoc</w:t>
      </w:r>
      <w:r>
        <w:rPr>
          <w:color w:val="000000"/>
          <w:sz w:val="28"/>
          <w:szCs w:val="28"/>
        </w:rPr>
        <w:t>iative series. For example, in French, «enseigement»</w:t>
      </w:r>
      <w:r>
        <w:rPr>
          <w:i/>
          <w:iCs/>
          <w:color w:val="000000"/>
          <w:sz w:val="28"/>
          <w:szCs w:val="28"/>
        </w:rPr>
        <w:t xml:space="preserve"> </w:t>
      </w:r>
      <w:r>
        <w:rPr>
          <w:color w:val="000000"/>
          <w:sz w:val="28"/>
          <w:szCs w:val="28"/>
        </w:rPr>
        <w:t>'education,' «instruction» 'training,' «aprentissage» 'apprenticeship,' «education» 'education,' etc., which constitutes a semantic field about «education». When articulating the concept of value, he lin</w:t>
      </w:r>
      <w:r>
        <w:rPr>
          <w:color w:val="000000"/>
          <w:sz w:val="28"/>
          <w:szCs w:val="28"/>
        </w:rPr>
        <w:t>ks words like «avoir peur» 'scare,' «redouter» 'fear,' and «crindre» 'fear' together for analysis, for</w:t>
      </w:r>
      <w:r>
        <w:rPr>
          <w:sz w:val="28"/>
          <w:szCs w:val="28"/>
        </w:rPr>
        <w:t>ming</w:t>
      </w:r>
      <w:r>
        <w:rPr>
          <w:color w:val="000000"/>
          <w:sz w:val="28"/>
          <w:szCs w:val="28"/>
        </w:rPr>
        <w:t xml:space="preserve"> the semantic field about «fear». Saussure pointed out that words only have their own value in the mutual connection and opposition of related words. </w:t>
      </w:r>
      <w:r>
        <w:rPr>
          <w:color w:val="000000"/>
          <w:sz w:val="28"/>
          <w:szCs w:val="28"/>
        </w:rPr>
        <w:t>For example, in the three words about 'fear' mentioned above, if «redouter» does not exist, then its content will be transferred to other competitors [</w:t>
      </w:r>
      <w:r>
        <w:rPr>
          <w:sz w:val="28"/>
          <w:szCs w:val="28"/>
        </w:rPr>
        <w:t>10</w:t>
      </w:r>
      <w:r>
        <w:rPr>
          <w:color w:val="000000"/>
          <w:sz w:val="28"/>
          <w:szCs w:val="28"/>
        </w:rPr>
        <w:t>, р. 124]. This is obviously one of the main theoretical roots and inspirations of Trier's 'field theor</w:t>
      </w:r>
      <w:r>
        <w:rPr>
          <w:color w:val="000000"/>
          <w:sz w:val="28"/>
          <w:szCs w:val="28"/>
        </w:rPr>
        <w:t>y' later.</w:t>
      </w:r>
    </w:p>
    <w:p w14:paraId="2BCD80EF"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In addition, the idea of systematizing vocabulary according to the concepts expressed by words also emerged relatively early. The emergence of </w:t>
      </w:r>
      <w:r>
        <w:rPr>
          <w:sz w:val="28"/>
          <w:szCs w:val="28"/>
        </w:rPr>
        <w:t>nineteen</w:t>
      </w:r>
      <w:r>
        <w:rPr>
          <w:color w:val="000000"/>
          <w:sz w:val="28"/>
          <w:szCs w:val="28"/>
        </w:rPr>
        <w:t>th-century conceptual dictionaries was an obvious sign. In 1852, P.M. Roget compiled and publis</w:t>
      </w:r>
      <w:r>
        <w:rPr>
          <w:color w:val="000000"/>
          <w:sz w:val="28"/>
          <w:szCs w:val="28"/>
        </w:rPr>
        <w:t>hed «The Thesaurus of English Words and Phrases» [</w:t>
      </w:r>
      <w:r>
        <w:rPr>
          <w:sz w:val="28"/>
          <w:szCs w:val="28"/>
        </w:rPr>
        <w:t>15, p. 114</w:t>
      </w:r>
      <w:r>
        <w:rPr>
          <w:color w:val="000000"/>
          <w:sz w:val="28"/>
          <w:szCs w:val="28"/>
        </w:rPr>
        <w:t>]. This was the first dictionary to classify and arrange words according to their equality, similarity, or relevance in meaning. Its direct purpose was to facilitate people to search for related w</w:t>
      </w:r>
      <w:r>
        <w:rPr>
          <w:color w:val="000000"/>
          <w:sz w:val="28"/>
          <w:szCs w:val="28"/>
        </w:rPr>
        <w:t>ords according to their ideas when writing. He divided words into categories of different levels according to the categories of concepts they expressed. There were six largest categories, namely abstract relations, space, matter, intelligence, will, and em</w:t>
      </w:r>
      <w:r>
        <w:rPr>
          <w:color w:val="000000"/>
          <w:sz w:val="28"/>
          <w:szCs w:val="28"/>
        </w:rPr>
        <w:t>otion. There were more than a thousand small categories at different levels, for</w:t>
      </w:r>
      <w:r>
        <w:rPr>
          <w:sz w:val="28"/>
          <w:szCs w:val="28"/>
        </w:rPr>
        <w:t>ming</w:t>
      </w:r>
      <w:r>
        <w:rPr>
          <w:color w:val="000000"/>
          <w:sz w:val="28"/>
          <w:szCs w:val="28"/>
        </w:rPr>
        <w:t xml:space="preserve"> a hierarchical relationship [</w:t>
      </w:r>
      <w:r>
        <w:rPr>
          <w:sz w:val="28"/>
          <w:szCs w:val="28"/>
        </w:rPr>
        <w:t>8</w:t>
      </w:r>
      <w:r>
        <w:rPr>
          <w:color w:val="000000"/>
          <w:sz w:val="28"/>
          <w:szCs w:val="28"/>
        </w:rPr>
        <w:t>, р. 72-73].</w:t>
      </w:r>
    </w:p>
    <w:p w14:paraId="05D80ECB"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This classification method actually contains the concept of conceptual field, and it obviously promotes the formation of the con</w:t>
      </w:r>
      <w:r>
        <w:rPr>
          <w:color w:val="000000"/>
          <w:sz w:val="28"/>
          <w:szCs w:val="28"/>
        </w:rPr>
        <w:t>cept of semantic field. </w:t>
      </w:r>
    </w:p>
    <w:p w14:paraId="4CBC3D8A"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It's worth noting that the concept of the semantic field had already gained traction in the fields of philosophy, psychology, linguistics, and lexicography before Trier's work. However, it was Trier's significant contribution in co</w:t>
      </w:r>
      <w:r>
        <w:rPr>
          <w:color w:val="000000"/>
          <w:sz w:val="28"/>
          <w:szCs w:val="28"/>
        </w:rPr>
        <w:t xml:space="preserve">nsolidating the emerging semantic field thought into a relatively comprehensive theoretical system that truly set the stage for a new era. This influence is not only evident in the fact that most subsequent «field theory» research has used Trier's work as </w:t>
      </w:r>
      <w:r>
        <w:rPr>
          <w:color w:val="000000"/>
          <w:sz w:val="28"/>
          <w:szCs w:val="28"/>
        </w:rPr>
        <w:t>a starting point and reference but also in the lasting impact of his ideas, a testament to the recognition and appreciation of his contributions.</w:t>
      </w:r>
    </w:p>
    <w:p w14:paraId="6C91AF05" w14:textId="77777777" w:rsidR="00F74BAF" w:rsidRDefault="00F74BAF">
      <w:pPr>
        <w:pBdr>
          <w:top w:val="nil"/>
          <w:left w:val="nil"/>
          <w:bottom w:val="nil"/>
          <w:right w:val="nil"/>
          <w:between w:val="nil"/>
        </w:pBdr>
        <w:ind w:firstLine="709"/>
        <w:jc w:val="both"/>
        <w:rPr>
          <w:b/>
          <w:bCs/>
          <w:color w:val="000000"/>
          <w:sz w:val="28"/>
          <w:szCs w:val="28"/>
        </w:rPr>
      </w:pPr>
    </w:p>
    <w:p w14:paraId="2BF4557E" w14:textId="77777777" w:rsidR="00F74BAF" w:rsidRDefault="00737583">
      <w:pPr>
        <w:pBdr>
          <w:top w:val="nil"/>
          <w:left w:val="nil"/>
          <w:bottom w:val="nil"/>
          <w:right w:val="nil"/>
          <w:between w:val="nil"/>
        </w:pBdr>
        <w:tabs>
          <w:tab w:val="center" w:pos="5170"/>
        </w:tabs>
        <w:ind w:firstLine="709"/>
        <w:jc w:val="both"/>
        <w:rPr>
          <w:color w:val="000000"/>
          <w:sz w:val="28"/>
          <w:szCs w:val="28"/>
        </w:rPr>
      </w:pPr>
      <w:r>
        <w:rPr>
          <w:color w:val="000000"/>
          <w:sz w:val="28"/>
          <w:szCs w:val="28"/>
        </w:rPr>
        <w:t>Trier's semantic field theory</w:t>
      </w:r>
      <w:r>
        <w:rPr>
          <w:color w:val="000000"/>
          <w:sz w:val="28"/>
          <w:szCs w:val="28"/>
        </w:rPr>
        <w:tab/>
      </w:r>
    </w:p>
    <w:p w14:paraId="57809438"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Trier published his work in 1931, «Der deutsche Wortschatzim Sinnbezirk des </w:t>
      </w:r>
      <w:r>
        <w:rPr>
          <w:color w:val="000000"/>
          <w:sz w:val="28"/>
          <w:szCs w:val="28"/>
        </w:rPr>
        <w:t>Verstandes», a pioneering work in semantic field theory. His field theory is based on the following basic background:</w:t>
      </w:r>
    </w:p>
    <w:p w14:paraId="7AC31330" w14:textId="77777777" w:rsidR="00F74BAF" w:rsidRDefault="00737583">
      <w:pPr>
        <w:pBdr>
          <w:top w:val="nil"/>
          <w:left w:val="nil"/>
          <w:bottom w:val="nil"/>
          <w:right w:val="nil"/>
          <w:between w:val="nil"/>
        </w:pBdr>
        <w:ind w:firstLine="709"/>
        <w:jc w:val="both"/>
        <w:rPr>
          <w:color w:val="000000"/>
          <w:sz w:val="28"/>
          <w:szCs w:val="28"/>
        </w:rPr>
      </w:pPr>
      <w:r>
        <w:rPr>
          <w:sz w:val="28"/>
          <w:szCs w:val="28"/>
        </w:rPr>
        <w:t>-</w:t>
      </w:r>
      <w:r>
        <w:rPr>
          <w:color w:val="000000"/>
          <w:sz w:val="28"/>
          <w:szCs w:val="28"/>
        </w:rPr>
        <w:t xml:space="preserve"> He claims that the vocabulary of a language is not a warehouse composed of a bunch of isolated words. All the words in each language are</w:t>
      </w:r>
      <w:r>
        <w:rPr>
          <w:color w:val="000000"/>
          <w:sz w:val="28"/>
          <w:szCs w:val="28"/>
        </w:rPr>
        <w:t xml:space="preserve"> interrelated and interdependent. He believed that: «The «Geltung» 'value' of a word can only be determined by defining it in relation to the value of neighboring and contrasting words. It is only as a part of the whole that it has «sinn» 'sense'; for it i</w:t>
      </w:r>
      <w:r>
        <w:rPr>
          <w:color w:val="000000"/>
          <w:sz w:val="28"/>
          <w:szCs w:val="28"/>
        </w:rPr>
        <w:t>s only in the field that there is «bedeutung» 'meaning'» [</w:t>
      </w:r>
      <w:r>
        <w:rPr>
          <w:sz w:val="28"/>
          <w:szCs w:val="28"/>
        </w:rPr>
        <w:t>11</w:t>
      </w:r>
      <w:r>
        <w:rPr>
          <w:color w:val="000000"/>
          <w:sz w:val="28"/>
          <w:szCs w:val="28"/>
        </w:rPr>
        <w:t>, р. 251].</w:t>
      </w:r>
    </w:p>
    <w:p w14:paraId="28C41964" w14:textId="77777777" w:rsidR="00F74BAF" w:rsidRDefault="00737583">
      <w:pPr>
        <w:pBdr>
          <w:top w:val="nil"/>
          <w:left w:val="nil"/>
          <w:bottom w:val="nil"/>
          <w:right w:val="nil"/>
          <w:between w:val="nil"/>
        </w:pBdr>
        <w:ind w:firstLine="709"/>
        <w:jc w:val="both"/>
        <w:rPr>
          <w:color w:val="000000"/>
          <w:sz w:val="28"/>
          <w:szCs w:val="28"/>
        </w:rPr>
      </w:pPr>
      <w:r>
        <w:rPr>
          <w:sz w:val="28"/>
          <w:szCs w:val="28"/>
        </w:rPr>
        <w:t>-</w:t>
      </w:r>
      <w:r>
        <w:rPr>
          <w:color w:val="000000"/>
          <w:sz w:val="28"/>
          <w:szCs w:val="28"/>
        </w:rPr>
        <w:t xml:space="preserve"> He proposes that the vocabulary of each language is composed of a series of clearly hierarchical «word fields» («Wort feld»), and this hierarchical word field is completely consistent</w:t>
      </w:r>
      <w:r>
        <w:rPr>
          <w:color w:val="000000"/>
          <w:sz w:val="28"/>
          <w:szCs w:val="28"/>
        </w:rPr>
        <w:t xml:space="preserve"> (overlapping) with the same clearly hierarchical and corresponding concepts. He said: «Fields are living realities intermediate between individual words and the totality of the vocabulary; as parts of a whole, they share with words the property of being i</w:t>
      </w:r>
      <w:r>
        <w:rPr>
          <w:color w:val="000000"/>
          <w:sz w:val="28"/>
          <w:szCs w:val="28"/>
        </w:rPr>
        <w:t>ntegrated into a larger structure («sich ergliedern») and with the vocabulary the property of being structured in terms of smaller units («sich ausgliedern»)» [</w:t>
      </w:r>
      <w:r>
        <w:rPr>
          <w:sz w:val="28"/>
          <w:szCs w:val="28"/>
        </w:rPr>
        <w:t>11</w:t>
      </w:r>
      <w:r>
        <w:rPr>
          <w:color w:val="000000"/>
          <w:sz w:val="28"/>
          <w:szCs w:val="28"/>
        </w:rPr>
        <w:t>, р. 253]. This view contains two closely related meanings: hierarchy and structural integrati</w:t>
      </w:r>
      <w:r>
        <w:rPr>
          <w:color w:val="000000"/>
          <w:sz w:val="28"/>
          <w:szCs w:val="28"/>
        </w:rPr>
        <w:t>on. That is to say, a lexical field may be a component of a larger lexical field, and it itself may be composed of several «sub-fields». In addition, the word field completely covers the corresponding concept field, with no gaps or overlaps. </w:t>
      </w:r>
    </w:p>
    <w:p w14:paraId="060EDC09" w14:textId="77777777" w:rsidR="00F74BAF" w:rsidRDefault="00737583">
      <w:pPr>
        <w:pBdr>
          <w:top w:val="nil"/>
          <w:left w:val="nil"/>
          <w:bottom w:val="nil"/>
          <w:right w:val="nil"/>
          <w:between w:val="nil"/>
        </w:pBdr>
        <w:ind w:firstLine="709"/>
        <w:jc w:val="both"/>
        <w:rPr>
          <w:color w:val="000000"/>
          <w:sz w:val="28"/>
          <w:szCs w:val="28"/>
        </w:rPr>
      </w:pPr>
      <w:r>
        <w:rPr>
          <w:sz w:val="28"/>
          <w:szCs w:val="28"/>
        </w:rPr>
        <w:t>-</w:t>
      </w:r>
      <w:r>
        <w:rPr>
          <w:color w:val="000000"/>
          <w:sz w:val="28"/>
          <w:szCs w:val="28"/>
        </w:rPr>
        <w:t xml:space="preserve"> He also believes that the structure of lexemes is a structure similar to that of a mosaic floor. In the mosaic puzzle, each small piece has a different form and clear boundaries, and together, they form a complete whole. The structure of the language fiel</w:t>
      </w:r>
      <w:r>
        <w:rPr>
          <w:color w:val="000000"/>
          <w:sz w:val="28"/>
          <w:szCs w:val="28"/>
        </w:rPr>
        <w:t>d is similar to this. Each word in the field has different meanings, is interconnected and constrained, and together, they constitute a whole meaning.</w:t>
      </w:r>
    </w:p>
    <w:p w14:paraId="031BFC6C"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Trier's research on the «language field» does not mainly aim at constructing a theoretical framework but </w:t>
      </w:r>
      <w:r>
        <w:rPr>
          <w:color w:val="000000"/>
          <w:sz w:val="28"/>
          <w:szCs w:val="28"/>
        </w:rPr>
        <w:t>out of the need to analyze the German vocabulary specifically. His book, «Der Deustche Wortschatz im Sinnbezirk des Verstandes», uses his «language field» theory to analyze in detail the development process and status of words in the German language that r</w:t>
      </w:r>
      <w:r>
        <w:rPr>
          <w:color w:val="000000"/>
          <w:sz w:val="28"/>
          <w:szCs w:val="28"/>
        </w:rPr>
        <w:t>epresent the category of intelligence. He points out that the internal structure of the field, composed of lexical units with interrelated meanings, is constantly changing. For example, the two lexical fields in period t1 and period t2 may contain the same</w:t>
      </w:r>
      <w:r>
        <w:rPr>
          <w:color w:val="000000"/>
          <w:sz w:val="28"/>
          <w:szCs w:val="28"/>
        </w:rPr>
        <w:t xml:space="preserve"> concept field, but the lexical field itself may have changed. Therefore, we can compare the lexical field structure in period t1 and period t2 to clarify the diachronic changes and development of vocabulary [</w:t>
      </w:r>
      <w:r>
        <w:rPr>
          <w:sz w:val="28"/>
          <w:szCs w:val="28"/>
        </w:rPr>
        <w:t>11</w:t>
      </w:r>
      <w:r>
        <w:rPr>
          <w:color w:val="000000"/>
          <w:sz w:val="28"/>
          <w:szCs w:val="28"/>
        </w:rPr>
        <w:t>, р. 254-255].</w:t>
      </w:r>
    </w:p>
    <w:p w14:paraId="63AF62B8"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From a diachronic perspective,</w:t>
      </w:r>
      <w:r>
        <w:rPr>
          <w:color w:val="000000"/>
          <w:sz w:val="28"/>
          <w:szCs w:val="28"/>
        </w:rPr>
        <w:t xml:space="preserve"> what will happen to the changes between the lexical and concept fields in periods t1 and t2? Lyons listed five possible situations in his book «Semantics» [</w:t>
      </w:r>
      <w:r>
        <w:rPr>
          <w:sz w:val="28"/>
          <w:szCs w:val="28"/>
        </w:rPr>
        <w:t>11</w:t>
      </w:r>
      <w:r>
        <w:rPr>
          <w:color w:val="000000"/>
          <w:sz w:val="28"/>
          <w:szCs w:val="28"/>
        </w:rPr>
        <w:t>, р. 255-256].</w:t>
      </w:r>
    </w:p>
    <w:p w14:paraId="5A6B227B" w14:textId="77777777" w:rsidR="00F74BAF" w:rsidRDefault="00737583">
      <w:pPr>
        <w:ind w:firstLine="720"/>
        <w:jc w:val="center"/>
        <w:rPr>
          <w:i/>
          <w:iCs/>
          <w:color w:val="0E101A"/>
          <w:sz w:val="28"/>
          <w:szCs w:val="28"/>
        </w:rPr>
      </w:pPr>
      <w:r>
        <w:rPr>
          <w:sz w:val="28"/>
          <w:szCs w:val="28"/>
        </w:rPr>
        <w:t xml:space="preserve">Figure 3.  Possible Developments of the Semantic Field: </w:t>
      </w:r>
      <w:r>
        <w:rPr>
          <w:i/>
          <w:iCs/>
          <w:sz w:val="28"/>
          <w:szCs w:val="28"/>
          <w:highlight w:val="white"/>
        </w:rPr>
        <w:t>Lyons J. Semantics. – Camb</w:t>
      </w:r>
      <w:r>
        <w:rPr>
          <w:i/>
          <w:iCs/>
          <w:sz w:val="28"/>
          <w:szCs w:val="28"/>
          <w:highlight w:val="white"/>
        </w:rPr>
        <w:t>ridge: Cambridge University Press, 1977. P. 256.</w:t>
      </w:r>
      <w:r>
        <w:rPr>
          <w:noProof/>
          <w:lang w:val="ru-RU" w:eastAsia="ru-RU"/>
        </w:rPr>
        <w:drawing>
          <wp:anchor distT="0" distB="0" distL="114300" distR="114300" simplePos="0" relativeHeight="251660288" behindDoc="0" locked="0" layoutInCell="1" hidden="0" allowOverlap="1" wp14:anchorId="695BA642" wp14:editId="7C062A3C">
            <wp:simplePos x="0" y="0"/>
            <wp:positionH relativeFrom="column">
              <wp:posOffset>209550</wp:posOffset>
            </wp:positionH>
            <wp:positionV relativeFrom="paragraph">
              <wp:posOffset>118725</wp:posOffset>
            </wp:positionV>
            <wp:extent cx="5162550" cy="3427229"/>
            <wp:effectExtent l="0" t="0" r="0" b="0"/>
            <wp:wrapTopAndBottom distT="0" distB="0"/>
            <wp:docPr id="1073741899" name="image1.png" descr="Image"/>
            <wp:cNvGraphicFramePr/>
            <a:graphic xmlns:a="http://schemas.openxmlformats.org/drawingml/2006/main">
              <a:graphicData uri="http://schemas.openxmlformats.org/drawingml/2006/picture">
                <pic:pic xmlns:pic="http://schemas.openxmlformats.org/drawingml/2006/picture">
                  <pic:nvPicPr>
                    <pic:cNvPr id="0" name="image1.png" descr="Image"/>
                    <pic:cNvPicPr preferRelativeResize="0"/>
                  </pic:nvPicPr>
                  <pic:blipFill>
                    <a:blip r:embed="rId10"/>
                    <a:srcRect t="2033" b="2031"/>
                    <a:stretch>
                      <a:fillRect/>
                    </a:stretch>
                  </pic:blipFill>
                  <pic:spPr>
                    <a:xfrm>
                      <a:off x="0" y="0"/>
                      <a:ext cx="5162550" cy="3427229"/>
                    </a:xfrm>
                    <a:prstGeom prst="rect">
                      <a:avLst/>
                    </a:prstGeom>
                    <a:ln/>
                  </pic:spPr>
                </pic:pic>
              </a:graphicData>
            </a:graphic>
          </wp:anchor>
        </w:drawing>
      </w:r>
    </w:p>
    <w:p w14:paraId="5B16C045" w14:textId="77777777" w:rsidR="00F74BAF" w:rsidRDefault="00F74BAF">
      <w:pPr>
        <w:pBdr>
          <w:top w:val="nil"/>
          <w:left w:val="nil"/>
          <w:bottom w:val="nil"/>
          <w:right w:val="nil"/>
          <w:between w:val="nil"/>
        </w:pBdr>
        <w:ind w:firstLine="709"/>
        <w:jc w:val="both"/>
        <w:rPr>
          <w:color w:val="0E101A"/>
          <w:sz w:val="28"/>
          <w:szCs w:val="28"/>
        </w:rPr>
      </w:pPr>
    </w:p>
    <w:p w14:paraId="12DAED03"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That there has been no change either in the set of lexemes belonging to the two fields or in their sense-relations; </w:t>
      </w:r>
    </w:p>
    <w:p w14:paraId="73C34CAD"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that one of the lexemes has been replaced with a new lexeme (or each of a subset of th</w:t>
      </w:r>
      <w:r>
        <w:rPr>
          <w:color w:val="0E101A"/>
          <w:sz w:val="28"/>
          <w:szCs w:val="28"/>
        </w:rPr>
        <w:t>e lexemes has been replaced) without, however, any change in the internal structure of the conceptual field; </w:t>
      </w:r>
    </w:p>
    <w:p w14:paraId="266178B8"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in the third scenario, there has been no change in the set of lexemes but a change of some kind in the internal structure of the conceptual fiel</w:t>
      </w:r>
      <w:r>
        <w:rPr>
          <w:color w:val="0E101A"/>
          <w:sz w:val="28"/>
          <w:szCs w:val="28"/>
        </w:rPr>
        <w:t>d, indicating a significant shift in the field;</w:t>
      </w:r>
    </w:p>
    <w:p w14:paraId="0460E5AB"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that one (or more) of the lexemes has been replaced, and the internal structure of the conceptual field has also changed; </w:t>
      </w:r>
    </w:p>
    <w:p w14:paraId="145774CA" w14:textId="77777777" w:rsidR="00F74BAF" w:rsidRDefault="00737583">
      <w:pPr>
        <w:pBdr>
          <w:top w:val="nil"/>
          <w:left w:val="nil"/>
          <w:bottom w:val="nil"/>
          <w:right w:val="nil"/>
          <w:between w:val="nil"/>
        </w:pBdr>
        <w:ind w:firstLine="709"/>
        <w:jc w:val="both"/>
        <w:rPr>
          <w:color w:val="000000"/>
          <w:sz w:val="28"/>
          <w:szCs w:val="28"/>
        </w:rPr>
      </w:pPr>
      <w:r>
        <w:rPr>
          <w:color w:val="0E101A"/>
          <w:sz w:val="28"/>
          <w:szCs w:val="28"/>
        </w:rPr>
        <w:t>- that one (or more) of the lexemes has been added or lost with (of necessity, if w</w:t>
      </w:r>
      <w:r>
        <w:rPr>
          <w:color w:val="0E101A"/>
          <w:sz w:val="28"/>
          <w:szCs w:val="28"/>
        </w:rPr>
        <w:t>e discount for the moment the possibility of synonymy in the earlier or later system) some consequential change in the internal structure of the conceptual field (figure 3). </w:t>
      </w:r>
    </w:p>
    <w:p w14:paraId="7A282E8A"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Trier once made an example, which is in accordance with the fourth type above. He</w:t>
      </w:r>
      <w:r>
        <w:rPr>
          <w:color w:val="000000"/>
          <w:sz w:val="28"/>
          <w:szCs w:val="28"/>
        </w:rPr>
        <w:t xml:space="preserve"> compared the changes in the conceptual field of knowledge and understanding, as structured by the vocabulary of Middle High German, between the 1200s and the 1300s (figure 4). </w:t>
      </w:r>
    </w:p>
    <w:p w14:paraId="728E5712" w14:textId="77777777" w:rsidR="00F74BAF" w:rsidRDefault="00F74BAF">
      <w:pPr>
        <w:pBdr>
          <w:top w:val="nil"/>
          <w:left w:val="nil"/>
          <w:bottom w:val="nil"/>
          <w:right w:val="nil"/>
          <w:between w:val="nil"/>
        </w:pBdr>
        <w:ind w:firstLine="567"/>
        <w:jc w:val="both"/>
        <w:rPr>
          <w:color w:val="000000"/>
          <w:sz w:val="16"/>
          <w:szCs w:val="16"/>
        </w:rPr>
      </w:pPr>
    </w:p>
    <w:p w14:paraId="59AF3FF4" w14:textId="77777777" w:rsidR="00F74BAF" w:rsidRDefault="00737583">
      <w:pPr>
        <w:pBdr>
          <w:top w:val="nil"/>
          <w:left w:val="nil"/>
          <w:bottom w:val="nil"/>
          <w:right w:val="nil"/>
          <w:between w:val="nil"/>
        </w:pBdr>
        <w:ind w:firstLine="720"/>
        <w:jc w:val="center"/>
        <w:rPr>
          <w:color w:val="000000"/>
          <w:sz w:val="28"/>
          <w:szCs w:val="28"/>
        </w:rPr>
      </w:pPr>
      <w:r>
        <w:rPr>
          <w:color w:val="000000"/>
          <w:sz w:val="28"/>
          <w:szCs w:val="28"/>
        </w:rPr>
        <w:t>Figure 4 – The changes in the conceptual field of knowledge and understanding, as structured by the vocabulary of Middle High German, between the 1200s and the 1300 s:</w:t>
      </w:r>
      <w:r>
        <w:rPr>
          <w:sz w:val="28"/>
          <w:szCs w:val="28"/>
          <w:highlight w:val="white"/>
        </w:rPr>
        <w:t xml:space="preserve"> </w:t>
      </w:r>
      <w:r>
        <w:rPr>
          <w:i/>
          <w:iCs/>
          <w:sz w:val="28"/>
          <w:szCs w:val="28"/>
          <w:highlight w:val="white"/>
        </w:rPr>
        <w:t xml:space="preserve">Ullmann S. The Principles of Semantics. – Oxford: Blackwell, 1957. </w:t>
      </w:r>
      <w:r>
        <w:rPr>
          <w:i/>
          <w:iCs/>
          <w:sz w:val="28"/>
          <w:szCs w:val="28"/>
        </w:rPr>
        <w:t>Р.166.</w:t>
      </w:r>
      <w:r>
        <w:rPr>
          <w:noProof/>
          <w:lang w:val="ru-RU" w:eastAsia="ru-RU"/>
        </w:rPr>
        <w:drawing>
          <wp:anchor distT="152400" distB="152400" distL="152400" distR="152400" simplePos="0" relativeHeight="251661312" behindDoc="0" locked="0" layoutInCell="1" hidden="0" allowOverlap="1" wp14:anchorId="138F2E18" wp14:editId="76E81094">
            <wp:simplePos x="0" y="0"/>
            <wp:positionH relativeFrom="column">
              <wp:posOffset>361950</wp:posOffset>
            </wp:positionH>
            <wp:positionV relativeFrom="paragraph">
              <wp:posOffset>276225</wp:posOffset>
            </wp:positionV>
            <wp:extent cx="5160010" cy="1653540"/>
            <wp:effectExtent l="0" t="0" r="0" b="0"/>
            <wp:wrapTopAndBottom distT="152400" distB="152400"/>
            <wp:docPr id="1073741897" name="image7.png" descr="Image"/>
            <wp:cNvGraphicFramePr/>
            <a:graphic xmlns:a="http://schemas.openxmlformats.org/drawingml/2006/main">
              <a:graphicData uri="http://schemas.openxmlformats.org/drawingml/2006/picture">
                <pic:pic xmlns:pic="http://schemas.openxmlformats.org/drawingml/2006/picture">
                  <pic:nvPicPr>
                    <pic:cNvPr id="0" name="image7.png" descr="Image"/>
                    <pic:cNvPicPr preferRelativeResize="0"/>
                  </pic:nvPicPr>
                  <pic:blipFill>
                    <a:blip r:embed="rId11"/>
                    <a:srcRect/>
                    <a:stretch>
                      <a:fillRect/>
                    </a:stretch>
                  </pic:blipFill>
                  <pic:spPr>
                    <a:xfrm>
                      <a:off x="0" y="0"/>
                      <a:ext cx="5160010" cy="1653540"/>
                    </a:xfrm>
                    <a:prstGeom prst="rect">
                      <a:avLst/>
                    </a:prstGeom>
                    <a:ln/>
                  </pic:spPr>
                </pic:pic>
              </a:graphicData>
            </a:graphic>
          </wp:anchor>
        </w:drawing>
      </w:r>
    </w:p>
    <w:p w14:paraId="33355B91"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 diagram s</w:t>
      </w:r>
      <w:r>
        <w:rPr>
          <w:color w:val="000000"/>
          <w:sz w:val="28"/>
          <w:szCs w:val="28"/>
        </w:rPr>
        <w:t>hows that during the t1 period, the conceptual field was represented by a lexical field containing the nouns «wisheit», «kunst», and «list». A hundred years later, this field included «wisheit», «kunst», and «wizzen». These terms have modern equivalents in</w:t>
      </w:r>
      <w:r>
        <w:rPr>
          <w:color w:val="000000"/>
          <w:sz w:val="28"/>
          <w:szCs w:val="28"/>
        </w:rPr>
        <w:t xml:space="preserve"> German: «Weisheit» (wisdom), «Kunst» (art), «List» (cunning), and «wissen» (knowledge). However, their relationships in terms of meaning differ from those in 1200s or 1300s. By 1300s, «list» had shifted to a different conceptual field, and «wizzen» joined</w:t>
      </w:r>
      <w:r>
        <w:rPr>
          <w:color w:val="000000"/>
          <w:sz w:val="28"/>
          <w:szCs w:val="28"/>
        </w:rPr>
        <w:t xml:space="preserve"> the same field as «wisheit» and «kunst». This shift wasn't merely «wizzen» replacing «list» in the same conceptual area. Earlier, «kunst» referred to higher, courtly knowledge, including social behavior, while </w:t>
      </w:r>
      <w:r>
        <w:rPr>
          <w:i/>
          <w:iCs/>
          <w:color w:val="000000"/>
          <w:sz w:val="28"/>
          <w:szCs w:val="28"/>
        </w:rPr>
        <w:t>list</w:t>
      </w:r>
      <w:r>
        <w:rPr>
          <w:color w:val="000000"/>
          <w:sz w:val="28"/>
          <w:szCs w:val="28"/>
        </w:rPr>
        <w:t xml:space="preserve"> referred to lower, technical knowledge a</w:t>
      </w:r>
      <w:r>
        <w:rPr>
          <w:color w:val="000000"/>
          <w:sz w:val="28"/>
          <w:szCs w:val="28"/>
        </w:rPr>
        <w:t>nd skills. «Wisheit» encompassed both, synthesizing intellectual, moral, courtly, aesthetic, and religious elements [20, р. 166]. By the later period, «wisheit» no longer served as an alternative for «kunst» and «wizzen», as each covered distinct conceptua</w:t>
      </w:r>
      <w:r>
        <w:rPr>
          <w:color w:val="000000"/>
          <w:sz w:val="28"/>
          <w:szCs w:val="28"/>
        </w:rPr>
        <w:t>l areas. «Wisheit» now represented the deepest kind of knowledge, often religious or mystical; «wizzen» referred to ordinary knowledge; and «kunst» fell in between. Trier links these changes in the knowledge and understanding fields to social shifts and th</w:t>
      </w:r>
      <w:r>
        <w:rPr>
          <w:color w:val="000000"/>
          <w:sz w:val="28"/>
          <w:szCs w:val="28"/>
        </w:rPr>
        <w:t>e breakdown of the medieval synthesis of science, philosophy, and theology.</w:t>
      </w:r>
    </w:p>
    <w:p w14:paraId="2106A10B"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Porzig's syntagmatic semantic field</w:t>
      </w:r>
    </w:p>
    <w:p w14:paraId="165CF4E5"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Trier's field theory was proposed from the perspective of paradigmatic relations. In 1934, another German linguist, W. Porzig, proposed the </w:t>
      </w:r>
      <w:r>
        <w:rPr>
          <w:color w:val="000000"/>
          <w:sz w:val="28"/>
          <w:szCs w:val="28"/>
        </w:rPr>
        <w:t>theory of the semantic field from the perspective of syntagmatic relations. It is now clear that any mature theory of lexical structure must include both Trier's paradigmatic relations and Porzig's syntagmatic relations. Initially, Trier and Porzig had sha</w:t>
      </w:r>
      <w:r>
        <w:rPr>
          <w:color w:val="000000"/>
          <w:sz w:val="28"/>
          <w:szCs w:val="28"/>
        </w:rPr>
        <w:t>rply opposing views, but they eventually recognized that their perspectives were complementary rather than conflicting [</w:t>
      </w:r>
      <w:r>
        <w:rPr>
          <w:sz w:val="28"/>
          <w:szCs w:val="28"/>
        </w:rPr>
        <w:t>11</w:t>
      </w:r>
      <w:r>
        <w:rPr>
          <w:color w:val="000000"/>
          <w:sz w:val="28"/>
          <w:szCs w:val="28"/>
        </w:rPr>
        <w:t>, р. 261].</w:t>
      </w:r>
    </w:p>
    <w:p w14:paraId="072BBD20" w14:textId="77777777" w:rsidR="00F74BAF" w:rsidRDefault="00737583">
      <w:pPr>
        <w:pBdr>
          <w:top w:val="nil"/>
          <w:left w:val="nil"/>
          <w:bottom w:val="nil"/>
          <w:right w:val="nil"/>
          <w:between w:val="nil"/>
        </w:pBdr>
        <w:ind w:firstLine="709"/>
        <w:jc w:val="both"/>
        <w:rPr>
          <w:b/>
          <w:bCs/>
          <w:color w:val="000000"/>
          <w:sz w:val="28"/>
          <w:szCs w:val="28"/>
        </w:rPr>
      </w:pPr>
      <w:r>
        <w:rPr>
          <w:color w:val="000000"/>
          <w:sz w:val="28"/>
          <w:szCs w:val="28"/>
        </w:rPr>
        <w:t xml:space="preserve">Porzig bases his theory on the relationships held within bipartite syntagms composed (typically) </w:t>
      </w:r>
      <w:r>
        <w:rPr>
          <w:sz w:val="28"/>
          <w:szCs w:val="28"/>
        </w:rPr>
        <w:t>of a noun</w:t>
      </w:r>
      <w:r>
        <w:rPr>
          <w:color w:val="000000"/>
          <w:sz w:val="28"/>
          <w:szCs w:val="28"/>
        </w:rPr>
        <w:t xml:space="preserve"> and a verb or a </w:t>
      </w:r>
      <w:r>
        <w:rPr>
          <w:color w:val="000000"/>
          <w:sz w:val="28"/>
          <w:szCs w:val="28"/>
        </w:rPr>
        <w:t>noun and an adjective. The two lexemes in each such syntagm are bound together by what he calls an essential meaning- relation. The main point of his theory is that words belonging to the same phrase often have some related semantic features; that is, betw</w:t>
      </w:r>
      <w:r>
        <w:rPr>
          <w:color w:val="000000"/>
          <w:sz w:val="28"/>
          <w:szCs w:val="28"/>
        </w:rPr>
        <w:t>een the components of the phrase, there is not only a grammatical connection but also a close collocation relationship in lexical meaning. A word is often collocated with other words that have some related semantic features in word meaning. He pointed out:</w:t>
      </w:r>
      <w:r>
        <w:rPr>
          <w:color w:val="000000"/>
          <w:sz w:val="28"/>
          <w:szCs w:val="28"/>
        </w:rPr>
        <w:t xml:space="preserve"> «What do people use to bite? Naturally, teeth. What do they use to lick? Obviously, tongue. What is barking? Dogs. What are people chopping? Trees. What is golden yellow? Human hair. From these examples, we can see that this fact is so obvious that people</w:t>
      </w:r>
      <w:r>
        <w:rPr>
          <w:color w:val="000000"/>
          <w:sz w:val="28"/>
          <w:szCs w:val="28"/>
        </w:rPr>
        <w:t xml:space="preserve"> can easily overlook it, especially underestimate its importance» [</w:t>
      </w:r>
      <w:r>
        <w:rPr>
          <w:sz w:val="28"/>
          <w:szCs w:val="28"/>
        </w:rPr>
        <w:t>11</w:t>
      </w:r>
      <w:r>
        <w:rPr>
          <w:color w:val="000000"/>
          <w:sz w:val="28"/>
          <w:szCs w:val="28"/>
        </w:rPr>
        <w:t>, р. 261] From this, we can see that he classified words with close collocation relationships, such as «bite/teeth», «lick/tongue», «bark/dog», «chop/tree», and «golden/hair», into differ</w:t>
      </w:r>
      <w:r>
        <w:rPr>
          <w:color w:val="000000"/>
          <w:sz w:val="28"/>
          <w:szCs w:val="28"/>
        </w:rPr>
        <w:t>ent semantic fields. Porzig's analysis of the syntagmatic semantic field actually raised the issue of distribution restrictions on the syntagmatic relations between words, which is an important theoretical issue.</w:t>
      </w:r>
    </w:p>
    <w:p w14:paraId="3403367D"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Semantic Field Theory and Semantic Structur</w:t>
      </w:r>
      <w:r>
        <w:rPr>
          <w:color w:val="000000"/>
          <w:sz w:val="28"/>
          <w:szCs w:val="28"/>
        </w:rPr>
        <w:t>ing</w:t>
      </w:r>
    </w:p>
    <w:p w14:paraId="7A4E2649"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Since the emergence of structural linguistics in the late 1920s, many scholars have devoted themselves to exploring the structure of phonetics and grammar. This is because phonetics and grammar can be based on substantial materials, and researchers can</w:t>
      </w:r>
      <w:r>
        <w:rPr>
          <w:color w:val="000000"/>
          <w:sz w:val="28"/>
          <w:szCs w:val="28"/>
        </w:rPr>
        <w:t xml:space="preserve"> start with the direct observation of material forms (e.g., sounds, morphemes, syntax, intonation, etc.) to conduct structural analysis. As the structural features of the phonetic and grammatical perspectives become clearer, structural linguists naturally </w:t>
      </w:r>
      <w:r>
        <w:rPr>
          <w:color w:val="000000"/>
          <w:sz w:val="28"/>
          <w:szCs w:val="28"/>
        </w:rPr>
        <w:t>believe: can the semantic sphere also be structured? According to Saussure's «system» theory and «value» concept, just as phonetics and grammar have structures, lexical structure and semantic structure should also exist. For decades, scholars have been con</w:t>
      </w:r>
      <w:r>
        <w:rPr>
          <w:color w:val="000000"/>
          <w:sz w:val="28"/>
          <w:szCs w:val="28"/>
        </w:rPr>
        <w:t>ducting arduous explorations from both micro and macro aspects, striving to clarify the true appearance of semantic structure. Semantic component analysis is a micro-analysis, while semantic field theory is closely related to the important goal of revealin</w:t>
      </w:r>
      <w:r>
        <w:rPr>
          <w:color w:val="000000"/>
          <w:sz w:val="28"/>
          <w:szCs w:val="28"/>
        </w:rPr>
        <w:t>g semantic structure from a macro perspective.</w:t>
      </w:r>
    </w:p>
    <w:p w14:paraId="231FA64C"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After Trier and Porzig, some scholars continued to promote the study of semantic field theory from different angles. The famous Danish structuralist linguist Louis Hjelmslev published the article, «Pour une se</w:t>
      </w:r>
      <w:r>
        <w:rPr>
          <w:color w:val="000000"/>
          <w:sz w:val="28"/>
          <w:szCs w:val="28"/>
        </w:rPr>
        <w:t>mantique structurale (For the structural semantics)», in 1957. In the work he points out that the number of words in any language is essentially unlimited. For example, nouns are an open class. However, in contrast to open classes, there are also some word</w:t>
      </w:r>
      <w:r>
        <w:rPr>
          <w:color w:val="000000"/>
          <w:sz w:val="28"/>
          <w:szCs w:val="28"/>
        </w:rPr>
        <w:t xml:space="preserve">s that constitute closed classes, such as pronouns, conjunctions, etc., which are usually called grammatical classes. Moreover, many closed classes can be found even in other lexicons. For example, there are many small closed classes in simple adjectives, </w:t>
      </w:r>
      <w:r>
        <w:rPr>
          <w:color w:val="000000"/>
          <w:sz w:val="28"/>
          <w:szCs w:val="28"/>
        </w:rPr>
        <w:t>which usually consist of only two members, such as in French «grand» 'big'/«petit» 'small,' «long» 'long-lasting'/ «bref» 'short-lived,' «beau» 'beautiful'/«laid» 'ugly,' «chaud» 'hot'/«froid» 'cold,' etc. in French [</w:t>
      </w:r>
      <w:r>
        <w:rPr>
          <w:sz w:val="28"/>
          <w:szCs w:val="28"/>
        </w:rPr>
        <w:t>16, 119</w:t>
      </w:r>
      <w:r>
        <w:rPr>
          <w:color w:val="000000"/>
          <w:sz w:val="28"/>
          <w:szCs w:val="28"/>
        </w:rPr>
        <w:t>]. The small closed classes he m</w:t>
      </w:r>
      <w:r>
        <w:rPr>
          <w:color w:val="000000"/>
          <w:sz w:val="28"/>
          <w:szCs w:val="28"/>
        </w:rPr>
        <w:t>entioned are actually semantic fields. In the process of exploring the relations between the concept field and the lexical field, German scholars K. Baldinger, K. Heger, and others further studied «champs semansiologiques», which refers to the study of the</w:t>
      </w:r>
      <w:r>
        <w:rPr>
          <w:color w:val="000000"/>
          <w:sz w:val="28"/>
          <w:szCs w:val="28"/>
        </w:rPr>
        <w:t xml:space="preserve"> relation between the same signifier sound image and multiple signifieds, and «champs onomasiologiques», which refers to the study of the relation between the same concept and multiple signifiers. Some French linguists also suggested using the «morphologic</w:t>
      </w:r>
      <w:r>
        <w:rPr>
          <w:color w:val="000000"/>
          <w:sz w:val="28"/>
          <w:szCs w:val="28"/>
        </w:rPr>
        <w:t>al field», «derivational field» (related to etymological structure), «distributional field», and so on to establish the semantic structure.</w:t>
      </w:r>
    </w:p>
    <w:p w14:paraId="103B7B1E"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Although most linguists are convinced that the vocabulary of a language is by no means a chaotic, disorganized colle</w:t>
      </w:r>
      <w:r>
        <w:rPr>
          <w:color w:val="000000"/>
          <w:sz w:val="28"/>
          <w:szCs w:val="28"/>
        </w:rPr>
        <w:t>ction of isolated words, and various explorations of lexical fields and semantic fields have indeed revealed the structure of vocabulary and semantics to a certain extent, the overly bold hypothesis proposed by Trier remains unproven. This hypothesis sugge</w:t>
      </w:r>
      <w:r>
        <w:rPr>
          <w:color w:val="000000"/>
          <w:sz w:val="28"/>
          <w:szCs w:val="28"/>
        </w:rPr>
        <w:t>sts that the lexical layer of a language consists of numerous semantic fields of varying sizes, for</w:t>
      </w:r>
      <w:r>
        <w:rPr>
          <w:sz w:val="28"/>
          <w:szCs w:val="28"/>
        </w:rPr>
        <w:t>ming</w:t>
      </w:r>
      <w:r>
        <w:rPr>
          <w:color w:val="000000"/>
          <w:sz w:val="28"/>
          <w:szCs w:val="28"/>
        </w:rPr>
        <w:t xml:space="preserve"> a structure like a mosaic pattern, and that each semantic field corresponds precisely to a certain conceptual field. However, this theory has never been</w:t>
      </w:r>
      <w:r>
        <w:rPr>
          <w:color w:val="000000"/>
          <w:sz w:val="28"/>
          <w:szCs w:val="28"/>
        </w:rPr>
        <w:t xml:space="preserve"> fully confirmed, and some scholars have even questioned its validity.</w:t>
      </w:r>
    </w:p>
    <w:p w14:paraId="54EEE8A4"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As scholar's research has deepened, analyses of certain language's lexicon have revealed numerous phenomena showcasing that Trier's hypothesis does not fully align with actual linguisti</w:t>
      </w:r>
      <w:r>
        <w:rPr>
          <w:color w:val="000000"/>
          <w:sz w:val="28"/>
          <w:szCs w:val="28"/>
        </w:rPr>
        <w:t xml:space="preserve">c facts. First of all, there are many vacancies in lexical systems of various languages. For example, </w:t>
      </w:r>
      <w:r>
        <w:rPr>
          <w:sz w:val="28"/>
          <w:szCs w:val="28"/>
        </w:rPr>
        <w:t>in French</w:t>
      </w:r>
      <w:r>
        <w:rPr>
          <w:color w:val="000000"/>
          <w:sz w:val="28"/>
          <w:szCs w:val="28"/>
        </w:rPr>
        <w:t xml:space="preserve"> there are words such as «anon» 'little donkey,' «poulain» 'pony,' and «veau» 'calf' that refer to young animals, but there are no words that ref</w:t>
      </w:r>
      <w:r>
        <w:rPr>
          <w:color w:val="000000"/>
          <w:sz w:val="28"/>
          <w:szCs w:val="28"/>
        </w:rPr>
        <w:t>er to baby mules. There are many pairs of antonyms such as «haut» 'high'/«bas» 'striped,' «long» 'long'/«court» 'short' (each for</w:t>
      </w:r>
      <w:r>
        <w:rPr>
          <w:sz w:val="28"/>
          <w:szCs w:val="28"/>
        </w:rPr>
        <w:t>ming</w:t>
      </w:r>
      <w:r>
        <w:rPr>
          <w:color w:val="000000"/>
          <w:sz w:val="28"/>
          <w:szCs w:val="28"/>
        </w:rPr>
        <w:t xml:space="preserve"> a small lexical field), but there is a lack of a word that is paired with «profound» 'deep' to demonstrate 'shallow,' leav</w:t>
      </w:r>
      <w:r>
        <w:rPr>
          <w:color w:val="000000"/>
          <w:sz w:val="28"/>
          <w:szCs w:val="28"/>
        </w:rPr>
        <w:t>ing a lexical gap. </w:t>
      </w:r>
    </w:p>
    <w:p w14:paraId="6C5FC500"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Moreover, mutual intersection and overlapping between lexical fields are very common. Words can be classified into different lexical fields from different perspectives, such as «house», «villa», «mansion», «palace», «barracks», which ca</w:t>
      </w:r>
      <w:r>
        <w:rPr>
          <w:color w:val="000000"/>
          <w:sz w:val="28"/>
          <w:szCs w:val="28"/>
        </w:rPr>
        <w:t>n be classified into both «residence field» and «construction field». In addition, within a lexical field, a sub-field can also be defined from different perspectives.</w:t>
      </w:r>
    </w:p>
    <w:p w14:paraId="311580A5"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It can be seen </w:t>
      </w:r>
      <w:r>
        <w:rPr>
          <w:sz w:val="28"/>
          <w:szCs w:val="28"/>
        </w:rPr>
        <w:t>that reality</w:t>
      </w:r>
      <w:r>
        <w:rPr>
          <w:color w:val="000000"/>
          <w:sz w:val="28"/>
          <w:szCs w:val="28"/>
        </w:rPr>
        <w:t xml:space="preserve"> is far more complicated than Trier's theory. In fact, a lexi</w:t>
      </w:r>
      <w:r>
        <w:rPr>
          <w:color w:val="000000"/>
          <w:sz w:val="28"/>
          <w:szCs w:val="28"/>
        </w:rPr>
        <w:t>cal system has many gaps, overlaps, and intersections. French linguist Meyer once pointed out: «It seems that, contrary to phonetics and grammar, words do not constitute a system, but at most form some small groups» [</w:t>
      </w:r>
      <w:r>
        <w:rPr>
          <w:sz w:val="28"/>
          <w:szCs w:val="28"/>
        </w:rPr>
        <w:t>17, p. 52</w:t>
      </w:r>
      <w:r>
        <w:rPr>
          <w:color w:val="000000"/>
          <w:sz w:val="28"/>
          <w:szCs w:val="28"/>
        </w:rPr>
        <w:t>]. Germain also pointed out: «</w:t>
      </w:r>
      <w:r>
        <w:rPr>
          <w:color w:val="000000"/>
          <w:sz w:val="28"/>
          <w:szCs w:val="28"/>
        </w:rPr>
        <w:t>Semantic field is a very intriguing hypothesis, but its limitations should not be forgotten: only certain special fields can constitute semantic fields» [</w:t>
      </w:r>
      <w:r>
        <w:rPr>
          <w:sz w:val="28"/>
          <w:szCs w:val="28"/>
        </w:rPr>
        <w:t>14</w:t>
      </w:r>
      <w:r>
        <w:rPr>
          <w:color w:val="000000"/>
          <w:sz w:val="28"/>
          <w:szCs w:val="28"/>
        </w:rPr>
        <w:t>, р. 135-136].</w:t>
      </w:r>
    </w:p>
    <w:p w14:paraId="20F5064C" w14:textId="77777777" w:rsidR="00F74BAF" w:rsidRDefault="00F74BAF">
      <w:pPr>
        <w:pBdr>
          <w:top w:val="nil"/>
          <w:left w:val="nil"/>
          <w:bottom w:val="nil"/>
          <w:right w:val="nil"/>
          <w:between w:val="nil"/>
        </w:pBdr>
        <w:ind w:firstLine="709"/>
        <w:jc w:val="both"/>
        <w:rPr>
          <w:color w:val="000000"/>
          <w:sz w:val="28"/>
          <w:szCs w:val="28"/>
        </w:rPr>
      </w:pPr>
    </w:p>
    <w:p w14:paraId="72FF489B"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Semantic Field Theory's Role and Limitations</w:t>
      </w:r>
    </w:p>
    <w:p w14:paraId="46914896"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As mentioned in the previous section, w</w:t>
      </w:r>
      <w:r>
        <w:rPr>
          <w:color w:val="000000"/>
          <w:sz w:val="28"/>
          <w:szCs w:val="28"/>
        </w:rPr>
        <w:t>hile the actual effectiveness of semantic field theory is still under investigation, its advantage in promoting the application of semantics theory and practice is unquestionable.</w:t>
      </w:r>
    </w:p>
    <w:p w14:paraId="4E9A7A15"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It's worth noticing that semantic field theory has not only influenced the f</w:t>
      </w:r>
      <w:r>
        <w:rPr>
          <w:color w:val="000000"/>
          <w:sz w:val="28"/>
          <w:szCs w:val="28"/>
        </w:rPr>
        <w:t>ield of semantics but has also made significant contributions to studies in other disciplines. A key figure in this research is L. Weisgerber, a scholar contemporary with Trier, who has been a pivotal advocate of this theory and one of the pioneers in this</w:t>
      </w:r>
      <w:r>
        <w:rPr>
          <w:color w:val="000000"/>
          <w:sz w:val="28"/>
          <w:szCs w:val="28"/>
        </w:rPr>
        <w:t xml:space="preserve"> field. He agreed with Trier's view, believing that a word is not an isolated entity but often part of one or more structured, interrelated groups of words with similar concepts. For example, in his work, «Outline of Content-Related Grammar» (1962), he con</w:t>
      </w:r>
      <w:r>
        <w:rPr>
          <w:color w:val="000000"/>
          <w:sz w:val="28"/>
          <w:szCs w:val="28"/>
        </w:rPr>
        <w:t>ducted a detailed analysis of the semantic field surrounding the German word «sterben» 'to die' [</w:t>
      </w:r>
      <w:r>
        <w:rPr>
          <w:sz w:val="28"/>
          <w:szCs w:val="28"/>
        </w:rPr>
        <w:t>18, p. 90</w:t>
      </w:r>
      <w:r>
        <w:rPr>
          <w:color w:val="000000"/>
          <w:sz w:val="28"/>
          <w:szCs w:val="28"/>
        </w:rPr>
        <w:t>].</w:t>
      </w:r>
    </w:p>
    <w:p w14:paraId="174A5E6F"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Weisgerber developed the field theory in scope and depth in the course of his practical application of it, achieving remarkable results. However, h</w:t>
      </w:r>
      <w:r>
        <w:rPr>
          <w:color w:val="000000"/>
          <w:sz w:val="28"/>
          <w:szCs w:val="28"/>
        </w:rPr>
        <w:t>is research goes far beyond the scope of semantics. His primary focus was on the «linguistic intermediary» («sprachichezwischenweit»</w:t>
      </w:r>
      <w:r>
        <w:rPr>
          <w:i/>
          <w:iCs/>
          <w:color w:val="000000"/>
          <w:sz w:val="28"/>
          <w:szCs w:val="28"/>
        </w:rPr>
        <w:t>)</w:t>
      </w:r>
      <w:r>
        <w:rPr>
          <w:color w:val="000000"/>
          <w:sz w:val="28"/>
          <w:szCs w:val="28"/>
        </w:rPr>
        <w:t>, studying the field between humans and the non-linguistic world, where he explored how people structure and interpret thei</w:t>
      </w:r>
      <w:r>
        <w:rPr>
          <w:color w:val="000000"/>
          <w:sz w:val="28"/>
          <w:szCs w:val="28"/>
        </w:rPr>
        <w:t>r experiences through language, specifically via vocabulary and grammar [</w:t>
      </w:r>
      <w:r>
        <w:rPr>
          <w:sz w:val="28"/>
          <w:szCs w:val="28"/>
        </w:rPr>
        <w:t>8</w:t>
      </w:r>
      <w:r>
        <w:rPr>
          <w:color w:val="000000"/>
          <w:sz w:val="28"/>
          <w:szCs w:val="28"/>
        </w:rPr>
        <w:t>, р. 83].</w:t>
      </w:r>
    </w:p>
    <w:p w14:paraId="1B1583E5"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 French linguist G.Matoré started from a completely different premise and developed a field theory that was similar to Trier in many aspects but with a strong sociological orientation. He specifically explained the effectiveness and theoretical basis of</w:t>
      </w:r>
      <w:r>
        <w:rPr>
          <w:color w:val="000000"/>
          <w:sz w:val="28"/>
          <w:szCs w:val="28"/>
        </w:rPr>
        <w:t xml:space="preserve"> his method in «Le Vocabulaire et la societe sous Louis-Philippe» and «La Methode en lexicologie». He agrees with Trier that words must be regarded as elements in a field, but he interprets these fields as sociological units. He said: «We suggest that word</w:t>
      </w:r>
      <w:r>
        <w:rPr>
          <w:color w:val="000000"/>
          <w:sz w:val="28"/>
          <w:szCs w:val="28"/>
        </w:rPr>
        <w:t xml:space="preserve">s should no longer be regarded as isolated things but as a component within a more important whole. We start from the analysis of social structure and classify these wholes into levels» [29, p. </w:t>
      </w:r>
      <w:r>
        <w:rPr>
          <w:sz w:val="28"/>
          <w:szCs w:val="28"/>
        </w:rPr>
        <w:t>13</w:t>
      </w:r>
      <w:r>
        <w:rPr>
          <w:color w:val="000000"/>
          <w:sz w:val="28"/>
          <w:szCs w:val="28"/>
        </w:rPr>
        <w:t>]. The first step of the lexicological methodology is to del</w:t>
      </w:r>
      <w:r>
        <w:rPr>
          <w:color w:val="000000"/>
          <w:sz w:val="28"/>
          <w:szCs w:val="28"/>
        </w:rPr>
        <w:t>imit the period within which the investigation should take place. To this end, the history of the French language is divided into sections of approximately equal length, corresponding to generations. In each period, sociological analysis will discover a hi</w:t>
      </w:r>
      <w:r>
        <w:rPr>
          <w:color w:val="000000"/>
          <w:sz w:val="28"/>
          <w:szCs w:val="28"/>
        </w:rPr>
        <w:t>erarchy of conceptual spheres within which single words are arranged in a certain pattern. For the delimitation of the structure of each field, two further introduced the concepts:  «mot-temoin»</w:t>
      </w:r>
      <w:r>
        <w:rPr>
          <w:i/>
          <w:iCs/>
          <w:color w:val="000000"/>
          <w:sz w:val="28"/>
          <w:szCs w:val="28"/>
        </w:rPr>
        <w:t xml:space="preserve"> </w:t>
      </w:r>
      <w:r>
        <w:rPr>
          <w:color w:val="000000"/>
          <w:sz w:val="28"/>
          <w:szCs w:val="28"/>
        </w:rPr>
        <w:t xml:space="preserve">'witness word' and «mot-clé» 'keyword'. The former refers to </w:t>
      </w:r>
      <w:r>
        <w:rPr>
          <w:color w:val="000000"/>
          <w:sz w:val="28"/>
          <w:szCs w:val="28"/>
        </w:rPr>
        <w:t xml:space="preserve">words representing new concepts that have just emerged, such as «magasin» 'warehouse, store' that emerged in the 1820s. The latter refers to words that express key meanings, which are very attractive, and concentrate on the ideals of a certain generation, </w:t>
      </w:r>
      <w:r>
        <w:rPr>
          <w:color w:val="000000"/>
          <w:sz w:val="28"/>
          <w:szCs w:val="28"/>
        </w:rPr>
        <w:t xml:space="preserve">such as «honnete homme» 'gentleman' that emerged in the </w:t>
      </w:r>
      <w:r>
        <w:rPr>
          <w:sz w:val="28"/>
          <w:szCs w:val="28"/>
        </w:rPr>
        <w:t>seventeen</w:t>
      </w:r>
      <w:r>
        <w:rPr>
          <w:color w:val="000000"/>
          <w:sz w:val="28"/>
          <w:szCs w:val="28"/>
        </w:rPr>
        <w:t xml:space="preserve">th century or «philosophe» 'philosopher, referring to the master who taught people to gamble at that time' that emerged in the </w:t>
      </w:r>
      <w:r>
        <w:rPr>
          <w:sz w:val="28"/>
          <w:szCs w:val="28"/>
        </w:rPr>
        <w:t>eighteen</w:t>
      </w:r>
      <w:r>
        <w:rPr>
          <w:color w:val="000000"/>
          <w:sz w:val="28"/>
          <w:szCs w:val="28"/>
        </w:rPr>
        <w:t>th century' [</w:t>
      </w:r>
      <w:r>
        <w:rPr>
          <w:sz w:val="28"/>
          <w:szCs w:val="28"/>
        </w:rPr>
        <w:t>9</w:t>
      </w:r>
      <w:r>
        <w:rPr>
          <w:color w:val="000000"/>
          <w:sz w:val="28"/>
          <w:szCs w:val="28"/>
        </w:rPr>
        <w:t>, р. 312-313].</w:t>
      </w:r>
    </w:p>
    <w:p w14:paraId="2371AB2E"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The semantic field theory, </w:t>
      </w:r>
      <w:r>
        <w:rPr>
          <w:color w:val="000000"/>
          <w:sz w:val="28"/>
          <w:szCs w:val="28"/>
        </w:rPr>
        <w:t>while being a valuable and attractive methodology, is increasingly revealing its shortco</w:t>
      </w:r>
      <w:r>
        <w:rPr>
          <w:sz w:val="28"/>
          <w:szCs w:val="28"/>
        </w:rPr>
        <w:t>ming</w:t>
      </w:r>
      <w:r>
        <w:rPr>
          <w:color w:val="000000"/>
          <w:sz w:val="28"/>
          <w:szCs w:val="28"/>
        </w:rPr>
        <w:t>s. The most significant problem lies in the lack of clear criteria for defining semantic fields. One of the key questions in the research is determining the boundar</w:t>
      </w:r>
      <w:r>
        <w:rPr>
          <w:color w:val="000000"/>
          <w:sz w:val="28"/>
          <w:szCs w:val="28"/>
        </w:rPr>
        <w:t xml:space="preserve">ies of a semantic field. Traditionally, the researchers have generally define fields from conceptual perspective, using categories like color, kinship, livestock, housing, etc., which means researchers choose certain conceptual domains based on experience </w:t>
      </w:r>
      <w:r>
        <w:rPr>
          <w:color w:val="000000"/>
          <w:sz w:val="28"/>
          <w:szCs w:val="28"/>
        </w:rPr>
        <w:t>or on categories already established in other disciplines (such as sociology, aesthetics, biology, political science, etc.) Some semantic fields have a physical basis that forms clear natural boundaries, say, colors. And some others, shaped by cultural and</w:t>
      </w:r>
      <w:r>
        <w:rPr>
          <w:color w:val="000000"/>
          <w:sz w:val="28"/>
          <w:szCs w:val="28"/>
        </w:rPr>
        <w:t xml:space="preserve"> social factors ‒ such as military ranks, official positions, and academic titles ‒ have clearly defined boundaries. However, most conceptual domains, especially abstract ones, lack solid physical of cultural foundations, which makes the determination of s</w:t>
      </w:r>
      <w:r>
        <w:rPr>
          <w:color w:val="000000"/>
          <w:sz w:val="28"/>
          <w:szCs w:val="28"/>
        </w:rPr>
        <w:t>uch fields highly subjective and arbitrary.  Therefore, it is challenging to determine the members of such semantic fields. Some scholars, including Trier, delineate semantic fields completely by intuition, but most researchers have made great efforts to f</w:t>
      </w:r>
      <w:r>
        <w:rPr>
          <w:color w:val="000000"/>
          <w:sz w:val="28"/>
          <w:szCs w:val="28"/>
        </w:rPr>
        <w:t>ind linguistic or at least objective methods.  For example, American anthropologist F. Lounsbury and others relies on two criteria to define the members of the kinship field in their study. One is based on marital relations and the other on blood relations</w:t>
      </w:r>
      <w:r>
        <w:rPr>
          <w:color w:val="000000"/>
          <w:sz w:val="28"/>
          <w:szCs w:val="28"/>
        </w:rPr>
        <w:t xml:space="preserve">. Though these are not of the linguistic foundation, they can still be taken as objective criteria. Many scholars strive to find linguistic criteria, attempting to analyze etymology, derivation, etc, but the outcomes have been unsatisfactory. In practice, </w:t>
      </w:r>
      <w:r>
        <w:rPr>
          <w:color w:val="000000"/>
          <w:sz w:val="28"/>
          <w:szCs w:val="28"/>
        </w:rPr>
        <w:t>most scholars still have to rely on conceptual means. This is also the reason that, to this day, semantic field research still remains confined to very limited areas such as color, kinship, military ranks, etc..</w:t>
      </w:r>
    </w:p>
    <w:p w14:paraId="5AC0C605"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 distinction between semantic and concept</w:t>
      </w:r>
      <w:r>
        <w:rPr>
          <w:color w:val="000000"/>
          <w:sz w:val="28"/>
          <w:szCs w:val="28"/>
        </w:rPr>
        <w:t xml:space="preserve">ual fields could be more precise. Trier often confused word meanings with concepts, wrongly </w:t>
      </w:r>
      <w:r>
        <w:rPr>
          <w:sz w:val="28"/>
          <w:szCs w:val="28"/>
        </w:rPr>
        <w:t>assuming</w:t>
      </w:r>
      <w:r>
        <w:rPr>
          <w:color w:val="000000"/>
          <w:sz w:val="28"/>
          <w:szCs w:val="28"/>
        </w:rPr>
        <w:t xml:space="preserve"> semantic and conceptual fields are entirely inclusive and corresponding. While semantic analysis usually starts from concepts, distinguishing between the t</w:t>
      </w:r>
      <w:r>
        <w:rPr>
          <w:color w:val="000000"/>
          <w:sz w:val="28"/>
          <w:szCs w:val="28"/>
        </w:rPr>
        <w:t>wo remains problematic. The validity of concept-based conclusions in linguistics needs further exploration.</w:t>
      </w:r>
    </w:p>
    <w:p w14:paraId="3079A481"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Despite these challenges, the theoretical and practical value of semantic field theory endures. As Ullmann noted, field theory remains a fruitful ap</w:t>
      </w:r>
      <w:r>
        <w:rPr>
          <w:color w:val="000000"/>
          <w:sz w:val="28"/>
          <w:szCs w:val="28"/>
        </w:rPr>
        <w:t>proach in modern semantics, maintaining its relevance over time.</w:t>
      </w:r>
    </w:p>
    <w:p w14:paraId="45A8B7EA" w14:textId="77777777" w:rsidR="00F74BAF" w:rsidRDefault="00F74BAF">
      <w:pPr>
        <w:pBdr>
          <w:top w:val="nil"/>
          <w:left w:val="nil"/>
          <w:bottom w:val="nil"/>
          <w:right w:val="nil"/>
          <w:between w:val="nil"/>
        </w:pBdr>
        <w:ind w:firstLine="709"/>
        <w:jc w:val="both"/>
        <w:rPr>
          <w:b/>
          <w:bCs/>
          <w:color w:val="000000"/>
          <w:sz w:val="28"/>
          <w:szCs w:val="28"/>
        </w:rPr>
      </w:pPr>
    </w:p>
    <w:p w14:paraId="74A457AF" w14:textId="77777777" w:rsidR="00F74BAF" w:rsidRDefault="00737583">
      <w:pPr>
        <w:pBdr>
          <w:top w:val="nil"/>
          <w:left w:val="nil"/>
          <w:bottom w:val="nil"/>
          <w:right w:val="nil"/>
          <w:between w:val="nil"/>
        </w:pBdr>
        <w:ind w:firstLine="709"/>
        <w:jc w:val="both"/>
        <w:rPr>
          <w:b/>
          <w:bCs/>
          <w:color w:val="000000"/>
          <w:sz w:val="28"/>
          <w:szCs w:val="28"/>
        </w:rPr>
      </w:pPr>
      <w:r>
        <w:rPr>
          <w:b/>
          <w:bCs/>
          <w:sz w:val="28"/>
          <w:szCs w:val="28"/>
        </w:rPr>
        <w:t>1.4</w:t>
      </w:r>
      <w:r>
        <w:rPr>
          <w:b/>
          <w:bCs/>
          <w:color w:val="000000"/>
          <w:sz w:val="28"/>
          <w:szCs w:val="28"/>
        </w:rPr>
        <w:t xml:space="preserve"> Semantic Relations</w:t>
      </w:r>
    </w:p>
    <w:p w14:paraId="5FC4BFF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Saussure first proposed the concepts of syntagmatic relation and paradigmatic relation. In his book, «Course in General Linguistics», he writes: </w:t>
      </w:r>
    </w:p>
    <w:p w14:paraId="1A048BFF" w14:textId="77777777" w:rsidR="00F74BAF" w:rsidRDefault="00737583">
      <w:pPr>
        <w:pBdr>
          <w:top w:val="nil"/>
          <w:left w:val="nil"/>
          <w:bottom w:val="nil"/>
          <w:right w:val="nil"/>
          <w:between w:val="nil"/>
        </w:pBdr>
        <w:ind w:firstLine="709"/>
        <w:jc w:val="both"/>
        <w:rPr>
          <w:b/>
          <w:bCs/>
          <w:color w:val="000000"/>
          <w:sz w:val="28"/>
          <w:szCs w:val="28"/>
        </w:rPr>
      </w:pPr>
      <w:r>
        <w:rPr>
          <w:color w:val="000000"/>
          <w:sz w:val="28"/>
          <w:szCs w:val="28"/>
        </w:rPr>
        <w:t>«In a language state,</w:t>
      </w:r>
      <w:r>
        <w:rPr>
          <w:color w:val="000000"/>
          <w:sz w:val="28"/>
          <w:szCs w:val="28"/>
        </w:rPr>
        <w:t xml:space="preserve"> everything is based on relations. How do they function? Relations and differences between linguistic terms fall into two distinct groups, each of which generates a certain class of values. The opposition between the two classes gives a better understandin</w:t>
      </w:r>
      <w:r>
        <w:rPr>
          <w:color w:val="000000"/>
          <w:sz w:val="28"/>
          <w:szCs w:val="28"/>
        </w:rPr>
        <w:t>g of the nature of each class. They correspond to two forms of our mental activity, both indispensable to the life of language» [</w:t>
      </w:r>
      <w:r>
        <w:rPr>
          <w:sz w:val="28"/>
          <w:szCs w:val="28"/>
        </w:rPr>
        <w:t>10</w:t>
      </w:r>
      <w:r>
        <w:rPr>
          <w:color w:val="000000"/>
          <w:sz w:val="28"/>
          <w:szCs w:val="28"/>
        </w:rPr>
        <w:t>, р. 122-123].</w:t>
      </w:r>
    </w:p>
    <w:p w14:paraId="3B7B6A63"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Saussure </w:t>
      </w:r>
      <w:r>
        <w:rPr>
          <w:sz w:val="28"/>
          <w:szCs w:val="28"/>
        </w:rPr>
        <w:t>refers to these</w:t>
      </w:r>
      <w:r>
        <w:rPr>
          <w:color w:val="000000"/>
          <w:sz w:val="28"/>
          <w:szCs w:val="28"/>
        </w:rPr>
        <w:t xml:space="preserve"> two groups as «rapport syntagmatiques» and «rapports associatifs». Saussure believes </w:t>
      </w:r>
      <w:r>
        <w:rPr>
          <w:color w:val="000000"/>
          <w:sz w:val="28"/>
          <w:szCs w:val="28"/>
        </w:rPr>
        <w:t>that syntagmatic and associative relations are two axes that construct the language structure. In his view, every language unit is simultaneously positioned in the two relations. The chain of language is extensible, of a linear nature, and irreversible. Tw</w:t>
      </w:r>
      <w:r>
        <w:rPr>
          <w:color w:val="000000"/>
          <w:sz w:val="28"/>
          <w:szCs w:val="28"/>
        </w:rPr>
        <w:t>o linguistic components are impossible to speak at the same time, only spoken one by one; every component gains value in the relationship with the counterparts before and after it [</w:t>
      </w:r>
      <w:r>
        <w:rPr>
          <w:sz w:val="28"/>
          <w:szCs w:val="28"/>
        </w:rPr>
        <w:t>10</w:t>
      </w:r>
      <w:r>
        <w:rPr>
          <w:color w:val="000000"/>
          <w:sz w:val="28"/>
          <w:szCs w:val="28"/>
        </w:rPr>
        <w:t>, р. 70] From the view of associative relation, in the language behaviors</w:t>
      </w:r>
      <w:r>
        <w:rPr>
          <w:color w:val="000000"/>
          <w:sz w:val="28"/>
          <w:szCs w:val="28"/>
        </w:rPr>
        <w:t xml:space="preserve"> that have something in common are associated in the memory, resulting in groups marked by diverse relations. The difference between the syntagmatic and associative relation is that the syntagmatic relation is «in praesentia» 'at presence' but the associat</w:t>
      </w:r>
      <w:r>
        <w:rPr>
          <w:color w:val="000000"/>
          <w:sz w:val="28"/>
          <w:szCs w:val="28"/>
        </w:rPr>
        <w:t>ive relation is «in absentia» 'in absence', which means the former one is based on two or more terms that occur in an effective series, and the latter on is in a potential associative mnemonic series [</w:t>
      </w:r>
      <w:r>
        <w:rPr>
          <w:sz w:val="28"/>
          <w:szCs w:val="28"/>
        </w:rPr>
        <w:t>10</w:t>
      </w:r>
      <w:r>
        <w:rPr>
          <w:color w:val="000000"/>
          <w:sz w:val="28"/>
          <w:szCs w:val="28"/>
        </w:rPr>
        <w:t>, р. 123].</w:t>
      </w:r>
    </w:p>
    <w:p w14:paraId="08AD2D03"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In modern linguistics, the concept of synt</w:t>
      </w:r>
      <w:r>
        <w:rPr>
          <w:color w:val="000000"/>
          <w:sz w:val="28"/>
          <w:szCs w:val="28"/>
        </w:rPr>
        <w:t>agmatic and paradigmatic relations plays a significant role and has been applied in morphology, syntax, phonology, and semantics. Clarifying and exploring these two relations is vital for semantic studies. The semantic structure is composed of all semantic</w:t>
      </w:r>
      <w:r>
        <w:rPr>
          <w:color w:val="000000"/>
          <w:sz w:val="28"/>
          <w:szCs w:val="28"/>
        </w:rPr>
        <w:t xml:space="preserve"> relations associated with a certain concept. Therefore, syntagmatic and paradigmatic relations are the very basis for examining the semantic structures of words, phrases, and sentences.</w:t>
      </w:r>
    </w:p>
    <w:p w14:paraId="76A485C8"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In sum, the syntagmatic relation means that a term acquires its value</w:t>
      </w:r>
      <w:r>
        <w:rPr>
          <w:color w:val="000000"/>
          <w:sz w:val="28"/>
          <w:szCs w:val="28"/>
        </w:rPr>
        <w:t xml:space="preserve"> by standing in opposition to everything that precedes or follows it. The associative relation is formed by the common characters (the same root or affix) in some cases or the types of signifiers in others. Thus, the commonality of semantics is the main re</w:t>
      </w:r>
      <w:r>
        <w:rPr>
          <w:color w:val="000000"/>
          <w:sz w:val="28"/>
          <w:szCs w:val="28"/>
        </w:rPr>
        <w:t xml:space="preserve">ason for producing associative relations, and this commonality forms the paradigmatic relations in semantics. </w:t>
      </w:r>
    </w:p>
    <w:p w14:paraId="20AD449E" w14:textId="77777777" w:rsidR="00F74BAF" w:rsidRDefault="00F74BAF">
      <w:pPr>
        <w:pBdr>
          <w:top w:val="nil"/>
          <w:left w:val="nil"/>
          <w:bottom w:val="nil"/>
          <w:right w:val="nil"/>
          <w:between w:val="nil"/>
        </w:pBdr>
        <w:ind w:firstLine="709"/>
        <w:jc w:val="both"/>
        <w:rPr>
          <w:b/>
          <w:bCs/>
          <w:color w:val="000000"/>
          <w:sz w:val="28"/>
          <w:szCs w:val="28"/>
        </w:rPr>
      </w:pPr>
    </w:p>
    <w:p w14:paraId="322E17B9"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Semantic syntagmatic relation</w:t>
      </w:r>
    </w:p>
    <w:p w14:paraId="2D50E22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As we mentioned above, around the same time when the German linguist G. Trier proposed the semantic field theory f</w:t>
      </w:r>
      <w:r>
        <w:rPr>
          <w:color w:val="000000"/>
          <w:sz w:val="28"/>
          <w:szCs w:val="28"/>
        </w:rPr>
        <w:t>rom the perspective of paradigmatic, or associative relations, another German linguist, W. Porzig, introduced a theory of semantic fields from the perspective of syntagmatic, or combinatorial relation. Porzig based his theory on analyzing the internal rela</w:t>
      </w:r>
      <w:r>
        <w:rPr>
          <w:color w:val="000000"/>
          <w:sz w:val="28"/>
          <w:szCs w:val="28"/>
        </w:rPr>
        <w:t>tionships holding within two-element combinations such as noun, verb, and adjective. By doing so Porzig revealed that words within the same phrase often share certain related semantic features, which means there exists a close semantic collocational relati</w:t>
      </w:r>
      <w:r>
        <w:rPr>
          <w:color w:val="000000"/>
          <w:sz w:val="28"/>
          <w:szCs w:val="28"/>
        </w:rPr>
        <w:t>onship between the components of a phrase. The type of collocational relationship he referred to is what we now call the syntagmatic relation of words [</w:t>
      </w:r>
      <w:r>
        <w:rPr>
          <w:sz w:val="28"/>
          <w:szCs w:val="28"/>
        </w:rPr>
        <w:t>8</w:t>
      </w:r>
      <w:r>
        <w:rPr>
          <w:color w:val="000000"/>
          <w:sz w:val="28"/>
          <w:szCs w:val="28"/>
        </w:rPr>
        <w:t>, р. 107-109].</w:t>
      </w:r>
    </w:p>
    <w:p w14:paraId="13000899"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Such collocational relationships are universally present across languages. The British l</w:t>
      </w:r>
      <w:r>
        <w:rPr>
          <w:color w:val="000000"/>
          <w:sz w:val="28"/>
          <w:szCs w:val="28"/>
        </w:rPr>
        <w:t xml:space="preserve">inguist J.R. Firth </w:t>
      </w:r>
      <w:r>
        <w:rPr>
          <w:sz w:val="28"/>
          <w:szCs w:val="28"/>
        </w:rPr>
        <w:t>proposed</w:t>
      </w:r>
      <w:r>
        <w:rPr>
          <w:color w:val="000000"/>
          <w:sz w:val="28"/>
          <w:szCs w:val="28"/>
        </w:rPr>
        <w:t xml:space="preserve"> the concept «collocation» in the 1950s. He argued, «You shall know a word by the partner it keeps». He once made an example of the word «ass», which occurred in older English it commonly appeared with expression like: «You silly</w:t>
      </w:r>
      <w:r>
        <w:rPr>
          <w:color w:val="000000"/>
          <w:sz w:val="28"/>
          <w:szCs w:val="28"/>
        </w:rPr>
        <w:t xml:space="preserve"> ass», or «Don't be such an ass»</w:t>
      </w:r>
      <w:r>
        <w:rPr>
          <w:i/>
          <w:iCs/>
          <w:color w:val="000000"/>
          <w:sz w:val="28"/>
          <w:szCs w:val="28"/>
        </w:rPr>
        <w:t xml:space="preserve">; </w:t>
      </w:r>
      <w:r>
        <w:rPr>
          <w:color w:val="000000"/>
          <w:sz w:val="28"/>
          <w:szCs w:val="28"/>
        </w:rPr>
        <w:t>it also collocated with adjectives such as «silly», «obstinate», «stupid», «awful», and even «egregious». He commented: «To see what words appear together with a given word is to understand its meaning» [</w:t>
      </w:r>
      <w:r>
        <w:rPr>
          <w:sz w:val="28"/>
          <w:szCs w:val="28"/>
        </w:rPr>
        <w:t>3</w:t>
      </w:r>
      <w:r>
        <w:rPr>
          <w:color w:val="000000"/>
          <w:sz w:val="28"/>
          <w:szCs w:val="28"/>
        </w:rPr>
        <w:t>, р. 76]. Clearly</w:t>
      </w:r>
      <w:r>
        <w:rPr>
          <w:color w:val="000000"/>
          <w:sz w:val="28"/>
          <w:szCs w:val="28"/>
        </w:rPr>
        <w:t xml:space="preserve">, he regarded the phenomenon of collocation as part </w:t>
      </w:r>
      <w:r>
        <w:rPr>
          <w:sz w:val="28"/>
          <w:szCs w:val="28"/>
        </w:rPr>
        <w:t>of the word's</w:t>
      </w:r>
      <w:r>
        <w:rPr>
          <w:color w:val="000000"/>
          <w:sz w:val="28"/>
          <w:szCs w:val="28"/>
        </w:rPr>
        <w:t xml:space="preserve"> semantic content.</w:t>
      </w:r>
    </w:p>
    <w:p w14:paraId="03568BAF"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Some scholars have focused on observing lexical meaning within contextual environments, examining the various changes in meaning that context can bring. For example, French</w:t>
      </w:r>
      <w:r>
        <w:rPr>
          <w:color w:val="000000"/>
          <w:sz w:val="28"/>
          <w:szCs w:val="28"/>
        </w:rPr>
        <w:t xml:space="preserve"> linguist A. Eskenazi analyzed certain semantic features of the French words «blanc» 'white' and «noir» 'black' within specific contexts. He found that blanc in some collocations signifies minimal facts, such as «voix blanche» 'a flat, toneless voice', «ar</w:t>
      </w:r>
      <w:r>
        <w:rPr>
          <w:color w:val="000000"/>
          <w:sz w:val="28"/>
          <w:szCs w:val="28"/>
        </w:rPr>
        <w:t>me blanche» 'cold weapon like a sword', and «nuit blanche» 'a sleepless night'. On the other hand, «noir» in some combinations signifies extreme situations or states that go beyond the norm, such as in «être dans une colère noire» 'to be in a towering rage</w:t>
      </w:r>
      <w:r>
        <w:rPr>
          <w:color w:val="000000"/>
          <w:sz w:val="28"/>
          <w:szCs w:val="28"/>
        </w:rPr>
        <w:t>', «misère noire»</w:t>
      </w:r>
      <w:r>
        <w:rPr>
          <w:i/>
          <w:iCs/>
          <w:color w:val="000000"/>
          <w:sz w:val="28"/>
          <w:szCs w:val="28"/>
        </w:rPr>
        <w:t xml:space="preserve"> '</w:t>
      </w:r>
      <w:r>
        <w:rPr>
          <w:color w:val="000000"/>
          <w:sz w:val="28"/>
          <w:szCs w:val="28"/>
        </w:rPr>
        <w:t>extreme poverty', or «marché noir» 'black market, illicit trading' [</w:t>
      </w:r>
      <w:r>
        <w:rPr>
          <w:sz w:val="28"/>
          <w:szCs w:val="28"/>
        </w:rPr>
        <w:t>20, p. 111</w:t>
      </w:r>
      <w:r>
        <w:rPr>
          <w:color w:val="000000"/>
          <w:sz w:val="28"/>
          <w:szCs w:val="28"/>
        </w:rPr>
        <w:t>].</w:t>
      </w:r>
    </w:p>
    <w:p w14:paraId="2A397199"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From this, it is clear that semantic combinational relationships have long drawn the attention of many scholars. However, overall, the study of syntagmatic </w:t>
      </w:r>
      <w:r>
        <w:rPr>
          <w:color w:val="000000"/>
          <w:sz w:val="28"/>
          <w:szCs w:val="28"/>
        </w:rPr>
        <w:t xml:space="preserve">semantic relations still lacks systematic and in-depth research, and many issues remain to be further explored. </w:t>
      </w:r>
    </w:p>
    <w:p w14:paraId="78C7B6D2" w14:textId="77777777" w:rsidR="00F74BAF" w:rsidRDefault="00F74BAF">
      <w:pPr>
        <w:pBdr>
          <w:top w:val="nil"/>
          <w:left w:val="nil"/>
          <w:bottom w:val="nil"/>
          <w:right w:val="nil"/>
          <w:between w:val="nil"/>
        </w:pBdr>
        <w:ind w:firstLine="709"/>
        <w:jc w:val="both"/>
        <w:rPr>
          <w:b/>
          <w:bCs/>
          <w:color w:val="000000"/>
          <w:sz w:val="28"/>
          <w:szCs w:val="28"/>
        </w:rPr>
      </w:pPr>
    </w:p>
    <w:p w14:paraId="20BD97FE"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Semantic paradigmatic relations</w:t>
      </w:r>
    </w:p>
    <w:p w14:paraId="247CAEF0"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Compared with the study of syntagmatic relations of word meaning, studies on paradigmatic relations have been </w:t>
      </w:r>
      <w:r>
        <w:rPr>
          <w:color w:val="000000"/>
          <w:sz w:val="28"/>
          <w:szCs w:val="28"/>
        </w:rPr>
        <w:t>much more extensive. Traditional lexicology, when discussing semantic relations, predominantly utilizes the terms 'synonymy' and 'antonymy,' which represent analyses from a paradigmatic perspective. However, it is now prominent that these terms fail to acc</w:t>
      </w:r>
      <w:r>
        <w:rPr>
          <w:color w:val="000000"/>
          <w:sz w:val="28"/>
          <w:szCs w:val="28"/>
        </w:rPr>
        <w:t xml:space="preserve">urately reflect the actual paradigmatic relationships between word meanings. The following is a review of modern semantic research on paradigmatic relations of word meaning. </w:t>
      </w:r>
    </w:p>
    <w:p w14:paraId="5E4FE17C" w14:textId="77777777" w:rsidR="00F74BAF" w:rsidRDefault="00F74BAF">
      <w:pPr>
        <w:pBdr>
          <w:top w:val="nil"/>
          <w:left w:val="nil"/>
          <w:bottom w:val="nil"/>
          <w:right w:val="nil"/>
          <w:between w:val="nil"/>
        </w:pBdr>
        <w:ind w:firstLine="709"/>
        <w:jc w:val="both"/>
        <w:rPr>
          <w:b/>
          <w:bCs/>
          <w:color w:val="000000"/>
          <w:sz w:val="28"/>
          <w:szCs w:val="28"/>
        </w:rPr>
      </w:pPr>
    </w:p>
    <w:p w14:paraId="398A4A0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 basic types of the semantic paradigmatic relations</w:t>
      </w:r>
    </w:p>
    <w:p w14:paraId="09460127"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 terminology of «synon</w:t>
      </w:r>
      <w:r>
        <w:rPr>
          <w:color w:val="000000"/>
          <w:sz w:val="28"/>
          <w:szCs w:val="28"/>
        </w:rPr>
        <w:t>ymy» and «antonymy» in traditional lexicology is relatively vague and needs to be clarified. The concept of antonyms is especially ambiguous and far from exactly reflecting the actual paradigmatic relationships of word meaning. Modern semanticists have ree</w:t>
      </w:r>
      <w:r>
        <w:rPr>
          <w:color w:val="000000"/>
          <w:sz w:val="28"/>
          <w:szCs w:val="28"/>
        </w:rPr>
        <w:t>xamined the theory and proposed a new method of classification.</w:t>
      </w:r>
    </w:p>
    <w:p w14:paraId="5DA6E126"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 British linguist D. Cruse states in his work, «Lexical semantics», that:</w:t>
      </w:r>
    </w:p>
    <w:p w14:paraId="6618608B"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«Paradigmatic relations, for the most part, reflect the way infinitely and continuously varied experienced reality </w:t>
      </w:r>
      <w:r>
        <w:rPr>
          <w:color w:val="000000"/>
          <w:sz w:val="28"/>
          <w:szCs w:val="28"/>
        </w:rPr>
        <w:t>is apprehended and controlled through being categorized, sub categorized and graded along specific dimensions of variation. They represent systems of choices a speaker faces when encoding his message» [</w:t>
      </w:r>
      <w:r>
        <w:rPr>
          <w:sz w:val="28"/>
          <w:szCs w:val="28"/>
        </w:rPr>
        <w:t>21, p. 86</w:t>
      </w:r>
      <w:r>
        <w:rPr>
          <w:color w:val="000000"/>
          <w:sz w:val="28"/>
          <w:szCs w:val="28"/>
        </w:rPr>
        <w:t>].</w:t>
      </w:r>
    </w:p>
    <w:p w14:paraId="503CAA5C"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He divides the paradigmatic relations into</w:t>
      </w:r>
      <w:r>
        <w:rPr>
          <w:color w:val="000000"/>
          <w:sz w:val="28"/>
          <w:szCs w:val="28"/>
        </w:rPr>
        <w:t xml:space="preserve"> four groups, as the diagrams shown below (figure 5). </w:t>
      </w:r>
    </w:p>
    <w:p w14:paraId="42605A8C" w14:textId="77777777" w:rsidR="00F74BAF" w:rsidRDefault="00F74BAF">
      <w:pPr>
        <w:pBdr>
          <w:top w:val="nil"/>
          <w:left w:val="nil"/>
          <w:bottom w:val="nil"/>
          <w:right w:val="nil"/>
          <w:between w:val="nil"/>
        </w:pBdr>
        <w:ind w:firstLine="567"/>
        <w:jc w:val="both"/>
        <w:rPr>
          <w:color w:val="000000"/>
          <w:sz w:val="28"/>
          <w:szCs w:val="28"/>
        </w:rPr>
      </w:pPr>
    </w:p>
    <w:p w14:paraId="057E7F82" w14:textId="77777777" w:rsidR="00F74BAF" w:rsidRDefault="00F74BAF">
      <w:pPr>
        <w:pBdr>
          <w:top w:val="nil"/>
          <w:left w:val="nil"/>
          <w:bottom w:val="nil"/>
          <w:right w:val="nil"/>
          <w:between w:val="nil"/>
        </w:pBdr>
        <w:ind w:firstLine="567"/>
        <w:jc w:val="both"/>
        <w:rPr>
          <w:color w:val="000000"/>
          <w:sz w:val="28"/>
          <w:szCs w:val="28"/>
        </w:rPr>
      </w:pPr>
    </w:p>
    <w:p w14:paraId="60EE5F1D" w14:textId="77777777" w:rsidR="00F74BAF" w:rsidRDefault="00F74BAF">
      <w:pPr>
        <w:pBdr>
          <w:top w:val="nil"/>
          <w:left w:val="nil"/>
          <w:bottom w:val="nil"/>
          <w:right w:val="nil"/>
          <w:between w:val="nil"/>
        </w:pBdr>
        <w:ind w:firstLine="567"/>
        <w:jc w:val="both"/>
        <w:rPr>
          <w:color w:val="000000"/>
          <w:sz w:val="28"/>
          <w:szCs w:val="28"/>
        </w:rPr>
      </w:pPr>
    </w:p>
    <w:p w14:paraId="33C3C0EA" w14:textId="77777777" w:rsidR="00F74BAF" w:rsidRDefault="00F74BAF">
      <w:pPr>
        <w:pBdr>
          <w:top w:val="nil"/>
          <w:left w:val="nil"/>
          <w:bottom w:val="nil"/>
          <w:right w:val="nil"/>
          <w:between w:val="nil"/>
        </w:pBdr>
        <w:ind w:firstLine="567"/>
        <w:jc w:val="both"/>
        <w:rPr>
          <w:sz w:val="28"/>
          <w:szCs w:val="28"/>
        </w:rPr>
      </w:pPr>
    </w:p>
    <w:p w14:paraId="77CCA1A1" w14:textId="77777777" w:rsidR="00F74BAF" w:rsidRDefault="00F74BAF">
      <w:pPr>
        <w:pBdr>
          <w:top w:val="nil"/>
          <w:left w:val="nil"/>
          <w:bottom w:val="nil"/>
          <w:right w:val="nil"/>
          <w:between w:val="nil"/>
        </w:pBdr>
        <w:ind w:firstLine="567"/>
        <w:jc w:val="both"/>
        <w:rPr>
          <w:sz w:val="28"/>
          <w:szCs w:val="28"/>
        </w:rPr>
      </w:pPr>
    </w:p>
    <w:p w14:paraId="0061886A" w14:textId="77777777" w:rsidR="00F74BAF" w:rsidRDefault="00F74BAF">
      <w:pPr>
        <w:pBdr>
          <w:top w:val="nil"/>
          <w:left w:val="nil"/>
          <w:bottom w:val="nil"/>
          <w:right w:val="nil"/>
          <w:between w:val="nil"/>
        </w:pBdr>
        <w:ind w:firstLine="567"/>
        <w:jc w:val="both"/>
        <w:rPr>
          <w:sz w:val="28"/>
          <w:szCs w:val="28"/>
        </w:rPr>
      </w:pPr>
    </w:p>
    <w:p w14:paraId="38BB05C7" w14:textId="77777777" w:rsidR="00F74BAF" w:rsidRDefault="00F74BAF">
      <w:pPr>
        <w:pBdr>
          <w:top w:val="nil"/>
          <w:left w:val="nil"/>
          <w:bottom w:val="nil"/>
          <w:right w:val="nil"/>
          <w:between w:val="nil"/>
        </w:pBdr>
        <w:ind w:firstLine="567"/>
        <w:jc w:val="both"/>
        <w:rPr>
          <w:color w:val="000000"/>
          <w:sz w:val="28"/>
          <w:szCs w:val="28"/>
        </w:rPr>
      </w:pPr>
    </w:p>
    <w:p w14:paraId="79D970C4" w14:textId="77777777" w:rsidR="00F74BAF" w:rsidRDefault="00F74BAF">
      <w:pPr>
        <w:pBdr>
          <w:top w:val="nil"/>
          <w:left w:val="nil"/>
          <w:bottom w:val="nil"/>
          <w:right w:val="nil"/>
          <w:between w:val="nil"/>
        </w:pBdr>
        <w:ind w:firstLine="567"/>
        <w:jc w:val="center"/>
        <w:rPr>
          <w:color w:val="000000"/>
          <w:sz w:val="28"/>
          <w:szCs w:val="28"/>
        </w:rPr>
      </w:pPr>
    </w:p>
    <w:p w14:paraId="25C816C0" w14:textId="77777777" w:rsidR="00F74BAF" w:rsidRDefault="00737583">
      <w:pPr>
        <w:pBdr>
          <w:top w:val="nil"/>
          <w:left w:val="nil"/>
          <w:bottom w:val="nil"/>
          <w:right w:val="nil"/>
          <w:between w:val="nil"/>
        </w:pBdr>
        <w:ind w:firstLine="567"/>
        <w:jc w:val="center"/>
        <w:rPr>
          <w:color w:val="000000"/>
          <w:sz w:val="28"/>
          <w:szCs w:val="28"/>
        </w:rPr>
      </w:pPr>
      <w:r>
        <w:rPr>
          <w:color w:val="000000"/>
          <w:sz w:val="28"/>
          <w:szCs w:val="28"/>
        </w:rPr>
        <w:tab/>
      </w:r>
      <w:r>
        <w:rPr>
          <w:color w:val="000000"/>
          <w:sz w:val="28"/>
          <w:szCs w:val="28"/>
        </w:rPr>
        <w:tab/>
      </w:r>
      <w:r>
        <w:rPr>
          <w:noProof/>
          <w:lang w:val="ru-RU" w:eastAsia="ru-RU"/>
        </w:rPr>
        <w:drawing>
          <wp:anchor distT="152400" distB="152400" distL="152400" distR="152400" simplePos="0" relativeHeight="251662336" behindDoc="0" locked="0" layoutInCell="1" hidden="0" allowOverlap="1" wp14:anchorId="3FD0F101" wp14:editId="4DBA9B4A">
            <wp:simplePos x="0" y="0"/>
            <wp:positionH relativeFrom="column">
              <wp:posOffset>447675</wp:posOffset>
            </wp:positionH>
            <wp:positionV relativeFrom="paragraph">
              <wp:posOffset>353653</wp:posOffset>
            </wp:positionV>
            <wp:extent cx="1657985" cy="1605280"/>
            <wp:effectExtent l="0" t="0" r="0" b="0"/>
            <wp:wrapSquare wrapText="bothSides" distT="152400" distB="152400" distL="152400" distR="152400"/>
            <wp:docPr id="1073741896" name="image3.png" descr="Image"/>
            <wp:cNvGraphicFramePr/>
            <a:graphic xmlns:a="http://schemas.openxmlformats.org/drawingml/2006/main">
              <a:graphicData uri="http://schemas.openxmlformats.org/drawingml/2006/picture">
                <pic:pic xmlns:pic="http://schemas.openxmlformats.org/drawingml/2006/picture">
                  <pic:nvPicPr>
                    <pic:cNvPr id="0" name="image3.png" descr="Image"/>
                    <pic:cNvPicPr preferRelativeResize="0"/>
                  </pic:nvPicPr>
                  <pic:blipFill>
                    <a:blip r:embed="rId12"/>
                    <a:srcRect l="22938" t="4651" r="20282" b="7557"/>
                    <a:stretch>
                      <a:fillRect/>
                    </a:stretch>
                  </pic:blipFill>
                  <pic:spPr>
                    <a:xfrm>
                      <a:off x="0" y="0"/>
                      <a:ext cx="1657985" cy="1605280"/>
                    </a:xfrm>
                    <a:prstGeom prst="rect">
                      <a:avLst/>
                    </a:prstGeom>
                    <a:ln/>
                  </pic:spPr>
                </pic:pic>
              </a:graphicData>
            </a:graphic>
          </wp:anchor>
        </w:drawing>
      </w:r>
    </w:p>
    <w:p w14:paraId="081D8DDC" w14:textId="77777777" w:rsidR="00F74BAF" w:rsidRDefault="00737583">
      <w:pPr>
        <w:pBdr>
          <w:top w:val="nil"/>
          <w:left w:val="nil"/>
          <w:bottom w:val="nil"/>
          <w:right w:val="nil"/>
          <w:between w:val="nil"/>
        </w:pBdr>
        <w:jc w:val="center"/>
        <w:rPr>
          <w:color w:val="000000"/>
          <w:sz w:val="16"/>
          <w:szCs w:val="16"/>
        </w:rPr>
      </w:pPr>
      <w:r>
        <w:rPr>
          <w:noProof/>
          <w:lang w:val="ru-RU" w:eastAsia="ru-RU"/>
        </w:rPr>
        <w:drawing>
          <wp:anchor distT="152400" distB="152400" distL="152400" distR="152400" simplePos="0" relativeHeight="251663360" behindDoc="0" locked="0" layoutInCell="1" hidden="0" allowOverlap="1" wp14:anchorId="0AE43D41" wp14:editId="710E9225">
            <wp:simplePos x="0" y="0"/>
            <wp:positionH relativeFrom="column">
              <wp:posOffset>3533775</wp:posOffset>
            </wp:positionH>
            <wp:positionV relativeFrom="paragraph">
              <wp:posOffset>154929</wp:posOffset>
            </wp:positionV>
            <wp:extent cx="1562735" cy="1520190"/>
            <wp:effectExtent l="0" t="0" r="0" b="0"/>
            <wp:wrapSquare wrapText="bothSides" distT="152400" distB="152400" distL="152400" distR="152400"/>
            <wp:docPr id="1073741891" name="image9.png" descr="Image"/>
            <wp:cNvGraphicFramePr/>
            <a:graphic xmlns:a="http://schemas.openxmlformats.org/drawingml/2006/main">
              <a:graphicData uri="http://schemas.openxmlformats.org/drawingml/2006/picture">
                <pic:pic xmlns:pic="http://schemas.openxmlformats.org/drawingml/2006/picture">
                  <pic:nvPicPr>
                    <pic:cNvPr id="0" name="image9.png" descr="Image"/>
                    <pic:cNvPicPr preferRelativeResize="0"/>
                  </pic:nvPicPr>
                  <pic:blipFill>
                    <a:blip r:embed="rId13"/>
                    <a:srcRect l="16475" t="5985" r="12287" b="8375"/>
                    <a:stretch>
                      <a:fillRect/>
                    </a:stretch>
                  </pic:blipFill>
                  <pic:spPr>
                    <a:xfrm>
                      <a:off x="0" y="0"/>
                      <a:ext cx="1562735" cy="1520190"/>
                    </a:xfrm>
                    <a:prstGeom prst="rect">
                      <a:avLst/>
                    </a:prstGeom>
                    <a:ln/>
                  </pic:spPr>
                </pic:pic>
              </a:graphicData>
            </a:graphic>
          </wp:anchor>
        </w:drawing>
      </w:r>
    </w:p>
    <w:p w14:paraId="70D7D6AF" w14:textId="77777777" w:rsidR="00F74BAF" w:rsidRDefault="00737583">
      <w:pPr>
        <w:pBdr>
          <w:top w:val="nil"/>
          <w:left w:val="nil"/>
          <w:bottom w:val="nil"/>
          <w:right w:val="nil"/>
          <w:between w:val="nil"/>
        </w:pBdr>
        <w:rPr>
          <w:color w:val="000000"/>
        </w:rPr>
      </w:pPr>
      <w:r>
        <w:t xml:space="preserve">                             </w:t>
      </w:r>
      <w:r>
        <w:rPr>
          <w:color w:val="000000"/>
        </w:rPr>
        <w:t xml:space="preserve">                                        </w:t>
      </w:r>
      <w:r>
        <w:t xml:space="preserve">                                                              </w:t>
      </w:r>
    </w:p>
    <w:p w14:paraId="2353E665" w14:textId="77777777" w:rsidR="00F74BAF" w:rsidRDefault="00F74BAF">
      <w:pPr>
        <w:pBdr>
          <w:top w:val="nil"/>
          <w:left w:val="nil"/>
          <w:bottom w:val="nil"/>
          <w:right w:val="nil"/>
          <w:between w:val="nil"/>
        </w:pBdr>
        <w:ind w:firstLine="2552"/>
        <w:rPr>
          <w:color w:val="000000"/>
          <w:sz w:val="28"/>
          <w:szCs w:val="28"/>
        </w:rPr>
      </w:pPr>
    </w:p>
    <w:p w14:paraId="64BA7D0B" w14:textId="77777777" w:rsidR="00F74BAF" w:rsidRDefault="00F74BAF">
      <w:pPr>
        <w:pBdr>
          <w:top w:val="nil"/>
          <w:left w:val="nil"/>
          <w:bottom w:val="nil"/>
          <w:right w:val="nil"/>
          <w:between w:val="nil"/>
        </w:pBdr>
        <w:ind w:firstLine="567"/>
        <w:jc w:val="both"/>
        <w:rPr>
          <w:color w:val="000000"/>
          <w:sz w:val="28"/>
          <w:szCs w:val="28"/>
        </w:rPr>
      </w:pPr>
    </w:p>
    <w:p w14:paraId="615BEC5B" w14:textId="77777777" w:rsidR="00F74BAF" w:rsidRDefault="00F74BAF">
      <w:pPr>
        <w:pBdr>
          <w:top w:val="nil"/>
          <w:left w:val="nil"/>
          <w:bottom w:val="nil"/>
          <w:right w:val="nil"/>
          <w:between w:val="nil"/>
        </w:pBdr>
        <w:ind w:firstLine="567"/>
        <w:jc w:val="both"/>
        <w:rPr>
          <w:color w:val="000000"/>
          <w:sz w:val="28"/>
          <w:szCs w:val="28"/>
        </w:rPr>
      </w:pPr>
    </w:p>
    <w:p w14:paraId="1E874557" w14:textId="77777777" w:rsidR="00F74BAF" w:rsidRDefault="00F74BAF">
      <w:pPr>
        <w:pBdr>
          <w:top w:val="nil"/>
          <w:left w:val="nil"/>
          <w:bottom w:val="nil"/>
          <w:right w:val="nil"/>
          <w:between w:val="nil"/>
        </w:pBdr>
        <w:ind w:firstLine="567"/>
        <w:jc w:val="both"/>
        <w:rPr>
          <w:color w:val="000000"/>
          <w:sz w:val="28"/>
          <w:szCs w:val="28"/>
        </w:rPr>
      </w:pPr>
    </w:p>
    <w:p w14:paraId="467BCBC2" w14:textId="77777777" w:rsidR="00F74BAF" w:rsidRDefault="00F74BAF">
      <w:pPr>
        <w:pBdr>
          <w:top w:val="nil"/>
          <w:left w:val="nil"/>
          <w:bottom w:val="nil"/>
          <w:right w:val="nil"/>
          <w:between w:val="nil"/>
        </w:pBdr>
        <w:ind w:firstLine="567"/>
        <w:jc w:val="both"/>
        <w:rPr>
          <w:color w:val="000000"/>
          <w:sz w:val="28"/>
          <w:szCs w:val="28"/>
        </w:rPr>
      </w:pPr>
    </w:p>
    <w:p w14:paraId="1644B150" w14:textId="77777777" w:rsidR="00F74BAF" w:rsidRDefault="00737583">
      <w:pPr>
        <w:rPr>
          <w:color w:val="000000"/>
          <w:sz w:val="28"/>
          <w:szCs w:val="28"/>
        </w:rPr>
      </w:pPr>
      <w:r>
        <w:t>a</w:t>
      </w:r>
      <w:r>
        <w:rPr>
          <w:sz w:val="28"/>
          <w:szCs w:val="28"/>
        </w:rPr>
        <w:t xml:space="preserve">    </w:t>
      </w:r>
      <w:r>
        <w:t>b</w:t>
      </w:r>
      <w:r>
        <w:rPr>
          <w:noProof/>
          <w:lang w:val="ru-RU" w:eastAsia="ru-RU"/>
        </w:rPr>
        <w:drawing>
          <wp:anchor distT="152400" distB="152400" distL="152400" distR="152400" simplePos="0" relativeHeight="251664384" behindDoc="0" locked="0" layoutInCell="1" hidden="0" allowOverlap="1" wp14:anchorId="570983BC" wp14:editId="230FAB86">
            <wp:simplePos x="0" y="0"/>
            <wp:positionH relativeFrom="column">
              <wp:posOffset>2076450</wp:posOffset>
            </wp:positionH>
            <wp:positionV relativeFrom="paragraph">
              <wp:posOffset>304800</wp:posOffset>
            </wp:positionV>
            <wp:extent cx="2458085" cy="2073275"/>
            <wp:effectExtent l="0" t="0" r="0" b="0"/>
            <wp:wrapSquare wrapText="bothSides" distT="152400" distB="152400" distL="152400" distR="152400"/>
            <wp:docPr id="1073741892" name="image8.png" descr="Image"/>
            <wp:cNvGraphicFramePr/>
            <a:graphic xmlns:a="http://schemas.openxmlformats.org/drawingml/2006/main">
              <a:graphicData uri="http://schemas.openxmlformats.org/drawingml/2006/picture">
                <pic:pic xmlns:pic="http://schemas.openxmlformats.org/drawingml/2006/picture">
                  <pic:nvPicPr>
                    <pic:cNvPr id="0" name="image8.png" descr="Image"/>
                    <pic:cNvPicPr preferRelativeResize="0"/>
                  </pic:nvPicPr>
                  <pic:blipFill>
                    <a:blip r:embed="rId14"/>
                    <a:srcRect l="11918" r="13226" b="7455"/>
                    <a:stretch>
                      <a:fillRect/>
                    </a:stretch>
                  </pic:blipFill>
                  <pic:spPr>
                    <a:xfrm>
                      <a:off x="0" y="0"/>
                      <a:ext cx="2458085" cy="2073275"/>
                    </a:xfrm>
                    <a:prstGeom prst="rect">
                      <a:avLst/>
                    </a:prstGeom>
                    <a:ln/>
                  </pic:spPr>
                </pic:pic>
              </a:graphicData>
            </a:graphic>
          </wp:anchor>
        </w:drawing>
      </w:r>
    </w:p>
    <w:p w14:paraId="645309C0" w14:textId="77777777" w:rsidR="00F74BAF" w:rsidRDefault="00F74BAF">
      <w:pPr>
        <w:pBdr>
          <w:top w:val="nil"/>
          <w:left w:val="nil"/>
          <w:bottom w:val="nil"/>
          <w:right w:val="nil"/>
          <w:between w:val="nil"/>
        </w:pBdr>
        <w:ind w:firstLine="567"/>
        <w:jc w:val="both"/>
        <w:rPr>
          <w:color w:val="000000"/>
          <w:sz w:val="28"/>
          <w:szCs w:val="28"/>
        </w:rPr>
      </w:pPr>
    </w:p>
    <w:p w14:paraId="60A9F3B9" w14:textId="77777777" w:rsidR="00F74BAF" w:rsidRDefault="00F74BAF">
      <w:pPr>
        <w:pBdr>
          <w:top w:val="nil"/>
          <w:left w:val="nil"/>
          <w:bottom w:val="nil"/>
          <w:right w:val="nil"/>
          <w:between w:val="nil"/>
        </w:pBdr>
        <w:ind w:firstLine="567"/>
        <w:jc w:val="both"/>
        <w:rPr>
          <w:color w:val="000000"/>
          <w:sz w:val="28"/>
          <w:szCs w:val="28"/>
        </w:rPr>
      </w:pPr>
    </w:p>
    <w:p w14:paraId="72F7EC67" w14:textId="77777777" w:rsidR="00F74BAF" w:rsidRDefault="00F74BAF">
      <w:pPr>
        <w:pBdr>
          <w:top w:val="nil"/>
          <w:left w:val="nil"/>
          <w:bottom w:val="nil"/>
          <w:right w:val="nil"/>
          <w:between w:val="nil"/>
        </w:pBdr>
        <w:ind w:firstLine="567"/>
        <w:jc w:val="both"/>
        <w:rPr>
          <w:color w:val="000000"/>
          <w:sz w:val="28"/>
          <w:szCs w:val="28"/>
        </w:rPr>
      </w:pPr>
    </w:p>
    <w:p w14:paraId="2C351059" w14:textId="77777777" w:rsidR="00F74BAF" w:rsidRDefault="00F74BAF">
      <w:pPr>
        <w:pBdr>
          <w:top w:val="nil"/>
          <w:left w:val="nil"/>
          <w:bottom w:val="nil"/>
          <w:right w:val="nil"/>
          <w:between w:val="nil"/>
        </w:pBdr>
        <w:spacing w:line="288" w:lineRule="auto"/>
        <w:ind w:firstLine="567"/>
        <w:jc w:val="both"/>
        <w:rPr>
          <w:color w:val="000000"/>
          <w:sz w:val="28"/>
          <w:szCs w:val="28"/>
        </w:rPr>
      </w:pPr>
    </w:p>
    <w:p w14:paraId="0AC0F396" w14:textId="77777777" w:rsidR="00F74BAF" w:rsidRDefault="00737583">
      <w:pPr>
        <w:pBdr>
          <w:top w:val="nil"/>
          <w:left w:val="nil"/>
          <w:bottom w:val="nil"/>
          <w:right w:val="nil"/>
          <w:between w:val="nil"/>
        </w:pBdr>
        <w:spacing w:line="288" w:lineRule="auto"/>
        <w:jc w:val="center"/>
        <w:rPr>
          <w:color w:val="000000"/>
          <w:sz w:val="28"/>
          <w:szCs w:val="28"/>
        </w:rPr>
      </w:pPr>
      <w:r>
        <w:t xml:space="preserve">                              c</w:t>
      </w:r>
    </w:p>
    <w:p w14:paraId="274D7F63" w14:textId="77777777" w:rsidR="00F74BAF" w:rsidRDefault="00F74BAF">
      <w:pPr>
        <w:pBdr>
          <w:top w:val="nil"/>
          <w:left w:val="nil"/>
          <w:bottom w:val="nil"/>
          <w:right w:val="nil"/>
          <w:between w:val="nil"/>
        </w:pBdr>
        <w:spacing w:line="288" w:lineRule="auto"/>
        <w:ind w:firstLine="567"/>
        <w:jc w:val="both"/>
        <w:rPr>
          <w:color w:val="000000"/>
          <w:sz w:val="28"/>
          <w:szCs w:val="28"/>
        </w:rPr>
      </w:pPr>
    </w:p>
    <w:p w14:paraId="631CADCA" w14:textId="77777777" w:rsidR="00F74BAF" w:rsidRDefault="00F74BAF">
      <w:pPr>
        <w:pBdr>
          <w:top w:val="nil"/>
          <w:left w:val="nil"/>
          <w:bottom w:val="nil"/>
          <w:right w:val="nil"/>
          <w:between w:val="nil"/>
        </w:pBdr>
        <w:spacing w:line="288" w:lineRule="auto"/>
        <w:ind w:firstLine="567"/>
        <w:jc w:val="both"/>
        <w:rPr>
          <w:color w:val="000000"/>
          <w:sz w:val="28"/>
          <w:szCs w:val="28"/>
        </w:rPr>
      </w:pPr>
    </w:p>
    <w:p w14:paraId="5E43FA65" w14:textId="77777777" w:rsidR="00F74BAF" w:rsidRDefault="00F74BAF">
      <w:pPr>
        <w:pBdr>
          <w:top w:val="nil"/>
          <w:left w:val="nil"/>
          <w:bottom w:val="nil"/>
          <w:right w:val="nil"/>
          <w:between w:val="nil"/>
        </w:pBdr>
        <w:spacing w:line="288" w:lineRule="auto"/>
        <w:ind w:firstLine="567"/>
        <w:jc w:val="both"/>
        <w:rPr>
          <w:color w:val="000000"/>
          <w:sz w:val="28"/>
          <w:szCs w:val="28"/>
        </w:rPr>
      </w:pPr>
    </w:p>
    <w:p w14:paraId="70E9D0A0" w14:textId="77777777" w:rsidR="00F74BAF" w:rsidRDefault="00F74BAF">
      <w:pPr>
        <w:pBdr>
          <w:top w:val="nil"/>
          <w:left w:val="nil"/>
          <w:bottom w:val="nil"/>
          <w:right w:val="nil"/>
          <w:between w:val="nil"/>
        </w:pBdr>
        <w:spacing w:line="288" w:lineRule="auto"/>
        <w:ind w:firstLine="567"/>
        <w:jc w:val="both"/>
        <w:rPr>
          <w:color w:val="000000"/>
          <w:sz w:val="28"/>
          <w:szCs w:val="28"/>
        </w:rPr>
      </w:pPr>
    </w:p>
    <w:p w14:paraId="54F58575" w14:textId="77777777" w:rsidR="00F74BAF" w:rsidRDefault="00737583">
      <w:pPr>
        <w:pBdr>
          <w:top w:val="nil"/>
          <w:left w:val="nil"/>
          <w:bottom w:val="nil"/>
          <w:right w:val="nil"/>
          <w:between w:val="nil"/>
        </w:pBdr>
        <w:spacing w:line="288" w:lineRule="auto"/>
        <w:ind w:firstLine="567"/>
        <w:jc w:val="both"/>
        <w:rPr>
          <w:color w:val="000000"/>
          <w:sz w:val="28"/>
          <w:szCs w:val="28"/>
        </w:rPr>
      </w:pPr>
      <w:r>
        <w:rPr>
          <w:noProof/>
          <w:lang w:val="ru-RU" w:eastAsia="ru-RU"/>
        </w:rPr>
        <w:drawing>
          <wp:anchor distT="152400" distB="152400" distL="152400" distR="152400" simplePos="0" relativeHeight="251665408" behindDoc="0" locked="0" layoutInCell="1" hidden="0" allowOverlap="1" wp14:anchorId="2B34008F" wp14:editId="05062F5E">
            <wp:simplePos x="0" y="0"/>
            <wp:positionH relativeFrom="column">
              <wp:posOffset>428625</wp:posOffset>
            </wp:positionH>
            <wp:positionV relativeFrom="paragraph">
              <wp:posOffset>211559</wp:posOffset>
            </wp:positionV>
            <wp:extent cx="4816475" cy="1498600"/>
            <wp:effectExtent l="0" t="0" r="0" b="0"/>
            <wp:wrapSquare wrapText="bothSides" distT="152400" distB="152400" distL="152400" distR="152400"/>
            <wp:docPr id="1073741898" name="image10.png" descr="Image"/>
            <wp:cNvGraphicFramePr/>
            <a:graphic xmlns:a="http://schemas.openxmlformats.org/drawingml/2006/main">
              <a:graphicData uri="http://schemas.openxmlformats.org/drawingml/2006/picture">
                <pic:pic xmlns:pic="http://schemas.openxmlformats.org/drawingml/2006/picture">
                  <pic:nvPicPr>
                    <pic:cNvPr id="0" name="image10.png" descr="Image"/>
                    <pic:cNvPicPr preferRelativeResize="0"/>
                  </pic:nvPicPr>
                  <pic:blipFill>
                    <a:blip r:embed="rId15"/>
                    <a:srcRect l="-6080" t="4584" r="4051" b="-4731"/>
                    <a:stretch>
                      <a:fillRect/>
                    </a:stretch>
                  </pic:blipFill>
                  <pic:spPr>
                    <a:xfrm>
                      <a:off x="0" y="0"/>
                      <a:ext cx="4816475" cy="1498600"/>
                    </a:xfrm>
                    <a:prstGeom prst="rect">
                      <a:avLst/>
                    </a:prstGeom>
                    <a:ln/>
                  </pic:spPr>
                </pic:pic>
              </a:graphicData>
            </a:graphic>
          </wp:anchor>
        </w:drawing>
      </w:r>
    </w:p>
    <w:p w14:paraId="6A0DB2BE" w14:textId="77777777" w:rsidR="00F74BAF" w:rsidRDefault="00737583">
      <w:pPr>
        <w:pBdr>
          <w:top w:val="nil"/>
          <w:left w:val="nil"/>
          <w:bottom w:val="nil"/>
          <w:right w:val="nil"/>
          <w:between w:val="nil"/>
        </w:pBdr>
        <w:spacing w:line="288" w:lineRule="auto"/>
        <w:ind w:firstLine="567"/>
        <w:jc w:val="both"/>
        <w:rPr>
          <w:color w:val="000000"/>
          <w:sz w:val="28"/>
          <w:szCs w:val="28"/>
        </w:rPr>
      </w:pPr>
      <w:r>
        <w:rPr>
          <w:color w:val="000000"/>
          <w:sz w:val="28"/>
          <w:szCs w:val="28"/>
        </w:rPr>
        <w:t xml:space="preserve">                                              </w:t>
      </w:r>
    </w:p>
    <w:p w14:paraId="2A8F09AD" w14:textId="77777777" w:rsidR="00F74BAF" w:rsidRDefault="00737583">
      <w:pPr>
        <w:pBdr>
          <w:top w:val="nil"/>
          <w:left w:val="nil"/>
          <w:bottom w:val="nil"/>
          <w:right w:val="nil"/>
          <w:between w:val="nil"/>
        </w:pBdr>
        <w:jc w:val="center"/>
        <w:rPr>
          <w:color w:val="000000"/>
        </w:rPr>
      </w:pPr>
      <w:r>
        <w:t xml:space="preserve">     </w:t>
      </w:r>
      <w:r>
        <w:rPr>
          <w:color w:val="000000"/>
        </w:rPr>
        <w:t>d</w:t>
      </w:r>
    </w:p>
    <w:p w14:paraId="4C7305D8" w14:textId="77777777" w:rsidR="00F74BAF" w:rsidRDefault="00F74BAF">
      <w:pPr>
        <w:pBdr>
          <w:top w:val="nil"/>
          <w:left w:val="nil"/>
          <w:bottom w:val="nil"/>
          <w:right w:val="nil"/>
          <w:between w:val="nil"/>
        </w:pBdr>
        <w:jc w:val="center"/>
        <w:rPr>
          <w:color w:val="000000"/>
          <w:sz w:val="16"/>
          <w:szCs w:val="16"/>
        </w:rPr>
      </w:pPr>
    </w:p>
    <w:p w14:paraId="73B3FAB2" w14:textId="77777777" w:rsidR="00F74BAF" w:rsidRDefault="00F74BAF">
      <w:pPr>
        <w:pBdr>
          <w:top w:val="nil"/>
          <w:left w:val="nil"/>
          <w:bottom w:val="nil"/>
          <w:right w:val="nil"/>
          <w:between w:val="nil"/>
        </w:pBdr>
        <w:ind w:firstLine="709"/>
        <w:jc w:val="both"/>
      </w:pPr>
    </w:p>
    <w:p w14:paraId="5AA56697" w14:textId="77777777" w:rsidR="00F74BAF" w:rsidRDefault="00F74BAF">
      <w:pPr>
        <w:pBdr>
          <w:top w:val="nil"/>
          <w:left w:val="nil"/>
          <w:bottom w:val="nil"/>
          <w:right w:val="nil"/>
          <w:between w:val="nil"/>
        </w:pBdr>
        <w:ind w:firstLine="709"/>
        <w:jc w:val="both"/>
      </w:pPr>
    </w:p>
    <w:p w14:paraId="165D864D" w14:textId="77777777" w:rsidR="00F74BAF" w:rsidRDefault="00F74BAF">
      <w:pPr>
        <w:pBdr>
          <w:top w:val="nil"/>
          <w:left w:val="nil"/>
          <w:bottom w:val="nil"/>
          <w:right w:val="nil"/>
          <w:between w:val="nil"/>
        </w:pBdr>
        <w:ind w:firstLine="709"/>
        <w:jc w:val="both"/>
      </w:pPr>
    </w:p>
    <w:p w14:paraId="1CF5EA7A" w14:textId="77777777" w:rsidR="00F74BAF" w:rsidRDefault="00F74BAF">
      <w:pPr>
        <w:pBdr>
          <w:top w:val="nil"/>
          <w:left w:val="nil"/>
          <w:bottom w:val="nil"/>
          <w:right w:val="nil"/>
          <w:between w:val="nil"/>
        </w:pBdr>
        <w:ind w:firstLine="709"/>
        <w:jc w:val="both"/>
      </w:pPr>
    </w:p>
    <w:p w14:paraId="21310E22" w14:textId="77777777" w:rsidR="00F74BAF" w:rsidRDefault="00F74BAF">
      <w:pPr>
        <w:pBdr>
          <w:top w:val="nil"/>
          <w:left w:val="nil"/>
          <w:bottom w:val="nil"/>
          <w:right w:val="nil"/>
          <w:between w:val="nil"/>
        </w:pBdr>
        <w:ind w:firstLine="709"/>
        <w:jc w:val="both"/>
      </w:pPr>
    </w:p>
    <w:p w14:paraId="71F7F096" w14:textId="77777777" w:rsidR="00F74BAF" w:rsidRDefault="00737583">
      <w:pPr>
        <w:pBdr>
          <w:top w:val="nil"/>
          <w:left w:val="nil"/>
          <w:bottom w:val="nil"/>
          <w:right w:val="nil"/>
          <w:between w:val="nil"/>
        </w:pBdr>
        <w:jc w:val="both"/>
      </w:pPr>
      <w:r>
        <w:t xml:space="preserve">           </w:t>
      </w:r>
    </w:p>
    <w:p w14:paraId="4FD59A36" w14:textId="77777777" w:rsidR="00F74BAF" w:rsidRDefault="00F74BAF">
      <w:pPr>
        <w:pBdr>
          <w:top w:val="nil"/>
          <w:left w:val="nil"/>
          <w:bottom w:val="nil"/>
          <w:right w:val="nil"/>
          <w:between w:val="nil"/>
        </w:pBdr>
        <w:ind w:firstLine="709"/>
        <w:jc w:val="both"/>
      </w:pPr>
    </w:p>
    <w:p w14:paraId="5089DCDD" w14:textId="77777777" w:rsidR="00F74BAF" w:rsidRDefault="00737583">
      <w:pPr>
        <w:pBdr>
          <w:top w:val="nil"/>
          <w:left w:val="nil"/>
          <w:bottom w:val="nil"/>
          <w:right w:val="nil"/>
          <w:between w:val="nil"/>
        </w:pBdr>
        <w:ind w:firstLine="709"/>
        <w:jc w:val="both"/>
        <w:rPr>
          <w:color w:val="000000"/>
        </w:rPr>
      </w:pPr>
      <w:r>
        <w:rPr>
          <w:color w:val="000000"/>
        </w:rPr>
        <w:t xml:space="preserve">a ‒ identity: class A and class B have the same members; b ‒ inclusion: class B is totally included in class A; c ‒ overlapping: class A and class B have members in common but each </w:t>
      </w:r>
      <w:r>
        <w:rPr>
          <w:color w:val="000000"/>
        </w:rPr>
        <w:t>has members not found in the other; d ‒ disjunction: class A and class B have no members in common</w:t>
      </w:r>
    </w:p>
    <w:p w14:paraId="53EADC8E" w14:textId="77777777" w:rsidR="00F74BAF" w:rsidRDefault="00F74BAF">
      <w:pPr>
        <w:pBdr>
          <w:top w:val="nil"/>
          <w:left w:val="nil"/>
          <w:bottom w:val="nil"/>
          <w:right w:val="nil"/>
          <w:between w:val="nil"/>
        </w:pBdr>
        <w:spacing w:line="288" w:lineRule="auto"/>
        <w:ind w:firstLine="567"/>
        <w:jc w:val="center"/>
        <w:rPr>
          <w:color w:val="000000"/>
          <w:sz w:val="16"/>
          <w:szCs w:val="16"/>
        </w:rPr>
      </w:pPr>
    </w:p>
    <w:p w14:paraId="741C1E5B" w14:textId="77777777" w:rsidR="00F74BAF" w:rsidRDefault="00737583">
      <w:pPr>
        <w:pBdr>
          <w:top w:val="nil"/>
          <w:left w:val="nil"/>
          <w:bottom w:val="nil"/>
          <w:right w:val="nil"/>
          <w:between w:val="nil"/>
        </w:pBdr>
        <w:jc w:val="center"/>
        <w:rPr>
          <w:i/>
          <w:iCs/>
          <w:sz w:val="28"/>
          <w:szCs w:val="28"/>
        </w:rPr>
      </w:pPr>
      <w:bookmarkStart w:id="3" w:name="_heading=h.c1ijxo8clfe1" w:colFirst="0" w:colLast="0"/>
      <w:bookmarkEnd w:id="3"/>
      <w:r>
        <w:rPr>
          <w:color w:val="000000"/>
          <w:sz w:val="28"/>
          <w:szCs w:val="28"/>
        </w:rPr>
        <w:t>Figure 5. Paradigmatic relations</w:t>
      </w:r>
      <w:r>
        <w:rPr>
          <w:sz w:val="28"/>
          <w:szCs w:val="28"/>
        </w:rPr>
        <w:t xml:space="preserve">: </w:t>
      </w:r>
      <w:r>
        <w:rPr>
          <w:i/>
          <w:iCs/>
          <w:sz w:val="28"/>
          <w:szCs w:val="28"/>
        </w:rPr>
        <w:t>Cruse D.A. Lexical Semantics. – Cambridge: Cambridge University Press, 1986. P. 87.</w:t>
      </w:r>
    </w:p>
    <w:p w14:paraId="75C5830A" w14:textId="77777777" w:rsidR="00F74BAF" w:rsidRDefault="00F74BAF">
      <w:pPr>
        <w:pBdr>
          <w:top w:val="nil"/>
          <w:left w:val="nil"/>
          <w:bottom w:val="nil"/>
          <w:right w:val="nil"/>
          <w:between w:val="nil"/>
        </w:pBdr>
        <w:jc w:val="both"/>
        <w:rPr>
          <w:color w:val="000000"/>
          <w:sz w:val="28"/>
          <w:szCs w:val="28"/>
        </w:rPr>
      </w:pPr>
    </w:p>
    <w:p w14:paraId="35410BBF"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Cruse points out that the above classification model can be applied to the definition of a range of semantic relations in two ways. One approach is to adopt a referential view, which means we can determine the semantic relationship between two words, A and</w:t>
      </w:r>
      <w:r>
        <w:rPr>
          <w:color w:val="000000"/>
          <w:sz w:val="28"/>
          <w:szCs w:val="28"/>
        </w:rPr>
        <w:t xml:space="preserve"> B, whether their denotations are identical, entirely different, overlapping, or inclusive. This method is straightforward and prevalently used. However, it has non-negligible limitations, for many words do not straightforwardly showcase a specific referen</w:t>
      </w:r>
      <w:r>
        <w:rPr>
          <w:color w:val="000000"/>
          <w:sz w:val="28"/>
          <w:szCs w:val="28"/>
        </w:rPr>
        <w:t xml:space="preserve">tial category for the potential or fictional entity, say, air, dragon, or unicorn. </w:t>
      </w:r>
    </w:p>
    <w:p w14:paraId="1B6C74A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The other approach is to directly study </w:t>
      </w:r>
      <w:r>
        <w:rPr>
          <w:sz w:val="28"/>
          <w:szCs w:val="28"/>
        </w:rPr>
        <w:t>word</w:t>
      </w:r>
      <w:r>
        <w:rPr>
          <w:color w:val="000000"/>
          <w:sz w:val="28"/>
          <w:szCs w:val="28"/>
        </w:rPr>
        <w:t xml:space="preserve"> meaning, comparing commonalities, differences, overlaps, and inclusions entirely on the basis of semantic features. Though it i</w:t>
      </w:r>
      <w:r>
        <w:rPr>
          <w:color w:val="000000"/>
          <w:sz w:val="28"/>
          <w:szCs w:val="28"/>
        </w:rPr>
        <w:t>s challenging to utilize this approach which requires solid linguistic analysis as a basis, it is clearly more aligned with the aims of semantic research [</w:t>
      </w:r>
      <w:r>
        <w:rPr>
          <w:sz w:val="28"/>
          <w:szCs w:val="28"/>
        </w:rPr>
        <w:t>21</w:t>
      </w:r>
      <w:r>
        <w:rPr>
          <w:color w:val="000000"/>
          <w:sz w:val="28"/>
          <w:szCs w:val="28"/>
        </w:rPr>
        <w:t>, р. 188-189].</w:t>
      </w:r>
    </w:p>
    <w:p w14:paraId="2AC320F4" w14:textId="77777777" w:rsidR="00F74BAF" w:rsidRDefault="00F74BAF">
      <w:pPr>
        <w:pBdr>
          <w:top w:val="nil"/>
          <w:left w:val="nil"/>
          <w:bottom w:val="nil"/>
          <w:right w:val="nil"/>
          <w:between w:val="nil"/>
        </w:pBdr>
        <w:ind w:firstLine="709"/>
        <w:jc w:val="both"/>
        <w:rPr>
          <w:b/>
          <w:bCs/>
          <w:color w:val="000000"/>
          <w:sz w:val="28"/>
          <w:szCs w:val="28"/>
        </w:rPr>
      </w:pPr>
    </w:p>
    <w:p w14:paraId="1AD3E9AA"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Synonymy</w:t>
      </w:r>
    </w:p>
    <w:p w14:paraId="4EB7DB00"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In traditional lexicology, «synonymy» is generally understood as words hav</w:t>
      </w:r>
      <w:r>
        <w:rPr>
          <w:color w:val="000000"/>
          <w:sz w:val="28"/>
          <w:szCs w:val="28"/>
        </w:rPr>
        <w:t>ing the same or similar meanings. Cruise argues that «sameness of meaning» actually consists of two types: «absolute synonymy» and «cognitive synonymy». Absolute synonymy requires that the semantic components of two words (including cognitive and connotati</w:t>
      </w:r>
      <w:r>
        <w:rPr>
          <w:color w:val="000000"/>
          <w:sz w:val="28"/>
          <w:szCs w:val="28"/>
        </w:rPr>
        <w:t xml:space="preserve">onal) are exactly identical and have the same contextual environments, which is extremely rare. What he refers to as </w:t>
      </w:r>
      <w:r>
        <w:rPr>
          <w:sz w:val="28"/>
          <w:szCs w:val="28"/>
        </w:rPr>
        <w:t>«cognitive</w:t>
      </w:r>
      <w:r>
        <w:rPr>
          <w:color w:val="000000"/>
          <w:sz w:val="28"/>
          <w:szCs w:val="28"/>
        </w:rPr>
        <w:t xml:space="preserve"> synonymy» is defined as a synonymic relationship based on truth-conditional equivalence. He defines it as follows: </w:t>
      </w:r>
    </w:p>
    <w:p w14:paraId="7E596A56"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«X is a cogn</w:t>
      </w:r>
      <w:r>
        <w:rPr>
          <w:color w:val="000000"/>
          <w:sz w:val="28"/>
          <w:szCs w:val="28"/>
        </w:rPr>
        <w:t>itive synonym of Y if (</w:t>
      </w:r>
      <w:r>
        <w:rPr>
          <w:sz w:val="28"/>
          <w:szCs w:val="28"/>
        </w:rPr>
        <w:t>i</w:t>
      </w:r>
      <w:r>
        <w:rPr>
          <w:color w:val="000000"/>
          <w:sz w:val="28"/>
          <w:szCs w:val="28"/>
        </w:rPr>
        <w:t>) X and Y are syntactically identical, and (ii) any declarative sentence S containing X has equivalent truth-conditions as another sentence S', which is identical to S except that X replaced by Y».</w:t>
      </w:r>
    </w:p>
    <w:p w14:paraId="47514F31"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Substituting cognitive synonyms do</w:t>
      </w:r>
      <w:r>
        <w:rPr>
          <w:color w:val="000000"/>
          <w:sz w:val="28"/>
          <w:szCs w:val="28"/>
        </w:rPr>
        <w:t>es not change the truth conditions of the proposition; the differences between them may only lie in emotional coloring, degree of formality, habitual collocation, or regional variation [</w:t>
      </w:r>
      <w:r>
        <w:rPr>
          <w:sz w:val="28"/>
          <w:szCs w:val="28"/>
        </w:rPr>
        <w:t>21</w:t>
      </w:r>
      <w:r>
        <w:rPr>
          <w:color w:val="000000"/>
          <w:sz w:val="28"/>
          <w:szCs w:val="28"/>
        </w:rPr>
        <w:t>, р. 88] For example, the English words violin and fiddle refer to t</w:t>
      </w:r>
      <w:r>
        <w:rPr>
          <w:color w:val="000000"/>
          <w:sz w:val="28"/>
          <w:szCs w:val="28"/>
        </w:rPr>
        <w:t>he same meaning, and the only difference of them is their etymology, which is one from Latin and the other from Greek [</w:t>
      </w:r>
      <w:r>
        <w:rPr>
          <w:sz w:val="28"/>
          <w:szCs w:val="28"/>
        </w:rPr>
        <w:t>9</w:t>
      </w:r>
      <w:r>
        <w:rPr>
          <w:color w:val="000000"/>
          <w:sz w:val="28"/>
          <w:szCs w:val="28"/>
        </w:rPr>
        <w:t>, р. 109].</w:t>
      </w:r>
    </w:p>
    <w:p w14:paraId="1557DEA6" w14:textId="77777777" w:rsidR="00F74BAF" w:rsidRDefault="00737583">
      <w:pPr>
        <w:pBdr>
          <w:top w:val="nil"/>
          <w:left w:val="nil"/>
          <w:bottom w:val="nil"/>
          <w:right w:val="nil"/>
          <w:between w:val="nil"/>
        </w:pBdr>
        <w:ind w:firstLine="709"/>
        <w:jc w:val="both"/>
        <w:rPr>
          <w:sz w:val="28"/>
          <w:szCs w:val="28"/>
        </w:rPr>
      </w:pPr>
      <w:r>
        <w:rPr>
          <w:color w:val="000000"/>
          <w:sz w:val="28"/>
          <w:szCs w:val="28"/>
        </w:rPr>
        <w:t xml:space="preserve">It is worth noting that approximate relations such as «partial synonymy» and «pseudo-synonymy» should be distinguished from true cognitive meaning relations. «Partial relation» proposed by Cruse is an approximate relation, which refers to the relationship </w:t>
      </w:r>
      <w:r>
        <w:rPr>
          <w:color w:val="000000"/>
          <w:sz w:val="28"/>
          <w:szCs w:val="28"/>
        </w:rPr>
        <w:t xml:space="preserve">between terms with partially consistent syntactic distribution. For example, there are two main syntactic differences between the two verbs «finish» and «complete»: </w:t>
      </w:r>
    </w:p>
    <w:p w14:paraId="67054398" w14:textId="77777777" w:rsidR="00F74BAF" w:rsidRDefault="00737583">
      <w:pPr>
        <w:pBdr>
          <w:top w:val="nil"/>
          <w:left w:val="nil"/>
          <w:bottom w:val="nil"/>
          <w:right w:val="nil"/>
          <w:between w:val="nil"/>
        </w:pBdr>
        <w:ind w:firstLine="709"/>
        <w:jc w:val="both"/>
        <w:rPr>
          <w:sz w:val="28"/>
          <w:szCs w:val="28"/>
        </w:rPr>
      </w:pPr>
      <w:r>
        <w:rPr>
          <w:sz w:val="28"/>
          <w:szCs w:val="28"/>
        </w:rPr>
        <w:t xml:space="preserve">- </w:t>
      </w:r>
      <w:r>
        <w:rPr>
          <w:color w:val="000000"/>
          <w:sz w:val="28"/>
          <w:szCs w:val="28"/>
        </w:rPr>
        <w:t>«finish» can be without an object in sentences such as «Have you finished?», while compl</w:t>
      </w:r>
      <w:r>
        <w:rPr>
          <w:color w:val="000000"/>
          <w:sz w:val="28"/>
          <w:szCs w:val="28"/>
        </w:rPr>
        <w:t xml:space="preserve">ete requires a direct object when used in related meanings; </w:t>
      </w:r>
    </w:p>
    <w:p w14:paraId="4FFF0E63" w14:textId="77777777" w:rsidR="00F74BAF" w:rsidRDefault="00737583">
      <w:pPr>
        <w:pBdr>
          <w:top w:val="nil"/>
          <w:left w:val="nil"/>
          <w:bottom w:val="nil"/>
          <w:right w:val="nil"/>
          <w:between w:val="nil"/>
        </w:pBdr>
        <w:ind w:firstLine="709"/>
        <w:jc w:val="both"/>
        <w:rPr>
          <w:color w:val="000000"/>
          <w:sz w:val="28"/>
          <w:szCs w:val="28"/>
        </w:rPr>
      </w:pPr>
      <w:r>
        <w:rPr>
          <w:sz w:val="28"/>
          <w:szCs w:val="28"/>
        </w:rPr>
        <w:t xml:space="preserve">- </w:t>
      </w:r>
      <w:r>
        <w:rPr>
          <w:color w:val="000000"/>
          <w:sz w:val="28"/>
          <w:szCs w:val="28"/>
        </w:rPr>
        <w:t xml:space="preserve">«finish» can take a noun as an object (such as «I've finished eating»), while «complete» cannot (such as «I've completed eating»). </w:t>
      </w:r>
    </w:p>
    <w:p w14:paraId="06D7C296"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Therefore, it can only be said that «complete» is a cognitive</w:t>
      </w:r>
      <w:r>
        <w:rPr>
          <w:color w:val="000000"/>
          <w:sz w:val="28"/>
          <w:szCs w:val="28"/>
        </w:rPr>
        <w:t xml:space="preserve"> synonym of «finish» only under certain grammatical conditions. For example, pseudo-relation is also an approximate relation. When terms are not in a certain relationship but are very similar to one or several features of the certain relation, then a pseud</w:t>
      </w:r>
      <w:r>
        <w:rPr>
          <w:color w:val="000000"/>
          <w:sz w:val="28"/>
          <w:szCs w:val="28"/>
        </w:rPr>
        <w:t>o-relation occurs. For example, the two sentences «This horse has just given to a foal» and «This mare has just given birth to a foal», not only can we say that they state the same content, but we can also say that the contribution of «horse» and «mare» to</w:t>
      </w:r>
      <w:r>
        <w:rPr>
          <w:color w:val="000000"/>
          <w:sz w:val="28"/>
          <w:szCs w:val="28"/>
        </w:rPr>
        <w:t xml:space="preserve"> the semantics in their respective parts is the same. This is because the additional semantic features «mare» carries can be concluded from other parts of the sentence, which seems redundant. Therefore, it can be said that «mare» and «horse» are, in fact, </w:t>
      </w:r>
      <w:r>
        <w:rPr>
          <w:color w:val="000000"/>
          <w:sz w:val="28"/>
          <w:szCs w:val="28"/>
        </w:rPr>
        <w:t>synonymous in this context. In a sense, this is true. However, «the horse» and «mare» in these two parts are obviously not truly synonymous; they are only pseudo-synonymous relationships under certain contextual restrictions [</w:t>
      </w:r>
      <w:r>
        <w:rPr>
          <w:sz w:val="28"/>
          <w:szCs w:val="28"/>
        </w:rPr>
        <w:t>21</w:t>
      </w:r>
      <w:r>
        <w:rPr>
          <w:color w:val="000000"/>
          <w:sz w:val="28"/>
          <w:szCs w:val="28"/>
        </w:rPr>
        <w:t>, р. 98].</w:t>
      </w:r>
    </w:p>
    <w:p w14:paraId="1E50A71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In </w:t>
      </w:r>
      <w:r>
        <w:rPr>
          <w:sz w:val="28"/>
          <w:szCs w:val="28"/>
        </w:rPr>
        <w:t>fact</w:t>
      </w:r>
      <w:r>
        <w:rPr>
          <w:color w:val="000000"/>
          <w:sz w:val="28"/>
          <w:szCs w:val="28"/>
        </w:rPr>
        <w:t>, what is c</w:t>
      </w:r>
      <w:r>
        <w:rPr>
          <w:color w:val="000000"/>
          <w:sz w:val="28"/>
          <w:szCs w:val="28"/>
        </w:rPr>
        <w:t>ommonly found across languages is «broad synonymy», also referred to as «near-synonymy». With the development of semantic componential analysis theory and methodology in modern semantics, the study of synonymy and near-synonymy relationships is much more s</w:t>
      </w:r>
      <w:r>
        <w:rPr>
          <w:color w:val="000000"/>
          <w:sz w:val="28"/>
          <w:szCs w:val="28"/>
        </w:rPr>
        <w:t xml:space="preserve">pecific and precise. </w:t>
      </w:r>
    </w:p>
    <w:p w14:paraId="1726285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True synonymy refers to words that possess identical cognitive semantic components. And «near-synonymy», on the other hand, refers to cases where the main semantic components are the same, but one or more secondary components differ. </w:t>
      </w:r>
      <w:r>
        <w:rPr>
          <w:color w:val="000000"/>
          <w:sz w:val="28"/>
          <w:szCs w:val="28"/>
        </w:rPr>
        <w:t>For example, the verb «look» includes the components [use eyes] and [toward a specific direction]; while «gaze» includes [use eyes], [toward a specific direction], and [into the distance].</w:t>
      </w:r>
    </w:p>
    <w:p w14:paraId="2DE58FE8" w14:textId="77777777" w:rsidR="00F74BAF" w:rsidRDefault="00737583">
      <w:pPr>
        <w:pBdr>
          <w:top w:val="nil"/>
          <w:left w:val="nil"/>
          <w:bottom w:val="nil"/>
          <w:right w:val="nil"/>
          <w:between w:val="nil"/>
        </w:pBdr>
        <w:ind w:firstLine="709"/>
        <w:jc w:val="both"/>
        <w:rPr>
          <w:color w:val="000000"/>
          <w:sz w:val="28"/>
          <w:szCs w:val="28"/>
        </w:rPr>
      </w:pPr>
      <w:r>
        <w:rPr>
          <w:sz w:val="28"/>
          <w:szCs w:val="28"/>
        </w:rPr>
        <w:t>Because</w:t>
      </w:r>
      <w:r>
        <w:rPr>
          <w:color w:val="000000"/>
          <w:sz w:val="28"/>
          <w:szCs w:val="28"/>
        </w:rPr>
        <w:t xml:space="preserve"> most of the synonymous cases are actually near-synonymous, </w:t>
      </w:r>
      <w:r>
        <w:rPr>
          <w:color w:val="000000"/>
          <w:sz w:val="28"/>
          <w:szCs w:val="28"/>
        </w:rPr>
        <w:t xml:space="preserve">the analysis of synonyms is particularly worthy of analysis. L. Zgusta believes that «Indeed, the importance of this task cannot be stressed enough because it could be maintained that one does not really know the meaning of a word in all its complexity if </w:t>
      </w:r>
      <w:r>
        <w:rPr>
          <w:color w:val="000000"/>
          <w:sz w:val="28"/>
          <w:szCs w:val="28"/>
        </w:rPr>
        <w:t>one does not study it in comparison with and in contrast to its near-synonymy» [32, 33]. This is because only through comparison and contrast with near-synonyms can the similarities and differences among their semantic components be more precisely examined</w:t>
      </w:r>
      <w:r>
        <w:rPr>
          <w:color w:val="000000"/>
          <w:sz w:val="28"/>
          <w:szCs w:val="28"/>
        </w:rPr>
        <w:t>, thus yielding a clearer interpretation of their meanings.</w:t>
      </w:r>
    </w:p>
    <w:p w14:paraId="5ACE810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However, the concept of near-synonymy itself can be classified as broad and narrow. As a result, some scholars may regard certain word pairs as near-synonyms, while others may not. Since no object</w:t>
      </w:r>
      <w:r>
        <w:rPr>
          <w:color w:val="000000"/>
          <w:sz w:val="28"/>
          <w:szCs w:val="28"/>
        </w:rPr>
        <w:t>ive quantitative standard currently exists for measuring degrees of similarity, comparative research must strive for accuracy in identifying semantic components, with analysis and differentiation carried out as precisely and finely as possible [</w:t>
      </w:r>
      <w:r>
        <w:rPr>
          <w:sz w:val="28"/>
          <w:szCs w:val="28"/>
        </w:rPr>
        <w:t>8</w:t>
      </w:r>
      <w:r>
        <w:rPr>
          <w:color w:val="000000"/>
          <w:sz w:val="28"/>
          <w:szCs w:val="28"/>
        </w:rPr>
        <w:t>, р. 113-1</w:t>
      </w:r>
      <w:r>
        <w:rPr>
          <w:color w:val="000000"/>
          <w:sz w:val="28"/>
          <w:szCs w:val="28"/>
        </w:rPr>
        <w:t>14].</w:t>
      </w:r>
    </w:p>
    <w:p w14:paraId="3F381FBD" w14:textId="77777777" w:rsidR="00F74BAF" w:rsidRDefault="00F74BAF">
      <w:pPr>
        <w:pBdr>
          <w:top w:val="nil"/>
          <w:left w:val="nil"/>
          <w:bottom w:val="nil"/>
          <w:right w:val="nil"/>
          <w:between w:val="nil"/>
        </w:pBdr>
        <w:ind w:firstLine="709"/>
        <w:jc w:val="both"/>
        <w:rPr>
          <w:b/>
          <w:bCs/>
          <w:color w:val="000000"/>
          <w:sz w:val="28"/>
          <w:szCs w:val="28"/>
        </w:rPr>
      </w:pPr>
    </w:p>
    <w:p w14:paraId="672672B8"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Hyponymy</w:t>
      </w:r>
    </w:p>
    <w:p w14:paraId="490BED9C"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 term «hyponymy» was proposed by J. Lyons as an analogy to «synonymy» and «antonymy». However, the concept of hyponymy has actually existed for a long time, originally known as «inclusion» in logic. For example, «flower» includes «rose», «tulip», «daffo</w:t>
      </w:r>
      <w:r>
        <w:rPr>
          <w:color w:val="000000"/>
          <w:sz w:val="28"/>
          <w:szCs w:val="28"/>
        </w:rPr>
        <w:t xml:space="preserve">dil», etc., that is, specific types are included in a general category. Therefore, it can be said that «flower» is a hypernym (or superordinate), while the </w:t>
      </w:r>
      <w:r>
        <w:rPr>
          <w:sz w:val="28"/>
          <w:szCs w:val="28"/>
        </w:rPr>
        <w:t>others are classified</w:t>
      </w:r>
      <w:r>
        <w:rPr>
          <w:color w:val="000000"/>
          <w:sz w:val="28"/>
          <w:szCs w:val="28"/>
        </w:rPr>
        <w:t xml:space="preserve"> as «co-hyponyms». </w:t>
      </w:r>
    </w:p>
    <w:p w14:paraId="69A761AC"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However, the term «inclusion» is somewhat ambiguous because</w:t>
      </w:r>
      <w:r>
        <w:rPr>
          <w:color w:val="000000"/>
          <w:sz w:val="28"/>
          <w:szCs w:val="28"/>
        </w:rPr>
        <w:t xml:space="preserve"> it can be mistaken. One might say that «flower» includes «rose», but could mistakenly say that «rose» includes «flower», since</w:t>
      </w:r>
      <w:r>
        <w:rPr>
          <w:i/>
          <w:iCs/>
          <w:color w:val="000000"/>
          <w:sz w:val="28"/>
          <w:szCs w:val="28"/>
        </w:rPr>
        <w:t xml:space="preserve"> </w:t>
      </w:r>
      <w:r>
        <w:rPr>
          <w:color w:val="000000"/>
          <w:sz w:val="28"/>
          <w:szCs w:val="28"/>
        </w:rPr>
        <w:t>in terms of the former, it actually refers to the classificatory relationship among the referents of the words, not their meanin</w:t>
      </w:r>
      <w:r>
        <w:rPr>
          <w:color w:val="000000"/>
          <w:sz w:val="28"/>
          <w:szCs w:val="28"/>
        </w:rPr>
        <w:t>gs. Only the latter interpretation concerns semantic relationships. Because of the ambiguity, most semanticists concur with Lyons's proposition to avoid the term «inclusion» and use «hyponym» instead to refer specifically to the unilateral entailment relat</w:t>
      </w:r>
      <w:r>
        <w:rPr>
          <w:color w:val="000000"/>
          <w:sz w:val="28"/>
          <w:szCs w:val="28"/>
        </w:rPr>
        <w:t>ionships [34, 35]. The concept of hyponymy can be clearly expressed using the semantic componential analysis. For example:</w:t>
      </w:r>
    </w:p>
    <w:p w14:paraId="555AE1D1"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woman = (+HUMAN)(+ADULT)+(-MALE);</w:t>
      </w:r>
    </w:p>
    <w:p w14:paraId="1A960311"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grown-up = (+HUMAN)(+ADULT).</w:t>
      </w:r>
    </w:p>
    <w:p w14:paraId="08006B7C"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We say that grown-up (adult) and woman (woman) have a hyponym rela</w:t>
      </w:r>
      <w:r>
        <w:rPr>
          <w:color w:val="000000"/>
          <w:sz w:val="28"/>
          <w:szCs w:val="28"/>
        </w:rPr>
        <w:t>tionship because both semantic components that constitute grown-up exist in the definition of woman. It can be seen from this that more specific names are hyponyms of more general names, and more general names are hypernyms; hyponyms have richer semantic c</w:t>
      </w:r>
      <w:r>
        <w:rPr>
          <w:color w:val="000000"/>
          <w:sz w:val="28"/>
          <w:szCs w:val="28"/>
        </w:rPr>
        <w:t>omponents than hypernyms. However, one thing is worth noting: not all parallel hyponyms have corresponding hypernyms. Many parallel hyponyms have their corresponding hypernyms, such as animals: dog, cat, horse, etc.; flower: rose, tulip, etc., but there ar</w:t>
      </w:r>
      <w:r>
        <w:rPr>
          <w:color w:val="000000"/>
          <w:sz w:val="28"/>
          <w:szCs w:val="28"/>
        </w:rPr>
        <w:t xml:space="preserve">e also many hyponyms that do not have hypernyms. </w:t>
      </w:r>
    </w:p>
    <w:p w14:paraId="13283264"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As shown in the diagram [</w:t>
      </w:r>
      <w:r>
        <w:rPr>
          <w:sz w:val="28"/>
          <w:szCs w:val="28"/>
        </w:rPr>
        <w:t>21</w:t>
      </w:r>
      <w:r>
        <w:rPr>
          <w:color w:val="000000"/>
          <w:sz w:val="28"/>
          <w:szCs w:val="28"/>
        </w:rPr>
        <w:t>, р. 151] (figure 6).</w:t>
      </w:r>
    </w:p>
    <w:p w14:paraId="0821DE9A" w14:textId="77777777" w:rsidR="00F74BAF" w:rsidRDefault="00F74BAF">
      <w:pPr>
        <w:pBdr>
          <w:top w:val="nil"/>
          <w:left w:val="nil"/>
          <w:bottom w:val="nil"/>
          <w:right w:val="nil"/>
          <w:between w:val="nil"/>
        </w:pBdr>
        <w:ind w:firstLine="709"/>
        <w:jc w:val="both"/>
        <w:rPr>
          <w:color w:val="000000"/>
          <w:sz w:val="28"/>
          <w:szCs w:val="28"/>
        </w:rPr>
      </w:pPr>
    </w:p>
    <w:p w14:paraId="16657D3C" w14:textId="77777777" w:rsidR="00F74BAF" w:rsidRDefault="00737583">
      <w:pPr>
        <w:pBdr>
          <w:top w:val="nil"/>
          <w:left w:val="nil"/>
          <w:bottom w:val="nil"/>
          <w:right w:val="nil"/>
          <w:between w:val="nil"/>
        </w:pBdr>
        <w:jc w:val="center"/>
        <w:rPr>
          <w:i/>
          <w:iCs/>
          <w:sz w:val="28"/>
          <w:szCs w:val="28"/>
        </w:rPr>
      </w:pPr>
      <w:r>
        <w:rPr>
          <w:sz w:val="28"/>
          <w:szCs w:val="28"/>
        </w:rPr>
        <w:t>Figure 6.  Hyponymy Relationship:</w:t>
      </w:r>
      <w:r>
        <w:rPr>
          <w:i/>
          <w:iCs/>
          <w:sz w:val="28"/>
          <w:szCs w:val="28"/>
          <w:highlight w:val="white"/>
        </w:rPr>
        <w:t xml:space="preserve"> </w:t>
      </w:r>
      <w:r>
        <w:rPr>
          <w:i/>
          <w:iCs/>
          <w:sz w:val="28"/>
          <w:szCs w:val="28"/>
        </w:rPr>
        <w:t>Cruse D.A. Lexical Semantics. – Cambridge: Cambridge University Press, 1986. P. 151.</w:t>
      </w:r>
      <w:r>
        <w:rPr>
          <w:noProof/>
          <w:lang w:val="ru-RU" w:eastAsia="ru-RU"/>
        </w:rPr>
        <w:drawing>
          <wp:anchor distT="152400" distB="152400" distL="152400" distR="152400" simplePos="0" relativeHeight="251666432" behindDoc="0" locked="0" layoutInCell="1" hidden="0" allowOverlap="1" wp14:anchorId="5953CC37" wp14:editId="7ECE341E">
            <wp:simplePos x="0" y="0"/>
            <wp:positionH relativeFrom="column">
              <wp:posOffset>541655</wp:posOffset>
            </wp:positionH>
            <wp:positionV relativeFrom="paragraph">
              <wp:posOffset>102876</wp:posOffset>
            </wp:positionV>
            <wp:extent cx="5422265" cy="2342515"/>
            <wp:effectExtent l="0" t="0" r="0" b="0"/>
            <wp:wrapSquare wrapText="bothSides" distT="152400" distB="152400" distL="152400" distR="152400"/>
            <wp:docPr id="1073741893" name="image4.png" descr="Image"/>
            <wp:cNvGraphicFramePr/>
            <a:graphic xmlns:a="http://schemas.openxmlformats.org/drawingml/2006/main">
              <a:graphicData uri="http://schemas.openxmlformats.org/drawingml/2006/picture">
                <pic:pic xmlns:pic="http://schemas.openxmlformats.org/drawingml/2006/picture">
                  <pic:nvPicPr>
                    <pic:cNvPr id="0" name="image4.png" descr="Image"/>
                    <pic:cNvPicPr preferRelativeResize="0"/>
                  </pic:nvPicPr>
                  <pic:blipFill>
                    <a:blip r:embed="rId16"/>
                    <a:srcRect l="4480" r="2853"/>
                    <a:stretch>
                      <a:fillRect/>
                    </a:stretch>
                  </pic:blipFill>
                  <pic:spPr>
                    <a:xfrm>
                      <a:off x="0" y="0"/>
                      <a:ext cx="5422265" cy="2342515"/>
                    </a:xfrm>
                    <a:prstGeom prst="rect">
                      <a:avLst/>
                    </a:prstGeom>
                    <a:ln/>
                  </pic:spPr>
                </pic:pic>
              </a:graphicData>
            </a:graphic>
          </wp:anchor>
        </w:drawing>
      </w:r>
    </w:p>
    <w:p w14:paraId="4E821E9E" w14:textId="77777777" w:rsidR="00F74BAF" w:rsidRDefault="00F74BAF">
      <w:pPr>
        <w:pBdr>
          <w:top w:val="nil"/>
          <w:left w:val="nil"/>
          <w:bottom w:val="nil"/>
          <w:right w:val="nil"/>
          <w:between w:val="nil"/>
        </w:pBdr>
        <w:ind w:firstLine="709"/>
        <w:jc w:val="both"/>
        <w:rPr>
          <w:color w:val="000000"/>
          <w:sz w:val="28"/>
          <w:szCs w:val="28"/>
        </w:rPr>
      </w:pPr>
    </w:p>
    <w:p w14:paraId="70DD7999" w14:textId="77777777" w:rsidR="00F74BAF" w:rsidRDefault="00737583">
      <w:pPr>
        <w:ind w:firstLine="709"/>
        <w:jc w:val="both"/>
        <w:rPr>
          <w:sz w:val="28"/>
          <w:szCs w:val="28"/>
        </w:rPr>
      </w:pPr>
      <w:r>
        <w:rPr>
          <w:sz w:val="28"/>
          <w:szCs w:val="28"/>
        </w:rPr>
        <w:t>The lack of hypernyms exists in all</w:t>
      </w:r>
      <w:r>
        <w:rPr>
          <w:sz w:val="28"/>
          <w:szCs w:val="28"/>
        </w:rPr>
        <w:t xml:space="preserve"> languages, which is a phenomenon of </w:t>
      </w:r>
      <w:r>
        <w:rPr>
          <w:i/>
          <w:iCs/>
          <w:sz w:val="28"/>
          <w:szCs w:val="28"/>
        </w:rPr>
        <w:t>lexical gaps</w:t>
      </w:r>
      <w:r>
        <w:rPr>
          <w:sz w:val="28"/>
          <w:szCs w:val="28"/>
        </w:rPr>
        <w:t>. Those gaps may appear at different levels in many languages. Superordinate terms can be seen as the names of nodes in the hierarchy of the corresponding conceptual category. There will not be a name existi</w:t>
      </w:r>
      <w:r>
        <w:rPr>
          <w:sz w:val="28"/>
          <w:szCs w:val="28"/>
        </w:rPr>
        <w:t xml:space="preserve">ng in the absence of the corresponding concept. </w:t>
      </w:r>
    </w:p>
    <w:p w14:paraId="7B8ED97D" w14:textId="77777777" w:rsidR="00F74BAF" w:rsidRDefault="00737583">
      <w:pPr>
        <w:ind w:firstLine="709"/>
        <w:jc w:val="both"/>
        <w:rPr>
          <w:color w:val="000000"/>
          <w:sz w:val="28"/>
          <w:szCs w:val="28"/>
        </w:rPr>
      </w:pPr>
      <w:r>
        <w:rPr>
          <w:color w:val="000000"/>
          <w:sz w:val="28"/>
          <w:szCs w:val="28"/>
        </w:rPr>
        <w:t xml:space="preserve">However, there may be an intuitively recognizable category that lacks a name in some cases, which is </w:t>
      </w:r>
      <w:r>
        <w:rPr>
          <w:sz w:val="28"/>
          <w:szCs w:val="28"/>
        </w:rPr>
        <w:t>known</w:t>
      </w:r>
      <w:r>
        <w:rPr>
          <w:color w:val="000000"/>
          <w:sz w:val="28"/>
          <w:szCs w:val="28"/>
        </w:rPr>
        <w:t xml:space="preserve"> as a «covert category» (can be symbolized by the sign «ø») [</w:t>
      </w:r>
      <w:r>
        <w:rPr>
          <w:sz w:val="28"/>
          <w:szCs w:val="28"/>
        </w:rPr>
        <w:t>21</w:t>
      </w:r>
      <w:r>
        <w:rPr>
          <w:color w:val="000000"/>
          <w:sz w:val="28"/>
          <w:szCs w:val="28"/>
        </w:rPr>
        <w:t xml:space="preserve">, р. 149] For instance, there should </w:t>
      </w:r>
      <w:r>
        <w:rPr>
          <w:color w:val="000000"/>
          <w:sz w:val="28"/>
          <w:szCs w:val="28"/>
        </w:rPr>
        <w:t>exist a concept that is paralleled with «fly»</w:t>
      </w:r>
      <w:r>
        <w:rPr>
          <w:i/>
          <w:iCs/>
          <w:color w:val="000000"/>
          <w:sz w:val="28"/>
          <w:szCs w:val="28"/>
        </w:rPr>
        <w:t xml:space="preserve"> '</w:t>
      </w:r>
      <w:r>
        <w:rPr>
          <w:color w:val="000000"/>
          <w:sz w:val="28"/>
          <w:szCs w:val="28"/>
        </w:rPr>
        <w:t>movement in air' and «swim» 'movement in water', but there is no hypernym as the general term for movement on land, say, «ran», «walk», «crawl», «hop»</w:t>
      </w:r>
      <w:r>
        <w:rPr>
          <w:i/>
          <w:iCs/>
          <w:color w:val="000000"/>
          <w:sz w:val="28"/>
          <w:szCs w:val="28"/>
        </w:rPr>
        <w:t>,</w:t>
      </w:r>
      <w:r>
        <w:rPr>
          <w:color w:val="000000"/>
          <w:sz w:val="28"/>
          <w:szCs w:val="28"/>
        </w:rPr>
        <w:t xml:space="preserve"> and «jump» in English. Moreover, the lexical gaps are var</w:t>
      </w:r>
      <w:r>
        <w:rPr>
          <w:color w:val="000000"/>
          <w:sz w:val="28"/>
          <w:szCs w:val="28"/>
        </w:rPr>
        <w:t>ious among different languages. </w:t>
      </w:r>
    </w:p>
    <w:p w14:paraId="323A9ACE"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Antonymy</w:t>
      </w:r>
    </w:p>
    <w:p w14:paraId="0D51973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Traditional lexicology has long paid attention to the linguistic phenomenon of antonymy and generally believes that antonyms are «a word that has a meaning opposite to that of another word». This statement is now c</w:t>
      </w:r>
      <w:r>
        <w:rPr>
          <w:color w:val="000000"/>
          <w:sz w:val="28"/>
          <w:szCs w:val="28"/>
        </w:rPr>
        <w:t>onsidered inaccurate. Modern semantics has incorporated an essential principle of structuralism from the outset in its study of semantic relations, particularly antonymy, which involves opposition and difference. When examining antonymy from the perspectiv</w:t>
      </w:r>
      <w:r>
        <w:rPr>
          <w:color w:val="000000"/>
          <w:sz w:val="28"/>
          <w:szCs w:val="28"/>
        </w:rPr>
        <w:t>e of semantic opposition and difference, it is found that antonymy in language is complex and diverse. There are words with truly opposite meanings, and there are also words that are not opposite in meanings but are only complementary and contrary. Therefo</w:t>
      </w:r>
      <w:r>
        <w:rPr>
          <w:color w:val="000000"/>
          <w:sz w:val="28"/>
          <w:szCs w:val="28"/>
        </w:rPr>
        <w:t>re, Leach believes: «a more general useful notion of «semantic contrastingness» than antonymy is that of incompatibility (otherwise termed meaning exclusion)» [</w:t>
      </w:r>
      <w:r>
        <w:rPr>
          <w:sz w:val="28"/>
          <w:szCs w:val="28"/>
        </w:rPr>
        <w:t>2</w:t>
      </w:r>
      <w:r>
        <w:rPr>
          <w:color w:val="000000"/>
          <w:sz w:val="28"/>
          <w:szCs w:val="28"/>
        </w:rPr>
        <w:t>, р. 99-100]. However, in our research, we will continue to use the classical term antonym, whi</w:t>
      </w:r>
      <w:r>
        <w:rPr>
          <w:color w:val="000000"/>
          <w:sz w:val="28"/>
          <w:szCs w:val="28"/>
        </w:rPr>
        <w:t>ch refers to the semantic opposite relation; nevertheless, antonymy also has a general and narrow sense as synonymy does: </w:t>
      </w:r>
    </w:p>
    <w:p w14:paraId="0E222226" w14:textId="77777777" w:rsidR="00F74BAF" w:rsidRDefault="00737583">
      <w:pPr>
        <w:pBdr>
          <w:top w:val="nil"/>
          <w:left w:val="nil"/>
          <w:bottom w:val="nil"/>
          <w:right w:val="nil"/>
          <w:between w:val="nil"/>
        </w:pBdr>
        <w:ind w:firstLine="709"/>
        <w:jc w:val="both"/>
        <w:rPr>
          <w:color w:val="000000"/>
          <w:sz w:val="28"/>
          <w:szCs w:val="28"/>
        </w:rPr>
      </w:pPr>
      <w:r>
        <w:rPr>
          <w:sz w:val="28"/>
          <w:szCs w:val="28"/>
        </w:rPr>
        <w:t xml:space="preserve">- </w:t>
      </w:r>
      <w:r>
        <w:rPr>
          <w:color w:val="000000"/>
          <w:sz w:val="28"/>
          <w:szCs w:val="28"/>
        </w:rPr>
        <w:t xml:space="preserve">Complementary </w:t>
      </w:r>
    </w:p>
    <w:p w14:paraId="4E84BC2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Complementary antonyms involve binary oppositions. In such pairs, each term </w:t>
      </w:r>
      <w:r>
        <w:rPr>
          <w:sz w:val="28"/>
          <w:szCs w:val="28"/>
        </w:rPr>
        <w:t>represents a concept that</w:t>
      </w:r>
      <w:r>
        <w:rPr>
          <w:color w:val="000000"/>
          <w:sz w:val="28"/>
          <w:szCs w:val="28"/>
        </w:rPr>
        <w:t xml:space="preserve"> mutually exclu</w:t>
      </w:r>
      <w:r>
        <w:rPr>
          <w:color w:val="000000"/>
          <w:sz w:val="28"/>
          <w:szCs w:val="28"/>
        </w:rPr>
        <w:t xml:space="preserve">des the other with a particular conceptual domain. These are broad antonyms. The meanings are strictly opposed and mutually exhaustive: if something is not A, it must be B. For instance, if something is «true», then it is not «false»; conversely, if it is </w:t>
      </w:r>
      <w:r>
        <w:rPr>
          <w:color w:val="000000"/>
          <w:sz w:val="28"/>
          <w:szCs w:val="28"/>
        </w:rPr>
        <w:t>not 'true,' it must be 'false.' For example, this type of antonyms include adjectives and verbs, such as «true»/«false», «alive»/«dead», «male»/«female», «married»/«single», etc.</w:t>
      </w:r>
    </w:p>
    <w:p w14:paraId="5532444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It is worth noting that the </w:t>
      </w:r>
      <w:r>
        <w:rPr>
          <w:sz w:val="28"/>
          <w:szCs w:val="28"/>
        </w:rPr>
        <w:t>complementarity here</w:t>
      </w:r>
      <w:r>
        <w:rPr>
          <w:color w:val="000000"/>
          <w:sz w:val="28"/>
          <w:szCs w:val="28"/>
        </w:rPr>
        <w:t xml:space="preserve"> refers to the </w:t>
      </w:r>
      <w:r>
        <w:rPr>
          <w:i/>
          <w:iCs/>
          <w:color w:val="000000"/>
          <w:sz w:val="28"/>
          <w:szCs w:val="28"/>
        </w:rPr>
        <w:t>meanings</w:t>
      </w:r>
      <w:r>
        <w:rPr>
          <w:color w:val="000000"/>
          <w:sz w:val="28"/>
          <w:szCs w:val="28"/>
        </w:rPr>
        <w:t xml:space="preserve"> of th</w:t>
      </w:r>
      <w:r>
        <w:rPr>
          <w:color w:val="000000"/>
          <w:sz w:val="28"/>
          <w:szCs w:val="28"/>
        </w:rPr>
        <w:t xml:space="preserve">e words, not necessarily objective reality. For example, like «alive»/«dead», there may be no clear boundary in real life. In certain situations, we may say, «He is technically still alive, but in all practical senses, he is already dead», or «Rather than </w:t>
      </w:r>
      <w:r>
        <w:rPr>
          <w:color w:val="000000"/>
          <w:sz w:val="28"/>
          <w:szCs w:val="28"/>
        </w:rPr>
        <w:t xml:space="preserve">being alive, he seems dead». However, in terms of semantics, «alive» and «dead» </w:t>
      </w:r>
      <w:r>
        <w:rPr>
          <w:sz w:val="28"/>
          <w:szCs w:val="28"/>
        </w:rPr>
        <w:t>are absolutely</w:t>
      </w:r>
      <w:r>
        <w:rPr>
          <w:color w:val="000000"/>
          <w:sz w:val="28"/>
          <w:szCs w:val="28"/>
        </w:rPr>
        <w:t xml:space="preserve"> distinct. That is, the contrast between them is absolute, with a clear and definite boundary [</w:t>
      </w:r>
      <w:r>
        <w:rPr>
          <w:sz w:val="28"/>
          <w:szCs w:val="28"/>
        </w:rPr>
        <w:t>2</w:t>
      </w:r>
      <w:r>
        <w:rPr>
          <w:color w:val="000000"/>
          <w:sz w:val="28"/>
          <w:szCs w:val="28"/>
        </w:rPr>
        <w:t>, р. 106-107].</w:t>
      </w:r>
    </w:p>
    <w:p w14:paraId="04718500" w14:textId="77777777" w:rsidR="00F74BAF" w:rsidRDefault="00737583">
      <w:pPr>
        <w:pBdr>
          <w:top w:val="nil"/>
          <w:left w:val="nil"/>
          <w:bottom w:val="nil"/>
          <w:right w:val="nil"/>
          <w:between w:val="nil"/>
        </w:pBdr>
        <w:ind w:firstLine="709"/>
        <w:jc w:val="both"/>
        <w:rPr>
          <w:color w:val="000000"/>
          <w:sz w:val="28"/>
          <w:szCs w:val="28"/>
        </w:rPr>
      </w:pPr>
      <w:r>
        <w:rPr>
          <w:sz w:val="28"/>
          <w:szCs w:val="28"/>
        </w:rPr>
        <w:t xml:space="preserve">- </w:t>
      </w:r>
      <w:r>
        <w:rPr>
          <w:color w:val="000000"/>
          <w:sz w:val="28"/>
          <w:szCs w:val="28"/>
        </w:rPr>
        <w:t>Gradable Antonyms</w:t>
      </w:r>
    </w:p>
    <w:p w14:paraId="12080F7E"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Gradable antonyms refer to a </w:t>
      </w:r>
      <w:r>
        <w:rPr>
          <w:color w:val="000000"/>
          <w:sz w:val="28"/>
          <w:szCs w:val="28"/>
        </w:rPr>
        <w:t>polarity-based opposition and are considered a narrow sense of antonyms. Gradable antonyms express various degrees of a certain quality, such as length, height, width, or temperature, etc, rather than a strict binary contrast. They divide a related concept</w:t>
      </w:r>
      <w:r>
        <w:rPr>
          <w:color w:val="000000"/>
          <w:sz w:val="28"/>
          <w:szCs w:val="28"/>
        </w:rPr>
        <w:t xml:space="preserve"> into two opposite poles, with a certain range between them, e.g., «big»/«small», «deep»/«shallow», «rich»/«poor», «good»/«bad», «beautiful»/«ugly», etc. [</w:t>
      </w:r>
      <w:r>
        <w:rPr>
          <w:sz w:val="28"/>
          <w:szCs w:val="28"/>
        </w:rPr>
        <w:t>2</w:t>
      </w:r>
      <w:r>
        <w:rPr>
          <w:color w:val="000000"/>
          <w:sz w:val="28"/>
          <w:szCs w:val="28"/>
        </w:rPr>
        <w:t>, р. 108].</w:t>
      </w:r>
    </w:p>
    <w:p w14:paraId="5A471AFB"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Gradable antonyms have the following three characteristics:</w:t>
      </w:r>
    </w:p>
    <w:p w14:paraId="74E2F096"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They are inherently gradabl</w:t>
      </w:r>
      <w:r>
        <w:rPr>
          <w:color w:val="0E101A"/>
          <w:sz w:val="28"/>
          <w:szCs w:val="28"/>
        </w:rPr>
        <w:t xml:space="preserve">e or scalable. </w:t>
      </w:r>
    </w:p>
    <w:p w14:paraId="4134AFCA"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E. Sapir first introduced the concept of «gradability» in antonymic relationships. In his article, «Grading: A Semantic Study», he pointed out that there are many adjective pairs in English, such as «hot»/«cold», «wide»/«narrow», «old»/«you</w:t>
      </w:r>
      <w:r>
        <w:rPr>
          <w:color w:val="0E101A"/>
          <w:sz w:val="28"/>
          <w:szCs w:val="28"/>
        </w:rPr>
        <w:t>ng», «big»/«small», imply degrees of a property. Their gradability not only reflects morphological forms like «-er» or modifiers like «more», but is also embedded in their basic meanings.</w:t>
      </w:r>
    </w:p>
    <w:p w14:paraId="1D48B79E"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This is evident in comparative usage, such as asking, «Is X as hot a</w:t>
      </w:r>
      <w:r>
        <w:rPr>
          <w:color w:val="0E101A"/>
          <w:sz w:val="28"/>
          <w:szCs w:val="28"/>
        </w:rPr>
        <w:t xml:space="preserve">s Y?» with answers like «X is as hot as Y» or «X is hotter than Y». These expressions depend on the inherent gradability of the word hot. In contrast, for a non-gradable word like female, it makes no sense to say «X is as female as Y» or «X is more female </w:t>
      </w:r>
      <w:r>
        <w:rPr>
          <w:color w:val="0E101A"/>
          <w:sz w:val="28"/>
          <w:szCs w:val="28"/>
        </w:rPr>
        <w:t>than Y». This illustrates a key distinction between gradable antonyms like hot/cold and non-gradable oppositions like male/female. When we say «X is male», we necessarily imply «X is not female», and vice versa. However, saying «X is hot» implies «X is not</w:t>
      </w:r>
      <w:r>
        <w:rPr>
          <w:color w:val="0E101A"/>
          <w:sz w:val="28"/>
          <w:szCs w:val="28"/>
        </w:rPr>
        <w:t xml:space="preserve"> cold», but saying «X is not hot» does not necessarily imply «X is cold» ‒ it could also mean warm or cool [11, р. 271-272]. Gradable antonyms, therefore, allow for intermediate terms that lie between the two poles. For instance, between «hot» and «cold», </w:t>
      </w:r>
      <w:r>
        <w:rPr>
          <w:color w:val="0E101A"/>
          <w:sz w:val="28"/>
          <w:szCs w:val="28"/>
        </w:rPr>
        <w:t>there are «warm» and «cool», forming a scale of «hot» – «warm» – «cool» – «cold». Likewise, between «big» and «small», we may use «medium», resulting in «big»</w:t>
      </w:r>
      <w:r>
        <w:rPr>
          <w:i/>
          <w:iCs/>
          <w:color w:val="0E101A"/>
          <w:sz w:val="28"/>
          <w:szCs w:val="28"/>
        </w:rPr>
        <w:t xml:space="preserve"> – </w:t>
      </w:r>
      <w:r>
        <w:rPr>
          <w:color w:val="0E101A"/>
          <w:sz w:val="28"/>
          <w:szCs w:val="28"/>
        </w:rPr>
        <w:t>«medium»</w:t>
      </w:r>
      <w:r>
        <w:rPr>
          <w:i/>
          <w:iCs/>
          <w:color w:val="0E101A"/>
          <w:sz w:val="28"/>
          <w:szCs w:val="28"/>
        </w:rPr>
        <w:t xml:space="preserve"> – </w:t>
      </w:r>
      <w:r>
        <w:rPr>
          <w:color w:val="0E101A"/>
          <w:sz w:val="28"/>
          <w:szCs w:val="28"/>
        </w:rPr>
        <w:t xml:space="preserve">«small». Everyday expressions like «not too hot, not too cold» or «not too big, not </w:t>
      </w:r>
      <w:r>
        <w:rPr>
          <w:color w:val="0E101A"/>
          <w:sz w:val="28"/>
          <w:szCs w:val="28"/>
        </w:rPr>
        <w:t>too small» affirm the existence of this intermediate zone.</w:t>
      </w:r>
    </w:p>
    <w:p w14:paraId="09B8FD12" w14:textId="77777777" w:rsidR="00F74BAF" w:rsidRDefault="00737583">
      <w:pPr>
        <w:pBdr>
          <w:top w:val="nil"/>
          <w:left w:val="nil"/>
          <w:bottom w:val="nil"/>
          <w:right w:val="nil"/>
          <w:between w:val="nil"/>
        </w:pBdr>
        <w:ind w:firstLine="709"/>
        <w:jc w:val="both"/>
        <w:rPr>
          <w:color w:val="000000"/>
          <w:sz w:val="28"/>
          <w:szCs w:val="28"/>
        </w:rPr>
      </w:pPr>
      <w:r>
        <w:rPr>
          <w:sz w:val="28"/>
          <w:szCs w:val="28"/>
        </w:rPr>
        <w:t>-</w:t>
      </w:r>
      <w:r>
        <w:rPr>
          <w:color w:val="000000"/>
          <w:sz w:val="28"/>
          <w:szCs w:val="28"/>
        </w:rPr>
        <w:t xml:space="preserve"> Their meanings are variable and relative</w:t>
      </w:r>
    </w:p>
    <w:p w14:paraId="18D158C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In everyday speech, we often encounter expressions such as «a big kid», «a small large breed dog», «a thinner thick cloth», or «a taller short stool». Tho</w:t>
      </w:r>
      <w:r>
        <w:rPr>
          <w:color w:val="000000"/>
          <w:sz w:val="28"/>
          <w:szCs w:val="28"/>
        </w:rPr>
        <w:t>ugh see</w:t>
      </w:r>
      <w:r>
        <w:rPr>
          <w:sz w:val="28"/>
          <w:szCs w:val="28"/>
        </w:rPr>
        <w:t>ming</w:t>
      </w:r>
      <w:r>
        <w:rPr>
          <w:color w:val="000000"/>
          <w:sz w:val="28"/>
          <w:szCs w:val="28"/>
        </w:rPr>
        <w:t>ly contradictory, these examples reflect the relativity of gradable antonyms. Each pair refers to a changeable property, and their interpretation is context-dependent. For example, «a thinner thick cloth» refers to a cloth that, while still cons</w:t>
      </w:r>
      <w:r>
        <w:rPr>
          <w:color w:val="000000"/>
          <w:sz w:val="28"/>
          <w:szCs w:val="28"/>
        </w:rPr>
        <w:t>idered thick, is relatively thinner than others in the same category. Similarly, «a taller short stool» is the tallest among stools typically considered short. Another example: «</w:t>
      </w:r>
      <w:r>
        <w:rPr>
          <w:sz w:val="28"/>
          <w:szCs w:val="28"/>
        </w:rPr>
        <w:t>a</w:t>
      </w:r>
      <w:r>
        <w:rPr>
          <w:color w:val="000000"/>
          <w:sz w:val="28"/>
          <w:szCs w:val="28"/>
        </w:rPr>
        <w:t xml:space="preserve"> baby elephant is larger than a big rat». Here, the standards of measurement </w:t>
      </w:r>
      <w:r>
        <w:rPr>
          <w:color w:val="000000"/>
          <w:sz w:val="28"/>
          <w:szCs w:val="28"/>
        </w:rPr>
        <w:t xml:space="preserve">differ ‒ elephant is assessed within the range of elephants, and </w:t>
      </w:r>
      <w:r>
        <w:rPr>
          <w:sz w:val="28"/>
          <w:szCs w:val="28"/>
        </w:rPr>
        <w:t>rats</w:t>
      </w:r>
      <w:r>
        <w:rPr>
          <w:color w:val="000000"/>
          <w:sz w:val="28"/>
          <w:szCs w:val="28"/>
        </w:rPr>
        <w:t xml:space="preserve"> within the range of rats. This shows that the comparison standard shifts according to the category being referenced [</w:t>
      </w:r>
      <w:r>
        <w:rPr>
          <w:sz w:val="28"/>
          <w:szCs w:val="28"/>
        </w:rPr>
        <w:t>2</w:t>
      </w:r>
      <w:r>
        <w:rPr>
          <w:color w:val="000000"/>
          <w:sz w:val="28"/>
          <w:szCs w:val="28"/>
        </w:rPr>
        <w:t>, р. 108-110].</w:t>
      </w:r>
    </w:p>
    <w:p w14:paraId="3246CD50" w14:textId="77777777" w:rsidR="00F74BAF" w:rsidRDefault="00737583">
      <w:pPr>
        <w:pBdr>
          <w:top w:val="nil"/>
          <w:left w:val="nil"/>
          <w:bottom w:val="nil"/>
          <w:right w:val="nil"/>
          <w:between w:val="nil"/>
        </w:pBdr>
        <w:ind w:firstLine="709"/>
        <w:jc w:val="both"/>
        <w:rPr>
          <w:color w:val="000000"/>
          <w:sz w:val="28"/>
          <w:szCs w:val="28"/>
        </w:rPr>
      </w:pPr>
      <w:r>
        <w:rPr>
          <w:sz w:val="28"/>
          <w:szCs w:val="28"/>
        </w:rPr>
        <w:t>-</w:t>
      </w:r>
      <w:r>
        <w:rPr>
          <w:color w:val="000000"/>
          <w:sz w:val="28"/>
          <w:szCs w:val="28"/>
        </w:rPr>
        <w:t xml:space="preserve"> One word is typically marked, and the other unmarke</w:t>
      </w:r>
      <w:r>
        <w:rPr>
          <w:color w:val="000000"/>
          <w:sz w:val="28"/>
          <w:szCs w:val="28"/>
        </w:rPr>
        <w:t>d.</w:t>
      </w:r>
    </w:p>
    <w:p w14:paraId="613F50CD"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 concept of markedness was introduced by the Prague School in the 1930s within the field of phonology. In a pair of phonemes, the one with a distinctive feature (such as voicing) is marked, while the one without is unmarked. This theory was later ext</w:t>
      </w:r>
      <w:r>
        <w:rPr>
          <w:color w:val="000000"/>
          <w:sz w:val="28"/>
          <w:szCs w:val="28"/>
        </w:rPr>
        <w:t>ended to grammar and semantics.</w:t>
      </w:r>
    </w:p>
    <w:p w14:paraId="550BA109"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In semantics, markedness refers to the asymmetry in a pair of antonyms, where one term carries an additional, specific meaning, and the other serves as the default or neutral term. When inquiring about a property that exists</w:t>
      </w:r>
      <w:r>
        <w:rPr>
          <w:color w:val="000000"/>
          <w:sz w:val="28"/>
          <w:szCs w:val="28"/>
        </w:rPr>
        <w:t xml:space="preserve"> along a gradable scale, speakers typically use the unmarked term. For instance, in the pair big/small, big is unmarked and small is marked. Asking «How big is the classroom?» is a neutral inquiry ‒ it does not presume the classroom is large. But asking «H</w:t>
      </w:r>
      <w:r>
        <w:rPr>
          <w:color w:val="000000"/>
          <w:sz w:val="28"/>
          <w:szCs w:val="28"/>
        </w:rPr>
        <w:t>ow small is the classroom?» assumes it is small and seeks to specify how small. Thus, small contains an additional marked meaning that big does not.</w:t>
      </w:r>
    </w:p>
    <w:p w14:paraId="3A2DCAEF"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Similar marked/unmarked relationships exist in pairs like «tall»/«short», «wide»/«narrow», and «thick»/«thi</w:t>
      </w:r>
      <w:r>
        <w:rPr>
          <w:color w:val="000000"/>
          <w:sz w:val="28"/>
          <w:szCs w:val="28"/>
        </w:rPr>
        <w:t>n». In most languages, the term representing the 'greater' or more extensive quality is typically the unmarked one. This applies not only to adjectives but also to their derived nouns ‒ for example, height and width in English are also unmarked. Compared t</w:t>
      </w:r>
      <w:r>
        <w:rPr>
          <w:color w:val="000000"/>
          <w:sz w:val="28"/>
          <w:szCs w:val="28"/>
        </w:rPr>
        <w:t>o marked terms, unmarked terms are considered more basic, neutral, and commonly used [</w:t>
      </w:r>
      <w:r>
        <w:rPr>
          <w:sz w:val="28"/>
          <w:szCs w:val="28"/>
        </w:rPr>
        <w:t>11</w:t>
      </w:r>
      <w:r>
        <w:rPr>
          <w:color w:val="000000"/>
          <w:sz w:val="28"/>
          <w:szCs w:val="28"/>
        </w:rPr>
        <w:t>, р. 305-308].</w:t>
      </w:r>
    </w:p>
    <w:p w14:paraId="09CF058C" w14:textId="77777777" w:rsidR="00F74BAF" w:rsidRDefault="00737583">
      <w:pPr>
        <w:pBdr>
          <w:top w:val="nil"/>
          <w:left w:val="nil"/>
          <w:bottom w:val="nil"/>
          <w:right w:val="nil"/>
          <w:between w:val="nil"/>
        </w:pBdr>
        <w:ind w:firstLine="709"/>
        <w:jc w:val="both"/>
        <w:rPr>
          <w:color w:val="000000"/>
          <w:sz w:val="28"/>
          <w:szCs w:val="28"/>
        </w:rPr>
      </w:pPr>
      <w:r>
        <w:rPr>
          <w:sz w:val="28"/>
          <w:szCs w:val="28"/>
        </w:rPr>
        <w:t>-</w:t>
      </w:r>
      <w:r>
        <w:rPr>
          <w:color w:val="000000"/>
          <w:sz w:val="28"/>
          <w:szCs w:val="28"/>
        </w:rPr>
        <w:t xml:space="preserve"> Reversives</w:t>
      </w:r>
    </w:p>
    <w:p w14:paraId="661493B7"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Some contrasts in word meanings are neither complementary nor bipolar but rather a kind of inverse opposition. For example, «buy»/«sell», </w:t>
      </w:r>
      <w:r>
        <w:rPr>
          <w:color w:val="000000"/>
          <w:sz w:val="28"/>
          <w:szCs w:val="28"/>
        </w:rPr>
        <w:t>«receive»/«send», «import»/«export», «husband»/«wife», «teacher»/«student», etc. Some words that indicate spatial position also belong to this category, such as «above»/«below» in English, «before»/«after», and «left»/«right», etc.</w:t>
      </w:r>
    </w:p>
    <w:p w14:paraId="3E73B4BD"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One intriguing category </w:t>
      </w:r>
      <w:r>
        <w:rPr>
          <w:color w:val="000000"/>
          <w:sz w:val="28"/>
          <w:szCs w:val="28"/>
        </w:rPr>
        <w:t>of directional opposites includes pairs of verbs that denote motion or change in opposite directions, which some scholars refer to as «reversive». Purely spatial examples, which are presumably the simplest conceptually, are not very numerous: basic example</w:t>
      </w:r>
      <w:r>
        <w:rPr>
          <w:color w:val="000000"/>
          <w:sz w:val="28"/>
          <w:szCs w:val="28"/>
        </w:rPr>
        <w:t xml:space="preserve">s include «rise»/«fall», «ascend»/«descend», «advance»/«retreat», and «enter»/«leave». In most cases, understanding the notion of the opposite direction requires a more abstract or extended interpretation. There are two main ways to characterize «opposite </w:t>
      </w:r>
      <w:r>
        <w:rPr>
          <w:color w:val="000000"/>
          <w:sz w:val="28"/>
          <w:szCs w:val="28"/>
        </w:rPr>
        <w:t>direction» for reversive verb pairs. The first applies to verbs that refer to transitions between two specific states, which we can symbolize as state A and state B. The reversive nature of the verb pair lies in the fact that one verb denotes a change from</w:t>
      </w:r>
      <w:r>
        <w:rPr>
          <w:color w:val="000000"/>
          <w:sz w:val="28"/>
          <w:szCs w:val="28"/>
        </w:rPr>
        <w:t xml:space="preserve"> A to B, while its reversive partner denotes a change from B to A. Examples of this type include appear/disappear, tie/untie, and enter/leave. For the first pair, the relevant states are A: «being visible» and B: «being invisible». «Appear» means 'to chang</w:t>
      </w:r>
      <w:r>
        <w:rPr>
          <w:color w:val="000000"/>
          <w:sz w:val="28"/>
          <w:szCs w:val="28"/>
        </w:rPr>
        <w:t>e from being invisible to being visible', and «disappear» means 'to change from being visible to being invisible'. For «tie» and «untie», the states are 'being tied' and 'being untied'; for «enter» and «leave», the states are 'being inside something' and '</w:t>
      </w:r>
      <w:r>
        <w:rPr>
          <w:color w:val="000000"/>
          <w:sz w:val="28"/>
          <w:szCs w:val="28"/>
        </w:rPr>
        <w:t>being outside something'. These pairs illustrate an important feature of reversive opposites: the actions or processes that bring about the changes of state do not need to be exact reversals for the two verbs in the pair. For instance, untying a shoelace i</w:t>
      </w:r>
      <w:r>
        <w:rPr>
          <w:color w:val="000000"/>
          <w:sz w:val="28"/>
          <w:szCs w:val="28"/>
        </w:rPr>
        <w:t>s not the literal reversal of tying it, as one might see in a film played backward; typically, one unties a shoelace simply by pulling the ends. The crucial point is that the appropriate states are achieved. Similarly, entering and leaving does not necessa</w:t>
      </w:r>
      <w:r>
        <w:rPr>
          <w:color w:val="000000"/>
          <w:sz w:val="28"/>
          <w:szCs w:val="28"/>
        </w:rPr>
        <w:t xml:space="preserve">rily involve motion in opposite directions in a simple spatial sense; a train entering and then leaving a station may travel in the same direction for both actions. What matters is that the train changes from being outside the station to being inside </w:t>
      </w:r>
      <w:r>
        <w:rPr>
          <w:sz w:val="28"/>
          <w:szCs w:val="28"/>
        </w:rPr>
        <w:t>to</w:t>
      </w:r>
      <w:r>
        <w:rPr>
          <w:color w:val="000000"/>
          <w:sz w:val="28"/>
          <w:szCs w:val="28"/>
        </w:rPr>
        <w:t xml:space="preserve"> en</w:t>
      </w:r>
      <w:r>
        <w:rPr>
          <w:color w:val="000000"/>
          <w:sz w:val="28"/>
          <w:szCs w:val="28"/>
        </w:rPr>
        <w:t xml:space="preserve">ter, and from being inside to being outside </w:t>
      </w:r>
      <w:r>
        <w:rPr>
          <w:sz w:val="28"/>
          <w:szCs w:val="28"/>
        </w:rPr>
        <w:t>to</w:t>
      </w:r>
      <w:r>
        <w:rPr>
          <w:color w:val="000000"/>
          <w:sz w:val="28"/>
          <w:szCs w:val="28"/>
        </w:rPr>
        <w:t xml:space="preserve"> leave. This characterization applies to many reversive pairs, such as «pack»/«unpack», «lock»/«unlock», «screw»/«unscrew», «dress»/«undress», «mount»/«dismount», «embark»/«disembark», and «cover»/«discover».</w:t>
      </w:r>
    </w:p>
    <w:p w14:paraId="77E987A8"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w:t>
      </w:r>
      <w:r>
        <w:rPr>
          <w:color w:val="000000"/>
          <w:sz w:val="28"/>
          <w:szCs w:val="28"/>
        </w:rPr>
        <w:t xml:space="preserve">he second characterization </w:t>
      </w:r>
      <w:r>
        <w:rPr>
          <w:sz w:val="28"/>
          <w:szCs w:val="28"/>
        </w:rPr>
        <w:t>of the opposite</w:t>
      </w:r>
      <w:r>
        <w:rPr>
          <w:color w:val="000000"/>
          <w:sz w:val="28"/>
          <w:szCs w:val="28"/>
        </w:rPr>
        <w:t xml:space="preserve"> direction involves relative rather than absolute states. Reversive verbs of this type denote changes between states defined by their relationship to one another. Suppose we have a pair of verbs of this type, «a» a</w:t>
      </w:r>
      <w:r>
        <w:rPr>
          <w:color w:val="000000"/>
          <w:sz w:val="28"/>
          <w:szCs w:val="28"/>
        </w:rPr>
        <w:t xml:space="preserve">nd «b», whose defining relation is R. One member of the pair, say </w:t>
      </w:r>
      <w:r>
        <w:rPr>
          <w:i/>
          <w:iCs/>
          <w:color w:val="000000"/>
          <w:sz w:val="28"/>
          <w:szCs w:val="28"/>
        </w:rPr>
        <w:t>a</w:t>
      </w:r>
      <w:r>
        <w:rPr>
          <w:color w:val="000000"/>
          <w:sz w:val="28"/>
          <w:szCs w:val="28"/>
        </w:rPr>
        <w:t xml:space="preserve">, denotes a change such that the initial state stands in relation R to the final state, while its reversive partner, «b», denotes a change such that the final state stands in relation R to </w:t>
      </w:r>
      <w:r>
        <w:rPr>
          <w:color w:val="000000"/>
          <w:sz w:val="28"/>
          <w:szCs w:val="28"/>
        </w:rPr>
        <w:t xml:space="preserve">the initial state. An example of such a pair is lengthen. For something to have undergone a process of lengthening, its final state must be longer than its initial state («be longer than» represents R for this pair), whereas for shorten, the initial state </w:t>
      </w:r>
      <w:r>
        <w:rPr>
          <w:color w:val="000000"/>
          <w:sz w:val="28"/>
          <w:szCs w:val="28"/>
        </w:rPr>
        <w:t>must be longer than the final state. Absolute lengths are irrelevant for both verbs. Other examples of this type include «widen»/«shorten», «accelerate»/«decelerate», «heat»/«cool», «ascend»/«descend»,</w:t>
      </w:r>
      <w:r>
        <w:rPr>
          <w:sz w:val="28"/>
          <w:szCs w:val="28"/>
        </w:rPr>
        <w:t xml:space="preserve"> </w:t>
      </w:r>
      <w:r>
        <w:rPr>
          <w:color w:val="000000"/>
          <w:sz w:val="28"/>
          <w:szCs w:val="28"/>
        </w:rPr>
        <w:t>«strengthen»/«weaken», and «improve»/«deteriorate» [</w:t>
      </w:r>
      <w:r>
        <w:rPr>
          <w:sz w:val="28"/>
          <w:szCs w:val="28"/>
        </w:rPr>
        <w:t>21</w:t>
      </w:r>
      <w:r>
        <w:rPr>
          <w:color w:val="000000"/>
          <w:sz w:val="28"/>
          <w:szCs w:val="28"/>
        </w:rPr>
        <w:t>, р. 226-227].</w:t>
      </w:r>
    </w:p>
    <w:p w14:paraId="55061F6E"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It is worth noting that the two words that form an inverse relationship are both mutually opposed and interdependent. For example, «buy» and «sell» both contain the semantic component of 'property transfer', but they are opposite in the 'dir</w:t>
      </w:r>
      <w:r>
        <w:rPr>
          <w:color w:val="000000"/>
          <w:sz w:val="28"/>
          <w:szCs w:val="28"/>
        </w:rPr>
        <w:t>ection of transfer.' Being both opposite and interdependent is actually the premise for for</w:t>
      </w:r>
      <w:r>
        <w:rPr>
          <w:sz w:val="28"/>
          <w:szCs w:val="28"/>
        </w:rPr>
        <w:t>ming</w:t>
      </w:r>
      <w:r>
        <w:rPr>
          <w:color w:val="000000"/>
          <w:sz w:val="28"/>
          <w:szCs w:val="28"/>
        </w:rPr>
        <w:t xml:space="preserve"> any type of antonym relationship. Because if two words have nothing in common, it is impossible to form antonyms. Traditional semantics only pay attention to th</w:t>
      </w:r>
      <w:r>
        <w:rPr>
          <w:color w:val="000000"/>
          <w:sz w:val="28"/>
          <w:szCs w:val="28"/>
        </w:rPr>
        <w:t>e opposite side of antonyms and, therefore, cannot accurately reflect the true face of the antonymy phenomenon. Modern semantics can more clearly explain the actual situation of 'differences in similarities' contained in antonym relationships through seman</w:t>
      </w:r>
      <w:r>
        <w:rPr>
          <w:color w:val="000000"/>
          <w:sz w:val="28"/>
          <w:szCs w:val="28"/>
        </w:rPr>
        <w:t>tic component analysis.</w:t>
      </w:r>
    </w:p>
    <w:p w14:paraId="66F0B246" w14:textId="77777777" w:rsidR="00F74BAF" w:rsidRDefault="00F74BAF">
      <w:pPr>
        <w:pBdr>
          <w:top w:val="nil"/>
          <w:left w:val="nil"/>
          <w:bottom w:val="nil"/>
          <w:right w:val="nil"/>
          <w:between w:val="nil"/>
        </w:pBdr>
        <w:ind w:firstLine="709"/>
        <w:jc w:val="both"/>
        <w:rPr>
          <w:b/>
          <w:bCs/>
          <w:color w:val="000000"/>
          <w:sz w:val="28"/>
          <w:szCs w:val="28"/>
        </w:rPr>
      </w:pPr>
    </w:p>
    <w:p w14:paraId="3AF4162D"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Polysymy and homonymy</w:t>
      </w:r>
    </w:p>
    <w:p w14:paraId="410381A8"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Since the establishment of semantics, scholars have paid close observation to the situation of polysemy and homonymy. Scholars are so interested in this phenomenon that some people have proposed to establish a</w:t>
      </w:r>
      <w:r>
        <w:rPr>
          <w:color w:val="000000"/>
          <w:sz w:val="28"/>
          <w:szCs w:val="28"/>
        </w:rPr>
        <w:t xml:space="preserve"> discipline dedicated to the study of homonymy, which is named «Homonymics» [</w:t>
      </w:r>
      <w:r>
        <w:rPr>
          <w:sz w:val="28"/>
          <w:szCs w:val="28"/>
        </w:rPr>
        <w:t>15</w:t>
      </w:r>
      <w:r>
        <w:rPr>
          <w:color w:val="000000"/>
          <w:sz w:val="28"/>
          <w:szCs w:val="28"/>
        </w:rPr>
        <w:t>, р. 125]. Among the many scholars, Bloomfield exerted a significant influence on the study. In his word, «Language»</w:t>
      </w:r>
      <w:r>
        <w:rPr>
          <w:i/>
          <w:iCs/>
          <w:color w:val="000000"/>
          <w:sz w:val="28"/>
          <w:szCs w:val="28"/>
        </w:rPr>
        <w:t>,</w:t>
      </w:r>
      <w:r>
        <w:rPr>
          <w:color w:val="000000"/>
          <w:sz w:val="28"/>
          <w:szCs w:val="28"/>
        </w:rPr>
        <w:t xml:space="preserve"> he thoroughly discusses the differences between polysemy an</w:t>
      </w:r>
      <w:r>
        <w:rPr>
          <w:color w:val="000000"/>
          <w:sz w:val="28"/>
          <w:szCs w:val="28"/>
        </w:rPr>
        <w:t>d homonyms. For most of the time, scholars have been following two principles: 1) the etymological principle; 2) the relatedness principle [</w:t>
      </w:r>
      <w:r>
        <w:rPr>
          <w:sz w:val="28"/>
          <w:szCs w:val="28"/>
        </w:rPr>
        <w:t>22, p. 426</w:t>
      </w:r>
      <w:r>
        <w:rPr>
          <w:color w:val="000000"/>
          <w:sz w:val="28"/>
          <w:szCs w:val="28"/>
        </w:rPr>
        <w:t>]. When John Lyons discusses this issue in «Semantics», he proposes using part of speech as a criterion to</w:t>
      </w:r>
      <w:r>
        <w:rPr>
          <w:color w:val="000000"/>
          <w:sz w:val="28"/>
          <w:szCs w:val="28"/>
        </w:rPr>
        <w:t xml:space="preserve"> distinguish homonyms from polysemy. For example, in his view, «hammer» as a noun and «hammer» as a verb should belong to two different entries in the dictionary, but «division» is 'the mathematic term,' which is used as an uncountable noun, and «division»</w:t>
      </w:r>
      <w:r>
        <w:rPr>
          <w:color w:val="000000"/>
          <w:sz w:val="28"/>
          <w:szCs w:val="28"/>
        </w:rPr>
        <w:t xml:space="preserve"> is 'a military unit in the army' used as a countable noun, are polysemy. Lyons even believed that homonyms should not only be consistent in spelling and phonemes but also in part speech and syntactic features.</w:t>
      </w:r>
    </w:p>
    <w:p w14:paraId="3E91E48C"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Different from John Lyons's view, the semanti</w:t>
      </w:r>
      <w:r>
        <w:rPr>
          <w:color w:val="000000"/>
          <w:sz w:val="28"/>
          <w:szCs w:val="28"/>
        </w:rPr>
        <w:t xml:space="preserve">cist Ullmann proposed two criteria for distinguishing polysemy and homonymy in his book «Semantics»: </w:t>
      </w:r>
    </w:p>
    <w:p w14:paraId="7DF99284" w14:textId="77777777" w:rsidR="00F74BAF" w:rsidRDefault="00737583">
      <w:pPr>
        <w:pBdr>
          <w:top w:val="nil"/>
          <w:left w:val="nil"/>
          <w:bottom w:val="nil"/>
          <w:right w:val="nil"/>
          <w:between w:val="nil"/>
        </w:pBdr>
        <w:ind w:firstLine="709"/>
        <w:jc w:val="both"/>
        <w:rPr>
          <w:color w:val="000000"/>
          <w:sz w:val="28"/>
          <w:szCs w:val="28"/>
        </w:rPr>
      </w:pPr>
      <w:r>
        <w:rPr>
          <w:sz w:val="28"/>
          <w:szCs w:val="28"/>
        </w:rPr>
        <w:t>-</w:t>
      </w:r>
      <w:r>
        <w:rPr>
          <w:color w:val="000000"/>
          <w:sz w:val="28"/>
          <w:szCs w:val="28"/>
        </w:rPr>
        <w:t xml:space="preserve"> Two words are homonymous if the sameness of phonemics is the result of phonetic change. </w:t>
      </w:r>
    </w:p>
    <w:p w14:paraId="6A76D2FA" w14:textId="77777777" w:rsidR="00F74BAF" w:rsidRDefault="00737583">
      <w:pPr>
        <w:pBdr>
          <w:top w:val="nil"/>
          <w:left w:val="nil"/>
          <w:bottom w:val="nil"/>
          <w:right w:val="nil"/>
          <w:between w:val="nil"/>
        </w:pBdr>
        <w:ind w:firstLine="709"/>
        <w:jc w:val="both"/>
        <w:rPr>
          <w:color w:val="000000"/>
          <w:sz w:val="28"/>
          <w:szCs w:val="28"/>
        </w:rPr>
      </w:pPr>
      <w:r>
        <w:rPr>
          <w:sz w:val="28"/>
          <w:szCs w:val="28"/>
        </w:rPr>
        <w:t>-</w:t>
      </w:r>
      <w:r>
        <w:rPr>
          <w:color w:val="000000"/>
          <w:sz w:val="28"/>
          <w:szCs w:val="28"/>
        </w:rPr>
        <w:t xml:space="preserve"> Two words are homonymous if they are spelled differently. </w:t>
      </w:r>
    </w:p>
    <w:p w14:paraId="6B88B8EE"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Ch</w:t>
      </w:r>
      <w:r>
        <w:rPr>
          <w:color w:val="000000"/>
          <w:sz w:val="28"/>
          <w:szCs w:val="28"/>
        </w:rPr>
        <w:t>apin proposed the criteria for distinguishing polysemy from homonymy from a comparative perspective. He believes that if we want to determine whether two words in language A are polysemous or homonymous, we can refer to language B. If there are two words i</w:t>
      </w:r>
      <w:r>
        <w:rPr>
          <w:color w:val="000000"/>
          <w:sz w:val="28"/>
          <w:szCs w:val="28"/>
        </w:rPr>
        <w:t>n language B and one word in language A, then we can consider the word in language A to be a homonym.</w:t>
      </w:r>
    </w:p>
    <w:p w14:paraId="772B62D1"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Weinrich analyses the differences between polysemy and homosemy from the perspective of forms. He believes that we can determine whether two words are </w:t>
      </w:r>
      <w:r>
        <w:rPr>
          <w:color w:val="000000"/>
          <w:sz w:val="28"/>
          <w:szCs w:val="28"/>
        </w:rPr>
        <w:t>polysemous by comparing their semantic components. He believes that if two words have only one semantic component in common, then the two words can be considered to be polysemous, and homonyms do not have a single semantic component in common. Distinguishi</w:t>
      </w:r>
      <w:r>
        <w:rPr>
          <w:color w:val="000000"/>
          <w:sz w:val="28"/>
          <w:szCs w:val="28"/>
        </w:rPr>
        <w:t>ng polysemes from homonyms by means of analyzing semantic components is a new approach.</w:t>
      </w:r>
    </w:p>
    <w:p w14:paraId="567ADC8B"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Leech thinks that polysemy can be judged based on whether the two words are semantically related. As for the definition of «relatedness», Leech believes that there are </w:t>
      </w:r>
      <w:r>
        <w:rPr>
          <w:color w:val="000000"/>
          <w:sz w:val="28"/>
          <w:szCs w:val="28"/>
        </w:rPr>
        <w:t>two answers: one is that there is a historical connection, and the other is that there is psychological relatedness. As for psychological relatedness, he believes: «We can say that if the user of the language can assume that two lexical meanings are relate</w:t>
      </w:r>
      <w:r>
        <w:rPr>
          <w:color w:val="000000"/>
          <w:sz w:val="28"/>
          <w:szCs w:val="28"/>
        </w:rPr>
        <w:t>d according to lexical rules (such as the rules of argot), then the two meanings are psychologically related» [</w:t>
      </w:r>
      <w:r>
        <w:rPr>
          <w:sz w:val="28"/>
          <w:szCs w:val="28"/>
        </w:rPr>
        <w:t>23</w:t>
      </w:r>
      <w:r>
        <w:rPr>
          <w:color w:val="000000"/>
          <w:sz w:val="28"/>
          <w:szCs w:val="28"/>
        </w:rPr>
        <w:t>, р. 222].</w:t>
      </w:r>
    </w:p>
    <w:p w14:paraId="426B9AA3"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Palmer believes that polysemy naturally has a set of antonyms corresponding to its various meanings. If the antonyms are the same, w</w:t>
      </w:r>
      <w:r>
        <w:rPr>
          <w:color w:val="000000"/>
          <w:sz w:val="28"/>
          <w:szCs w:val="28"/>
        </w:rPr>
        <w:t>e can regard them as polysemous words. If the antonyms are different, they are homonyms. For example, «fair» can be collocated with the following nouns: 1) «hair», 2) «skin», 3) «weather», 4) «sky», 5) «judgment», 6) «tackle», and thus they have the follow</w:t>
      </w:r>
      <w:r>
        <w:rPr>
          <w:color w:val="000000"/>
          <w:sz w:val="28"/>
          <w:szCs w:val="28"/>
        </w:rPr>
        <w:t>ing antonyms: 1) «dark» 2) «foul» 3) «cloudy» 4) «unfair». From this, we can see that when «fair» is with «hair» and «skin», they have the same antonym «dark». Similarly, when «fair» is with «weather» and «tackle», they also have the same antonym «foul». T</w:t>
      </w:r>
      <w:r>
        <w:rPr>
          <w:color w:val="000000"/>
          <w:sz w:val="28"/>
          <w:szCs w:val="28"/>
        </w:rPr>
        <w:t>herefore, according to Palmer's point of view, we can regard them as polysemy [</w:t>
      </w:r>
      <w:r>
        <w:rPr>
          <w:sz w:val="28"/>
          <w:szCs w:val="28"/>
        </w:rPr>
        <w:t>3</w:t>
      </w:r>
      <w:r>
        <w:rPr>
          <w:color w:val="000000"/>
          <w:sz w:val="28"/>
          <w:szCs w:val="28"/>
        </w:rPr>
        <w:t>, р. 107].</w:t>
      </w:r>
    </w:p>
    <w:p w14:paraId="35182666"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Lehrer believes that the problem can be solved if the means of semantic theory are applied to differentiate polysemy and homonymy. This is because words that belong </w:t>
      </w:r>
      <w:r>
        <w:rPr>
          <w:color w:val="000000"/>
          <w:sz w:val="28"/>
          <w:szCs w:val="28"/>
        </w:rPr>
        <w:t>to different semantic fields can be regarded as different words. For instance, «orange», which means 'a type of color,' and «orange», which means 'a kind of fruit,' belong to different semantic fields and, therefore, can be regarded as two different words.</w:t>
      </w:r>
    </w:p>
    <w:p w14:paraId="7A85DFF5"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Polysemy and homonymy are the result of social progress and language development. They are also the concrete embodiment of the principle of language economy. The reasons for the emergence of homonymy are many and complex. In summary, there are seven sourc</w:t>
      </w:r>
      <w:r>
        <w:rPr>
          <w:color w:val="000000"/>
          <w:sz w:val="28"/>
          <w:szCs w:val="28"/>
        </w:rPr>
        <w:t>es:</w:t>
      </w:r>
    </w:p>
    <w:p w14:paraId="7CEDB016" w14:textId="77777777" w:rsidR="00F74BAF" w:rsidRDefault="00737583">
      <w:pPr>
        <w:pBdr>
          <w:top w:val="nil"/>
          <w:left w:val="nil"/>
          <w:bottom w:val="nil"/>
          <w:right w:val="nil"/>
          <w:between w:val="nil"/>
        </w:pBdr>
        <w:ind w:left="709"/>
        <w:jc w:val="both"/>
        <w:rPr>
          <w:color w:val="000000"/>
          <w:sz w:val="28"/>
          <w:szCs w:val="28"/>
        </w:rPr>
      </w:pPr>
      <w:r>
        <w:rPr>
          <w:sz w:val="28"/>
          <w:szCs w:val="28"/>
        </w:rPr>
        <w:t>-</w:t>
      </w:r>
      <w:r>
        <w:rPr>
          <w:color w:val="000000"/>
          <w:sz w:val="28"/>
          <w:szCs w:val="28"/>
        </w:rPr>
        <w:t xml:space="preserve"> The result of sound change. </w:t>
      </w:r>
    </w:p>
    <w:p w14:paraId="45894662" w14:textId="77777777" w:rsidR="00F74BAF" w:rsidRDefault="00737583">
      <w:pPr>
        <w:pBdr>
          <w:top w:val="nil"/>
          <w:left w:val="nil"/>
          <w:bottom w:val="nil"/>
          <w:right w:val="nil"/>
          <w:between w:val="nil"/>
        </w:pBdr>
        <w:ind w:firstLine="709"/>
        <w:jc w:val="both"/>
        <w:rPr>
          <w:color w:val="000000"/>
          <w:sz w:val="28"/>
          <w:szCs w:val="28"/>
        </w:rPr>
      </w:pPr>
      <w:r>
        <w:rPr>
          <w:sz w:val="28"/>
          <w:szCs w:val="28"/>
        </w:rPr>
        <w:t>-</w:t>
      </w:r>
      <w:r>
        <w:rPr>
          <w:color w:val="000000"/>
          <w:sz w:val="28"/>
          <w:szCs w:val="28"/>
        </w:rPr>
        <w:t xml:space="preserve"> The result of polysemous differentiation. </w:t>
      </w:r>
    </w:p>
    <w:p w14:paraId="3E5E0A53" w14:textId="77777777" w:rsidR="00F74BAF" w:rsidRDefault="00737583">
      <w:pPr>
        <w:pBdr>
          <w:top w:val="nil"/>
          <w:left w:val="nil"/>
          <w:bottom w:val="nil"/>
          <w:right w:val="nil"/>
          <w:between w:val="nil"/>
        </w:pBdr>
        <w:ind w:firstLine="709"/>
        <w:jc w:val="both"/>
        <w:rPr>
          <w:color w:val="000000"/>
          <w:sz w:val="28"/>
          <w:szCs w:val="28"/>
        </w:rPr>
      </w:pPr>
      <w:r>
        <w:rPr>
          <w:sz w:val="28"/>
          <w:szCs w:val="28"/>
        </w:rPr>
        <w:t>-</w:t>
      </w:r>
      <w:r>
        <w:rPr>
          <w:color w:val="000000"/>
          <w:sz w:val="28"/>
          <w:szCs w:val="28"/>
        </w:rPr>
        <w:t xml:space="preserve"> The result of zero derivation. Keith Allan believes that another reason for the emergence of homonyms is the result of zero derivation. For example: «helicopter» (n.) /helico</w:t>
      </w:r>
      <w:r>
        <w:rPr>
          <w:color w:val="000000"/>
          <w:sz w:val="28"/>
          <w:szCs w:val="28"/>
        </w:rPr>
        <w:t>pter (v.).</w:t>
      </w:r>
    </w:p>
    <w:p w14:paraId="38BEDB22" w14:textId="77777777" w:rsidR="00F74BAF" w:rsidRDefault="00737583">
      <w:pPr>
        <w:pBdr>
          <w:top w:val="nil"/>
          <w:left w:val="nil"/>
          <w:bottom w:val="nil"/>
          <w:right w:val="nil"/>
          <w:between w:val="nil"/>
        </w:pBdr>
        <w:ind w:firstLine="709"/>
        <w:jc w:val="both"/>
        <w:rPr>
          <w:color w:val="000000"/>
          <w:sz w:val="28"/>
          <w:szCs w:val="28"/>
        </w:rPr>
      </w:pPr>
      <w:r>
        <w:rPr>
          <w:sz w:val="28"/>
          <w:szCs w:val="28"/>
        </w:rPr>
        <w:t>-</w:t>
      </w:r>
      <w:r>
        <w:rPr>
          <w:color w:val="000000"/>
          <w:sz w:val="28"/>
          <w:szCs w:val="28"/>
        </w:rPr>
        <w:t xml:space="preserve"> The result of word abbreviation. Some homonyms are formed by abbreviation. e.g. </w:t>
      </w:r>
      <w:r>
        <w:rPr>
          <w:rFonts w:ascii="Cardo" w:eastAsia="Cardo" w:hAnsi="Cardo" w:cs="Cardo"/>
          <w:color w:val="000000"/>
          <w:sz w:val="28"/>
          <w:szCs w:val="28"/>
        </w:rPr>
        <w:t>«cab»</w:t>
      </w:r>
      <w:r>
        <w:rPr>
          <w:rFonts w:ascii="Cardo" w:eastAsia="Cardo" w:hAnsi="Cardo" w:cs="Cardo"/>
          <w:sz w:val="28"/>
          <w:szCs w:val="28"/>
        </w:rPr>
        <w:t>&lt;</w:t>
      </w:r>
      <w:r>
        <w:rPr>
          <w:rFonts w:ascii="Cardo" w:eastAsia="Cardo" w:hAnsi="Cardo" w:cs="Cardo"/>
          <w:color w:val="000000"/>
          <w:sz w:val="28"/>
          <w:szCs w:val="28"/>
        </w:rPr>
        <w:t>«cabriolet»</w:t>
      </w:r>
      <w:r>
        <w:rPr>
          <w:color w:val="000000"/>
          <w:sz w:val="28"/>
          <w:szCs w:val="28"/>
        </w:rPr>
        <w:t xml:space="preserve"> ‘two-wheeled carriage’, </w:t>
      </w:r>
      <w:r>
        <w:rPr>
          <w:rFonts w:ascii="Cardo" w:eastAsia="Cardo" w:hAnsi="Cardo" w:cs="Cardo"/>
          <w:color w:val="000000"/>
          <w:sz w:val="28"/>
          <w:szCs w:val="28"/>
        </w:rPr>
        <w:t xml:space="preserve">«cab» </w:t>
      </w:r>
      <w:r>
        <w:rPr>
          <w:rFonts w:ascii="Cardo" w:eastAsia="Cardo" w:hAnsi="Cardo" w:cs="Cardo"/>
          <w:sz w:val="28"/>
          <w:szCs w:val="28"/>
        </w:rPr>
        <w:t>&lt;</w:t>
      </w:r>
      <w:r>
        <w:rPr>
          <w:rFonts w:ascii="Cardo" w:eastAsia="Cardo" w:hAnsi="Cardo" w:cs="Cardo"/>
          <w:color w:val="000000"/>
          <w:sz w:val="28"/>
          <w:szCs w:val="28"/>
        </w:rPr>
        <w:t xml:space="preserve">«cabin» ‘cab’, «cab» </w:t>
      </w:r>
      <w:r>
        <w:rPr>
          <w:rFonts w:ascii="Cardo" w:eastAsia="Cardo" w:hAnsi="Cardo" w:cs="Cardo"/>
          <w:sz w:val="28"/>
          <w:szCs w:val="28"/>
        </w:rPr>
        <w:t>&lt;</w:t>
      </w:r>
      <w:r>
        <w:rPr>
          <w:rFonts w:ascii="Cardo" w:eastAsia="Cardo" w:hAnsi="Cardo" w:cs="Cardo"/>
          <w:color w:val="000000"/>
          <w:sz w:val="28"/>
          <w:szCs w:val="28"/>
        </w:rPr>
        <w:t xml:space="preserve">«cabbage» ‘cabbage’. </w:t>
      </w:r>
    </w:p>
    <w:p w14:paraId="0CE97E0C" w14:textId="77777777" w:rsidR="00F74BAF" w:rsidRDefault="00737583">
      <w:pPr>
        <w:pBdr>
          <w:top w:val="nil"/>
          <w:left w:val="nil"/>
          <w:bottom w:val="nil"/>
          <w:right w:val="nil"/>
          <w:between w:val="nil"/>
        </w:pBdr>
        <w:ind w:firstLine="709"/>
        <w:jc w:val="both"/>
        <w:rPr>
          <w:color w:val="000000"/>
          <w:sz w:val="28"/>
          <w:szCs w:val="28"/>
        </w:rPr>
      </w:pPr>
      <w:r>
        <w:rPr>
          <w:sz w:val="28"/>
          <w:szCs w:val="28"/>
        </w:rPr>
        <w:t>-</w:t>
      </w:r>
      <w:r>
        <w:rPr>
          <w:color w:val="000000"/>
          <w:sz w:val="28"/>
          <w:szCs w:val="28"/>
        </w:rPr>
        <w:t xml:space="preserve"> The result of the use of euphemisms.</w:t>
      </w:r>
    </w:p>
    <w:p w14:paraId="74954BE7" w14:textId="77777777" w:rsidR="00F74BAF" w:rsidRDefault="00737583">
      <w:pPr>
        <w:pBdr>
          <w:top w:val="nil"/>
          <w:left w:val="nil"/>
          <w:bottom w:val="nil"/>
          <w:right w:val="nil"/>
          <w:between w:val="nil"/>
        </w:pBdr>
        <w:ind w:firstLine="709"/>
        <w:jc w:val="both"/>
        <w:rPr>
          <w:color w:val="000000"/>
          <w:sz w:val="28"/>
          <w:szCs w:val="28"/>
        </w:rPr>
      </w:pPr>
      <w:r>
        <w:rPr>
          <w:sz w:val="28"/>
          <w:szCs w:val="28"/>
        </w:rPr>
        <w:t>-</w:t>
      </w:r>
      <w:r>
        <w:rPr>
          <w:color w:val="000000"/>
          <w:sz w:val="28"/>
          <w:szCs w:val="28"/>
        </w:rPr>
        <w:t xml:space="preserve"> Homographs can also be the result of different dialects or variants.</w:t>
      </w:r>
    </w:p>
    <w:p w14:paraId="1E8DC9F1" w14:textId="77777777" w:rsidR="00F74BAF" w:rsidRDefault="00737583">
      <w:pPr>
        <w:pBdr>
          <w:top w:val="nil"/>
          <w:left w:val="nil"/>
          <w:bottom w:val="nil"/>
          <w:right w:val="nil"/>
          <w:between w:val="nil"/>
        </w:pBdr>
        <w:ind w:firstLine="709"/>
        <w:jc w:val="both"/>
        <w:rPr>
          <w:color w:val="000000"/>
          <w:sz w:val="28"/>
          <w:szCs w:val="28"/>
        </w:rPr>
      </w:pPr>
      <w:r>
        <w:rPr>
          <w:sz w:val="28"/>
          <w:szCs w:val="28"/>
        </w:rPr>
        <w:t>-</w:t>
      </w:r>
      <w:r>
        <w:rPr>
          <w:color w:val="000000"/>
          <w:sz w:val="28"/>
          <w:szCs w:val="28"/>
        </w:rPr>
        <w:t xml:space="preserve"> The introduction of a large number of loanwords is also the reason.</w:t>
      </w:r>
    </w:p>
    <w:p w14:paraId="4088E11E"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Unlike homographs, the reason for the emergence of polysemy is relatively simpler. The formation of polysemy has two</w:t>
      </w:r>
      <w:r>
        <w:rPr>
          <w:color w:val="000000"/>
          <w:sz w:val="28"/>
          <w:szCs w:val="28"/>
        </w:rPr>
        <w:t xml:space="preserve"> main reasons: 1) borrowing (shift in application); 2) the result of the homographs' merging.</w:t>
      </w:r>
    </w:p>
    <w:p w14:paraId="5E310913"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When a word is first invented, it is always used to refer to a specific thing or phenomenon, and the referent is thus always single. However, with the development</w:t>
      </w:r>
      <w:r>
        <w:rPr>
          <w:color w:val="000000"/>
          <w:sz w:val="28"/>
          <w:szCs w:val="28"/>
        </w:rPr>
        <w:t xml:space="preserve"> of society, because of new things continuously emerging, people need to give them names. The ideal situation is that each thing has its own specific word to be referred to, and each word only refers to a specific thing. However, this will cause redundant </w:t>
      </w:r>
      <w:r>
        <w:rPr>
          <w:color w:val="000000"/>
          <w:sz w:val="28"/>
          <w:szCs w:val="28"/>
        </w:rPr>
        <w:t xml:space="preserve">vocabulary since new things are infinite. Therefore, people use metaphors and other borrowing methods to give words new meanings, and then polysemes are formed. Metaphors </w:t>
      </w:r>
      <w:r>
        <w:rPr>
          <w:sz w:val="28"/>
          <w:szCs w:val="28"/>
        </w:rPr>
        <w:t>are a vital</w:t>
      </w:r>
      <w:r>
        <w:rPr>
          <w:color w:val="000000"/>
          <w:sz w:val="28"/>
          <w:szCs w:val="28"/>
        </w:rPr>
        <w:t xml:space="preserve"> reason for the emergence of polysemes. The metaphoric means generalizes s</w:t>
      </w:r>
      <w:r>
        <w:rPr>
          <w:color w:val="000000"/>
          <w:sz w:val="28"/>
          <w:szCs w:val="28"/>
        </w:rPr>
        <w:t>imilarities and borrows the meanings. For example, the word «daisy» originally refers to the day's eyes. It was first referred to as the sun, and later, it was used metaphorically to refer to certain types of flowers [</w:t>
      </w:r>
      <w:r>
        <w:rPr>
          <w:sz w:val="28"/>
          <w:szCs w:val="28"/>
        </w:rPr>
        <w:t>9</w:t>
      </w:r>
      <w:r>
        <w:rPr>
          <w:color w:val="000000"/>
          <w:sz w:val="28"/>
          <w:szCs w:val="28"/>
        </w:rPr>
        <w:t>, р. 128].</w:t>
      </w:r>
    </w:p>
    <w:p w14:paraId="1A35FB31" w14:textId="77777777" w:rsidR="00F74BAF" w:rsidRDefault="00737583">
      <w:pPr>
        <w:pBdr>
          <w:top w:val="nil"/>
          <w:left w:val="nil"/>
          <w:bottom w:val="nil"/>
          <w:right w:val="nil"/>
          <w:between w:val="nil"/>
        </w:pBdr>
        <w:tabs>
          <w:tab w:val="left" w:pos="3431"/>
        </w:tabs>
        <w:ind w:firstLine="709"/>
        <w:jc w:val="both"/>
        <w:rPr>
          <w:b/>
          <w:bCs/>
          <w:color w:val="000000"/>
          <w:sz w:val="28"/>
          <w:szCs w:val="28"/>
        </w:rPr>
      </w:pPr>
      <w:r>
        <w:rPr>
          <w:b/>
          <w:bCs/>
          <w:color w:val="000000"/>
          <w:sz w:val="28"/>
          <w:szCs w:val="28"/>
        </w:rPr>
        <w:tab/>
      </w:r>
    </w:p>
    <w:p w14:paraId="23F23FC0" w14:textId="77777777" w:rsidR="00F74BAF" w:rsidRDefault="00737583">
      <w:pPr>
        <w:pBdr>
          <w:top w:val="nil"/>
          <w:left w:val="nil"/>
          <w:bottom w:val="nil"/>
          <w:right w:val="nil"/>
          <w:between w:val="nil"/>
        </w:pBdr>
        <w:ind w:firstLine="709"/>
        <w:jc w:val="both"/>
        <w:rPr>
          <w:b/>
          <w:bCs/>
          <w:color w:val="000000"/>
          <w:sz w:val="28"/>
          <w:szCs w:val="28"/>
        </w:rPr>
      </w:pPr>
      <w:r>
        <w:rPr>
          <w:b/>
          <w:bCs/>
          <w:color w:val="000000"/>
          <w:sz w:val="28"/>
          <w:szCs w:val="28"/>
        </w:rPr>
        <w:t xml:space="preserve">The Conclusion of the </w:t>
      </w:r>
      <w:r>
        <w:rPr>
          <w:b/>
          <w:bCs/>
          <w:color w:val="000000"/>
          <w:sz w:val="28"/>
          <w:szCs w:val="28"/>
        </w:rPr>
        <w:t>First Chapter</w:t>
      </w:r>
    </w:p>
    <w:p w14:paraId="1F845E07"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In this chapter, we first explore the history of semantics, combining the development of semantics from philosophers in the classical philosophy period to historical linguistics in the </w:t>
      </w:r>
      <w:r>
        <w:rPr>
          <w:sz w:val="28"/>
          <w:szCs w:val="28"/>
        </w:rPr>
        <w:t>nineteen</w:t>
      </w:r>
      <w:r>
        <w:rPr>
          <w:color w:val="000000"/>
          <w:sz w:val="28"/>
          <w:szCs w:val="28"/>
        </w:rPr>
        <w:t>th century and then to structural linguistics sta</w:t>
      </w:r>
      <w:r>
        <w:rPr>
          <w:color w:val="000000"/>
          <w:sz w:val="28"/>
          <w:szCs w:val="28"/>
        </w:rPr>
        <w:t>rting from Saussure. Secondly, we introduce the origin and development of the semantic field. Since the semantic research at the beginning of this century, semantics has made great progress as an emerging discipline in Europe and the United States. The pro</w:t>
      </w:r>
      <w:r>
        <w:rPr>
          <w:color w:val="000000"/>
          <w:sz w:val="28"/>
          <w:szCs w:val="28"/>
        </w:rPr>
        <w:t>posal and practice of semantic field theory is an important part of this development. According to Saussure's language system theory, a word is not only at the intersection of synchronicity and diachrony but also at the intersection of associative relation</w:t>
      </w:r>
      <w:r>
        <w:rPr>
          <w:color w:val="000000"/>
          <w:sz w:val="28"/>
          <w:szCs w:val="28"/>
        </w:rPr>
        <w:t>ship (paradigmatic relationship) and syntagmatic relationship (combination relationship). On the other hand, a word functions not only as a lexical unit that denotes meaning but also as a grammatical unit that contributes to sentence structure. Accordingly</w:t>
      </w:r>
      <w:r>
        <w:rPr>
          <w:color w:val="000000"/>
          <w:sz w:val="28"/>
          <w:szCs w:val="28"/>
        </w:rPr>
        <w:t>, when scholars explore semantic field theory, they may adopt different perspectives ‒ some emphasizing lexical semantics, others focusing on grammatical function ‒ which inevitably leads to varying interpretations and conclusions.</w:t>
      </w:r>
    </w:p>
    <w:p w14:paraId="3417EBA4"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We examine the differing</w:t>
      </w:r>
      <w:r>
        <w:rPr>
          <w:color w:val="000000"/>
          <w:sz w:val="28"/>
          <w:szCs w:val="28"/>
        </w:rPr>
        <w:t xml:space="preserve"> semantic field theories proposed by Trier and Pozrig. First, both theories move beyond the isolated analytical approach of traditional semantics by incorporating structuralist linguistic theory. They emphasize the mutual connection and mutual influence of</w:t>
      </w:r>
      <w:r>
        <w:rPr>
          <w:color w:val="000000"/>
          <w:sz w:val="28"/>
          <w:szCs w:val="28"/>
        </w:rPr>
        <w:t xml:space="preserve"> language factors, and try to describe the structural relationship between words. Generally speaking, these relationships fall into two categories: syntagmatic and paradigmatic. The syntagmatic </w:t>
      </w:r>
      <w:r>
        <w:rPr>
          <w:sz w:val="28"/>
          <w:szCs w:val="28"/>
        </w:rPr>
        <w:t>relationship</w:t>
      </w:r>
      <w:r>
        <w:rPr>
          <w:color w:val="000000"/>
          <w:sz w:val="28"/>
          <w:szCs w:val="28"/>
        </w:rPr>
        <w:t xml:space="preserve"> is the relationship between a word and the words </w:t>
      </w:r>
      <w:r>
        <w:rPr>
          <w:color w:val="000000"/>
          <w:sz w:val="28"/>
          <w:szCs w:val="28"/>
        </w:rPr>
        <w:t xml:space="preserve">that co-occur with it in a linear sequence; paradigmatic is the </w:t>
      </w:r>
      <w:r>
        <w:rPr>
          <w:sz w:val="28"/>
          <w:szCs w:val="28"/>
        </w:rPr>
        <w:t>relationship</w:t>
      </w:r>
      <w:r>
        <w:rPr>
          <w:color w:val="000000"/>
          <w:sz w:val="28"/>
          <w:szCs w:val="28"/>
        </w:rPr>
        <w:t xml:space="preserve"> between a word and the words that do not appear in the linear sequence but can substitute for one another in a given context. What is referred to as the associative field is essen</w:t>
      </w:r>
      <w:r>
        <w:rPr>
          <w:color w:val="000000"/>
          <w:sz w:val="28"/>
          <w:szCs w:val="28"/>
        </w:rPr>
        <w:t xml:space="preserve">tially a combination of these two types of relationship. </w:t>
      </w:r>
    </w:p>
    <w:p w14:paraId="14B7B5CB"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Second, both theories broaden the narrow focus of traditional semantics, which often confines itself to the analysis of individual words or limited categories. Instead, Trier and Porzig strive to de</w:t>
      </w:r>
      <w:r>
        <w:rPr>
          <w:color w:val="000000"/>
          <w:sz w:val="28"/>
          <w:szCs w:val="28"/>
        </w:rPr>
        <w:t>scribe the vocabulary system as a whole. In fact, even traditional semantics implicitly acknowledges the systemic nature of lexical meaning within localized contexts. For example, the meanings of polysemous words are often treated as internally related and</w:t>
      </w:r>
      <w:r>
        <w:rPr>
          <w:color w:val="000000"/>
          <w:sz w:val="28"/>
          <w:szCs w:val="28"/>
        </w:rPr>
        <w:t xml:space="preserve"> analyzed either synchronically or diachronically. Similarly, studies of synonyms and antonyms demonstrate an awareness of the interrelations among words, and such analyses have considerable theoretical and practical value. Nevertheless, in traditional sem</w:t>
      </w:r>
      <w:r>
        <w:rPr>
          <w:color w:val="000000"/>
          <w:sz w:val="28"/>
          <w:szCs w:val="28"/>
        </w:rPr>
        <w:t xml:space="preserve">antics, the application of the concept of a semantic system remains limited, implicit, and has not yet been elevated to a coherent theoretical framework. </w:t>
      </w:r>
    </w:p>
    <w:p w14:paraId="66C5DD99"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 study of semantic fields represents a significant advancement in modern semantic research, offeri</w:t>
      </w:r>
      <w:r>
        <w:rPr>
          <w:color w:val="000000"/>
          <w:sz w:val="28"/>
          <w:szCs w:val="28"/>
        </w:rPr>
        <w:t>ng immense theoretical and practical value. First, it provides an effective framework for investigating the structural organization of meaning. Within a semantic field, word meanings are interrelated, mutually constraining, and arranged hierarchically. Thr</w:t>
      </w:r>
      <w:r>
        <w:rPr>
          <w:color w:val="000000"/>
          <w:sz w:val="28"/>
          <w:szCs w:val="28"/>
        </w:rPr>
        <w:t>ough semantic field analysis, we can observe how a word becomes connected to, distinguished from, and conditioned by the meanings of other words within the same field, and how it fits into clusters and levels of semantic organization.</w:t>
      </w:r>
    </w:p>
    <w:p w14:paraId="4FD320E8"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For example, terms de</w:t>
      </w:r>
      <w:r>
        <w:rPr>
          <w:color w:val="000000"/>
          <w:sz w:val="28"/>
          <w:szCs w:val="28"/>
        </w:rPr>
        <w:t>noting interpersonal relationships in the workplace ‒ such as superior and subordinate, leader and follower, teacher and student, master and apprentice ‒ form a semantic field related to occupational hierarchies. Similarly, kinship terms form another seman</w:t>
      </w:r>
      <w:r>
        <w:rPr>
          <w:color w:val="000000"/>
          <w:sz w:val="28"/>
          <w:szCs w:val="28"/>
        </w:rPr>
        <w:t>tic field. Both of these, in turn, belong to a broader semantic domain concerning human relationships. From overarching fields to more specific sub-fields, a systematic and hierarchical structure emerges, revealing the layered nature of semantic organizati</w:t>
      </w:r>
      <w:r>
        <w:rPr>
          <w:color w:val="000000"/>
          <w:sz w:val="28"/>
          <w:szCs w:val="28"/>
        </w:rPr>
        <w:t>on. This demonstrates that, despite the inherent complexity of language meaning, semantic systems are structured through networks of connection and differentiation.</w:t>
      </w:r>
    </w:p>
    <w:p w14:paraId="71A23474"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In essence, semantic field analysis allows for a deeper understanding of the fundamental pr</w:t>
      </w:r>
      <w:r>
        <w:rPr>
          <w:color w:val="000000"/>
          <w:sz w:val="28"/>
          <w:szCs w:val="28"/>
        </w:rPr>
        <w:t>operties of meaning. Furthermore, analyzing the semantic fields of individual languages enables cross-linguistic semantic comparisons, thereby illuminating correspondences between languages. This has valuable applications in translation studies and languag</w:t>
      </w:r>
      <w:r>
        <w:rPr>
          <w:color w:val="000000"/>
          <w:sz w:val="28"/>
          <w:szCs w:val="28"/>
        </w:rPr>
        <w:t>e education. Each language's semantic fields reflect distinct cultural and national characteristics, and the same conceptual field may be expressed differently across languages. Thus, semantic field theory not only enhances our understanding of meaning wit</w:t>
      </w:r>
      <w:r>
        <w:rPr>
          <w:color w:val="000000"/>
          <w:sz w:val="28"/>
          <w:szCs w:val="28"/>
        </w:rPr>
        <w:t xml:space="preserve">hin a single language but also fosters intercultural linguistic insight. </w:t>
      </w:r>
    </w:p>
    <w:p w14:paraId="76C32D9D"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Thirdly, the study of semantic fields plays a valuable guiding role in the compilation of synonym dictionaries and in the interpretation of word meanings. Lexical interpretation is b</w:t>
      </w:r>
      <w:r>
        <w:rPr>
          <w:color w:val="000000"/>
          <w:sz w:val="28"/>
          <w:szCs w:val="28"/>
        </w:rPr>
        <w:t>oth the most fundamental and the first challenge encountered in dictionary compilation. To interpret a word accurately, it is essential to first understand its internal relationship with other lexical items within the same semantic field. Only by situating</w:t>
      </w:r>
      <w:r>
        <w:rPr>
          <w:color w:val="000000"/>
          <w:sz w:val="28"/>
          <w:szCs w:val="28"/>
        </w:rPr>
        <w:t xml:space="preserve"> a word within its semantic network can its meaning be fully and precisely explained, thereby fulfilling the purpose of definition.</w:t>
      </w:r>
    </w:p>
    <w:p w14:paraId="38B9DA65" w14:textId="77777777" w:rsidR="00F74BAF" w:rsidRDefault="00737583">
      <w:pPr>
        <w:pBdr>
          <w:top w:val="nil"/>
          <w:left w:val="nil"/>
          <w:bottom w:val="nil"/>
          <w:right w:val="nil"/>
          <w:between w:val="nil"/>
        </w:pBdr>
        <w:ind w:firstLine="709"/>
        <w:jc w:val="both"/>
        <w:rPr>
          <w:sz w:val="28"/>
          <w:szCs w:val="28"/>
        </w:rPr>
      </w:pPr>
      <w:r>
        <w:rPr>
          <w:color w:val="000000"/>
          <w:sz w:val="28"/>
          <w:szCs w:val="28"/>
        </w:rPr>
        <w:t>The same principle applies when interpreting other words: synonyms and antonyms are frequently employed to highlight similar</w:t>
      </w:r>
      <w:r>
        <w:rPr>
          <w:color w:val="000000"/>
          <w:sz w:val="28"/>
          <w:szCs w:val="28"/>
        </w:rPr>
        <w:t>ities or distinctions, thereby making the core semantic features of the target word immediately evident. In sum, the study of semantic fields holds significant value not only for theoretical linguistics but also for applied linguistics, particularly in lex</w:t>
      </w:r>
      <w:r>
        <w:rPr>
          <w:color w:val="000000"/>
          <w:sz w:val="28"/>
          <w:szCs w:val="28"/>
        </w:rPr>
        <w:t>icography, translation, and language education.</w:t>
      </w:r>
    </w:p>
    <w:p w14:paraId="4CFC1FFE" w14:textId="77777777" w:rsidR="00F74BAF" w:rsidRDefault="00F74BAF">
      <w:pPr>
        <w:pBdr>
          <w:top w:val="nil"/>
          <w:left w:val="nil"/>
          <w:bottom w:val="nil"/>
          <w:right w:val="nil"/>
          <w:between w:val="nil"/>
        </w:pBdr>
        <w:jc w:val="both"/>
        <w:rPr>
          <w:b/>
          <w:bCs/>
          <w:color w:val="000000"/>
          <w:sz w:val="28"/>
          <w:szCs w:val="28"/>
        </w:rPr>
      </w:pPr>
    </w:p>
    <w:p w14:paraId="7F64422A" w14:textId="77777777" w:rsidR="00F74BAF" w:rsidRDefault="00F74BAF">
      <w:pPr>
        <w:pBdr>
          <w:top w:val="nil"/>
          <w:left w:val="nil"/>
          <w:bottom w:val="nil"/>
          <w:right w:val="nil"/>
          <w:between w:val="nil"/>
        </w:pBdr>
        <w:ind w:firstLine="709"/>
        <w:jc w:val="both"/>
        <w:rPr>
          <w:b/>
          <w:bCs/>
          <w:sz w:val="28"/>
          <w:szCs w:val="28"/>
        </w:rPr>
      </w:pPr>
    </w:p>
    <w:p w14:paraId="444B3EDE" w14:textId="77777777" w:rsidR="00F74BAF" w:rsidRDefault="00F74BAF">
      <w:pPr>
        <w:pBdr>
          <w:top w:val="nil"/>
          <w:left w:val="nil"/>
          <w:bottom w:val="nil"/>
          <w:right w:val="nil"/>
          <w:between w:val="nil"/>
        </w:pBdr>
        <w:ind w:firstLine="709"/>
        <w:jc w:val="both"/>
        <w:rPr>
          <w:b/>
          <w:bCs/>
          <w:sz w:val="28"/>
          <w:szCs w:val="28"/>
        </w:rPr>
      </w:pPr>
    </w:p>
    <w:p w14:paraId="15B79CFF" w14:textId="77777777" w:rsidR="00F74BAF" w:rsidRDefault="00F74BAF">
      <w:pPr>
        <w:pBdr>
          <w:top w:val="nil"/>
          <w:left w:val="nil"/>
          <w:bottom w:val="nil"/>
          <w:right w:val="nil"/>
          <w:between w:val="nil"/>
        </w:pBdr>
        <w:ind w:firstLine="709"/>
        <w:jc w:val="both"/>
        <w:rPr>
          <w:b/>
          <w:bCs/>
          <w:sz w:val="28"/>
          <w:szCs w:val="28"/>
        </w:rPr>
      </w:pPr>
    </w:p>
    <w:p w14:paraId="400EAE04" w14:textId="77777777" w:rsidR="00F74BAF" w:rsidRDefault="00F74BAF">
      <w:pPr>
        <w:pBdr>
          <w:top w:val="nil"/>
          <w:left w:val="nil"/>
          <w:bottom w:val="nil"/>
          <w:right w:val="nil"/>
          <w:between w:val="nil"/>
        </w:pBdr>
        <w:ind w:firstLine="709"/>
        <w:jc w:val="both"/>
        <w:rPr>
          <w:b/>
          <w:bCs/>
          <w:sz w:val="28"/>
          <w:szCs w:val="28"/>
        </w:rPr>
      </w:pPr>
    </w:p>
    <w:p w14:paraId="0E369EF5" w14:textId="77777777" w:rsidR="00F74BAF" w:rsidRDefault="00F74BAF">
      <w:pPr>
        <w:pBdr>
          <w:top w:val="nil"/>
          <w:left w:val="nil"/>
          <w:bottom w:val="nil"/>
          <w:right w:val="nil"/>
          <w:between w:val="nil"/>
        </w:pBdr>
        <w:jc w:val="both"/>
        <w:rPr>
          <w:b/>
          <w:bCs/>
          <w:sz w:val="28"/>
          <w:szCs w:val="28"/>
        </w:rPr>
      </w:pPr>
    </w:p>
    <w:p w14:paraId="607CC5C3" w14:textId="77777777" w:rsidR="00F74BAF" w:rsidRDefault="00F74BAF">
      <w:pPr>
        <w:pBdr>
          <w:top w:val="nil"/>
          <w:left w:val="nil"/>
          <w:bottom w:val="nil"/>
          <w:right w:val="nil"/>
          <w:between w:val="nil"/>
        </w:pBdr>
        <w:jc w:val="both"/>
        <w:rPr>
          <w:b/>
          <w:bCs/>
          <w:sz w:val="28"/>
          <w:szCs w:val="28"/>
        </w:rPr>
      </w:pPr>
    </w:p>
    <w:p w14:paraId="2DBBC2DA" w14:textId="77777777" w:rsidR="00F74BAF" w:rsidRDefault="00F74BAF">
      <w:pPr>
        <w:pBdr>
          <w:top w:val="nil"/>
          <w:left w:val="nil"/>
          <w:bottom w:val="nil"/>
          <w:right w:val="nil"/>
          <w:between w:val="nil"/>
        </w:pBdr>
        <w:jc w:val="both"/>
        <w:rPr>
          <w:b/>
          <w:bCs/>
          <w:sz w:val="28"/>
          <w:szCs w:val="28"/>
        </w:rPr>
      </w:pPr>
    </w:p>
    <w:p w14:paraId="172EE616" w14:textId="77777777" w:rsidR="00F74BAF" w:rsidRDefault="00F74BAF">
      <w:pPr>
        <w:pBdr>
          <w:top w:val="nil"/>
          <w:left w:val="nil"/>
          <w:bottom w:val="nil"/>
          <w:right w:val="nil"/>
          <w:between w:val="nil"/>
        </w:pBdr>
        <w:jc w:val="both"/>
        <w:rPr>
          <w:b/>
          <w:bCs/>
          <w:sz w:val="28"/>
          <w:szCs w:val="28"/>
        </w:rPr>
      </w:pPr>
    </w:p>
    <w:p w14:paraId="7D3D9901" w14:textId="77777777" w:rsidR="00F74BAF" w:rsidRDefault="00F74BAF">
      <w:pPr>
        <w:pBdr>
          <w:top w:val="nil"/>
          <w:left w:val="nil"/>
          <w:bottom w:val="nil"/>
          <w:right w:val="nil"/>
          <w:between w:val="nil"/>
        </w:pBdr>
        <w:jc w:val="both"/>
        <w:rPr>
          <w:b/>
          <w:bCs/>
          <w:sz w:val="28"/>
          <w:szCs w:val="28"/>
        </w:rPr>
      </w:pPr>
    </w:p>
    <w:p w14:paraId="3F23B25A" w14:textId="77777777" w:rsidR="00F74BAF" w:rsidRDefault="00F74BAF">
      <w:pPr>
        <w:pBdr>
          <w:top w:val="nil"/>
          <w:left w:val="nil"/>
          <w:bottom w:val="nil"/>
          <w:right w:val="nil"/>
          <w:between w:val="nil"/>
        </w:pBdr>
        <w:ind w:firstLine="709"/>
        <w:jc w:val="both"/>
        <w:rPr>
          <w:b/>
          <w:bCs/>
          <w:sz w:val="28"/>
          <w:szCs w:val="28"/>
        </w:rPr>
      </w:pPr>
    </w:p>
    <w:p w14:paraId="577DEB41" w14:textId="77777777" w:rsidR="00F74BAF" w:rsidRDefault="00F74BAF">
      <w:pPr>
        <w:pBdr>
          <w:top w:val="nil"/>
          <w:left w:val="nil"/>
          <w:bottom w:val="nil"/>
          <w:right w:val="nil"/>
          <w:between w:val="nil"/>
        </w:pBdr>
        <w:ind w:firstLine="709"/>
        <w:jc w:val="both"/>
        <w:rPr>
          <w:b/>
          <w:bCs/>
          <w:sz w:val="28"/>
          <w:szCs w:val="28"/>
        </w:rPr>
      </w:pPr>
    </w:p>
    <w:p w14:paraId="14B6FE2C" w14:textId="77777777" w:rsidR="00F74BAF" w:rsidRDefault="00F74BAF">
      <w:pPr>
        <w:pBdr>
          <w:top w:val="nil"/>
          <w:left w:val="nil"/>
          <w:bottom w:val="nil"/>
          <w:right w:val="nil"/>
          <w:between w:val="nil"/>
        </w:pBdr>
        <w:ind w:firstLine="709"/>
        <w:jc w:val="both"/>
        <w:rPr>
          <w:b/>
          <w:bCs/>
          <w:sz w:val="28"/>
          <w:szCs w:val="28"/>
        </w:rPr>
      </w:pPr>
    </w:p>
    <w:p w14:paraId="4B41A47E" w14:textId="77777777" w:rsidR="00F74BAF" w:rsidRDefault="00F74BAF">
      <w:pPr>
        <w:pBdr>
          <w:top w:val="nil"/>
          <w:left w:val="nil"/>
          <w:bottom w:val="nil"/>
          <w:right w:val="nil"/>
          <w:between w:val="nil"/>
        </w:pBdr>
        <w:ind w:firstLine="709"/>
        <w:jc w:val="both"/>
        <w:rPr>
          <w:b/>
          <w:bCs/>
          <w:sz w:val="28"/>
          <w:szCs w:val="28"/>
        </w:rPr>
      </w:pPr>
    </w:p>
    <w:p w14:paraId="30504CB1" w14:textId="77777777" w:rsidR="00F74BAF" w:rsidRDefault="00F74BAF">
      <w:pPr>
        <w:pBdr>
          <w:top w:val="nil"/>
          <w:left w:val="nil"/>
          <w:bottom w:val="nil"/>
          <w:right w:val="nil"/>
          <w:between w:val="nil"/>
        </w:pBdr>
        <w:ind w:firstLine="709"/>
        <w:jc w:val="both"/>
        <w:rPr>
          <w:b/>
          <w:bCs/>
          <w:sz w:val="28"/>
          <w:szCs w:val="28"/>
        </w:rPr>
      </w:pPr>
    </w:p>
    <w:p w14:paraId="139AF0C1" w14:textId="77777777" w:rsidR="00F74BAF" w:rsidRDefault="00F74BAF">
      <w:pPr>
        <w:pBdr>
          <w:top w:val="nil"/>
          <w:left w:val="nil"/>
          <w:bottom w:val="nil"/>
          <w:right w:val="nil"/>
          <w:between w:val="nil"/>
        </w:pBdr>
        <w:ind w:firstLine="709"/>
        <w:jc w:val="both"/>
        <w:rPr>
          <w:b/>
          <w:bCs/>
          <w:sz w:val="28"/>
          <w:szCs w:val="28"/>
        </w:rPr>
      </w:pPr>
    </w:p>
    <w:p w14:paraId="3A12D668" w14:textId="77777777" w:rsidR="00F74BAF" w:rsidRDefault="00F74BAF">
      <w:pPr>
        <w:pBdr>
          <w:top w:val="nil"/>
          <w:left w:val="nil"/>
          <w:bottom w:val="nil"/>
          <w:right w:val="nil"/>
          <w:between w:val="nil"/>
        </w:pBdr>
        <w:ind w:firstLine="709"/>
        <w:jc w:val="both"/>
        <w:rPr>
          <w:b/>
          <w:bCs/>
          <w:sz w:val="28"/>
          <w:szCs w:val="28"/>
        </w:rPr>
      </w:pPr>
    </w:p>
    <w:p w14:paraId="7FB839C1" w14:textId="77777777" w:rsidR="00F74BAF" w:rsidRDefault="00F74BAF">
      <w:pPr>
        <w:pBdr>
          <w:top w:val="nil"/>
          <w:left w:val="nil"/>
          <w:bottom w:val="nil"/>
          <w:right w:val="nil"/>
          <w:between w:val="nil"/>
        </w:pBdr>
        <w:ind w:firstLine="709"/>
        <w:jc w:val="both"/>
        <w:rPr>
          <w:b/>
          <w:bCs/>
          <w:sz w:val="28"/>
          <w:szCs w:val="28"/>
        </w:rPr>
      </w:pPr>
    </w:p>
    <w:p w14:paraId="598CA97B" w14:textId="77777777" w:rsidR="00F74BAF" w:rsidRDefault="00F74BAF">
      <w:pPr>
        <w:pBdr>
          <w:top w:val="nil"/>
          <w:left w:val="nil"/>
          <w:bottom w:val="nil"/>
          <w:right w:val="nil"/>
          <w:between w:val="nil"/>
        </w:pBdr>
        <w:ind w:firstLine="709"/>
        <w:jc w:val="both"/>
        <w:rPr>
          <w:b/>
          <w:bCs/>
          <w:sz w:val="28"/>
          <w:szCs w:val="28"/>
        </w:rPr>
      </w:pPr>
    </w:p>
    <w:p w14:paraId="044EC401" w14:textId="77777777" w:rsidR="00F74BAF" w:rsidRDefault="00F74BAF">
      <w:pPr>
        <w:pBdr>
          <w:top w:val="nil"/>
          <w:left w:val="nil"/>
          <w:bottom w:val="nil"/>
          <w:right w:val="nil"/>
          <w:between w:val="nil"/>
        </w:pBdr>
        <w:ind w:firstLine="709"/>
        <w:jc w:val="both"/>
        <w:rPr>
          <w:b/>
          <w:bCs/>
          <w:sz w:val="28"/>
          <w:szCs w:val="28"/>
        </w:rPr>
      </w:pPr>
    </w:p>
    <w:p w14:paraId="5CC2188D" w14:textId="77777777" w:rsidR="00F74BAF" w:rsidRDefault="00737583">
      <w:pPr>
        <w:pBdr>
          <w:top w:val="nil"/>
          <w:left w:val="nil"/>
          <w:bottom w:val="nil"/>
          <w:right w:val="nil"/>
          <w:between w:val="nil"/>
        </w:pBdr>
        <w:ind w:firstLine="709"/>
        <w:jc w:val="center"/>
        <w:rPr>
          <w:b/>
          <w:bCs/>
          <w:i/>
          <w:iCs/>
          <w:sz w:val="28"/>
          <w:szCs w:val="28"/>
        </w:rPr>
      </w:pPr>
      <w:r>
        <w:rPr>
          <w:b/>
          <w:bCs/>
          <w:color w:val="000000"/>
          <w:sz w:val="28"/>
          <w:szCs w:val="28"/>
        </w:rPr>
        <w:t xml:space="preserve">2 SEMANTIC FIELDS OF </w:t>
      </w:r>
      <w:r>
        <w:rPr>
          <w:b/>
          <w:bCs/>
          <w:sz w:val="28"/>
          <w:szCs w:val="28"/>
        </w:rPr>
        <w:t>DAFTAR-I JINGIZ</w:t>
      </w:r>
      <w:r>
        <w:rPr>
          <w:b/>
          <w:bCs/>
          <w:color w:val="000000"/>
          <w:sz w:val="28"/>
          <w:szCs w:val="28"/>
        </w:rPr>
        <w:t xml:space="preserve"> AND GOLDEN HORDE YAR</w:t>
      </w:r>
      <w:r>
        <w:rPr>
          <w:b/>
          <w:bCs/>
          <w:sz w:val="28"/>
          <w:szCs w:val="28"/>
        </w:rPr>
        <w:t>L</w:t>
      </w:r>
      <w:r>
        <w:rPr>
          <w:b/>
          <w:bCs/>
          <w:color w:val="000000"/>
          <w:sz w:val="28"/>
          <w:szCs w:val="28"/>
        </w:rPr>
        <w:t>ÏĠS, B</w:t>
      </w:r>
      <w:r>
        <w:rPr>
          <w:b/>
          <w:bCs/>
          <w:sz w:val="28"/>
          <w:szCs w:val="28"/>
        </w:rPr>
        <w:t>ITIGS</w:t>
      </w:r>
    </w:p>
    <w:p w14:paraId="1D34D049" w14:textId="77777777" w:rsidR="00F74BAF" w:rsidRDefault="00F74BAF">
      <w:pPr>
        <w:ind w:firstLine="709"/>
        <w:jc w:val="both"/>
        <w:rPr>
          <w:sz w:val="28"/>
          <w:szCs w:val="28"/>
        </w:rPr>
      </w:pPr>
    </w:p>
    <w:p w14:paraId="0E274C0D" w14:textId="77777777" w:rsidR="00F74BAF" w:rsidRDefault="00737583">
      <w:pPr>
        <w:ind w:firstLine="709"/>
        <w:jc w:val="both"/>
        <w:rPr>
          <w:sz w:val="28"/>
          <w:szCs w:val="28"/>
        </w:rPr>
      </w:pPr>
      <w:r>
        <w:rPr>
          <w:sz w:val="28"/>
          <w:szCs w:val="28"/>
        </w:rPr>
        <w:t xml:space="preserve">The Kypchak branch of the Turkic languages produced an exceptionally rich and diverse corpus of medieval and early </w:t>
      </w:r>
      <w:r>
        <w:rPr>
          <w:sz w:val="28"/>
          <w:szCs w:val="28"/>
        </w:rPr>
        <w:t>modern texts—often referred to as “written monuments”—that continue to serve as foundational sources for linguistic, cultural, and historical research. These monuments, composed across the vast Eurasian steppe from the thirteenth through the seventeenth ce</w:t>
      </w:r>
      <w:r>
        <w:rPr>
          <w:sz w:val="28"/>
          <w:szCs w:val="28"/>
        </w:rPr>
        <w:t>nturies, capture not only the grammatical and lexical features of Middle Turkic but also the worldview, value systems, and social hierarchies of Kypchak-speaking peoples. They encompass a variety of genres: legal documents, religious treatises, genealogies</w:t>
      </w:r>
      <w:r>
        <w:rPr>
          <w:sz w:val="28"/>
          <w:szCs w:val="28"/>
        </w:rPr>
        <w:t>, poetic anthologies, and epic chronicles. Collectively, they form a vivid linguistic record of a civilization in flux, situated between nomadic and sedentary worlds, and between the Mongol imperial legacy and the emerging Islamic states of Central Eurasia</w:t>
      </w:r>
      <w:r>
        <w:rPr>
          <w:sz w:val="28"/>
          <w:szCs w:val="28"/>
        </w:rPr>
        <w:t>.</w:t>
      </w:r>
    </w:p>
    <w:p w14:paraId="149D45CC" w14:textId="77777777" w:rsidR="00F74BAF" w:rsidRDefault="00737583">
      <w:pPr>
        <w:ind w:firstLine="709"/>
        <w:jc w:val="both"/>
        <w:rPr>
          <w:sz w:val="28"/>
          <w:szCs w:val="28"/>
        </w:rPr>
      </w:pPr>
      <w:r>
        <w:rPr>
          <w:sz w:val="28"/>
          <w:szCs w:val="28"/>
        </w:rPr>
        <w:t>Among these sources, the seventeenth-century «Daftar-i Jingiz-nama» (‘The Book of the Činggis Legend’) occupies a particularly distinguished position. This composite work, compiled in the Volga region around the 1680s from earlier oral epics, administrat</w:t>
      </w:r>
      <w:r>
        <w:rPr>
          <w:sz w:val="28"/>
          <w:szCs w:val="28"/>
        </w:rPr>
        <w:t>ive chronicles, and Persianized historical materials, traces the political and cultural memory of the Golden Horde and its successor states. Written in Turkī, an Eastern Turkic literary language employed by Volga Kypchak communities. Its narrative structur</w:t>
      </w:r>
      <w:r>
        <w:rPr>
          <w:sz w:val="28"/>
          <w:szCs w:val="28"/>
        </w:rPr>
        <w:t>e preserves archaic lexicon and syntactic patterns from Middle Kypchak. As such, «Daftar-i Jingiz-nama» stands as both a philological monument and a sociolinguistic document, revealing how Kypchak language functioned as a vehicle of historical consciousnes</w:t>
      </w:r>
      <w:r>
        <w:rPr>
          <w:sz w:val="28"/>
          <w:szCs w:val="28"/>
        </w:rPr>
        <w:t>s.</w:t>
      </w:r>
    </w:p>
    <w:p w14:paraId="708B69FD" w14:textId="77777777" w:rsidR="00F74BAF" w:rsidRDefault="00737583">
      <w:pPr>
        <w:ind w:firstLine="709"/>
        <w:jc w:val="both"/>
        <w:rPr>
          <w:sz w:val="28"/>
          <w:szCs w:val="28"/>
        </w:rPr>
      </w:pPr>
      <w:r>
        <w:rPr>
          <w:sz w:val="28"/>
          <w:szCs w:val="28"/>
        </w:rPr>
        <w:t>A comparable linguistic and stylistic environment is reflected in the five Golden Horde yarlïġs (decrees) and bitigs analyzed by A. Melek Özyetgin in «Altın Ordu, Kırım ve Kazan sahasına ait yarlık ve bitiklerin dil ve üslûp incelemesi: İnceleme, metin,</w:t>
      </w:r>
      <w:r>
        <w:rPr>
          <w:sz w:val="28"/>
          <w:szCs w:val="28"/>
        </w:rPr>
        <w:t xml:space="preserve"> tercüme, notlar, dizin, tıpkıbasım» (‘A Linguistic and Stylistic Analysis of the Yarliks and Bitiks from the Golden Horde, Crimean, and Kazan Regions: Study, Text, Translation, Notes, Index, Facsimile’). These decrees—issued by khans of the Golden Horde a</w:t>
      </w:r>
      <w:r>
        <w:rPr>
          <w:sz w:val="28"/>
          <w:szCs w:val="28"/>
        </w:rPr>
        <w:t xml:space="preserve">nd preserved in various copies from the Volga, Crimean, and Kazan regions—display the same Kypchak linguistic substratum as the Daftar-i Jingiz-nama. Like the Daftar, they bear strong oral and colloquial features that reveal the vitality of spoken Kypchak </w:t>
      </w:r>
      <w:r>
        <w:rPr>
          <w:sz w:val="28"/>
          <w:szCs w:val="28"/>
        </w:rPr>
        <w:t>in administrative and diplomatic contexts. Their language, though adapted to Islamic and bureaucratic registers, remains close to the vernacular idiom of the steppe. Both corpora emerged within the broader Volga-Ural cultural zone, where oral traditions, P</w:t>
      </w:r>
      <w:r>
        <w:rPr>
          <w:sz w:val="28"/>
          <w:szCs w:val="28"/>
        </w:rPr>
        <w:t>ersian-Islamic historiography, and Turkic steppe rhetoric intersected. When studied together, the «Daftar-i Jingiz-nama» and the «Golden Horde yarlïġs and bitigs» form a coherent continuum of the Kypchak written tradition—demonstrating how a shared linguis</w:t>
      </w:r>
      <w:r>
        <w:rPr>
          <w:sz w:val="28"/>
          <w:szCs w:val="28"/>
        </w:rPr>
        <w:t>tic matrix sustained both official and narrative expressions of power, identity, and memory in the Golden Horde era and its following period.</w:t>
      </w:r>
    </w:p>
    <w:p w14:paraId="2F6E08AC" w14:textId="77777777" w:rsidR="00F74BAF" w:rsidRDefault="00737583">
      <w:pPr>
        <w:ind w:firstLine="709"/>
        <w:jc w:val="both"/>
        <w:rPr>
          <w:sz w:val="28"/>
          <w:szCs w:val="28"/>
        </w:rPr>
      </w:pPr>
      <w:r>
        <w:rPr>
          <w:sz w:val="28"/>
          <w:szCs w:val="28"/>
        </w:rPr>
        <w:t>During the height of the Golden Horde empire (thirteenth–fifteenth centuries), Kypchak served not merely as a spok</w:t>
      </w:r>
      <w:r>
        <w:rPr>
          <w:sz w:val="28"/>
          <w:szCs w:val="28"/>
        </w:rPr>
        <w:t>en dialect but as an administrative, diplomatic, and literary lingua franca across an immense territory stretching from the Lower Volga to the Crimea and from the Aral Sea to the Danube. It influenced the formation of written traditions in Crimean Tatar, K</w:t>
      </w:r>
      <w:r>
        <w:rPr>
          <w:sz w:val="28"/>
          <w:szCs w:val="28"/>
        </w:rPr>
        <w:t>azakh, Nogai, and Bashkir, and even left traces in Mamluk-Kypchak and Ottoman Turkish. The persistence of Kypchak linguistic features in these later languages testifies to a long and continuous literary inheritance, one that mediated between nomadic and Is</w:t>
      </w:r>
      <w:r>
        <w:rPr>
          <w:sz w:val="28"/>
          <w:szCs w:val="28"/>
        </w:rPr>
        <w:t>lamic cultural spheres. In short, the Kypchak monuments—including both «Daftar-i Jingiz-nama» and the «Golden Horde Yarlïġs and Bitigs»—form a crucial bridge between the medieval Turkic past and the linguistic heritage of modern Central Eurasia, preserving</w:t>
      </w:r>
      <w:r>
        <w:rPr>
          <w:sz w:val="28"/>
          <w:szCs w:val="28"/>
        </w:rPr>
        <w:t xml:space="preserve"> within their semantic and stylistic layers the intellectual memory of a world once united by the language of the steppe.</w:t>
      </w:r>
    </w:p>
    <w:p w14:paraId="2B4F6868" w14:textId="77777777" w:rsidR="00F74BAF" w:rsidRDefault="00737583">
      <w:pPr>
        <w:ind w:firstLine="709"/>
        <w:jc w:val="both"/>
        <w:rPr>
          <w:b/>
          <w:bCs/>
          <w:sz w:val="28"/>
          <w:szCs w:val="28"/>
        </w:rPr>
      </w:pPr>
      <w:r>
        <w:rPr>
          <w:sz w:val="28"/>
          <w:szCs w:val="28"/>
        </w:rPr>
        <w:tab/>
      </w:r>
    </w:p>
    <w:p w14:paraId="206520EB" w14:textId="77777777" w:rsidR="00F74BAF" w:rsidRDefault="00737583">
      <w:pPr>
        <w:ind w:firstLine="709"/>
        <w:rPr>
          <w:b/>
          <w:bCs/>
          <w:sz w:val="28"/>
          <w:szCs w:val="28"/>
        </w:rPr>
      </w:pPr>
      <w:r>
        <w:rPr>
          <w:b/>
          <w:bCs/>
          <w:sz w:val="28"/>
          <w:szCs w:val="28"/>
        </w:rPr>
        <w:t>2.1. Kinship Terms</w:t>
      </w:r>
    </w:p>
    <w:p w14:paraId="62ACA79E" w14:textId="77777777" w:rsidR="00F74BAF" w:rsidRDefault="00737583">
      <w:pPr>
        <w:ind w:firstLine="709"/>
        <w:jc w:val="both"/>
        <w:rPr>
          <w:sz w:val="28"/>
          <w:szCs w:val="28"/>
        </w:rPr>
      </w:pPr>
      <w:r>
        <w:rPr>
          <w:sz w:val="28"/>
          <w:szCs w:val="28"/>
        </w:rPr>
        <w:t>Kinship terms are words or expressions used to denote relationships between individuals that arise through blood,</w:t>
      </w:r>
      <w:r>
        <w:rPr>
          <w:sz w:val="28"/>
          <w:szCs w:val="28"/>
        </w:rPr>
        <w:t xml:space="preserve"> marriage, or other socially recognized connections. They are not merely linguistic labels but the verbal expression of an entire system of social organization. In every society, kinship terminology defines how individuals identify one another, how authori</w:t>
      </w:r>
      <w:r>
        <w:rPr>
          <w:sz w:val="28"/>
          <w:szCs w:val="28"/>
        </w:rPr>
        <w:t xml:space="preserve">ty and obligation are distributed, and how social networks are structured. By offering a linguistic framework for classifying relationships—such as between parents and children, siblings, in-laws, and extended relatives—these terms guide daily interaction </w:t>
      </w:r>
      <w:r>
        <w:rPr>
          <w:sz w:val="28"/>
          <w:szCs w:val="28"/>
        </w:rPr>
        <w:t>and reinforce social norms. They also serve a communicative function, allowing people to situate themselves and others within a broader web of familial and communal relations, ensuring that each person knows their position within the social hierarchy.</w:t>
      </w:r>
    </w:p>
    <w:p w14:paraId="14A746D9" w14:textId="77777777" w:rsidR="00F74BAF" w:rsidRDefault="00737583">
      <w:pPr>
        <w:ind w:firstLine="709"/>
        <w:jc w:val="both"/>
        <w:rPr>
          <w:sz w:val="28"/>
          <w:szCs w:val="28"/>
        </w:rPr>
      </w:pPr>
      <w:r>
        <w:rPr>
          <w:sz w:val="28"/>
          <w:szCs w:val="28"/>
        </w:rPr>
        <w:t>Beyo</w:t>
      </w:r>
      <w:r>
        <w:rPr>
          <w:sz w:val="28"/>
          <w:szCs w:val="28"/>
        </w:rPr>
        <w:t>nd their surface meanings, kinship terms reflect a society’s worldview, moral values, and historical experience. They often encode ideas of seniority, gender, lineage, and respect. For example, in many Turkic societies, specific distinctions are drawn betw</w:t>
      </w:r>
      <w:r>
        <w:rPr>
          <w:sz w:val="28"/>
          <w:szCs w:val="28"/>
        </w:rPr>
        <w:t xml:space="preserve">een older and younger siblings, maternal and paternal uncles, or male and female cousins, reflecting a nuanced awareness of generational and gender-based hierarchy. Such linguistic differentiation not only mirrors but also reinforces patterns of deference </w:t>
      </w:r>
      <w:r>
        <w:rPr>
          <w:sz w:val="28"/>
          <w:szCs w:val="28"/>
        </w:rPr>
        <w:t>and solidarity. In traditional steppe societies, where kinship ties formed the basis of tribal and clan organization, these terms carried immense social significance: they determined marriage alliances, inheritance rights, and patterns of political loyalty</w:t>
      </w:r>
      <w:r>
        <w:rPr>
          <w:sz w:val="28"/>
          <w:szCs w:val="28"/>
        </w:rPr>
        <w:t>. Thus, kinship vocabulary served as both a linguistic and an ideological map of social relations, deeply intertwined with the moral fabric of the community.</w:t>
      </w:r>
    </w:p>
    <w:p w14:paraId="70559C44" w14:textId="77777777" w:rsidR="00F74BAF" w:rsidRDefault="00737583">
      <w:pPr>
        <w:ind w:firstLine="709"/>
        <w:jc w:val="both"/>
        <w:rPr>
          <w:color w:val="000000"/>
          <w:sz w:val="28"/>
          <w:szCs w:val="28"/>
        </w:rPr>
      </w:pPr>
      <w:r>
        <w:rPr>
          <w:sz w:val="28"/>
          <w:szCs w:val="28"/>
        </w:rPr>
        <w:t>Moreover, kinship is a complex cultural construct encompassing not only consanguineal relations (t</w:t>
      </w:r>
      <w:r>
        <w:rPr>
          <w:sz w:val="28"/>
          <w:szCs w:val="28"/>
        </w:rPr>
        <w:t>hose based on blood) and affinal relations (those based on marriage) but also fictive kinship – bonds established through symbolic acts such as oath-taking, adoption, or shared service. In many nomadic and semi-nomadic cultures, individuals who were not bi</w:t>
      </w:r>
      <w:r>
        <w:rPr>
          <w:sz w:val="28"/>
          <w:szCs w:val="28"/>
        </w:rPr>
        <w:t>ologically related could be incorporated into kin networks through ritual, creating alliances that were as binding as those of descent. The linguistic expression of these relationships often mirrors biological kinship terms, blurring the boundary between r</w:t>
      </w:r>
      <w:r>
        <w:rPr>
          <w:sz w:val="28"/>
          <w:szCs w:val="28"/>
        </w:rPr>
        <w:t>eal and metaphorical family. As anthropologists and linguists have long observed, kinship terms are therefore culturally specific, reflecting the unique social logic of each community. What constitutes a ‘brother,’ ‘uncle,’ or ‘aunt’ in one culture may dif</w:t>
      </w:r>
      <w:r>
        <w:rPr>
          <w:sz w:val="28"/>
          <w:szCs w:val="28"/>
        </w:rPr>
        <w:t>fer drastically in another, illustrating how language encodes distinct modes of social belonging. Ultimately, kinship terminology provides insight not only into the structure of the family but into the worldview of an entire civilization, offering a lingui</w:t>
      </w:r>
      <w:r>
        <w:rPr>
          <w:sz w:val="28"/>
          <w:szCs w:val="28"/>
        </w:rPr>
        <w:t>stic window into how human societies conceptualize connection, obligation, and identity.</w:t>
      </w:r>
    </w:p>
    <w:p w14:paraId="1F58C7B4"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«Aġa»</w:t>
      </w:r>
    </w:p>
    <w:p w14:paraId="2BF2068E" w14:textId="77777777" w:rsidR="00F74BAF" w:rsidRDefault="00737583">
      <w:pPr>
        <w:ind w:firstLine="709"/>
        <w:jc w:val="both"/>
        <w:rPr>
          <w:color w:val="0E101A"/>
          <w:sz w:val="28"/>
          <w:szCs w:val="28"/>
        </w:rPr>
      </w:pPr>
      <w:r>
        <w:rPr>
          <w:color w:val="0E101A"/>
          <w:sz w:val="28"/>
          <w:szCs w:val="28"/>
        </w:rPr>
        <w:tab/>
        <w:t>This term is a Mongolian loanword with two primary meanings: ‘older brother’ and ‘elder or superior in general’ [24, p. 133-134]. When it was adopted into the P</w:t>
      </w:r>
      <w:r>
        <w:rPr>
          <w:color w:val="0E101A"/>
          <w:sz w:val="28"/>
          <w:szCs w:val="28"/>
        </w:rPr>
        <w:t>ersian language, its meaning shifted and broadened to become a respectful title for noblemen and noblewomen alike, designating not only familial seniority but also social rank. According to Doerfer, the word was borrowed from its Mongolic form «aqa», meani</w:t>
      </w:r>
      <w:r>
        <w:rPr>
          <w:color w:val="0E101A"/>
          <w:sz w:val="28"/>
          <w:szCs w:val="28"/>
        </w:rPr>
        <w:t>ng ‘elder brother’, and subsequently entered Persian as «aγa», signifying ‘sir,’ ‘lord,’ or ‘master’ [24, p. 133-140]. Historical Turkic sources preserve the unvoiced consonant form «aqa», whereas most modern Turkic languages exhibit the voiced variant «aġ</w:t>
      </w:r>
      <w:r>
        <w:rPr>
          <w:color w:val="0E101A"/>
          <w:sz w:val="28"/>
          <w:szCs w:val="28"/>
        </w:rPr>
        <w:t xml:space="preserve">a». This phonological transition exemplifies the regular sound change of intervocalic «q» to «ğ» in the post-Old Turkic period, a shift that became a hallmark of later Kypchak phonology. The earliest attestations of «aqa» in Turkic date from after the Old </w:t>
      </w:r>
      <w:r>
        <w:rPr>
          <w:color w:val="0E101A"/>
          <w:sz w:val="28"/>
          <w:szCs w:val="28"/>
        </w:rPr>
        <w:t>Turkic period, corresponding roughly to the age of Mongol expansion in the late twelfth and early thirteenth centuries, when sustained cultural and linguistic contact fostered an intense exchange of vocabulary between Mongolic and Turkic peoples.</w:t>
      </w:r>
    </w:p>
    <w:p w14:paraId="7EF237F8" w14:textId="77777777" w:rsidR="00F74BAF" w:rsidRDefault="00737583">
      <w:pPr>
        <w:ind w:firstLine="709"/>
        <w:jc w:val="both"/>
        <w:rPr>
          <w:color w:val="0E101A"/>
          <w:sz w:val="28"/>
          <w:szCs w:val="28"/>
        </w:rPr>
      </w:pPr>
      <w:r>
        <w:rPr>
          <w:color w:val="0E101A"/>
          <w:sz w:val="28"/>
          <w:szCs w:val="28"/>
        </w:rPr>
        <w:tab/>
        <w:t>Initiall</w:t>
      </w:r>
      <w:r>
        <w:rPr>
          <w:color w:val="0E101A"/>
          <w:sz w:val="28"/>
          <w:szCs w:val="28"/>
        </w:rPr>
        <w:t xml:space="preserve">y, «aqa» was adopted into Turkic with its original concrete meaning of ‘elder brother’, marking sibling seniority within the family. Over time, however, it underwent a gradual process of semantic broadening and developed a series of extended meanings that </w:t>
      </w:r>
      <w:r>
        <w:rPr>
          <w:color w:val="0E101A"/>
          <w:sz w:val="28"/>
          <w:szCs w:val="28"/>
        </w:rPr>
        <w:t>reflected evolving patterns of social hierarchy. It came to denote not only a biological brother but also various male relatives, respected elders, or dignitaries in positions of authority. The semantic evolution of «aqa» in Turkic can be summarized in fiv</w:t>
      </w:r>
      <w:r>
        <w:rPr>
          <w:color w:val="0E101A"/>
          <w:sz w:val="28"/>
          <w:szCs w:val="28"/>
        </w:rPr>
        <w:t>e main stages: (1) ‘elder brother’; (2) ‘uncle’ or ‘older man’; (3) ‘father’ or paternal figure; (4) ‘Mr.’ or ‘sir’ as an official or honorific title; and (5) ‘big’ or ‘great’ in figurative sense [25, p. 70-71]. This expansion demonstrates the natural tend</w:t>
      </w:r>
      <w:r>
        <w:rPr>
          <w:color w:val="0E101A"/>
          <w:sz w:val="28"/>
          <w:szCs w:val="28"/>
        </w:rPr>
        <w:t>ency of kinship vocabulary to extend metaphorically into domains of political and social respect. Clauson [26, p. 20] observed that by the medieval period «aqa» had almost completely replaced its earlier synonym «eči» (meaning ‘elder brother’) in nearly al</w:t>
      </w:r>
      <w:r>
        <w:rPr>
          <w:color w:val="0E101A"/>
          <w:sz w:val="28"/>
          <w:szCs w:val="28"/>
        </w:rPr>
        <w:t>l Turkic languages, which reveals a lexical shift influenced by Mongolic prestige and administrative bilingualism during the empire.</w:t>
      </w:r>
    </w:p>
    <w:p w14:paraId="2D5A22C0" w14:textId="77777777" w:rsidR="00F74BAF" w:rsidRDefault="00737583">
      <w:pPr>
        <w:ind w:firstLine="709"/>
        <w:jc w:val="both"/>
        <w:rPr>
          <w:color w:val="0E101A"/>
          <w:sz w:val="28"/>
          <w:szCs w:val="28"/>
        </w:rPr>
      </w:pPr>
      <w:r>
        <w:rPr>
          <w:color w:val="0E101A"/>
          <w:sz w:val="28"/>
          <w:szCs w:val="28"/>
        </w:rPr>
        <w:tab/>
        <w:t>Unlike most lexical borrowings that entered Turkic through Persian or Arabic mediation, kinship terms of Mongolic origin s</w:t>
      </w:r>
      <w:r>
        <w:rPr>
          <w:color w:val="0E101A"/>
          <w:sz w:val="28"/>
          <w:szCs w:val="28"/>
        </w:rPr>
        <w:t>eem to have penetrated deeply and early, at a formative stage of contact between the two linguistic groups. Their phonological adaptation and semantic naturalization suggest that they were not superficial adoptions but became integral elements of the Turki</w:t>
      </w:r>
      <w:r>
        <w:rPr>
          <w:color w:val="0E101A"/>
          <w:sz w:val="28"/>
          <w:szCs w:val="28"/>
        </w:rPr>
        <w:t xml:space="preserve">c lexicon. Although such words were transmitted most intensively during and after the Mongolian expansion at the end of the twelfth century [26, p. 301], the exceptionally broad diffusion of «aqa» and its phonetic variants with diverse meanings across all </w:t>
      </w:r>
      <w:r>
        <w:rPr>
          <w:color w:val="0E101A"/>
          <w:sz w:val="28"/>
          <w:szCs w:val="28"/>
        </w:rPr>
        <w:t>Turkic branches—except Chuvash—indicates that the borrowing occurred after the divergence of the Common Turkic and Proto-Bulgar groups. The presence of «aqa» across Kypchak, Oghuz, Karluk, and Siberian Turkic points to a period of wide-ranging area converg</w:t>
      </w:r>
      <w:r>
        <w:rPr>
          <w:color w:val="0E101A"/>
          <w:sz w:val="28"/>
          <w:szCs w:val="28"/>
        </w:rPr>
        <w:t>ence, when Mongol–Turkic bilingualism restructured many core semantic domains of social vocabulary.</w:t>
      </w:r>
    </w:p>
    <w:p w14:paraId="75F3EAC0" w14:textId="77777777" w:rsidR="00F74BAF" w:rsidRDefault="00737583">
      <w:pPr>
        <w:ind w:firstLine="709"/>
        <w:jc w:val="both"/>
        <w:rPr>
          <w:color w:val="0E101A"/>
          <w:sz w:val="28"/>
          <w:szCs w:val="28"/>
        </w:rPr>
      </w:pPr>
      <w:r>
        <w:rPr>
          <w:color w:val="0E101A"/>
          <w:sz w:val="28"/>
          <w:szCs w:val="28"/>
        </w:rPr>
        <w:tab/>
        <w:t xml:space="preserve">In the text of </w:t>
      </w:r>
      <w:r>
        <w:rPr>
          <w:sz w:val="28"/>
          <w:szCs w:val="28"/>
        </w:rPr>
        <w:t>«Daftar-i Jingiz-nama»</w:t>
      </w:r>
      <w:r>
        <w:rPr>
          <w:color w:val="0E101A"/>
          <w:sz w:val="28"/>
          <w:szCs w:val="28"/>
        </w:rPr>
        <w:t>, «aġa» retains its original, concrete meaning of ‘older brother.’ It consistently appears in juxtaposition with «ini» ‘younger brother’, forming a paradigmatic pair that expresses both biological relation and symbolic complementarity. The derived form «aġ</w:t>
      </w:r>
      <w:r>
        <w:rPr>
          <w:color w:val="0E101A"/>
          <w:sz w:val="28"/>
          <w:szCs w:val="28"/>
        </w:rPr>
        <w:t xml:space="preserve">alï inili» conveys a collective or dual sense— ‘brothers’ or ‘the brotherly pair.’ One representative passage reads: «aġalï inili ekisi bir däwirdä bir zamända taht biyläb» </w:t>
      </w:r>
      <w:r>
        <w:rPr>
          <w:sz w:val="28"/>
          <w:szCs w:val="28"/>
        </w:rPr>
        <w:t>–</w:t>
      </w:r>
      <w:r>
        <w:rPr>
          <w:color w:val="0E101A"/>
          <w:sz w:val="28"/>
          <w:szCs w:val="28"/>
        </w:rPr>
        <w:t xml:space="preserve"> ‘the brothers together reigned on the throne in one time and one age’ [28]. This </w:t>
      </w:r>
      <w:r>
        <w:rPr>
          <w:color w:val="0E101A"/>
          <w:sz w:val="28"/>
          <w:szCs w:val="28"/>
        </w:rPr>
        <w:t>phrase demonstrates the productivity of the suffix «-li» in denoting associative or collective relationships. Moreover, it illustrates the semantic shift of kinship vocabulary from a purely domestic to a political register: «aġa» and «ini» are no longer on</w:t>
      </w:r>
      <w:r>
        <w:rPr>
          <w:color w:val="0E101A"/>
          <w:sz w:val="28"/>
          <w:szCs w:val="28"/>
        </w:rPr>
        <w:t xml:space="preserve">ly siblings but also co-rulers, partners in sovereignty, or metaphors for dynastic harmony. The use of such kinship metaphors to articulate political legitimacy is characteristic of Kypchak narrative style and reflects the ideological blending of familial </w:t>
      </w:r>
      <w:r>
        <w:rPr>
          <w:color w:val="0E101A"/>
          <w:sz w:val="28"/>
          <w:szCs w:val="28"/>
        </w:rPr>
        <w:t>ethics with imperial governance.</w:t>
      </w:r>
    </w:p>
    <w:p w14:paraId="2981C123" w14:textId="77777777" w:rsidR="00F74BAF" w:rsidRDefault="00737583">
      <w:pPr>
        <w:ind w:firstLine="709"/>
        <w:jc w:val="both"/>
        <w:rPr>
          <w:color w:val="0E101A"/>
          <w:sz w:val="28"/>
          <w:szCs w:val="28"/>
        </w:rPr>
      </w:pPr>
      <w:r>
        <w:rPr>
          <w:color w:val="0E101A"/>
          <w:sz w:val="28"/>
          <w:szCs w:val="28"/>
        </w:rPr>
        <w:tab/>
        <w:t xml:space="preserve">The symbolic range of «aġa» thus extends from kinship to hierarchy, from the household to the state. Its evolution </w:t>
      </w:r>
      <w:r>
        <w:rPr>
          <w:sz w:val="28"/>
          <w:szCs w:val="28"/>
        </w:rPr>
        <w:t>–</w:t>
      </w:r>
      <w:r>
        <w:rPr>
          <w:color w:val="0E101A"/>
          <w:sz w:val="28"/>
          <w:szCs w:val="28"/>
        </w:rPr>
        <w:t xml:space="preserve"> from the Mongolic «aqa» meaning ‘elder brother’, through Persian «aγa» meaning ‘lord’ or ‘sir,’ to the Tu</w:t>
      </w:r>
      <w:r>
        <w:rPr>
          <w:color w:val="0E101A"/>
          <w:sz w:val="28"/>
          <w:szCs w:val="28"/>
        </w:rPr>
        <w:t xml:space="preserve">rkic ‘aġa’ denoting both familial seniority and authority </w:t>
      </w:r>
      <w:r>
        <w:rPr>
          <w:sz w:val="28"/>
          <w:szCs w:val="28"/>
        </w:rPr>
        <w:t>–</w:t>
      </w:r>
      <w:r>
        <w:rPr>
          <w:color w:val="0E101A"/>
          <w:sz w:val="28"/>
          <w:szCs w:val="28"/>
        </w:rPr>
        <w:t xml:space="preserve"> exemplifies the dynamic interplay of language contact, phonological adaptation, and cultural reinterpretation. The persistence of «aġa» in nearly all modern Turkic languages (e.g., Kazakh, Kyrgyz,</w:t>
      </w:r>
      <w:r>
        <w:rPr>
          <w:color w:val="0E101A"/>
          <w:sz w:val="28"/>
          <w:szCs w:val="28"/>
        </w:rPr>
        <w:t xml:space="preserve"> Tatar, Turkish, Uzbek, and Azerbaijani) attests to the durability of this lexical item as both a social and semantic archetype. In modern Kazakh, for instance, «ağa» signifies simultaneously ‘elder brother,’ ‘respected man,’ and ‘senior official,’ preserv</w:t>
      </w:r>
      <w:r>
        <w:rPr>
          <w:color w:val="0E101A"/>
          <w:sz w:val="28"/>
          <w:szCs w:val="28"/>
        </w:rPr>
        <w:t>ing the same dual register found in medieval texts [29, p. 58]. The wide distribution and semantic versatility of «aġa» therefore make it one of the most illustrative examples of how kinship terminology in Turkic languages embodies the historical memory of</w:t>
      </w:r>
      <w:r>
        <w:rPr>
          <w:color w:val="0E101A"/>
          <w:sz w:val="28"/>
          <w:szCs w:val="28"/>
        </w:rPr>
        <w:t xml:space="preserve"> hierarchical relations that once structured both family and empire.</w:t>
      </w:r>
    </w:p>
    <w:p w14:paraId="71DB1914" w14:textId="77777777" w:rsidR="00F74BAF" w:rsidRDefault="00737583">
      <w:pPr>
        <w:ind w:firstLine="709"/>
        <w:jc w:val="both"/>
        <w:rPr>
          <w:color w:val="000000"/>
          <w:sz w:val="28"/>
          <w:szCs w:val="28"/>
        </w:rPr>
      </w:pPr>
      <w:r>
        <w:rPr>
          <w:color w:val="000000"/>
          <w:sz w:val="28"/>
          <w:szCs w:val="28"/>
        </w:rPr>
        <w:t xml:space="preserve">«Ana» </w:t>
      </w:r>
    </w:p>
    <w:p w14:paraId="7D5E0B66" w14:textId="77777777" w:rsidR="00F74BAF" w:rsidRDefault="00737583">
      <w:pPr>
        <w:ind w:firstLine="709"/>
        <w:jc w:val="both"/>
        <w:rPr>
          <w:color w:val="0E101A"/>
          <w:sz w:val="28"/>
          <w:szCs w:val="28"/>
        </w:rPr>
      </w:pPr>
      <w:r>
        <w:rPr>
          <w:color w:val="0E101A"/>
          <w:sz w:val="28"/>
          <w:szCs w:val="28"/>
        </w:rPr>
        <w:t>This is an ancient Turkic word which denotes ‘mother’. It is one of the most fundamental lexemes in the Turkic kinship system and appears with remarkable consistency across both hi</w:t>
      </w:r>
      <w:r>
        <w:rPr>
          <w:color w:val="0E101A"/>
          <w:sz w:val="28"/>
          <w:szCs w:val="28"/>
        </w:rPr>
        <w:t xml:space="preserve">storical and modern Turkic languages. The earliest attested forms occur in the Old Uighur documents, where it is used less frequently than the synonymous term «ög», also meaning ‘mother’ [26, p. 169]. Nevertheless, the existence of «ana» in the Old Uighur </w:t>
      </w:r>
      <w:r>
        <w:rPr>
          <w:color w:val="0E101A"/>
          <w:sz w:val="28"/>
          <w:szCs w:val="28"/>
        </w:rPr>
        <w:t>corpus demonstrates that the term had already entered the literary lexicon by the early medieval period. The word is also recorded in the «Dīwān Lughāt at-Turk» (DLT), where it denotes ‘mother’ [27, p. 126]. The wide geographical and chronological distribu</w:t>
      </w:r>
      <w:r>
        <w:rPr>
          <w:color w:val="0E101A"/>
          <w:sz w:val="28"/>
          <w:szCs w:val="28"/>
        </w:rPr>
        <w:t>tion of «ana» suggests that it is inherited from Proto-Turkic rather than borrowed, and its survival into nearly all later Turkic languages confirms its central role in the Turkic conceptualization of kinship and family.</w:t>
      </w:r>
    </w:p>
    <w:p w14:paraId="1BE84111" w14:textId="77777777" w:rsidR="00F74BAF" w:rsidRDefault="00737583">
      <w:pPr>
        <w:ind w:firstLine="709"/>
        <w:jc w:val="both"/>
        <w:rPr>
          <w:color w:val="0E101A"/>
          <w:sz w:val="28"/>
          <w:szCs w:val="28"/>
        </w:rPr>
      </w:pPr>
      <w:r>
        <w:rPr>
          <w:color w:val="0E101A"/>
          <w:sz w:val="28"/>
          <w:szCs w:val="28"/>
        </w:rPr>
        <w:t>In modern Turkic languages, «ana» c</w:t>
      </w:r>
      <w:r>
        <w:rPr>
          <w:color w:val="0E101A"/>
          <w:sz w:val="28"/>
          <w:szCs w:val="28"/>
        </w:rPr>
        <w:t xml:space="preserve">ontinues to be the most common term for ‘mother.’ It is found in virtually all branches of the Turkic family </w:t>
      </w:r>
      <w:r>
        <w:rPr>
          <w:sz w:val="28"/>
          <w:szCs w:val="28"/>
        </w:rPr>
        <w:t>–</w:t>
      </w:r>
      <w:r>
        <w:rPr>
          <w:color w:val="0E101A"/>
          <w:sz w:val="28"/>
          <w:szCs w:val="28"/>
        </w:rPr>
        <w:t xml:space="preserve"> Oghuz, Kypchak, Karluk, and Siberian </w:t>
      </w:r>
      <w:r>
        <w:rPr>
          <w:sz w:val="28"/>
          <w:szCs w:val="28"/>
        </w:rPr>
        <w:t>–</w:t>
      </w:r>
      <w:r>
        <w:rPr>
          <w:color w:val="0E101A"/>
          <w:sz w:val="28"/>
          <w:szCs w:val="28"/>
        </w:rPr>
        <w:t xml:space="preserve"> with only one notable exception: in certain Siberian Turkic dialects it was replaced by the Mongolic loanw</w:t>
      </w:r>
      <w:r>
        <w:rPr>
          <w:color w:val="0E101A"/>
          <w:sz w:val="28"/>
          <w:szCs w:val="28"/>
        </w:rPr>
        <w:t>ord «ecejice» [26, p. 169]. This substitution likely reflects regional Mongol influence during the period of Mongol domination in North Asia, whereas in the western and central regions of the Turkic world, the native form «ana» remained dominant. The persi</w:t>
      </w:r>
      <w:r>
        <w:rPr>
          <w:color w:val="0E101A"/>
          <w:sz w:val="28"/>
          <w:szCs w:val="28"/>
        </w:rPr>
        <w:t>stence of «ana» across so many dialects and centuries attests to its deep cultural embeddedness: it is not simply a lexical item but a term charged with emotional, moral, and symbolic value. In Turkic societies, the concept of «ana» transcends biological m</w:t>
      </w:r>
      <w:r>
        <w:rPr>
          <w:color w:val="0E101A"/>
          <w:sz w:val="28"/>
          <w:szCs w:val="28"/>
        </w:rPr>
        <w:t xml:space="preserve">otherhood to encompass reverence, nurturance, and moral authority. Numerous Turkic expressions </w:t>
      </w:r>
      <w:r>
        <w:rPr>
          <w:sz w:val="28"/>
          <w:szCs w:val="28"/>
        </w:rPr>
        <w:t>–</w:t>
      </w:r>
      <w:r>
        <w:rPr>
          <w:color w:val="0E101A"/>
          <w:sz w:val="28"/>
          <w:szCs w:val="28"/>
        </w:rPr>
        <w:t xml:space="preserve"> such as «otan ana» ‘Motherland’ </w:t>
      </w:r>
      <w:r>
        <w:rPr>
          <w:sz w:val="28"/>
          <w:szCs w:val="28"/>
        </w:rPr>
        <w:t>–</w:t>
      </w:r>
      <w:r>
        <w:rPr>
          <w:color w:val="0E101A"/>
          <w:sz w:val="28"/>
          <w:szCs w:val="28"/>
        </w:rPr>
        <w:t xml:space="preserve"> extend the word’s meaning into the metaphoric and collective domains, demonstrating how linguistic and emotional associations</w:t>
      </w:r>
      <w:r>
        <w:rPr>
          <w:color w:val="0E101A"/>
          <w:sz w:val="28"/>
          <w:szCs w:val="28"/>
        </w:rPr>
        <w:t xml:space="preserve"> reinforce one another in the semantic field of kinship.</w:t>
      </w:r>
    </w:p>
    <w:p w14:paraId="3814EA24" w14:textId="77777777" w:rsidR="00F74BAF" w:rsidRDefault="00737583">
      <w:pPr>
        <w:ind w:firstLine="709"/>
        <w:jc w:val="both"/>
        <w:rPr>
          <w:color w:val="0E101A"/>
          <w:sz w:val="28"/>
          <w:szCs w:val="28"/>
        </w:rPr>
      </w:pPr>
      <w:r>
        <w:rPr>
          <w:color w:val="0E101A"/>
          <w:sz w:val="28"/>
          <w:szCs w:val="28"/>
        </w:rPr>
        <w:t>Historically, «ana» has been associated with several synonymous and variant forms. The Old Turkic «ög» and the alternative form «ene» share overlapping semantic ranges, both signifying ‘mother’, thou</w:t>
      </w:r>
      <w:r>
        <w:rPr>
          <w:color w:val="0E101A"/>
          <w:sz w:val="28"/>
          <w:szCs w:val="28"/>
        </w:rPr>
        <w:t>gh «ög» seems to have receded in later Middle Turkic usage, while «ene» occasionally survives as a dialectal or poetic variant. The coexistence of these forms suggests that the Turkic lexicon once contained parallel kinship terms with subtle differences in</w:t>
      </w:r>
      <w:r>
        <w:rPr>
          <w:color w:val="0E101A"/>
          <w:sz w:val="28"/>
          <w:szCs w:val="28"/>
        </w:rPr>
        <w:t xml:space="preserve"> register or nuance </w:t>
      </w:r>
      <w:r>
        <w:rPr>
          <w:sz w:val="28"/>
          <w:szCs w:val="28"/>
        </w:rPr>
        <w:t>–</w:t>
      </w:r>
      <w:r>
        <w:rPr>
          <w:color w:val="0E101A"/>
          <w:sz w:val="28"/>
          <w:szCs w:val="28"/>
        </w:rPr>
        <w:t xml:space="preserve"> perhaps distinguishing between emotional and formal contexts. In some texts, «ana» carries a more elevated or respectful connotation, while «ene» may have represented a colloquial or affectionate form. The semantic rivalry between «ana» and «ög» ultimatel</w:t>
      </w:r>
      <w:r>
        <w:rPr>
          <w:color w:val="0E101A"/>
          <w:sz w:val="28"/>
          <w:szCs w:val="28"/>
        </w:rPr>
        <w:t>y resolved in favor of «ana», whose phonological transparency and emotional resonance facilitated its dominance in the common speech of later Turkic peoples.</w:t>
      </w:r>
    </w:p>
    <w:p w14:paraId="15672D10" w14:textId="77777777" w:rsidR="00F74BAF" w:rsidRDefault="00737583">
      <w:pPr>
        <w:ind w:firstLine="709"/>
        <w:jc w:val="both"/>
        <w:rPr>
          <w:color w:val="0E101A"/>
          <w:sz w:val="28"/>
          <w:szCs w:val="28"/>
        </w:rPr>
      </w:pPr>
      <w:r>
        <w:rPr>
          <w:color w:val="0E101A"/>
          <w:sz w:val="28"/>
          <w:szCs w:val="28"/>
        </w:rPr>
        <w:t>«Ana» is almost invariably juxtaposed with «ata» (‘father’), forming a binary pair that represents</w:t>
      </w:r>
      <w:r>
        <w:rPr>
          <w:color w:val="0E101A"/>
          <w:sz w:val="28"/>
          <w:szCs w:val="28"/>
        </w:rPr>
        <w:t xml:space="preserve"> the parental dyad fundamental to Turkic social structure. This pairing not only denotes biological parents but also symbolizes the complementary principles of authority and compassion, lineage and nurture. The collocation «ata ana» or its case forms (such</w:t>
      </w:r>
      <w:r>
        <w:rPr>
          <w:color w:val="0E101A"/>
          <w:sz w:val="28"/>
          <w:szCs w:val="28"/>
        </w:rPr>
        <w:t xml:space="preserve"> as «atadin anadin») expresses the collective sense of «parents» or «parental figures». The </w:t>
      </w:r>
      <w:r>
        <w:rPr>
          <w:sz w:val="28"/>
          <w:szCs w:val="28"/>
        </w:rPr>
        <w:t>«Daftar-i Jingiz-nama»</w:t>
      </w:r>
      <w:r>
        <w:rPr>
          <w:color w:val="0E101A"/>
          <w:sz w:val="28"/>
          <w:szCs w:val="28"/>
        </w:rPr>
        <w:t xml:space="preserve"> preserves several clear examples of this usage: «atadin anadin bäzgän oġlanlar» [29] (32v3) — ‘the sons who flee their parents’; «atasïz anas</w:t>
      </w:r>
      <w:r>
        <w:rPr>
          <w:color w:val="0E101A"/>
          <w:sz w:val="28"/>
          <w:szCs w:val="28"/>
        </w:rPr>
        <w:t xml:space="preserve">ïz teb aytur bolsalar» </w:t>
      </w:r>
      <w:r>
        <w:rPr>
          <w:sz w:val="28"/>
          <w:szCs w:val="28"/>
        </w:rPr>
        <w:t>–</w:t>
      </w:r>
      <w:r>
        <w:rPr>
          <w:color w:val="0E101A"/>
          <w:sz w:val="28"/>
          <w:szCs w:val="28"/>
        </w:rPr>
        <w:t xml:space="preserve"> ‘if they should say he is an orphan (without parents)’; and «Aqsaq Temir-ning atasi anasi öldi» [29] (30r15) </w:t>
      </w:r>
      <w:r>
        <w:rPr>
          <w:sz w:val="28"/>
          <w:szCs w:val="28"/>
        </w:rPr>
        <w:t>–</w:t>
      </w:r>
      <w:r>
        <w:rPr>
          <w:color w:val="0E101A"/>
          <w:sz w:val="28"/>
          <w:szCs w:val="28"/>
        </w:rPr>
        <w:t xml:space="preserve"> ‘the parents of Aqsaq Temir died’. These attestations reveal that the term «ana» functioned not only as a lexical refere</w:t>
      </w:r>
      <w:r>
        <w:rPr>
          <w:color w:val="0E101A"/>
          <w:sz w:val="28"/>
          <w:szCs w:val="28"/>
        </w:rPr>
        <w:t>nce but also as a grammatical and semantic marker of familial unity. The recurrent syntactic pattern of coordinating «ata» and «ana» mirrors the cultural ideal of parental duality in Turkic thought, in which paternal authority and maternal care together co</w:t>
      </w:r>
      <w:r>
        <w:rPr>
          <w:color w:val="0E101A"/>
          <w:sz w:val="28"/>
          <w:szCs w:val="28"/>
        </w:rPr>
        <w:t>nstitute the moral foundation of family life.</w:t>
      </w:r>
    </w:p>
    <w:p w14:paraId="32388B51" w14:textId="77777777" w:rsidR="00F74BAF" w:rsidRDefault="00737583">
      <w:pPr>
        <w:ind w:firstLine="709"/>
        <w:jc w:val="both"/>
        <w:rPr>
          <w:color w:val="0E101A"/>
          <w:sz w:val="28"/>
          <w:szCs w:val="28"/>
        </w:rPr>
      </w:pPr>
      <w:r>
        <w:rPr>
          <w:color w:val="0E101A"/>
          <w:sz w:val="28"/>
          <w:szCs w:val="28"/>
        </w:rPr>
        <w:t>The continuity of «ana» across textual and temporal boundaries underscores its status as a linguistic constant within the Turkic worldview. In epigraphic inscriptions, literary works, and oral poetry, «ana» emb</w:t>
      </w:r>
      <w:r>
        <w:rPr>
          <w:color w:val="0E101A"/>
          <w:sz w:val="28"/>
          <w:szCs w:val="28"/>
        </w:rPr>
        <w:t>odies themes of life, origin, and continuity. Its semantic field extends from the literal sense of biological motherhood to metaphorical and collective meanings such as «jer ana» ‘Mother Earth,’ both of which remain active expressions in modern Turkic lang</w:t>
      </w:r>
      <w:r>
        <w:rPr>
          <w:color w:val="0E101A"/>
          <w:sz w:val="28"/>
          <w:szCs w:val="28"/>
        </w:rPr>
        <w:t>uages. In religious and moral discourse, «ana» symbolizes mercy and creation, qualities often associated with divine or cosmic femininity. Thus, even as linguistic forms evolved and new borrowings entered the Turkic lexicon, «ana» preserved its core semant</w:t>
      </w:r>
      <w:r>
        <w:rPr>
          <w:color w:val="0E101A"/>
          <w:sz w:val="28"/>
          <w:szCs w:val="28"/>
        </w:rPr>
        <w:t>ic nucleus and emotional resonance. The study of this term across Turkic history reveals a remarkable degree of semantic stability, attesting to the persistence of familial concepts that have defined the moral and linguistic identity of Turkic-speaking peo</w:t>
      </w:r>
      <w:r>
        <w:rPr>
          <w:color w:val="0E101A"/>
          <w:sz w:val="28"/>
          <w:szCs w:val="28"/>
        </w:rPr>
        <w:t>ples for more than a millennium.</w:t>
      </w:r>
    </w:p>
    <w:p w14:paraId="3E45675C" w14:textId="77777777" w:rsidR="00F74BAF" w:rsidRDefault="00737583">
      <w:pPr>
        <w:ind w:firstLine="709"/>
        <w:jc w:val="both"/>
        <w:rPr>
          <w:color w:val="0E101A"/>
          <w:sz w:val="28"/>
          <w:szCs w:val="28"/>
        </w:rPr>
      </w:pPr>
      <w:r>
        <w:rPr>
          <w:color w:val="0E101A"/>
          <w:sz w:val="28"/>
          <w:szCs w:val="28"/>
        </w:rPr>
        <w:t>«Ata»</w:t>
      </w:r>
    </w:p>
    <w:p w14:paraId="079B1276" w14:textId="77777777" w:rsidR="00F74BAF" w:rsidRDefault="00737583">
      <w:pPr>
        <w:ind w:firstLine="709"/>
        <w:jc w:val="both"/>
        <w:rPr>
          <w:color w:val="0E101A"/>
          <w:sz w:val="28"/>
          <w:szCs w:val="28"/>
        </w:rPr>
      </w:pPr>
      <w:r>
        <w:rPr>
          <w:color w:val="0E101A"/>
          <w:sz w:val="28"/>
          <w:szCs w:val="28"/>
        </w:rPr>
        <w:t>This is an ancient Turkic word that denotes «father», one of the oldest and most stable kinship terms in the Turkic lexicon. It first appears in the Old Uighur inscriptions, where it occurs in place of the earlier Pro</w:t>
      </w:r>
      <w:r>
        <w:rPr>
          <w:color w:val="0E101A"/>
          <w:sz w:val="28"/>
          <w:szCs w:val="28"/>
        </w:rPr>
        <w:t>to-Turkic and Old Turkic term «qaŋ» meaning ‘father’ [26, p. 40]. The substitution of «ata» for «qaŋ» reflects a lexical replacement that took place between the Old Turkic and Middle Turkic periods, possibly under the influence of dialectal variation withi</w:t>
      </w:r>
      <w:r>
        <w:rPr>
          <w:color w:val="0E101A"/>
          <w:sz w:val="28"/>
          <w:szCs w:val="28"/>
        </w:rPr>
        <w:t>n the Turkic-speaking world. The word «ata» is also attested in the «Dīwān Lughāt at-Turk» (DLT), where it explicitly denotes ‘father’ [27, p. 122]. From the earliest stages of Turkic written tradition, therefore, «ata» stands as a core term in the semanti</w:t>
      </w:r>
      <w:r>
        <w:rPr>
          <w:color w:val="0E101A"/>
          <w:sz w:val="28"/>
          <w:szCs w:val="28"/>
        </w:rPr>
        <w:t>c field of kinship, often paired with its feminine counterpart «ana» to express the concept of ‘parents.’</w:t>
      </w:r>
    </w:p>
    <w:p w14:paraId="631FEAC5" w14:textId="77777777" w:rsidR="00F74BAF" w:rsidRDefault="00737583">
      <w:pPr>
        <w:ind w:firstLine="709"/>
        <w:jc w:val="both"/>
        <w:rPr>
          <w:color w:val="0E101A"/>
          <w:sz w:val="28"/>
          <w:szCs w:val="28"/>
        </w:rPr>
      </w:pPr>
      <w:r>
        <w:rPr>
          <w:color w:val="0E101A"/>
          <w:sz w:val="28"/>
          <w:szCs w:val="28"/>
        </w:rPr>
        <w:t>«Ata» has been preserved in all modern Turkic languages, though with varying nuances of meaning across regional and chronological contexts. In languag</w:t>
      </w:r>
      <w:r>
        <w:rPr>
          <w:color w:val="0E101A"/>
          <w:sz w:val="28"/>
          <w:szCs w:val="28"/>
        </w:rPr>
        <w:t>es such as Chuvash, Azeri, and Tatar, it primarily denotes ‘father’ in its direct biological sense, maintaining continuity with its early attested meanings. In contrast, in Turkmen it most frequently refers to the ‘paternal grandfather,’ revealing a semant</w:t>
      </w:r>
      <w:r>
        <w:rPr>
          <w:color w:val="0E101A"/>
          <w:sz w:val="28"/>
          <w:szCs w:val="28"/>
        </w:rPr>
        <w:t>ic shift upward in generational hierarchy, while in certain Anatolian Turkish dialects «ata» is used in the sense of ‘older brother’ or ‘respected elder.’ Such semantic divergence reflects the elasticity of kinship terminology in Turkic societies, where th</w:t>
      </w:r>
      <w:r>
        <w:rPr>
          <w:color w:val="0E101A"/>
          <w:sz w:val="28"/>
          <w:szCs w:val="28"/>
        </w:rPr>
        <w:t>e same lexical root may expand or narrow depending on social usage.</w:t>
      </w:r>
    </w:p>
    <w:p w14:paraId="5A7E605B" w14:textId="77777777" w:rsidR="00F74BAF" w:rsidRDefault="00737583">
      <w:pPr>
        <w:ind w:firstLine="709"/>
        <w:jc w:val="both"/>
        <w:rPr>
          <w:color w:val="0E101A"/>
          <w:sz w:val="28"/>
          <w:szCs w:val="28"/>
        </w:rPr>
      </w:pPr>
      <w:r>
        <w:rPr>
          <w:color w:val="0E101A"/>
          <w:sz w:val="28"/>
          <w:szCs w:val="28"/>
        </w:rPr>
        <w:t>In modern Kazakh, «ata» is particularly rich in polysemous extensions. It denotes not only ‘father’ and ‘paternal grandfather’ but also the collective notion of ‘small clans sharing a comm</w:t>
      </w:r>
      <w:r>
        <w:rPr>
          <w:color w:val="0E101A"/>
          <w:sz w:val="28"/>
          <w:szCs w:val="28"/>
        </w:rPr>
        <w:t>on ancestor,’ ‘father-in-law,’ ‘elderly person,’ and, in figurative contexts, ‘the founder of a thing or enterprise’ [30, p. 41]. The semantic range of «ata» thus bridges the personal, genealogical, and metaphorical domains. For example, phrases such as «a</w:t>
      </w:r>
      <w:r>
        <w:rPr>
          <w:color w:val="0E101A"/>
          <w:sz w:val="28"/>
          <w:szCs w:val="28"/>
        </w:rPr>
        <w:t>ta-baba» (‘forefathers, ancestors’) and «ata-tärbie» (‘paternal upbringing’) link the term with notions of heritage, continuity, and tradition. In modern Kazakh, «ata» also functions productively as a bound modifier to indicate inherited or ancestral conti</w:t>
      </w:r>
      <w:r>
        <w:rPr>
          <w:color w:val="0E101A"/>
          <w:sz w:val="28"/>
          <w:szCs w:val="28"/>
        </w:rPr>
        <w:t>nuity: ‘ata jaw» / «ata dušpan» ‘ancestral enemy,’ literally ‘feud for generations,’ «ata qonïs» ‘dwelling place of forefathers,’ and «ata zaman» ‘ancient times’ [61, p. 82]. In each of these examples, «ata» encodes both temporal depth and moral lineage, c</w:t>
      </w:r>
      <w:r>
        <w:rPr>
          <w:color w:val="0E101A"/>
          <w:sz w:val="28"/>
          <w:szCs w:val="28"/>
        </w:rPr>
        <w:t>onveying not only descent but the transmission of memory and obligation across generations.</w:t>
      </w:r>
    </w:p>
    <w:p w14:paraId="3D436644" w14:textId="77777777" w:rsidR="00F74BAF" w:rsidRDefault="00737583">
      <w:pPr>
        <w:ind w:firstLine="709"/>
        <w:jc w:val="both"/>
        <w:rPr>
          <w:color w:val="0E101A"/>
          <w:sz w:val="28"/>
          <w:szCs w:val="28"/>
        </w:rPr>
      </w:pPr>
      <w:r>
        <w:rPr>
          <w:color w:val="0E101A"/>
          <w:sz w:val="28"/>
          <w:szCs w:val="28"/>
        </w:rPr>
        <w:t>From a diachronic and cultural-linguistic perspective, the semantic versatility of «ata» mirrors the structure of Turkic patriarchal kinship systems. The term denot</w:t>
      </w:r>
      <w:r>
        <w:rPr>
          <w:color w:val="0E101A"/>
          <w:sz w:val="28"/>
          <w:szCs w:val="28"/>
        </w:rPr>
        <w:t xml:space="preserve">es both immediate paternal relations and the broader category of ancestral authority. In traditional nomadic contexts, where lineage and clan identity were central to social organization, «ata» frequently extended to designate the patriarchal founder of a </w:t>
      </w:r>
      <w:r>
        <w:rPr>
          <w:color w:val="0E101A"/>
          <w:sz w:val="28"/>
          <w:szCs w:val="28"/>
        </w:rPr>
        <w:t>lineage or tribe. This metaphorical use survives in expressions such as «Ata Türk» («Father of Turk») where the term functions as an honorific epithet for legendary or historical figures regarded as progenitors of entire peoples. Thus, «ata» represents not</w:t>
      </w:r>
      <w:r>
        <w:rPr>
          <w:color w:val="0E101A"/>
          <w:sz w:val="28"/>
          <w:szCs w:val="28"/>
        </w:rPr>
        <w:t xml:space="preserve"> merely a family role but an emblem of continuity, legitimacy, and cultural identity.</w:t>
      </w:r>
    </w:p>
    <w:p w14:paraId="5DB7050F" w14:textId="77777777" w:rsidR="00F74BAF" w:rsidRDefault="00737583">
      <w:pPr>
        <w:ind w:firstLine="709"/>
        <w:jc w:val="both"/>
        <w:rPr>
          <w:color w:val="0E101A"/>
          <w:sz w:val="28"/>
          <w:szCs w:val="28"/>
        </w:rPr>
      </w:pPr>
      <w:r>
        <w:rPr>
          <w:color w:val="0E101A"/>
          <w:sz w:val="28"/>
          <w:szCs w:val="28"/>
        </w:rPr>
        <w:t xml:space="preserve">In the text of the </w:t>
      </w:r>
      <w:r>
        <w:rPr>
          <w:sz w:val="28"/>
          <w:szCs w:val="28"/>
        </w:rPr>
        <w:t>«Daftar-i Jingiz-nama»</w:t>
      </w:r>
      <w:r>
        <w:rPr>
          <w:color w:val="0E101A"/>
          <w:sz w:val="28"/>
          <w:szCs w:val="28"/>
        </w:rPr>
        <w:t>, «ata» occurs numerous times and consistently denotes ‘father.’ It appears together with «ana» to form the expression for ‘paren</w:t>
      </w:r>
      <w:r>
        <w:rPr>
          <w:color w:val="0E101A"/>
          <w:sz w:val="28"/>
          <w:szCs w:val="28"/>
        </w:rPr>
        <w:t>ts,’ reinforcing the conventional Turkic pairing of paternal and maternal roles. Phrases such as «atadin anadin bäzgän oġlanlar» ‘the sons who flee their parents’ and «atasïz anasïz teb aytur bolsalar» («if they say he is an orphan without parents») illust</w:t>
      </w:r>
      <w:r>
        <w:rPr>
          <w:color w:val="0E101A"/>
          <w:sz w:val="28"/>
          <w:szCs w:val="28"/>
        </w:rPr>
        <w:t>rate that «ata» maintains its fundamental biological and moral meaning within this corpus. The repeated collocation of «ata» and «ana» in the text underlines the symbolic unity of the two figures as the originators of life, lineage, and moral duty. Through</w:t>
      </w:r>
      <w:r>
        <w:rPr>
          <w:color w:val="0E101A"/>
          <w:sz w:val="28"/>
          <w:szCs w:val="28"/>
        </w:rPr>
        <w:t xml:space="preserve"> such lexical pairings, the </w:t>
      </w:r>
      <w:r>
        <w:rPr>
          <w:sz w:val="28"/>
          <w:szCs w:val="28"/>
        </w:rPr>
        <w:t>«Daftar-i Jingiz-nama»</w:t>
      </w:r>
      <w:r>
        <w:rPr>
          <w:color w:val="0E101A"/>
          <w:sz w:val="28"/>
          <w:szCs w:val="28"/>
        </w:rPr>
        <w:t xml:space="preserve"> not only records kinship vocabulary but also encodes the ideological centrality of familial hierarchy in the worldview of the Golden Horde and its following period.</w:t>
      </w:r>
    </w:p>
    <w:p w14:paraId="5149FFCB" w14:textId="77777777" w:rsidR="00F74BAF" w:rsidRDefault="00737583">
      <w:pPr>
        <w:ind w:firstLine="709"/>
        <w:jc w:val="both"/>
        <w:rPr>
          <w:color w:val="0E101A"/>
          <w:sz w:val="28"/>
          <w:szCs w:val="28"/>
        </w:rPr>
      </w:pPr>
      <w:r>
        <w:rPr>
          <w:color w:val="0E101A"/>
          <w:sz w:val="28"/>
          <w:szCs w:val="28"/>
        </w:rPr>
        <w:t>«Ini»</w:t>
      </w:r>
    </w:p>
    <w:p w14:paraId="1EE6E571" w14:textId="77777777" w:rsidR="00F74BAF" w:rsidRDefault="00737583">
      <w:pPr>
        <w:ind w:firstLine="709"/>
        <w:jc w:val="both"/>
        <w:rPr>
          <w:color w:val="0E101A"/>
          <w:sz w:val="28"/>
          <w:szCs w:val="28"/>
        </w:rPr>
      </w:pPr>
      <w:r>
        <w:rPr>
          <w:color w:val="0E101A"/>
          <w:sz w:val="28"/>
          <w:szCs w:val="28"/>
        </w:rPr>
        <w:t>This is an ancient Turkic word whi</w:t>
      </w:r>
      <w:r>
        <w:rPr>
          <w:color w:val="0E101A"/>
          <w:sz w:val="28"/>
          <w:szCs w:val="28"/>
        </w:rPr>
        <w:t>ch denotes «younger brother». It is among the earliest attested kinship terms in the Turkic lexicon, recorded in the Old Turkic inscriptions and preserved with remarkable continuity across the centuries. One of the earliest known occurrences appears in the</w:t>
      </w:r>
      <w:r>
        <w:rPr>
          <w:color w:val="0E101A"/>
          <w:sz w:val="28"/>
          <w:szCs w:val="28"/>
        </w:rPr>
        <w:t xml:space="preserve"> Old Turkic Orkhon inscriptions: «ulayu iniyigünim oġlanïm» — ‘firstly my brothers and sons’ [31, p. 116]. This citation illustrates both the lexical antiquity of «ini» and its integration within the broader kinship vocabulary of the early Turkic-speaking </w:t>
      </w:r>
      <w:r>
        <w:rPr>
          <w:color w:val="0E101A"/>
          <w:sz w:val="28"/>
          <w:szCs w:val="28"/>
        </w:rPr>
        <w:t>world. The presence of «ini» alongside terms such as «aġa» ‘elder brother’ and «oġlan» ‘son’ in the same inscription reflects the semantic structuring of familial hierarchy: it encodes relative age and social position within the sibling group, thereby rein</w:t>
      </w:r>
      <w:r>
        <w:rPr>
          <w:color w:val="0E101A"/>
          <w:sz w:val="28"/>
          <w:szCs w:val="28"/>
        </w:rPr>
        <w:t>forcing generational order and respect for seniority.</w:t>
      </w:r>
    </w:p>
    <w:p w14:paraId="1AFCD999" w14:textId="77777777" w:rsidR="00F74BAF" w:rsidRDefault="00737583">
      <w:pPr>
        <w:ind w:firstLine="709"/>
        <w:jc w:val="both"/>
        <w:rPr>
          <w:color w:val="0E101A"/>
          <w:sz w:val="28"/>
          <w:szCs w:val="28"/>
        </w:rPr>
      </w:pPr>
      <w:r>
        <w:rPr>
          <w:color w:val="0E101A"/>
          <w:sz w:val="28"/>
          <w:szCs w:val="28"/>
        </w:rPr>
        <w:t>The word «ini» has been preserved in all modern Turkic languages, although with some regional and semantic variations. In most Turkic languages it retains its primary meaning of ‘younger brother’, while</w:t>
      </w:r>
      <w:r>
        <w:rPr>
          <w:color w:val="0E101A"/>
          <w:sz w:val="28"/>
          <w:szCs w:val="28"/>
        </w:rPr>
        <w:t xml:space="preserve"> in a few dialects it has shifted to denote slightly different relationships. For instance, in Turkmen, «ini» can mean both «brother» in general and, in some contexts, ‘nephew.’ In certain Anatolian Turkish dialects, «ini» is used to mean «younger sister» </w:t>
      </w:r>
      <w:r>
        <w:rPr>
          <w:color w:val="0E101A"/>
          <w:sz w:val="28"/>
          <w:szCs w:val="28"/>
        </w:rPr>
        <w:t>or «junior sibling», showing a partial neutralization of gender distinction. Despite these variations, the fundamental semantic opposition between «aġa» («elder brother») and «ini» («younger brother») remains a defining structural feature of Turkic kinship</w:t>
      </w:r>
      <w:r>
        <w:rPr>
          <w:color w:val="0E101A"/>
          <w:sz w:val="28"/>
          <w:szCs w:val="28"/>
        </w:rPr>
        <w:t xml:space="preserve"> terminology. In many southwestern Turkic languages, the original word has been largely replaced by the analytic phrase «kičük kardeš» («younger brother»), reflecting a tendency toward lexical replacement by compound expressions under Persian and Arabic in</w:t>
      </w:r>
      <w:r>
        <w:rPr>
          <w:color w:val="0E101A"/>
          <w:sz w:val="28"/>
          <w:szCs w:val="28"/>
        </w:rPr>
        <w:t>fluence [26, p. 170]. Nevertheless, the old form «ini» continues to survive productively in Central and Northern Turkic languages, particularly in Kazakh, Kyrgyz, Nogai, and Tatar, where it retains strong social and emotional resonance.</w:t>
      </w:r>
    </w:p>
    <w:p w14:paraId="7134893D" w14:textId="77777777" w:rsidR="00F74BAF" w:rsidRDefault="00737583">
      <w:pPr>
        <w:ind w:firstLine="709"/>
        <w:jc w:val="both"/>
        <w:rPr>
          <w:color w:val="0E101A"/>
          <w:sz w:val="28"/>
          <w:szCs w:val="28"/>
        </w:rPr>
      </w:pPr>
      <w:r>
        <w:rPr>
          <w:color w:val="0E101A"/>
          <w:sz w:val="28"/>
          <w:szCs w:val="28"/>
        </w:rPr>
        <w:t>In modern Kazakh, «</w:t>
      </w:r>
      <w:r>
        <w:rPr>
          <w:color w:val="0E101A"/>
          <w:sz w:val="28"/>
          <w:szCs w:val="28"/>
        </w:rPr>
        <w:t>ini» displays notable semantic broadening. While its core meaning remains «younger brother», it is also used more generally to denote «any male youngster» or «a young man of lower age or rank» [43, p. 717]. This semantic extension from a strictly kinship-b</w:t>
      </w:r>
      <w:r>
        <w:rPr>
          <w:color w:val="0E101A"/>
          <w:sz w:val="28"/>
          <w:szCs w:val="28"/>
        </w:rPr>
        <w:t>ased sense to a social-hierarchical one parallels the development of «aġa», which similarly broadened from «elder brother» to «senior man» or «respected superior». Together, the pair «aġa» and «ini» forms a paradigmatic lexical opposition that encodes rela</w:t>
      </w:r>
      <w:r>
        <w:rPr>
          <w:color w:val="0E101A"/>
          <w:sz w:val="28"/>
          <w:szCs w:val="28"/>
        </w:rPr>
        <w:t>tive rank, age, and social relationship. This opposition functions not only within the family but also metaphorically in broader social contexts—military, political, and occupational—where senior and junior relationships are conceptualized in fraternal ter</w:t>
      </w:r>
      <w:r>
        <w:rPr>
          <w:color w:val="0E101A"/>
          <w:sz w:val="28"/>
          <w:szCs w:val="28"/>
        </w:rPr>
        <w:t>ms. Thus, «ini» carries both literal and symbolic significance, marking the speaker’s awareness of generational order, respect, and interpersonal hierarchy.</w:t>
      </w:r>
    </w:p>
    <w:p w14:paraId="0781CE04" w14:textId="77777777" w:rsidR="00F74BAF" w:rsidRDefault="00737583">
      <w:pPr>
        <w:ind w:firstLine="709"/>
        <w:jc w:val="both"/>
        <w:rPr>
          <w:color w:val="0E101A"/>
          <w:sz w:val="28"/>
          <w:szCs w:val="28"/>
        </w:rPr>
      </w:pPr>
      <w:r>
        <w:rPr>
          <w:color w:val="0E101A"/>
          <w:sz w:val="28"/>
          <w:szCs w:val="28"/>
        </w:rPr>
        <w:t xml:space="preserve">In the text of the </w:t>
      </w:r>
      <w:r>
        <w:rPr>
          <w:sz w:val="28"/>
          <w:szCs w:val="28"/>
        </w:rPr>
        <w:t>«Daftar-i Jingiz-nama»</w:t>
      </w:r>
      <w:r>
        <w:rPr>
          <w:color w:val="0E101A"/>
          <w:sz w:val="28"/>
          <w:szCs w:val="28"/>
        </w:rPr>
        <w:t xml:space="preserve">, «ini» consistently appears in juxtaposition with «aġa», </w:t>
      </w:r>
      <w:r>
        <w:rPr>
          <w:color w:val="0E101A"/>
          <w:sz w:val="28"/>
          <w:szCs w:val="28"/>
        </w:rPr>
        <w:t>denoting «brothers» collectively, as mentioned above. The frequent collocation of these two words reflects the structural dualism characteristic of Turkic kinship semantics: seniority and juniorhood, authority and obedience, coexist as complementary values</w:t>
      </w:r>
      <w:r>
        <w:rPr>
          <w:color w:val="0E101A"/>
          <w:sz w:val="28"/>
          <w:szCs w:val="28"/>
        </w:rPr>
        <w:t xml:space="preserve"> within the same social framework. Expressions such as «aġalï inili ekisi bir däwirdä bir zamända taht biyläb» («the brothers together reigned on the throne in one time and one age») exemplify how linguistic pairing conveys social harmony and shared legiti</w:t>
      </w:r>
      <w:r>
        <w:rPr>
          <w:color w:val="0E101A"/>
          <w:sz w:val="28"/>
          <w:szCs w:val="28"/>
        </w:rPr>
        <w:t>macy. In this phrase, «aġa» and «ini» symbolize co-rule and brotherly unity, demonstrating that kinship terminology in Turkic languages often extends beyond the domestic sphere to articulate political and moral order.</w:t>
      </w:r>
    </w:p>
    <w:p w14:paraId="19C935D0" w14:textId="77777777" w:rsidR="00F74BAF" w:rsidRDefault="00737583">
      <w:pPr>
        <w:ind w:firstLine="709"/>
        <w:jc w:val="both"/>
        <w:rPr>
          <w:color w:val="0E101A"/>
          <w:sz w:val="28"/>
          <w:szCs w:val="28"/>
        </w:rPr>
      </w:pPr>
      <w:r>
        <w:rPr>
          <w:color w:val="0E101A"/>
          <w:sz w:val="28"/>
          <w:szCs w:val="28"/>
        </w:rPr>
        <w:t>The persistence of «ini» from Old Turk</w:t>
      </w:r>
      <w:r>
        <w:rPr>
          <w:color w:val="0E101A"/>
          <w:sz w:val="28"/>
          <w:szCs w:val="28"/>
        </w:rPr>
        <w:t>ic to the modern period underscores its status as one of the core elements of Turkic familial vocabulary. Its stable phonological shape, minimal dialectal distortion, and continuous semantic relevance make it an important index of cultural continuity among</w:t>
      </w:r>
      <w:r>
        <w:rPr>
          <w:color w:val="0E101A"/>
          <w:sz w:val="28"/>
          <w:szCs w:val="28"/>
        </w:rPr>
        <w:t xml:space="preserve"> Turkic peoples. Moreover, the coexistence of the literal and metaphorical meanings of «ini» reveals how kinship terms serve as linguistic tools for expressing not only biological relationships but also social values of respect, solidarity, and hierarchy. </w:t>
      </w:r>
      <w:r>
        <w:rPr>
          <w:color w:val="0E101A"/>
          <w:sz w:val="28"/>
          <w:szCs w:val="28"/>
        </w:rPr>
        <w:t>In both linguistic form and cultural function, «ini» stands as the enduring counterpart to «aġa», together forming one of the most ancient and symbolically charged pairs in the Turkic lexicon.</w:t>
      </w:r>
    </w:p>
    <w:p w14:paraId="5722358B" w14:textId="77777777" w:rsidR="00F74BAF" w:rsidRDefault="00737583">
      <w:pPr>
        <w:ind w:firstLine="709"/>
        <w:jc w:val="both"/>
        <w:rPr>
          <w:sz w:val="28"/>
          <w:szCs w:val="28"/>
        </w:rPr>
      </w:pPr>
      <w:r>
        <w:rPr>
          <w:sz w:val="28"/>
          <w:szCs w:val="28"/>
        </w:rPr>
        <w:t>«Oġul»</w:t>
      </w:r>
    </w:p>
    <w:p w14:paraId="566CEC30" w14:textId="77777777" w:rsidR="00F74BAF" w:rsidRDefault="00737583">
      <w:pPr>
        <w:ind w:firstLine="709"/>
        <w:jc w:val="both"/>
        <w:rPr>
          <w:sz w:val="28"/>
          <w:szCs w:val="28"/>
        </w:rPr>
      </w:pPr>
      <w:r>
        <w:rPr>
          <w:sz w:val="28"/>
          <w:szCs w:val="28"/>
        </w:rPr>
        <w:t>This is an ancient Turkic word denoting ‘son’ or ‘male c</w:t>
      </w:r>
      <w:r>
        <w:rPr>
          <w:sz w:val="28"/>
          <w:szCs w:val="28"/>
        </w:rPr>
        <w:t xml:space="preserve">hild.’ It belongs to the most archaic stratum of Turkic kinship terminology and is among the earliest attested familial terms in the corpus of Old Turkic inscriptions. The word first appears in the Orkhon monuments, for example in the phrase «kiši oġlïnta </w:t>
      </w:r>
      <w:r>
        <w:rPr>
          <w:sz w:val="28"/>
          <w:szCs w:val="28"/>
        </w:rPr>
        <w:t>üzä» — ‘on the top of the human being’s son’ [31, 150]. This early attestation confirms that «oġul» was a basic lexeme of Old Turkic, firmly embedded in the grammatical and semantic system of kinship. In the eleventh-century Khaqani language, «oġul» is rec</w:t>
      </w:r>
      <w:r>
        <w:rPr>
          <w:sz w:val="28"/>
          <w:szCs w:val="28"/>
        </w:rPr>
        <w:t>orded in Mahmud al-Kashgari’s «Dīwān Lughāt at-Turk», where it is glossed as «son», though Kashgari adds that it may also denote ‘boy’ rather than specifically «offspring». He notes that its plural form is «oġlan» and provides comparative examples, explain</w:t>
      </w:r>
      <w:r>
        <w:rPr>
          <w:sz w:val="28"/>
          <w:szCs w:val="28"/>
        </w:rPr>
        <w:t>ing that «oġlan» corresponds to «ärän» (‘man, warrior’) in social sense [9, 113]. This observation is valuable because it highlights the morphological and semantic relationship between «oġul» and «oġlan»: the latter originally being the plural of the forme</w:t>
      </w:r>
      <w:r>
        <w:rPr>
          <w:sz w:val="28"/>
          <w:szCs w:val="28"/>
        </w:rPr>
        <w:t>r but later reinterpreted as a separate noun.</w:t>
      </w:r>
    </w:p>
    <w:p w14:paraId="2BADCD59" w14:textId="77777777" w:rsidR="00F74BAF" w:rsidRDefault="00737583">
      <w:pPr>
        <w:ind w:firstLine="709"/>
        <w:jc w:val="both"/>
        <w:rPr>
          <w:sz w:val="28"/>
          <w:szCs w:val="28"/>
        </w:rPr>
      </w:pPr>
      <w:r>
        <w:rPr>
          <w:sz w:val="28"/>
          <w:szCs w:val="28"/>
        </w:rPr>
        <w:t>The term «oġul» has been preserved throughout the entire Turkic linguistic continuum, though with minor phonological and semantic differences. In most modern Turkic languages it continues to denote ‘son,’ while</w:t>
      </w:r>
      <w:r>
        <w:rPr>
          <w:sz w:val="28"/>
          <w:szCs w:val="28"/>
        </w:rPr>
        <w:t xml:space="preserve"> in a few peripheral dialects its meaning has broadened or shifted. For instance, in Chuvash it means ‘children’ or ‘child’ in general; in Turkmen, Turkish, Altai, Khakas, Tuvan, and Yakut it is used in the sense of ‘boy’ or ‘male youth’; and in Yakut it h</w:t>
      </w:r>
      <w:r>
        <w:rPr>
          <w:sz w:val="28"/>
          <w:szCs w:val="28"/>
        </w:rPr>
        <w:t>as even acquired the specific meaning of ‘younger brother-in-law’ [38, 413]. Such semantic diversification testifies to the vitality and adaptability of the word across regions and epochs. In modern Kazakh, due to regular sound change, «oġul» has evolved i</w:t>
      </w:r>
      <w:r>
        <w:rPr>
          <w:sz w:val="28"/>
          <w:szCs w:val="28"/>
        </w:rPr>
        <w:t>nto «ul», with the loss of the voiced velar fricative and simplification of the consonant cluster. Beyond its literal sense of ‘male child,’ «ul» carries strong cultural and symbolic connotations: it designates not merely a son by birth but the heir who co</w:t>
      </w:r>
      <w:r>
        <w:rPr>
          <w:sz w:val="28"/>
          <w:szCs w:val="28"/>
        </w:rPr>
        <w:t>ntinues the paternal line, inherits the family property, and upholds clan honor. Moreover, in Kazakh and other steppe traditions, «ul» evokes the moral ideal of the man who defends his homeland and safeguards the welfare of his people [44]. Thus, the seman</w:t>
      </w:r>
      <w:r>
        <w:rPr>
          <w:sz w:val="28"/>
          <w:szCs w:val="28"/>
        </w:rPr>
        <w:t>tic field of «oġul» encompasses both domestic and civic dimensions – filial devotion within the household and valor within the community.</w:t>
      </w:r>
    </w:p>
    <w:p w14:paraId="45AB95FD" w14:textId="77777777" w:rsidR="00F74BAF" w:rsidRDefault="00737583">
      <w:pPr>
        <w:ind w:firstLine="709"/>
        <w:jc w:val="both"/>
        <w:rPr>
          <w:sz w:val="28"/>
          <w:szCs w:val="28"/>
        </w:rPr>
      </w:pPr>
      <w:r>
        <w:rPr>
          <w:sz w:val="28"/>
          <w:szCs w:val="28"/>
        </w:rPr>
        <w:t>The persistence of «oġul» across the Turkic world reflects the patriarchal orientation of traditional social organizat</w:t>
      </w:r>
      <w:r>
        <w:rPr>
          <w:sz w:val="28"/>
          <w:szCs w:val="28"/>
        </w:rPr>
        <w:t>ion, in which lineage and inheritance were transmitted through the male line. The lexical contrast between «oġul» and «qïz» (‘daughter’) encapsulates not only biological distinction but also social role differentiation. In early Turkic society, sons were r</w:t>
      </w:r>
      <w:r>
        <w:rPr>
          <w:sz w:val="28"/>
          <w:szCs w:val="28"/>
        </w:rPr>
        <w:t>egarded as the continuers of the family and tribal name, while daughters were linked to alliance and exchange through marriage. The frequent collocation «oġul qïz» (‘sons and daughters’) appears in numerous texts to express the collective meaning of ‘child</w:t>
      </w:r>
      <w:r>
        <w:rPr>
          <w:sz w:val="28"/>
          <w:szCs w:val="28"/>
        </w:rPr>
        <w:t xml:space="preserve">ren’. In the «Daftar-i Jingiz-nama», «oġul» frequently occurs in this paired form, as in «oġlï qizi yoq erdi» (44r14) — ‘he has no children.’ The juxtaposition demonstrates the grammatical coordination of gendered nouns in Middle Turkic syntax and reveals </w:t>
      </w:r>
      <w:r>
        <w:rPr>
          <w:sz w:val="28"/>
          <w:szCs w:val="28"/>
        </w:rPr>
        <w:t>how kinship terminology functioned as a linguistic device for expressing completeness of lineage. The word also occurs in political and communal contexts, often in association with «halq» (‘people’ or ‘nation’), as in «qaltaq halq oġlï» (7v14), «halq oġlïn</w:t>
      </w:r>
      <w:r>
        <w:rPr>
          <w:sz w:val="28"/>
          <w:szCs w:val="28"/>
        </w:rPr>
        <w:t>a qïzina» (11r1), and «halq oġlïna aytib» (11v11). In these expressions, ‘oġul’ extends metaphorically to mean ‘member of the people’ or ‘offspring of the nation,’ transforming biological descent into civic kinship.</w:t>
      </w:r>
    </w:p>
    <w:p w14:paraId="62A5EFC3" w14:textId="77777777" w:rsidR="00F74BAF" w:rsidRDefault="00737583">
      <w:pPr>
        <w:ind w:firstLine="709"/>
        <w:jc w:val="both"/>
        <w:rPr>
          <w:sz w:val="28"/>
          <w:szCs w:val="28"/>
        </w:rPr>
      </w:pPr>
      <w:r>
        <w:rPr>
          <w:sz w:val="28"/>
          <w:szCs w:val="28"/>
        </w:rPr>
        <w:t>From a philological standpoint, the cont</w:t>
      </w:r>
      <w:r>
        <w:rPr>
          <w:sz w:val="28"/>
          <w:szCs w:val="28"/>
        </w:rPr>
        <w:t xml:space="preserve">inuity of the morpheme «oġul/ul» in various Turkic languages illustrates the remarkable stability of core kinship vocabulary despite extensive phonological change. The transition from «oġul» to «ul» in modern Kazakh languages exemplifies a general process </w:t>
      </w:r>
      <w:r>
        <w:rPr>
          <w:sz w:val="28"/>
          <w:szCs w:val="28"/>
        </w:rPr>
        <w:t>of phonetic erosion combined with semantic conservation.</w:t>
      </w:r>
    </w:p>
    <w:p w14:paraId="12EBF86A" w14:textId="77777777" w:rsidR="00F74BAF" w:rsidRDefault="00737583">
      <w:pPr>
        <w:ind w:firstLine="709"/>
        <w:jc w:val="both"/>
        <w:rPr>
          <w:sz w:val="28"/>
          <w:szCs w:val="28"/>
        </w:rPr>
      </w:pPr>
      <w:r>
        <w:rPr>
          <w:sz w:val="28"/>
          <w:szCs w:val="28"/>
        </w:rPr>
        <w:t>In summary, «oġul» is both a linguistic and cultural emblem of Turkic civilization. Its early attestation in the Orkhon corpus, its recording in Kashgari’s lexicon, and its continuous use in later mo</w:t>
      </w:r>
      <w:r>
        <w:rPr>
          <w:sz w:val="28"/>
          <w:szCs w:val="28"/>
        </w:rPr>
        <w:t>numents such as the «Daftar-i Jingiz-nama» all testify to its central place in the semantic field of kinship. While the surface phonology of the word evolved, its conceptual core – denoting male descent, continuity, and filial duty – remained remarkably st</w:t>
      </w:r>
      <w:r>
        <w:rPr>
          <w:sz w:val="28"/>
          <w:szCs w:val="28"/>
        </w:rPr>
        <w:t>able. The word’s productive pairing with «qïz», its metaphorical linkage to «halq», and its enduring presence in the modern Turkic lexicon reveal how «oġul» encapsulates the intertwined notions of lineage, loyalty, and identity that have shaped Turkic soci</w:t>
      </w:r>
      <w:r>
        <w:rPr>
          <w:sz w:val="28"/>
          <w:szCs w:val="28"/>
        </w:rPr>
        <w:t>eties for over a millennium.</w:t>
      </w:r>
    </w:p>
    <w:p w14:paraId="01A5B58E" w14:textId="77777777" w:rsidR="00F74BAF" w:rsidRDefault="00737583">
      <w:pPr>
        <w:ind w:firstLine="709"/>
        <w:jc w:val="both"/>
        <w:rPr>
          <w:sz w:val="28"/>
          <w:szCs w:val="28"/>
        </w:rPr>
      </w:pPr>
      <w:r>
        <w:rPr>
          <w:sz w:val="28"/>
          <w:szCs w:val="28"/>
        </w:rPr>
        <w:tab/>
        <w:t>«Baba»</w:t>
      </w:r>
    </w:p>
    <w:p w14:paraId="4D32C128" w14:textId="77777777" w:rsidR="00F74BAF" w:rsidRDefault="00737583">
      <w:pPr>
        <w:ind w:firstLine="709"/>
        <w:jc w:val="both"/>
        <w:rPr>
          <w:sz w:val="28"/>
          <w:szCs w:val="28"/>
        </w:rPr>
      </w:pPr>
      <w:r>
        <w:rPr>
          <w:sz w:val="28"/>
          <w:szCs w:val="28"/>
        </w:rPr>
        <w:tab/>
        <w:t>This is an ancient Turkic word, though its precise etymology remains uncertain. The original meaning of «baba» is generally understood as ‘paternal father’ or ‘forefather’ [33, p. 228]. The term appears widely across T</w:t>
      </w:r>
      <w:r>
        <w:rPr>
          <w:sz w:val="28"/>
          <w:szCs w:val="28"/>
        </w:rPr>
        <w:t>urkic and neighboring languages and has persisted in religious, familial, and honorific contexts for more than a millennium. While its ultimate origin is debated – some scholars have proposed a nursery or expressive root common to several Eurasian language</w:t>
      </w:r>
      <w:r>
        <w:rPr>
          <w:sz w:val="28"/>
          <w:szCs w:val="28"/>
        </w:rPr>
        <w:t>s – the consistent semantic field of paternal reverence strongly suggests a deep cultural foundation rather than a recent borrowing. From the earliest periods of Turkic history, «baba» was used to denote not only a direct male ancestor but also, more broad</w:t>
      </w:r>
      <w:r>
        <w:rPr>
          <w:sz w:val="28"/>
          <w:szCs w:val="28"/>
        </w:rPr>
        <w:t>ly, any respected elder or spiritual progenitor, carrying emotional connotations of wisdom, authority, and blessing.</w:t>
      </w:r>
    </w:p>
    <w:p w14:paraId="2F28FAB1" w14:textId="77777777" w:rsidR="00F74BAF" w:rsidRDefault="00737583">
      <w:pPr>
        <w:ind w:firstLine="709"/>
        <w:jc w:val="both"/>
        <w:rPr>
          <w:sz w:val="28"/>
          <w:szCs w:val="28"/>
        </w:rPr>
      </w:pPr>
      <w:r>
        <w:rPr>
          <w:sz w:val="28"/>
          <w:szCs w:val="28"/>
        </w:rPr>
        <w:tab/>
        <w:t xml:space="preserve">In the text of the «Daftar-i Jingiz-nama», the word «baba» primarily signifies ‘ancestor’ or ‘forefather.’ It frequently appears in </w:t>
      </w:r>
      <w:r>
        <w:rPr>
          <w:sz w:val="28"/>
          <w:szCs w:val="28"/>
        </w:rPr>
        <w:t>genealogical and narrative passages to refer to earlier generations, thus functioning as a linguistic marker of lineage and heritage. The term can be modified by «nagačï» to indicate the maternal line, as in «nagačï babalarï» (2v10) – ‘the maternal ancesto</w:t>
      </w:r>
      <w:r>
        <w:rPr>
          <w:sz w:val="28"/>
          <w:szCs w:val="28"/>
        </w:rPr>
        <w:t>rs.’ This collocation is significant because it reveals the recognition of both paternal and maternal descent lines within Kypchak society, even though paternal lineage predominated in social organization. The plural form «babalar» is commonly used to deno</w:t>
      </w:r>
      <w:r>
        <w:rPr>
          <w:sz w:val="28"/>
          <w:szCs w:val="28"/>
        </w:rPr>
        <w:t>te the collective group of forefathers, paralleling similar uses in modern Turkic expressions such as «ata-babalar» (‘ancestors, forefathers’), which encapsulate the cultural ideal of filial continuity and ancestral veneration.</w:t>
      </w:r>
    </w:p>
    <w:p w14:paraId="52263177" w14:textId="77777777" w:rsidR="00F74BAF" w:rsidRDefault="00737583">
      <w:pPr>
        <w:ind w:firstLine="709"/>
        <w:jc w:val="both"/>
        <w:rPr>
          <w:sz w:val="28"/>
          <w:szCs w:val="28"/>
        </w:rPr>
      </w:pPr>
      <w:r>
        <w:rPr>
          <w:sz w:val="28"/>
          <w:szCs w:val="28"/>
        </w:rPr>
        <w:tab/>
        <w:t>The semantic range of «baba</w:t>
      </w:r>
      <w:r>
        <w:rPr>
          <w:sz w:val="28"/>
          <w:szCs w:val="28"/>
        </w:rPr>
        <w:t xml:space="preserve">» in Turkic languages extends beyond genealogy. In many Turkic and Islamic contexts, particularly from the medieval period onward, «baba» became a religious and honorific title for saints, dervishes, and spiritual masters. Expressions such as «Hacï Bektaš </w:t>
      </w:r>
      <w:r>
        <w:rPr>
          <w:sz w:val="28"/>
          <w:szCs w:val="28"/>
        </w:rPr>
        <w:t>Baba» and «Baba Ahmad» illustrate the elevation of the term from kinship reference to spiritual epithet. This development reflects the fusion of Turkic patriarchal symbolism with Islamic mystical tradition, wherein the ‘father’ figure embodies both moral g</w:t>
      </w:r>
      <w:r>
        <w:rPr>
          <w:sz w:val="28"/>
          <w:szCs w:val="28"/>
        </w:rPr>
        <w:t>uidance and divine intercession. The use of «baba» to name shrines, tombs, and sacred places across Central Asia and Anatolia further testifies to its transformation into a symbol of sanctity and collective memory.</w:t>
      </w:r>
    </w:p>
    <w:p w14:paraId="1E4481EB" w14:textId="77777777" w:rsidR="00F74BAF" w:rsidRDefault="00737583">
      <w:pPr>
        <w:ind w:firstLine="709"/>
        <w:jc w:val="both"/>
        <w:rPr>
          <w:sz w:val="28"/>
          <w:szCs w:val="28"/>
        </w:rPr>
      </w:pPr>
      <w:r>
        <w:rPr>
          <w:sz w:val="28"/>
          <w:szCs w:val="28"/>
        </w:rPr>
        <w:tab/>
        <w:t>In linguistic terms, «baba» functions as</w:t>
      </w:r>
      <w:r>
        <w:rPr>
          <w:sz w:val="28"/>
          <w:szCs w:val="28"/>
        </w:rPr>
        <w:t xml:space="preserve"> a doublet or complement to «ata». Both denote fatherhood and ancestry, yet they differ subtly in tone and register. While «ata» tends to convey genealogical or administrative authority, «baba» expresses emotional intimacy, respect, and moral reverence. Th</w:t>
      </w:r>
      <w:r>
        <w:rPr>
          <w:sz w:val="28"/>
          <w:szCs w:val="28"/>
        </w:rPr>
        <w:t>is stylistic distinction survives in many modern Turkic languages, where «baba» is used in informal address or affectionate reference to one’s father, while «ata» carries a more formal or ancestral sense. Thus, in the semantic field of kinship, «baba» occu</w:t>
      </w:r>
      <w:r>
        <w:rPr>
          <w:sz w:val="28"/>
          <w:szCs w:val="28"/>
        </w:rPr>
        <w:t>pies a unique position at the intersection of family affection, spiritual devotion, and cultural identity. Its continuous usage from the Old Turkic period to modern Turkic societies underscores the durability of paternal imagery as a central organizing met</w:t>
      </w:r>
      <w:r>
        <w:rPr>
          <w:sz w:val="28"/>
          <w:szCs w:val="28"/>
        </w:rPr>
        <w:t>aphor in Turkic thought and language.</w:t>
      </w:r>
    </w:p>
    <w:p w14:paraId="4538C620" w14:textId="77777777" w:rsidR="00F74BAF" w:rsidRDefault="00737583">
      <w:pPr>
        <w:ind w:firstLine="709"/>
        <w:jc w:val="both"/>
        <w:rPr>
          <w:color w:val="000000"/>
          <w:sz w:val="28"/>
          <w:szCs w:val="28"/>
        </w:rPr>
      </w:pPr>
      <w:r>
        <w:rPr>
          <w:color w:val="000000"/>
          <w:sz w:val="28"/>
          <w:szCs w:val="28"/>
        </w:rPr>
        <w:t xml:space="preserve">«Babay» </w:t>
      </w:r>
    </w:p>
    <w:p w14:paraId="2E15847B" w14:textId="77777777" w:rsidR="00F74BAF" w:rsidRDefault="00737583">
      <w:pPr>
        <w:ind w:firstLine="709"/>
        <w:jc w:val="both"/>
        <w:rPr>
          <w:color w:val="000000"/>
          <w:sz w:val="28"/>
          <w:szCs w:val="28"/>
        </w:rPr>
      </w:pPr>
      <w:r>
        <w:rPr>
          <w:color w:val="000000"/>
          <w:sz w:val="28"/>
          <w:szCs w:val="28"/>
        </w:rPr>
        <w:t>Another variant of the aforementioned «baba», denoting 'father.'</w:t>
      </w:r>
    </w:p>
    <w:p w14:paraId="0A8827C5" w14:textId="77777777" w:rsidR="00F74BAF" w:rsidRDefault="00737583">
      <w:pPr>
        <w:ind w:firstLine="709"/>
        <w:jc w:val="both"/>
        <w:rPr>
          <w:sz w:val="28"/>
          <w:szCs w:val="28"/>
        </w:rPr>
      </w:pPr>
      <w:r>
        <w:rPr>
          <w:sz w:val="28"/>
          <w:szCs w:val="28"/>
        </w:rPr>
        <w:t>«Bala»</w:t>
      </w:r>
    </w:p>
    <w:p w14:paraId="246A762D" w14:textId="77777777" w:rsidR="00F74BAF" w:rsidRDefault="00737583">
      <w:pPr>
        <w:ind w:firstLine="709"/>
        <w:jc w:val="both"/>
        <w:rPr>
          <w:sz w:val="28"/>
          <w:szCs w:val="28"/>
        </w:rPr>
      </w:pPr>
      <w:r>
        <w:rPr>
          <w:sz w:val="28"/>
          <w:szCs w:val="28"/>
        </w:rPr>
        <w:t>This is an ancient Turkic word which designates «child». Its etymology points to a metaphorical process of semantic elevation: originally</w:t>
      </w:r>
      <w:r>
        <w:rPr>
          <w:sz w:val="28"/>
          <w:szCs w:val="28"/>
        </w:rPr>
        <w:t>, «bala» meant ‘young bird’ or ‘nestling,’ a meaning which still survives in certain southwestern branches of the Turkic languages [26, 332]. From this zoological sense, the term underwent a gradual extension of meaning—from referring to the young of birds</w:t>
      </w:r>
      <w:r>
        <w:rPr>
          <w:sz w:val="28"/>
          <w:szCs w:val="28"/>
        </w:rPr>
        <w:t xml:space="preserve"> to denoting the offspring of animals more generally, and eventually to human children. This semantic trajectory, from the natural world to the human sphere, reflects the animistic worldview of early Turkic-speaking peoples, in which the continuity between</w:t>
      </w:r>
      <w:r>
        <w:rPr>
          <w:sz w:val="28"/>
          <w:szCs w:val="28"/>
        </w:rPr>
        <w:t xml:space="preserve"> human and animal life was perceived as fluid. The metaphor of a child as a “nestling” conveys tenderness and dependence, reinforcing the symbolic association between nurture and protection that lies at the core of Turkic family values.</w:t>
      </w:r>
    </w:p>
    <w:p w14:paraId="23446C60" w14:textId="77777777" w:rsidR="00F74BAF" w:rsidRDefault="00737583">
      <w:pPr>
        <w:ind w:firstLine="709"/>
        <w:jc w:val="both"/>
        <w:rPr>
          <w:sz w:val="28"/>
          <w:szCs w:val="28"/>
        </w:rPr>
      </w:pPr>
      <w:r>
        <w:rPr>
          <w:sz w:val="28"/>
          <w:szCs w:val="28"/>
        </w:rPr>
        <w:t xml:space="preserve">«Bala» is attested </w:t>
      </w:r>
      <w:r>
        <w:rPr>
          <w:sz w:val="28"/>
          <w:szCs w:val="28"/>
        </w:rPr>
        <w:t>in all modern Turkic languages, where it remains a fundamental term in the lexicon of kinship and social relations. In most languages, it denotes ‘child’ in a general sense, regardless of gender. However, regional variations reveal interesting semantic nua</w:t>
      </w:r>
      <w:r>
        <w:rPr>
          <w:sz w:val="28"/>
          <w:szCs w:val="28"/>
        </w:rPr>
        <w:t>nces. In the Tatar dialect, «bala» also means ‘small’ or ‘little,’ functioning adjectivally to indicate diminutiveness. In Turkmen, it can specifically denote «son», while in Uzbek it carries the meaning of «infant» or «baby». In some Turkish dialects, the</w:t>
      </w:r>
      <w:r>
        <w:rPr>
          <w:sz w:val="28"/>
          <w:szCs w:val="28"/>
        </w:rPr>
        <w:t xml:space="preserve"> word extends metaphorically to ‘brother’ or ‘sister,’ and in the Uyghur dialect it can even mean ‘family’ or ‘household’ [34, p. 47]. This wide semantic range shows the remarkable flexibility of the term and its ability to adapt to various sociolinguistic</w:t>
      </w:r>
      <w:r>
        <w:rPr>
          <w:sz w:val="28"/>
          <w:szCs w:val="28"/>
        </w:rPr>
        <w:t xml:space="preserve"> environments. The emotional tone of «bala» remains consistently affectionate; it implies both biological youth and social endearment, encompassing notions of care, lineage, and moral responsibility.</w:t>
      </w:r>
    </w:p>
    <w:p w14:paraId="12FE520E" w14:textId="77777777" w:rsidR="00F74BAF" w:rsidRDefault="00737583">
      <w:pPr>
        <w:ind w:firstLine="709"/>
        <w:jc w:val="both"/>
        <w:rPr>
          <w:sz w:val="28"/>
          <w:szCs w:val="28"/>
        </w:rPr>
      </w:pPr>
      <w:r>
        <w:rPr>
          <w:sz w:val="28"/>
          <w:szCs w:val="28"/>
        </w:rPr>
        <w:t>«Bala» is largely synonymous with «oġlan», as both desig</w:t>
      </w:r>
      <w:r>
        <w:rPr>
          <w:sz w:val="28"/>
          <w:szCs w:val="28"/>
        </w:rPr>
        <w:t>nate «child» and are grammatically unmarked for gender. Yet, subtle differences exist in their stylistic and semantic usage. While «oġlan» historically derived from «oġul» (‘son’) and therefore retains a slightly masculine connotation, «bala» is more neutr</w:t>
      </w:r>
      <w:r>
        <w:rPr>
          <w:sz w:val="28"/>
          <w:szCs w:val="28"/>
        </w:rPr>
        <w:t>al and inclusive. In literary and colloquial usage, «bala» often expresses tenderness or pity, whereas «oġlan» can convey vigor or youthful energy. The coexistence of both terms illustrates the semantic layering within Turkic kinship vocabulary, where para</w:t>
      </w:r>
      <w:r>
        <w:rPr>
          <w:sz w:val="28"/>
          <w:szCs w:val="28"/>
        </w:rPr>
        <w:t>llel lexemes perform complementary emotional functions.</w:t>
      </w:r>
    </w:p>
    <w:p w14:paraId="419E98E2" w14:textId="77777777" w:rsidR="00F74BAF" w:rsidRDefault="00737583">
      <w:pPr>
        <w:ind w:firstLine="709"/>
        <w:jc w:val="both"/>
        <w:rPr>
          <w:sz w:val="28"/>
          <w:szCs w:val="28"/>
        </w:rPr>
      </w:pPr>
      <w:r>
        <w:rPr>
          <w:sz w:val="28"/>
          <w:szCs w:val="28"/>
        </w:rPr>
        <w:t>In the text of the «Daftar-i Jingiz-nama», «bala» can designate ‘infant’ or ‘very young child.’ For instance, the phrase «qursaġima bala boldï» (4r2) – ‘I have an infant in my belly’ — demonstrates th</w:t>
      </w:r>
      <w:r>
        <w:rPr>
          <w:sz w:val="28"/>
          <w:szCs w:val="28"/>
        </w:rPr>
        <w:t>at «bala» is frequently used in prenatal or early life contexts. Similarly, «ḫātūning qursaġindaġi balanga» (29v9) – ‘to the infant in your wife’s womb’ — reinforces this observation. The recurring collocation of «bala» with «qursaġ» (‘womb, belly’) throug</w:t>
      </w:r>
      <w:r>
        <w:rPr>
          <w:sz w:val="28"/>
          <w:szCs w:val="28"/>
        </w:rPr>
        <w:t>hout the text strongly indicates that, in this context, «bala» refers specifically to an unborn or newly born child. Such examples show the sensitivity of Middle Turkic semantics to life stages: «bala» marks the earliest phase of human development, whereas</w:t>
      </w:r>
      <w:r>
        <w:rPr>
          <w:sz w:val="28"/>
          <w:szCs w:val="28"/>
        </w:rPr>
        <w:t xml:space="preserve"> «oġlan» and «oġul» tend to describe later stages of childhood and adolescence.</w:t>
      </w:r>
    </w:p>
    <w:p w14:paraId="7C5BFFF9" w14:textId="77777777" w:rsidR="00F74BAF" w:rsidRDefault="00737583">
      <w:pPr>
        <w:ind w:firstLine="709"/>
        <w:jc w:val="both"/>
        <w:rPr>
          <w:sz w:val="28"/>
          <w:szCs w:val="28"/>
        </w:rPr>
      </w:pPr>
      <w:r>
        <w:rPr>
          <w:sz w:val="28"/>
          <w:szCs w:val="28"/>
        </w:rPr>
        <w:t>Moreover, the text occasionally juxtaposes «bala» with «oġul», as in «oġul bala», to emphasize the male gender or to specify a male child. Examples include «oġul balamïznï» (9x</w:t>
      </w:r>
      <w:r>
        <w:rPr>
          <w:sz w:val="28"/>
          <w:szCs w:val="28"/>
        </w:rPr>
        <w:t>9) – ‘our son’ – and «oġul balasin» (9r11) – ‘his son.’ This construction demonstrates both the syntactic productivity of Turkic compound formation and the semantic precision achieved through lexical combination. In these collocations, «oġul» provides gend</w:t>
      </w:r>
      <w:r>
        <w:rPr>
          <w:sz w:val="28"/>
          <w:szCs w:val="28"/>
        </w:rPr>
        <w:t>er specification, while «bala» contributes the general meaning of ‘offspring’ or ‘young being.’</w:t>
      </w:r>
    </w:p>
    <w:p w14:paraId="7077E68B" w14:textId="77777777" w:rsidR="00F74BAF" w:rsidRDefault="00737583">
      <w:pPr>
        <w:ind w:firstLine="709"/>
        <w:jc w:val="both"/>
        <w:rPr>
          <w:sz w:val="28"/>
          <w:szCs w:val="28"/>
        </w:rPr>
      </w:pPr>
      <w:r>
        <w:rPr>
          <w:sz w:val="28"/>
          <w:szCs w:val="28"/>
        </w:rPr>
        <w:t>The consistent use of «bala» in the «Daftar-i Jingiz-nama» confirms its status as a key element of the Turkic lexicon of childhood and kinship. Beyond its literal reference, «bala» carries metaphorical and cultural overtones that connect it to notions of i</w:t>
      </w:r>
      <w:r>
        <w:rPr>
          <w:sz w:val="28"/>
          <w:szCs w:val="28"/>
        </w:rPr>
        <w:t>nnocence, continuity, and the cyclical renewal of life. In later Turkic and modern Central Asian usage, phrases such as «el balasi» (‘child of the people’), «ata-bala» (‘father and child’), and «bala-šaγa» (‘children, offspring’) further expand the semanti</w:t>
      </w:r>
      <w:r>
        <w:rPr>
          <w:sz w:val="28"/>
          <w:szCs w:val="28"/>
        </w:rPr>
        <w:t>c field of the word, embedding it in both familial and collective consciousness. Thus, «bala» embodies not merely the idea of youth but also the Turkic conception of moral and biological succession, uniting familial affection with communal belonging.</w:t>
      </w:r>
    </w:p>
    <w:p w14:paraId="42D462B3" w14:textId="77777777" w:rsidR="00F74BAF" w:rsidRDefault="00737583">
      <w:pPr>
        <w:ind w:firstLine="709"/>
        <w:jc w:val="both"/>
        <w:rPr>
          <w:sz w:val="28"/>
          <w:szCs w:val="28"/>
        </w:rPr>
      </w:pPr>
      <w:r>
        <w:rPr>
          <w:sz w:val="28"/>
          <w:szCs w:val="28"/>
        </w:rPr>
        <w:t>«Čeng</w:t>
      </w:r>
      <w:r>
        <w:rPr>
          <w:sz w:val="28"/>
          <w:szCs w:val="28"/>
        </w:rPr>
        <w:t>ä» / «Jengä»</w:t>
      </w:r>
    </w:p>
    <w:p w14:paraId="68DB3EC6" w14:textId="77777777" w:rsidR="00F74BAF" w:rsidRDefault="00737583">
      <w:pPr>
        <w:ind w:firstLine="709"/>
        <w:jc w:val="both"/>
        <w:rPr>
          <w:sz w:val="28"/>
          <w:szCs w:val="28"/>
        </w:rPr>
      </w:pPr>
      <w:r>
        <w:rPr>
          <w:sz w:val="28"/>
          <w:szCs w:val="28"/>
        </w:rPr>
        <w:t xml:space="preserve">This is an ancient Turkic word, originally appearing as «yenge», which denotes ‘the wife of one’s father’s younger brother’ or ‘the wife of one’s own elder brother’ – that is, the junior aunt-in-law or senior sister-in-law within the extended </w:t>
      </w:r>
      <w:r>
        <w:rPr>
          <w:sz w:val="28"/>
          <w:szCs w:val="28"/>
        </w:rPr>
        <w:t xml:space="preserve">family system. The term reflects the fine-grained kinship classification characteristic of traditional Turkic social organization, in which marital relations are linguistically encoded to distinguish seniority and lineage. «Yenge» first appears in the Old </w:t>
      </w:r>
      <w:r>
        <w:rPr>
          <w:sz w:val="28"/>
          <w:szCs w:val="28"/>
        </w:rPr>
        <w:t>Uighur inscriptions and Buddhist manuscripts of the eighth century, for example, in the phrase «öz yengesi Ragagayini» – ‘his own elder brother’s wife Ragagayini’ (U III 83) [26, p. 950]. Its attestation in religious and literary documents of the Old Uighu</w:t>
      </w:r>
      <w:r>
        <w:rPr>
          <w:sz w:val="28"/>
          <w:szCs w:val="28"/>
        </w:rPr>
        <w:t>r period demonstrates that the kinship vocabulary of domestic life was already well integrated into written discourse and that familial relationships held a central place in social identity.</w:t>
      </w:r>
    </w:p>
    <w:p w14:paraId="3E04124A" w14:textId="77777777" w:rsidR="00F74BAF" w:rsidRDefault="00737583">
      <w:pPr>
        <w:ind w:firstLine="709"/>
        <w:jc w:val="both"/>
        <w:rPr>
          <w:sz w:val="28"/>
          <w:szCs w:val="28"/>
        </w:rPr>
      </w:pPr>
      <w:r>
        <w:rPr>
          <w:sz w:val="28"/>
          <w:szCs w:val="28"/>
        </w:rPr>
        <w:t>Phonetically, the term exhibits a variety of forms in later Turki</w:t>
      </w:r>
      <w:r>
        <w:rPr>
          <w:sz w:val="28"/>
          <w:szCs w:val="28"/>
        </w:rPr>
        <w:t>c languages due to consonant shifts affecting the initial y- sound. In several Middle Turkic and Kypchak texts, the initial y was palatalized or affricated, resulting in forms such as «čengä» and «jengä». These correspond to the common phonetic changes y &gt;</w:t>
      </w:r>
      <w:r>
        <w:rPr>
          <w:sz w:val="28"/>
          <w:szCs w:val="28"/>
        </w:rPr>
        <w:t xml:space="preserve"> č and y &gt; j, well-attested in the phonological evolution of many Kypchak dialects. The word is found in all modern Turkic languages with minor variations of pronunciation and meaning. Beyond its literal kinship sense, it acquired extended social meanings </w:t>
      </w:r>
      <w:r>
        <w:rPr>
          <w:sz w:val="28"/>
          <w:szCs w:val="28"/>
        </w:rPr>
        <w:t>in different linguistic communities: for example, «jengä» in Karakalpak denotes a «confidante» or trusted female companion, while in Ottoman Turkish («Oslmanlı»), it came to mean «bridesmaid» [26, p. 950]. Such semantic expansion illustrates the cultural i</w:t>
      </w:r>
      <w:r>
        <w:rPr>
          <w:sz w:val="28"/>
          <w:szCs w:val="28"/>
        </w:rPr>
        <w:t>mportance of the sister-in-law as both a kinship and social role – a mediator between families and a symbol of feminine solidarity.</w:t>
      </w:r>
    </w:p>
    <w:p w14:paraId="3D3E6AFD" w14:textId="77777777" w:rsidR="00F74BAF" w:rsidRDefault="00737583">
      <w:pPr>
        <w:ind w:firstLine="709"/>
        <w:jc w:val="both"/>
        <w:rPr>
          <w:sz w:val="28"/>
          <w:szCs w:val="28"/>
        </w:rPr>
      </w:pPr>
      <w:r>
        <w:rPr>
          <w:sz w:val="28"/>
          <w:szCs w:val="28"/>
        </w:rPr>
        <w:t>In the text of the «Daftar-i Jingiz-nama», the term appears in both forms – «čengä» and «jengä» – reflecting the coexistence</w:t>
      </w:r>
      <w:r>
        <w:rPr>
          <w:sz w:val="28"/>
          <w:szCs w:val="28"/>
        </w:rPr>
        <w:t xml:space="preserve"> of the two phonetic developments within the Kypchak linguistic continuum. The variant «jengä» occurs once in the text, while «čengä» appears three times: «jengämiz» (8r16) – «our sister-in-law»; «čengämiz» (8v3, 9r6, 9v4) – also meaning «our sister-in-law</w:t>
      </w:r>
      <w:r>
        <w:rPr>
          <w:sz w:val="28"/>
          <w:szCs w:val="28"/>
        </w:rPr>
        <w:t>». These examples show that both forms were functionally equivalent and interchangeable, with only phonetic variation distinguishing them. The term’s presence in plural or possessive forms such as «čengämiz» reveals its integration into the morphological s</w:t>
      </w:r>
      <w:r>
        <w:rPr>
          <w:sz w:val="28"/>
          <w:szCs w:val="28"/>
        </w:rPr>
        <w:t xml:space="preserve">ystem of Turkic personal relationships, emphasizing its active use in everyday and literary discourse. The persistence of «čengä» / «jengä» into modern Kypchak languages such as Kazakh, Kyrgyz, and Tatar further confirms its vitality as part of the Turkic </w:t>
      </w:r>
      <w:r>
        <w:rPr>
          <w:sz w:val="28"/>
          <w:szCs w:val="28"/>
        </w:rPr>
        <w:t>kinship lexicon, embodying a relational concept that combines familial hierarchy, marital alliance, and social respect.</w:t>
      </w:r>
    </w:p>
    <w:p w14:paraId="1E9B380A" w14:textId="77777777" w:rsidR="00F74BAF" w:rsidRDefault="00737583">
      <w:pPr>
        <w:ind w:firstLine="709"/>
        <w:jc w:val="both"/>
        <w:rPr>
          <w:sz w:val="28"/>
          <w:szCs w:val="28"/>
        </w:rPr>
      </w:pPr>
      <w:r>
        <w:rPr>
          <w:sz w:val="28"/>
          <w:szCs w:val="28"/>
        </w:rPr>
        <w:t>«Čeyän» / «Jeyän»</w:t>
      </w:r>
    </w:p>
    <w:p w14:paraId="43C1A017" w14:textId="77777777" w:rsidR="00F74BAF" w:rsidRDefault="00737583">
      <w:pPr>
        <w:ind w:firstLine="709"/>
        <w:jc w:val="both"/>
        <w:rPr>
          <w:sz w:val="28"/>
          <w:szCs w:val="28"/>
        </w:rPr>
      </w:pPr>
      <w:r>
        <w:rPr>
          <w:sz w:val="28"/>
          <w:szCs w:val="28"/>
        </w:rPr>
        <w:t xml:space="preserve">This is an ancient Turkic word which originally denoted «the son of a younger sister or daughter» – that is, a nephew </w:t>
      </w:r>
      <w:r>
        <w:rPr>
          <w:sz w:val="28"/>
          <w:szCs w:val="28"/>
        </w:rPr>
        <w:t>through the female line. The term occupies a distinct place in the Turkic kinship system, as it encodes relationships across gendered lineage boundaries. It first appears in the Old Turkic Orkhon inscriptions, for example in the phrase «šir irkin, oġlï, yi</w:t>
      </w:r>
      <w:r>
        <w:rPr>
          <w:sz w:val="28"/>
          <w:szCs w:val="28"/>
        </w:rPr>
        <w:t>gän čor keldi» – ‘the son and nephew Chor came’ (Küli Čor inscription). Here, «yigän» clearly signifies a sister’s son, showing that even in the eighth century, Turkic kinship terminology already distinguished between maternal and paternal nephews. Another</w:t>
      </w:r>
      <w:r>
        <w:rPr>
          <w:sz w:val="28"/>
          <w:szCs w:val="28"/>
        </w:rPr>
        <w:t xml:space="preserve"> related term found in the Orkhon corpus is «iniyigün», as in «ulayu iniyigünim oġlanïm» – ‘firstly my brothers and sons’ [31, p. 116]. Some scholars interpret «yigün» in this phrase as a plural suffix, while others argue that it represents an alternative </w:t>
      </w:r>
      <w:r>
        <w:rPr>
          <w:sz w:val="28"/>
          <w:szCs w:val="28"/>
        </w:rPr>
        <w:t>or archaic form of «yigän» [31, p. 138]. The coexistence of these forms illustrates the morphological fluidity of early Turkic kinship expressions and the gradual emergence of consistent suffixal patterns in Middle Turkic.</w:t>
      </w:r>
    </w:p>
    <w:p w14:paraId="76275EA1" w14:textId="77777777" w:rsidR="00F74BAF" w:rsidRDefault="00737583">
      <w:pPr>
        <w:ind w:firstLine="709"/>
        <w:jc w:val="both"/>
        <w:rPr>
          <w:sz w:val="28"/>
          <w:szCs w:val="28"/>
        </w:rPr>
      </w:pPr>
      <w:r>
        <w:rPr>
          <w:sz w:val="28"/>
          <w:szCs w:val="28"/>
        </w:rPr>
        <w:t>Over time, «yigän» evolved phonol</w:t>
      </w:r>
      <w:r>
        <w:rPr>
          <w:sz w:val="28"/>
          <w:szCs w:val="28"/>
        </w:rPr>
        <w:t>ogically into «jiyen» in modern Kazakh and other Kypchak languages as a result of regular sound change (y &gt; j). In modern usage, «jiyen» refers specifically to ‘the daughter’s son’ or more generally to a nephew or niece from the maternal line. Within Kazak</w:t>
      </w:r>
      <w:r>
        <w:rPr>
          <w:sz w:val="28"/>
          <w:szCs w:val="28"/>
        </w:rPr>
        <w:t>h kinship culture, the wife’s family refers to the children born of their married daughter as «jiyen». The social importance of this term lies in the affectionate and privileged position traditionally held by the «jiyen» in Central Asian societies: the mat</w:t>
      </w:r>
      <w:r>
        <w:rPr>
          <w:sz w:val="28"/>
          <w:szCs w:val="28"/>
        </w:rPr>
        <w:t>ernal nephew often enjoyed special favor and symbolic rights in his mother’s natal family. Moreover, the derivative phrase «jiyen küyew» denotes «a form of address for a man used by the senior members of his wife’s family» [35, p. 146]. This expression hig</w:t>
      </w:r>
      <w:r>
        <w:rPr>
          <w:sz w:val="28"/>
          <w:szCs w:val="28"/>
        </w:rPr>
        <w:t>hlights the relational reciprocity embedded in Turkic kinship terminology, where affinal (by-marriage) ties are linguistically formalized as extensions of biological kinship.</w:t>
      </w:r>
    </w:p>
    <w:p w14:paraId="5F66433E" w14:textId="77777777" w:rsidR="00F74BAF" w:rsidRDefault="00737583">
      <w:pPr>
        <w:ind w:firstLine="709"/>
        <w:jc w:val="both"/>
        <w:rPr>
          <w:sz w:val="28"/>
          <w:szCs w:val="28"/>
        </w:rPr>
      </w:pPr>
      <w:r>
        <w:rPr>
          <w:sz w:val="28"/>
          <w:szCs w:val="28"/>
        </w:rPr>
        <w:t>In the «Daftar-i Jingiz-nama», the term appears in two variant forms – «čeyän» an</w:t>
      </w:r>
      <w:r>
        <w:rPr>
          <w:sz w:val="28"/>
          <w:szCs w:val="28"/>
        </w:rPr>
        <w:t>d «jeyän» – reflecting the same phonetic shifts (y &gt; č, y &gt; j) observed in «yenge». Both mean «relative from the wife’s side» [28, p. 140], showing a semantic broadening from ‘sister’s son’ to a more general category of affinal kin. «Čeyän» and «jeyän» eac</w:t>
      </w:r>
      <w:r>
        <w:rPr>
          <w:sz w:val="28"/>
          <w:szCs w:val="28"/>
        </w:rPr>
        <w:t xml:space="preserve">h occur once in the text: «ḫānlarga čeyän oġul erdi» (30r14) – ‘he is a child from the khan’s wife’s side’; and «ḫānlarga jeyän oġul turur» (44v6) – ‘he is a child from the khan’s wife’s side.’ In both instances, the words function adjectivally, modifying </w:t>
      </w:r>
      <w:r>
        <w:rPr>
          <w:sz w:val="28"/>
          <w:szCs w:val="28"/>
        </w:rPr>
        <w:t>«oġul» (‘child, son’), which demonstrates their grammatical integration into the syntactic structure of the language. These examples confirm that by the period of the «Daftar-i Jingiz-nama», the Turkic kinship system had already extended its terminology to</w:t>
      </w:r>
      <w:r>
        <w:rPr>
          <w:sz w:val="28"/>
          <w:szCs w:val="28"/>
        </w:rPr>
        <w:t xml:space="preserve"> encompass the complex web of relations established through marriage, thus reflecting both the linguistic creativity and social flexibility of Kypchak culture.</w:t>
      </w:r>
    </w:p>
    <w:p w14:paraId="712E8BFE" w14:textId="77777777" w:rsidR="00F74BAF" w:rsidRDefault="00737583">
      <w:pPr>
        <w:ind w:firstLine="709"/>
        <w:jc w:val="both"/>
        <w:rPr>
          <w:sz w:val="28"/>
          <w:szCs w:val="28"/>
        </w:rPr>
      </w:pPr>
      <w:r>
        <w:rPr>
          <w:sz w:val="28"/>
          <w:szCs w:val="28"/>
        </w:rPr>
        <w:t>The parallel development of «čeyän» / «jeyän» and «čengä» / «jengä» offers an instructive exampl</w:t>
      </w:r>
      <w:r>
        <w:rPr>
          <w:sz w:val="28"/>
          <w:szCs w:val="28"/>
        </w:rPr>
        <w:t>e of phonological and semantic evolution in Middle Turkic. Both sets of terms exhibit similar consonantal transformations, and both reflect the centrality of marital and maternal kinship in the symbolic economy of the steppe world. These words not only ide</w:t>
      </w:r>
      <w:r>
        <w:rPr>
          <w:sz w:val="28"/>
          <w:szCs w:val="28"/>
        </w:rPr>
        <w:t>ntify familial roles but also encode patterns of respect, alliance, and reciprocity that structured Turkic social life from the earliest historical period onward.</w:t>
      </w:r>
    </w:p>
    <w:p w14:paraId="21BD93C0" w14:textId="77777777" w:rsidR="00F74BAF" w:rsidRDefault="00737583">
      <w:pPr>
        <w:pBdr>
          <w:top w:val="nil"/>
          <w:left w:val="nil"/>
          <w:bottom w:val="nil"/>
          <w:right w:val="nil"/>
          <w:between w:val="nil"/>
        </w:pBdr>
        <w:ind w:firstLine="709"/>
        <w:jc w:val="both"/>
        <w:rPr>
          <w:sz w:val="28"/>
          <w:szCs w:val="28"/>
        </w:rPr>
      </w:pPr>
      <w:r>
        <w:rPr>
          <w:sz w:val="28"/>
          <w:szCs w:val="28"/>
        </w:rPr>
        <w:t xml:space="preserve">«Qarïndas» </w:t>
      </w:r>
    </w:p>
    <w:p w14:paraId="00D9E5A0" w14:textId="77777777" w:rsidR="00F74BAF" w:rsidRDefault="00737583">
      <w:pPr>
        <w:pBdr>
          <w:top w:val="nil"/>
          <w:left w:val="nil"/>
          <w:bottom w:val="nil"/>
          <w:right w:val="nil"/>
          <w:between w:val="nil"/>
        </w:pBdr>
        <w:ind w:firstLine="709"/>
        <w:jc w:val="both"/>
        <w:rPr>
          <w:color w:val="000000"/>
          <w:sz w:val="28"/>
          <w:szCs w:val="28"/>
        </w:rPr>
      </w:pPr>
      <w:r>
        <w:rPr>
          <w:sz w:val="28"/>
          <w:szCs w:val="28"/>
        </w:rPr>
        <w:t xml:space="preserve">This is an ancient Turkic word, which was «qarïndaš», and it is a derivative of </w:t>
      </w:r>
      <w:r>
        <w:rPr>
          <w:sz w:val="28"/>
          <w:szCs w:val="28"/>
        </w:rPr>
        <w:t>«qarïn» 'belly', originally meaning 'associated in the womb,' which then denotes 'brother' (or sister, usually as «qïz qarïndas») [9, p. 309]. The word was first seen in the Old Uighur inscriptions, e.g. «oġul ka</w:t>
      </w:r>
      <w:r>
        <w:rPr>
          <w:color w:val="000000"/>
          <w:sz w:val="28"/>
          <w:szCs w:val="28"/>
        </w:rPr>
        <w:t>rdaš yegečim» 'my son, brother, and sister-i</w:t>
      </w:r>
      <w:r>
        <w:rPr>
          <w:color w:val="000000"/>
          <w:sz w:val="28"/>
          <w:szCs w:val="28"/>
        </w:rPr>
        <w:t>n-law' [39, р. 662]. «Qarïndaš» is preserved in all modern Turkic languages, and its alternative forms have «qarïndas», «kardeš», «gardaš». In modern Kazakh, «qarïndas» is polysemous. However, the meaning of 'brothers' has been archaic, and 'the name elder</w:t>
      </w:r>
      <w:r>
        <w:rPr>
          <w:color w:val="000000"/>
          <w:sz w:val="28"/>
          <w:szCs w:val="28"/>
        </w:rPr>
        <w:t xml:space="preserve"> brother refers to his younger sister [</w:t>
      </w:r>
      <w:r>
        <w:rPr>
          <w:sz w:val="28"/>
          <w:szCs w:val="28"/>
        </w:rPr>
        <w:t>27</w:t>
      </w:r>
      <w:r>
        <w:rPr>
          <w:color w:val="000000"/>
          <w:sz w:val="28"/>
          <w:szCs w:val="28"/>
        </w:rPr>
        <w:t xml:space="preserve">, p. 49]. </w:t>
      </w:r>
    </w:p>
    <w:p w14:paraId="424AD96E"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In the the </w:t>
      </w:r>
      <w:r>
        <w:rPr>
          <w:sz w:val="28"/>
          <w:szCs w:val="28"/>
        </w:rPr>
        <w:t>«Daftar-i Jingiz-nama»</w:t>
      </w:r>
      <w:r>
        <w:rPr>
          <w:color w:val="000000"/>
          <w:sz w:val="28"/>
          <w:szCs w:val="28"/>
        </w:rPr>
        <w:t>, «qarïndas» denotes both 'brother' and 'sister,' the denotation is resemble '</w:t>
      </w:r>
      <w:r>
        <w:rPr>
          <w:sz w:val="28"/>
          <w:szCs w:val="28"/>
        </w:rPr>
        <w:t>sibling</w:t>
      </w:r>
      <w:r>
        <w:rPr>
          <w:color w:val="000000"/>
          <w:sz w:val="28"/>
          <w:szCs w:val="28"/>
        </w:rPr>
        <w:t>,' e.g., «tamäm ogling qizi</w:t>
      </w:r>
      <w:r>
        <w:rPr>
          <w:sz w:val="28"/>
          <w:szCs w:val="28"/>
        </w:rPr>
        <w:t>ŋ</w:t>
      </w:r>
      <w:r>
        <w:rPr>
          <w:color w:val="000000"/>
          <w:sz w:val="28"/>
          <w:szCs w:val="28"/>
        </w:rPr>
        <w:t xml:space="preserve"> qarïndaslarni</w:t>
      </w:r>
      <w:r>
        <w:rPr>
          <w:sz w:val="28"/>
          <w:szCs w:val="28"/>
        </w:rPr>
        <w:t>ŋ</w:t>
      </w:r>
      <w:r>
        <w:rPr>
          <w:color w:val="000000"/>
          <w:sz w:val="28"/>
          <w:szCs w:val="28"/>
        </w:rPr>
        <w:t xml:space="preserve"> birlä» 39x1 'with your all sons, daughters</w:t>
      </w:r>
      <w:r>
        <w:rPr>
          <w:color w:val="000000"/>
          <w:sz w:val="28"/>
          <w:szCs w:val="28"/>
        </w:rPr>
        <w:t xml:space="preserve"> and siblings.' There is also the abbreviated form of «qarïndas», which is «qardas». When it is modified by «qïz», the phrase denotes 'sister,' e.g. «qïz qarïndas» 20x\2, 20v6 'the sister.'</w:t>
      </w:r>
    </w:p>
    <w:p w14:paraId="4C84348B" w14:textId="77777777" w:rsidR="00F74BAF" w:rsidRDefault="00737583">
      <w:pPr>
        <w:pBdr>
          <w:top w:val="nil"/>
          <w:left w:val="nil"/>
          <w:bottom w:val="nil"/>
          <w:right w:val="nil"/>
          <w:between w:val="nil"/>
        </w:pBdr>
        <w:ind w:firstLine="709"/>
        <w:jc w:val="both"/>
        <w:rPr>
          <w:sz w:val="28"/>
          <w:szCs w:val="28"/>
        </w:rPr>
      </w:pPr>
      <w:r>
        <w:rPr>
          <w:b/>
          <w:bCs/>
          <w:color w:val="000000"/>
          <w:sz w:val="28"/>
          <w:szCs w:val="28"/>
        </w:rPr>
        <w:t>«</w:t>
      </w:r>
      <w:r>
        <w:rPr>
          <w:color w:val="000000"/>
          <w:sz w:val="28"/>
          <w:szCs w:val="28"/>
        </w:rPr>
        <w:t xml:space="preserve">Qayïn» </w:t>
      </w:r>
    </w:p>
    <w:p w14:paraId="06E086CD" w14:textId="77777777" w:rsidR="00F74BAF" w:rsidRDefault="00737583">
      <w:pPr>
        <w:pBdr>
          <w:top w:val="nil"/>
          <w:left w:val="nil"/>
          <w:bottom w:val="nil"/>
          <w:right w:val="nil"/>
          <w:between w:val="nil"/>
        </w:pBdr>
        <w:ind w:firstLine="709"/>
        <w:jc w:val="both"/>
        <w:rPr>
          <w:sz w:val="28"/>
          <w:szCs w:val="28"/>
        </w:rPr>
      </w:pPr>
      <w:r>
        <w:rPr>
          <w:sz w:val="28"/>
          <w:szCs w:val="28"/>
        </w:rPr>
        <w:t>This is an ancient Turkic word, and its original form was</w:t>
      </w:r>
      <w:r>
        <w:rPr>
          <w:sz w:val="28"/>
          <w:szCs w:val="28"/>
        </w:rPr>
        <w:t xml:space="preserve"> «qadïn». It denotes ‘related by marriage,’ that is, a person connected through marital alliance rather than direct blood descent. The word’s fundamental meaning of ‘affinal relationship’ is preserved across nearly all modern Turkic languages, where it ser</w:t>
      </w:r>
      <w:r>
        <w:rPr>
          <w:sz w:val="28"/>
          <w:szCs w:val="28"/>
        </w:rPr>
        <w:t>ves as a key term in the semantic field of marriage and kinship. The earliest attestations of «qadïn» occur in the Old Uighur inscriptions and Buddhist texts, for example in the expressions «öz qadïnï yerige tegdi» — ‘he reached the country of his own fath</w:t>
      </w:r>
      <w:r>
        <w:rPr>
          <w:sz w:val="28"/>
          <w:szCs w:val="28"/>
        </w:rPr>
        <w:t>er-in-law,’ and «qadïnï xan» — ‘his father-in-law, the king’ [26, 602]. These examples reveal that the concept of affinal connection, expressed through «qadïn», was already formalized in written language during the Uighur period. The context of both exampl</w:t>
      </w:r>
      <w:r>
        <w:rPr>
          <w:sz w:val="28"/>
          <w:szCs w:val="28"/>
        </w:rPr>
        <w:t>es shows the term functioning in reference to relationships created by marriage alliances, particularly those linking prominent families or political houses, suggesting that the semantics of «qadïn» extended from the domestic sphere into the diplomatic and</w:t>
      </w:r>
      <w:r>
        <w:rPr>
          <w:sz w:val="28"/>
          <w:szCs w:val="28"/>
        </w:rPr>
        <w:t xml:space="preserve"> social domains of early Turkic life.</w:t>
      </w:r>
    </w:p>
    <w:p w14:paraId="6EA012D4" w14:textId="77777777" w:rsidR="00F74BAF" w:rsidRDefault="00737583">
      <w:pPr>
        <w:pBdr>
          <w:top w:val="nil"/>
          <w:left w:val="nil"/>
          <w:bottom w:val="nil"/>
          <w:right w:val="nil"/>
          <w:between w:val="nil"/>
        </w:pBdr>
        <w:ind w:firstLine="709"/>
        <w:jc w:val="both"/>
        <w:rPr>
          <w:sz w:val="28"/>
          <w:szCs w:val="28"/>
        </w:rPr>
      </w:pPr>
      <w:r>
        <w:rPr>
          <w:sz w:val="28"/>
          <w:szCs w:val="28"/>
        </w:rPr>
        <w:t>In the Hakanian Turkic of the eleventh century, «qadïn» is attested and defined in Mahmud al-Kashgari’s «Dīwān Lughāt at-Turk». Kashgari glosses it as ‘relation by marriage’ and notes an important dialectal feature: in</w:t>
      </w:r>
      <w:r>
        <w:rPr>
          <w:sz w:val="28"/>
          <w:szCs w:val="28"/>
        </w:rPr>
        <w:t xml:space="preserve"> the Kypchak language, the word appears in the variant form «qazïn». This phonetic variation likely reflects the voicing of d &gt; z, a change characteristic of early Kypchak sound development. Kashgari also records an idiom that provides a rare glimpse into </w:t>
      </w:r>
      <w:r>
        <w:rPr>
          <w:sz w:val="28"/>
          <w:szCs w:val="28"/>
        </w:rPr>
        <w:t>Turkic moral instruction and social etiquette: «qadaš temiš qaymaduq, qadïn temiš qaymiš» — ‘they said ‘kinsman (brother)’ and he paid them no heed; they said ‘brother-in-law’ and he paid them heed’. Kashgari comments that this proverb was coined as advice</w:t>
      </w:r>
      <w:r>
        <w:rPr>
          <w:sz w:val="28"/>
          <w:szCs w:val="28"/>
        </w:rPr>
        <w:t xml:space="preserve"> to bridegrooms, reminding them to respect their in-laws. The idiom illustrates that in Turkic social ethics, the obligations of affinal relationships—those formed through marriage—were considered as binding and worthy of honor as blood kinship itself. It </w:t>
      </w:r>
      <w:r>
        <w:rPr>
          <w:sz w:val="28"/>
          <w:szCs w:val="28"/>
        </w:rPr>
        <w:t>also highlights the pragmatic hierarchy of kin relations: while the ties of brotherhood are inherited, those of marriage must be consciously maintained through respect and reciprocity.</w:t>
      </w:r>
    </w:p>
    <w:p w14:paraId="0DFF3D3D" w14:textId="77777777" w:rsidR="00F74BAF" w:rsidRDefault="00737583">
      <w:pPr>
        <w:pBdr>
          <w:top w:val="nil"/>
          <w:left w:val="nil"/>
          <w:bottom w:val="nil"/>
          <w:right w:val="nil"/>
          <w:between w:val="nil"/>
        </w:pBdr>
        <w:ind w:firstLine="709"/>
        <w:jc w:val="both"/>
        <w:rPr>
          <w:sz w:val="28"/>
          <w:szCs w:val="28"/>
        </w:rPr>
      </w:pPr>
      <w:r>
        <w:rPr>
          <w:sz w:val="28"/>
          <w:szCs w:val="28"/>
        </w:rPr>
        <w:t>In modern Turkic languages, the root «qadïn» and its phonetic descendan</w:t>
      </w:r>
      <w:r>
        <w:rPr>
          <w:sz w:val="28"/>
          <w:szCs w:val="28"/>
        </w:rPr>
        <w:t>ts have retained their original semantic range, encompassing various relationships established through marriage. The term appears in numerous compounds specifying particular relatives, such as «qayïn ini» — ‘younger brother-in-law’; «qayïn ata» — ‘father-i</w:t>
      </w:r>
      <w:r>
        <w:rPr>
          <w:sz w:val="28"/>
          <w:szCs w:val="28"/>
        </w:rPr>
        <w:t>n-law’; and «qayïn apa» — ‘mother-in-law.’ These derivatives share the same morphological root qayïn / qadïn, which encodes the idea of connection through the bride or the groom’s family. In modern Kazakh and Kyrgyz, for instance, the term «qayïn» has beco</w:t>
      </w:r>
      <w:r>
        <w:rPr>
          <w:sz w:val="28"/>
          <w:szCs w:val="28"/>
        </w:rPr>
        <w:t>me a productive morpheme denoting in-laws, reflecting both linguistic continuity and the importance of marital alliances in steppe society. The persistence of this root across time and dialects reveals the centrality of affinal ties in Turkic social struct</w:t>
      </w:r>
      <w:r>
        <w:rPr>
          <w:sz w:val="28"/>
          <w:szCs w:val="28"/>
        </w:rPr>
        <w:t>ure, where marriage functioned not only as a personal union but also as a political and clan-based contract ensuring cooperation, peace, and exchange between extended families.</w:t>
      </w:r>
    </w:p>
    <w:p w14:paraId="13DD0822" w14:textId="77777777" w:rsidR="00F74BAF" w:rsidRDefault="00737583">
      <w:pPr>
        <w:pBdr>
          <w:top w:val="nil"/>
          <w:left w:val="nil"/>
          <w:bottom w:val="nil"/>
          <w:right w:val="nil"/>
          <w:between w:val="nil"/>
        </w:pBdr>
        <w:ind w:firstLine="709"/>
        <w:jc w:val="both"/>
        <w:rPr>
          <w:sz w:val="28"/>
          <w:szCs w:val="28"/>
        </w:rPr>
      </w:pPr>
      <w:r>
        <w:rPr>
          <w:sz w:val="28"/>
          <w:szCs w:val="28"/>
        </w:rPr>
        <w:t>Semantically, «qadïn» occupies an intermediate position in the Turkic kinship s</w:t>
      </w:r>
      <w:r>
        <w:rPr>
          <w:sz w:val="28"/>
          <w:szCs w:val="28"/>
        </w:rPr>
        <w:t xml:space="preserve">ystem – linking consanguineal (blood) and social (political) relationships. Its lexical field encompasses emotional respect, moral obligation, and intergenerational hierarchy. The term’s survival through a millennium of linguistic change demonstrates both </w:t>
      </w:r>
      <w:r>
        <w:rPr>
          <w:sz w:val="28"/>
          <w:szCs w:val="28"/>
        </w:rPr>
        <w:t>its conceptual importance and its adaptability to shifting cultural contexts. While the phonetic shape of the word evolved—«qadïn» &gt; «qazïn» &gt; «qayïn»—its meaning remained remarkably stable, consistently referring to those connected by marriage. The evolut</w:t>
      </w:r>
      <w:r>
        <w:rPr>
          <w:sz w:val="28"/>
          <w:szCs w:val="28"/>
        </w:rPr>
        <w:t>ion of the idiom «qadïn temiš qaymiš» from the eleventh century to modern speech further attests to its enduring moral and pedagogical function in Turkic societies, where family relationships continue to be framed in terms of loyalty, gratitude, and balanc</w:t>
      </w:r>
      <w:r>
        <w:rPr>
          <w:sz w:val="28"/>
          <w:szCs w:val="28"/>
        </w:rPr>
        <w:t>e between inherited and chosen bonds.</w:t>
      </w:r>
    </w:p>
    <w:p w14:paraId="218DB1F5" w14:textId="77777777" w:rsidR="00F74BAF" w:rsidRDefault="00737583">
      <w:pPr>
        <w:pBdr>
          <w:top w:val="nil"/>
          <w:left w:val="nil"/>
          <w:bottom w:val="nil"/>
          <w:right w:val="nil"/>
          <w:between w:val="nil"/>
        </w:pBdr>
        <w:ind w:firstLine="709"/>
        <w:jc w:val="both"/>
        <w:rPr>
          <w:sz w:val="28"/>
          <w:szCs w:val="28"/>
        </w:rPr>
      </w:pPr>
      <w:r>
        <w:rPr>
          <w:sz w:val="28"/>
          <w:szCs w:val="28"/>
        </w:rPr>
        <w:t>In the «Daftar-i Jingiz-nama», although occurrences are sparse, the conceptual field to which «qadïn» belongs is richly represented through related kinship expressions involving affinal connection, such as «čengä», «je</w:t>
      </w:r>
      <w:r>
        <w:rPr>
          <w:sz w:val="28"/>
          <w:szCs w:val="28"/>
        </w:rPr>
        <w:t>yän», and other relational terms. Together, they form an interconnected lexical network that reflects the multilayered structure of Turkic kinship: not merely a biological system but a sociolinguistic map of alliances, hierarchies, and mutual duties mainta</w:t>
      </w:r>
      <w:r>
        <w:rPr>
          <w:sz w:val="28"/>
          <w:szCs w:val="28"/>
        </w:rPr>
        <w:t>ined through the language of respect.</w:t>
      </w:r>
    </w:p>
    <w:p w14:paraId="53F0C0EB" w14:textId="77777777" w:rsidR="00F74BAF" w:rsidRDefault="00737583">
      <w:pPr>
        <w:pBdr>
          <w:top w:val="nil"/>
          <w:left w:val="nil"/>
          <w:bottom w:val="nil"/>
          <w:right w:val="nil"/>
          <w:between w:val="nil"/>
        </w:pBdr>
        <w:ind w:firstLine="709"/>
        <w:jc w:val="both"/>
        <w:rPr>
          <w:sz w:val="28"/>
          <w:szCs w:val="28"/>
        </w:rPr>
      </w:pPr>
      <w:r>
        <w:rPr>
          <w:sz w:val="28"/>
          <w:szCs w:val="28"/>
        </w:rPr>
        <w:t>«Qïz»</w:t>
      </w:r>
    </w:p>
    <w:p w14:paraId="5625EB0F" w14:textId="77777777" w:rsidR="00F74BAF" w:rsidRDefault="00737583">
      <w:pPr>
        <w:pBdr>
          <w:top w:val="nil"/>
          <w:left w:val="nil"/>
          <w:bottom w:val="nil"/>
          <w:right w:val="nil"/>
          <w:between w:val="nil"/>
        </w:pBdr>
        <w:ind w:firstLine="709"/>
        <w:jc w:val="both"/>
        <w:rPr>
          <w:sz w:val="28"/>
          <w:szCs w:val="28"/>
        </w:rPr>
      </w:pPr>
      <w:r>
        <w:rPr>
          <w:sz w:val="28"/>
          <w:szCs w:val="28"/>
        </w:rPr>
        <w:t>This is an ancient Turkic word, one of the oldest and most stable in the entire Turkic lexicon. It originally denotes ‘girl’ or ‘unmarried woman,’ but from the earliest records it has been used in a wider range o</w:t>
      </w:r>
      <w:r>
        <w:rPr>
          <w:sz w:val="28"/>
          <w:szCs w:val="28"/>
        </w:rPr>
        <w:t xml:space="preserve">f meanings, including ‘daughter,’ ‘maiden,’ and ‘slave girl.’ The term «qïz» appears with remarkable semantic continuity across all historical periods and remains in use in every modern Turkic language. Its presence in the earliest inscriptions attests to </w:t>
      </w:r>
      <w:r>
        <w:rPr>
          <w:sz w:val="28"/>
          <w:szCs w:val="28"/>
        </w:rPr>
        <w:t>its fundamental role in the linguistic expression of gender, lineage, and social status.</w:t>
      </w:r>
    </w:p>
    <w:p w14:paraId="07B789AD" w14:textId="77777777" w:rsidR="00F74BAF" w:rsidRDefault="00737583">
      <w:pPr>
        <w:pBdr>
          <w:top w:val="nil"/>
          <w:left w:val="nil"/>
          <w:bottom w:val="nil"/>
          <w:right w:val="nil"/>
          <w:between w:val="nil"/>
        </w:pBdr>
        <w:ind w:firstLine="709"/>
        <w:jc w:val="both"/>
        <w:rPr>
          <w:sz w:val="28"/>
          <w:szCs w:val="28"/>
        </w:rPr>
      </w:pPr>
      <w:r>
        <w:rPr>
          <w:sz w:val="28"/>
          <w:szCs w:val="28"/>
        </w:rPr>
        <w:t>The word is first attested in the Old Turkic Orkhon inscriptions, where it appears in the phrase «sarïġ altun, örüng kümüš, qïz quduz, ägri täbä, aġï buŋsuz kälürti» —</w:t>
      </w:r>
      <w:r>
        <w:rPr>
          <w:sz w:val="28"/>
          <w:szCs w:val="28"/>
        </w:rPr>
        <w:t xml:space="preserve"> ‘They took back gold, silver, girls, camels, and jewels’ [31, 105]. Here, «qïz» occurs in a plural form, referring to young women among the spoils of war. The inclusion of «qïz» alongside valuable goods like gold and silver reveals both the material and s</w:t>
      </w:r>
      <w:r>
        <w:rPr>
          <w:sz w:val="28"/>
          <w:szCs w:val="28"/>
        </w:rPr>
        <w:t>ymbolic value attributed to women in early steppe societies: they were regarded as vital components of household wealth, alliance-building, and lineage continuity. This pragmatic and sometimes transactional aspect of kinship language underscores how gender</w:t>
      </w:r>
      <w:r>
        <w:rPr>
          <w:sz w:val="28"/>
          <w:szCs w:val="28"/>
        </w:rPr>
        <w:t>ed terms in Turkic not only reflected personal relationships but also codified social hierarchy and property relations.</w:t>
      </w:r>
    </w:p>
    <w:p w14:paraId="2729628E" w14:textId="77777777" w:rsidR="00F74BAF" w:rsidRDefault="00737583">
      <w:pPr>
        <w:pBdr>
          <w:top w:val="nil"/>
          <w:left w:val="nil"/>
          <w:bottom w:val="nil"/>
          <w:right w:val="nil"/>
          <w:between w:val="nil"/>
        </w:pBdr>
        <w:ind w:firstLine="709"/>
        <w:jc w:val="both"/>
        <w:rPr>
          <w:sz w:val="28"/>
          <w:szCs w:val="28"/>
        </w:rPr>
      </w:pPr>
      <w:r>
        <w:rPr>
          <w:sz w:val="28"/>
          <w:szCs w:val="28"/>
        </w:rPr>
        <w:t xml:space="preserve">In the «Dīwān Lughāt at-Turk», Mahmud al-Kashgari defines «qïz» as ‘dear; girl; daughter; virgin; concubine’ and remarks that ‘its root </w:t>
      </w:r>
      <w:r>
        <w:rPr>
          <w:sz w:val="28"/>
          <w:szCs w:val="28"/>
        </w:rPr>
        <w:t>meaning is ‘virgin’; the others are by extension from that’ [27, 49]. This philological observation is invaluable: it identifies the primary semantic core – female purity or unmarried status – from which later connotations radiate. Thus, the semantic netwo</w:t>
      </w:r>
      <w:r>
        <w:rPr>
          <w:sz w:val="28"/>
          <w:szCs w:val="28"/>
        </w:rPr>
        <w:t xml:space="preserve">rk of «qïz» encapsulates a continuum from innocence and affection (‘dear,’ ‘virgin’) to social function (‘daughter’) and legal status (‘concubine’). The word’s versatility allowed it to move fluidly between emotional, familial, and juridical registers. It </w:t>
      </w:r>
      <w:r>
        <w:rPr>
          <w:sz w:val="28"/>
          <w:szCs w:val="28"/>
        </w:rPr>
        <w:t>illustrates a hallmark of Turkic semantics: the capacity of a single root to bridge physical, moral, and social domains through nuanced contextual usage.</w:t>
      </w:r>
    </w:p>
    <w:p w14:paraId="79B6979B" w14:textId="77777777" w:rsidR="00F74BAF" w:rsidRDefault="00737583">
      <w:pPr>
        <w:pBdr>
          <w:top w:val="nil"/>
          <w:left w:val="nil"/>
          <w:bottom w:val="nil"/>
          <w:right w:val="nil"/>
          <w:between w:val="nil"/>
        </w:pBdr>
        <w:ind w:firstLine="709"/>
        <w:jc w:val="both"/>
        <w:rPr>
          <w:sz w:val="28"/>
          <w:szCs w:val="28"/>
        </w:rPr>
      </w:pPr>
      <w:r>
        <w:rPr>
          <w:sz w:val="28"/>
          <w:szCs w:val="28"/>
        </w:rPr>
        <w:t>In modern Turkic languages, «qïz» has retained its essential meanings but acquired new pragmatic layer</w:t>
      </w:r>
      <w:r>
        <w:rPr>
          <w:sz w:val="28"/>
          <w:szCs w:val="28"/>
        </w:rPr>
        <w:t>s. In Kazakh, it is polysemous, denoting  ‘female, girl’;  ‘unmarried woman’; and ‘girlfriend.’ The modern semantic range is both broader and more affectionate, reflecting cultural continuity but also the influence of urban and romantic registers in modern</w:t>
      </w:r>
      <w:r>
        <w:rPr>
          <w:sz w:val="28"/>
          <w:szCs w:val="28"/>
        </w:rPr>
        <w:t xml:space="preserve"> speech. The term remains a cultural index of purity, respectability, and youth, appearing in expressions such as «qïz bala» (‘young girl’) or «qïz balaning arï» (‘the girl’s honor’). Furthermore, compounds such as «qïz bala» and «qïz oġlan» (as seen in th</w:t>
      </w:r>
      <w:r>
        <w:rPr>
          <w:sz w:val="28"/>
          <w:szCs w:val="28"/>
        </w:rPr>
        <w:t>e «Daftar-i Jingiz-nama») indicate grammatical and semantic flexibility, marking gender without implying social inferiority.</w:t>
      </w:r>
    </w:p>
    <w:p w14:paraId="6CE31416" w14:textId="77777777" w:rsidR="00F74BAF" w:rsidRDefault="00737583">
      <w:pPr>
        <w:pBdr>
          <w:top w:val="nil"/>
          <w:left w:val="nil"/>
          <w:bottom w:val="nil"/>
          <w:right w:val="nil"/>
          <w:between w:val="nil"/>
        </w:pBdr>
        <w:ind w:firstLine="708"/>
        <w:jc w:val="both"/>
        <w:rPr>
          <w:sz w:val="28"/>
          <w:szCs w:val="28"/>
        </w:rPr>
      </w:pPr>
      <w:r>
        <w:rPr>
          <w:sz w:val="28"/>
          <w:szCs w:val="28"/>
        </w:rPr>
        <w:t>In the text of the «Daftar-i Jingiz-nama», «qïz» appears with multiple meanings— ‘girl,’ ‘daughter,’ and ‘virgin.’ Its polysemous n</w:t>
      </w:r>
      <w:r>
        <w:rPr>
          <w:sz w:val="28"/>
          <w:szCs w:val="28"/>
        </w:rPr>
        <w:t>ature aligns with its historical usage: «qïz» functions both as a biological category and a social designation. This consistent yet context-sensitive use demonstrates how the Turkic linguistic worldview encoded female identity as both individual and relati</w:t>
      </w:r>
      <w:r>
        <w:rPr>
          <w:sz w:val="28"/>
          <w:szCs w:val="28"/>
        </w:rPr>
        <w:t xml:space="preserve">onal. The persistence of «qïz» from the Orkhon inscriptions through the medieval and modern Turkic periods confirms its status as a lexical constant, embodying the linguistic and cultural continuity of the Turkic-speaking world. </w:t>
      </w:r>
    </w:p>
    <w:p w14:paraId="5E8676B8" w14:textId="77777777" w:rsidR="00F74BAF" w:rsidRDefault="00737583">
      <w:pPr>
        <w:pBdr>
          <w:top w:val="nil"/>
          <w:left w:val="nil"/>
          <w:bottom w:val="nil"/>
          <w:right w:val="nil"/>
          <w:between w:val="nil"/>
        </w:pBdr>
        <w:ind w:firstLine="709"/>
        <w:jc w:val="both"/>
        <w:rPr>
          <w:sz w:val="28"/>
          <w:szCs w:val="28"/>
        </w:rPr>
      </w:pPr>
      <w:r>
        <w:rPr>
          <w:sz w:val="28"/>
          <w:szCs w:val="28"/>
        </w:rPr>
        <w:t>«Naġači»</w:t>
      </w:r>
    </w:p>
    <w:p w14:paraId="67854BE1" w14:textId="77777777" w:rsidR="00F74BAF" w:rsidRDefault="00737583">
      <w:pPr>
        <w:pBdr>
          <w:top w:val="nil"/>
          <w:left w:val="nil"/>
          <w:bottom w:val="nil"/>
          <w:right w:val="nil"/>
          <w:between w:val="nil"/>
        </w:pBdr>
        <w:ind w:firstLine="709"/>
        <w:jc w:val="both"/>
        <w:rPr>
          <w:sz w:val="28"/>
          <w:szCs w:val="28"/>
        </w:rPr>
      </w:pPr>
      <w:r>
        <w:rPr>
          <w:sz w:val="28"/>
          <w:szCs w:val="28"/>
        </w:rPr>
        <w:t>This is a Mongoli</w:t>
      </w:r>
      <w:r>
        <w:rPr>
          <w:sz w:val="28"/>
          <w:szCs w:val="28"/>
        </w:rPr>
        <w:t>c loanword adopted into Turkic, denoting ‘relative on the mother’s side.’ The term entered the Turkic lexicon during the period of intensive Mongol-Turkic contact, most likely between the twelfth and thirteenth centuries, though its conceptual base predate</w:t>
      </w:r>
      <w:r>
        <w:rPr>
          <w:sz w:val="28"/>
          <w:szCs w:val="28"/>
        </w:rPr>
        <w:t>s this era. In its original Mongolic form, the word referred to maternal uncles and their extended kin, marking a key category of the matrilateral line within the kinship system. The adoption of «naġači» into Turkic illustrates not only linguistic borrowin</w:t>
      </w:r>
      <w:r>
        <w:rPr>
          <w:sz w:val="28"/>
          <w:szCs w:val="28"/>
        </w:rPr>
        <w:t>g but also the shared social importance of maternal relations in both cultures.</w:t>
      </w:r>
    </w:p>
    <w:p w14:paraId="7FBCEB2C" w14:textId="77777777" w:rsidR="00F74BAF" w:rsidRDefault="00737583">
      <w:pPr>
        <w:pBdr>
          <w:top w:val="nil"/>
          <w:left w:val="nil"/>
          <w:bottom w:val="nil"/>
          <w:right w:val="nil"/>
          <w:between w:val="nil"/>
        </w:pBdr>
        <w:ind w:firstLine="709"/>
        <w:jc w:val="both"/>
        <w:rPr>
          <w:sz w:val="28"/>
          <w:szCs w:val="28"/>
        </w:rPr>
      </w:pPr>
      <w:r>
        <w:rPr>
          <w:sz w:val="28"/>
          <w:szCs w:val="28"/>
        </w:rPr>
        <w:t>In the Turkic context, «naġači» filled a semantic niche that complemented existing indigenous kinship vocabulary. While Turkic already possessed precise terminology for paterna</w:t>
      </w:r>
      <w:r>
        <w:rPr>
          <w:sz w:val="28"/>
          <w:szCs w:val="28"/>
        </w:rPr>
        <w:t>l relatives, the Mongolic loan enriched the expressive resources for maternal kinship, highlighting the prestige and authority of the mother’s family. In many Turkic-speaking societies, maternal uncles («naġači aġa») enjoyed a position of affection and inf</w:t>
      </w:r>
      <w:r>
        <w:rPr>
          <w:sz w:val="28"/>
          <w:szCs w:val="28"/>
        </w:rPr>
        <w:t>luence: they were protectors of the sister’s children and intermediaries between families. The borrowing of «naġači» thus reflects more than linguistic contact; it signifies a conceptual convergence between steppe societies in valuing maternal descent as a</w:t>
      </w:r>
      <w:r>
        <w:rPr>
          <w:sz w:val="28"/>
          <w:szCs w:val="28"/>
        </w:rPr>
        <w:t xml:space="preserve"> stabilizing and honorific bond [36, p. 247]. </w:t>
      </w:r>
    </w:p>
    <w:p w14:paraId="0D970188" w14:textId="77777777" w:rsidR="00F74BAF" w:rsidRDefault="00737583">
      <w:pPr>
        <w:pBdr>
          <w:top w:val="nil"/>
          <w:left w:val="nil"/>
          <w:bottom w:val="nil"/>
          <w:right w:val="nil"/>
          <w:between w:val="nil"/>
        </w:pBdr>
        <w:ind w:firstLine="709"/>
        <w:jc w:val="both"/>
        <w:rPr>
          <w:sz w:val="28"/>
          <w:szCs w:val="28"/>
        </w:rPr>
      </w:pPr>
      <w:r>
        <w:rPr>
          <w:sz w:val="28"/>
          <w:szCs w:val="28"/>
        </w:rPr>
        <w:t xml:space="preserve">The integration of «naġači» into Turkic morphology was seamless. The word could take Turkic possessive and plural suffixes (e.g., «naġačïm» — ‘my maternal relative,’ «naġačïlar» — ‘maternal relatives’), </w:t>
      </w:r>
      <w:r>
        <w:rPr>
          <w:sz w:val="28"/>
          <w:szCs w:val="28"/>
        </w:rPr>
        <w:t xml:space="preserve">demonstrating its full assimilation into the grammatical system. In the text of the «Daftar-i Jingiz-nama», «naġači» appears in expressions such as «naġači babalarï» (2v10) — ‘the maternal ancestors.’ Here, the term modifies «baba» (‘forefather’), forming </w:t>
      </w:r>
      <w:r>
        <w:rPr>
          <w:sz w:val="28"/>
          <w:szCs w:val="28"/>
        </w:rPr>
        <w:t>a compound phrase that unites Mongolic and Turkic elements, symbolically bridging two kinship traditions. The collocation indicates that the maternal line was linguistically and conceptually recognized alongside the paternal one, even within the patriarcha</w:t>
      </w:r>
      <w:r>
        <w:rPr>
          <w:sz w:val="28"/>
          <w:szCs w:val="28"/>
        </w:rPr>
        <w:t>l structure of Kypchak society.</w:t>
      </w:r>
    </w:p>
    <w:p w14:paraId="75226C56" w14:textId="77777777" w:rsidR="00F74BAF" w:rsidRDefault="00737583">
      <w:pPr>
        <w:pBdr>
          <w:top w:val="nil"/>
          <w:left w:val="nil"/>
          <w:bottom w:val="nil"/>
          <w:right w:val="nil"/>
          <w:between w:val="nil"/>
        </w:pBdr>
        <w:ind w:firstLine="709"/>
        <w:jc w:val="both"/>
        <w:rPr>
          <w:sz w:val="28"/>
          <w:szCs w:val="28"/>
        </w:rPr>
      </w:pPr>
      <w:r>
        <w:rPr>
          <w:sz w:val="28"/>
          <w:szCs w:val="28"/>
        </w:rPr>
        <w:t>The semantic field of «naġači» also extends into metaphorical domains. In certain Turkic languages, it can be used to refer to maternal allies, family friends, or even tribes related through marriage – reflecting the expansi</w:t>
      </w:r>
      <w:r>
        <w:rPr>
          <w:sz w:val="28"/>
          <w:szCs w:val="28"/>
        </w:rPr>
        <w:t>on of the kinship metaphor into broader social networks. The endurance of «naġači» in modern Turkic languages such as Kazakh, Kyrgyz, and Uzbek demonstrates its successful adaptation and the deep interconnection between Turkic and Mongolic kinship concepts</w:t>
      </w:r>
      <w:r>
        <w:rPr>
          <w:sz w:val="28"/>
          <w:szCs w:val="28"/>
        </w:rPr>
        <w:t>. The coexistence of native Turkic terms for paternal lineage («ata», «aġa», «ini») with borrowed Mongolic words for maternal relations («naġači», «jeyän») highlights the dual structure of steppe kinship thought: one axis defined by descent, the other by a</w:t>
      </w:r>
      <w:r>
        <w:rPr>
          <w:sz w:val="28"/>
          <w:szCs w:val="28"/>
        </w:rPr>
        <w:t>lliance and affection.</w:t>
      </w:r>
    </w:p>
    <w:p w14:paraId="44A30658" w14:textId="77777777" w:rsidR="00F74BAF" w:rsidRDefault="00737583">
      <w:pPr>
        <w:pBdr>
          <w:top w:val="nil"/>
          <w:left w:val="nil"/>
          <w:bottom w:val="nil"/>
          <w:right w:val="nil"/>
          <w:between w:val="nil"/>
        </w:pBdr>
        <w:ind w:firstLine="709"/>
        <w:jc w:val="both"/>
        <w:rPr>
          <w:sz w:val="28"/>
          <w:szCs w:val="28"/>
        </w:rPr>
      </w:pPr>
      <w:r>
        <w:rPr>
          <w:sz w:val="28"/>
          <w:szCs w:val="28"/>
        </w:rPr>
        <w:t>Thus, «naġači» represents not merely a lexical borrowing but an instance of semantic symbiosis between the Turkic and Mongolic worlds. It carries with it both the linguistic imprint of historical contact and the enduring cultural rec</w:t>
      </w:r>
      <w:r>
        <w:rPr>
          <w:sz w:val="28"/>
          <w:szCs w:val="28"/>
        </w:rPr>
        <w:t>ognition of the maternal line as a vital component of social cohesion and emotional life in steppe civilization.</w:t>
      </w:r>
    </w:p>
    <w:p w14:paraId="3D373569" w14:textId="77777777" w:rsidR="00F74BAF" w:rsidRDefault="00737583">
      <w:pPr>
        <w:pBdr>
          <w:top w:val="nil"/>
          <w:left w:val="nil"/>
          <w:bottom w:val="nil"/>
          <w:right w:val="nil"/>
          <w:between w:val="nil"/>
        </w:pBdr>
        <w:ind w:firstLine="709"/>
        <w:jc w:val="both"/>
        <w:rPr>
          <w:sz w:val="28"/>
          <w:szCs w:val="28"/>
        </w:rPr>
      </w:pPr>
      <w:r>
        <w:rPr>
          <w:sz w:val="28"/>
          <w:szCs w:val="28"/>
        </w:rPr>
        <w:t>Semantic Interpretation</w:t>
      </w:r>
    </w:p>
    <w:p w14:paraId="0A08D603" w14:textId="77777777" w:rsidR="00F74BAF" w:rsidRDefault="00737583">
      <w:pPr>
        <w:pBdr>
          <w:top w:val="nil"/>
          <w:left w:val="nil"/>
          <w:bottom w:val="nil"/>
          <w:right w:val="nil"/>
          <w:between w:val="nil"/>
        </w:pBdr>
        <w:ind w:firstLine="709"/>
        <w:jc w:val="both"/>
        <w:rPr>
          <w:sz w:val="28"/>
          <w:szCs w:val="28"/>
        </w:rPr>
      </w:pPr>
      <w:r>
        <w:rPr>
          <w:sz w:val="28"/>
          <w:szCs w:val="28"/>
        </w:rPr>
        <w:t>A person’s kinship structure is composed of two fundamental components: blood relations and relations by marriage. With</w:t>
      </w:r>
      <w:r>
        <w:rPr>
          <w:sz w:val="28"/>
          <w:szCs w:val="28"/>
        </w:rPr>
        <w:t>in the blood line, there exist both direct and collateral relatives—those descending from the same lineage but through different branches. Through successive generations, every kinship link potentially gives rise to new relations, both consanguineal and af</w:t>
      </w:r>
      <w:r>
        <w:rPr>
          <w:sz w:val="28"/>
          <w:szCs w:val="28"/>
        </w:rPr>
        <w:t>final. The complexity of these interrelations reflects not only biological descent but also the moral, legal, and symbolic dimensions of family life. Different ethnic groups, shaped by distinct historical trajectories, social institutions, and customary la</w:t>
      </w:r>
      <w:r>
        <w:rPr>
          <w:sz w:val="28"/>
          <w:szCs w:val="28"/>
        </w:rPr>
        <w:t>w, have developed unique ways of categorizing kin relations. These differences in social structure and worldview are embedded in language: they appear in the lexical differentiation, metaphorical extension, and hierarchical organization of kinship terms ac</w:t>
      </w:r>
      <w:r>
        <w:rPr>
          <w:sz w:val="28"/>
          <w:szCs w:val="28"/>
        </w:rPr>
        <w:t>ross cultures. Thus, kinship terminology is not a mere linguistic system of labels, but a semantic mirror of social cognition.</w:t>
      </w:r>
    </w:p>
    <w:p w14:paraId="1006F4E7" w14:textId="77777777" w:rsidR="00F74BAF" w:rsidRDefault="00737583">
      <w:pPr>
        <w:pBdr>
          <w:top w:val="nil"/>
          <w:left w:val="nil"/>
          <w:bottom w:val="nil"/>
          <w:right w:val="nil"/>
          <w:between w:val="nil"/>
        </w:pBdr>
        <w:ind w:firstLine="709"/>
        <w:jc w:val="both"/>
        <w:rPr>
          <w:sz w:val="28"/>
          <w:szCs w:val="28"/>
        </w:rPr>
      </w:pPr>
      <w:r>
        <w:rPr>
          <w:sz w:val="28"/>
          <w:szCs w:val="28"/>
        </w:rPr>
        <w:t>As outlined in the previous section, words do not exist in isolation but belong to systems of meaning that interrelate within wha</w:t>
      </w:r>
      <w:r>
        <w:rPr>
          <w:sz w:val="28"/>
          <w:szCs w:val="28"/>
        </w:rPr>
        <w:t xml:space="preserve">t is known as a semantic field. A semantic field is a structured set of lexemes connected by meaning relationships—such as synonymy, antonymy, inclusion, or opposition—that together form a coherent conceptual domain. The kinship semantic field, therefore, </w:t>
      </w:r>
      <w:r>
        <w:rPr>
          <w:sz w:val="28"/>
          <w:szCs w:val="28"/>
        </w:rPr>
        <w:t>is the network of terms expressing familial and relational concepts, where each element acquires its meaning through contrast and association with others. Within this field, words are mutually restrictive yet complementary, forming paradigmatic (substituti</w:t>
      </w:r>
      <w:r>
        <w:rPr>
          <w:sz w:val="28"/>
          <w:szCs w:val="28"/>
        </w:rPr>
        <w:t>ve) and syntagmatic (combinatory) relations. The paradigmatic relations define hierarchies and oppositions—such as «ata» / «ana», «aġa» / «ini», or «qïz» / «oġul»—while syntagmatic relations reflect contextual co-occurrence, such as in collocations «oġul q</w:t>
      </w:r>
      <w:r>
        <w:rPr>
          <w:sz w:val="28"/>
          <w:szCs w:val="28"/>
        </w:rPr>
        <w:t>ïz» (‘children’) or «ata ana» (‘parents’). These linguistic patterns correspond to underlying social hierarchies and reciprocal obligations, demonstrating how the Turkic language system encodes both biological and cultural models of kinship.</w:t>
      </w:r>
    </w:p>
    <w:p w14:paraId="75EE0427" w14:textId="77777777" w:rsidR="00F74BAF" w:rsidRDefault="00737583">
      <w:pPr>
        <w:pBdr>
          <w:top w:val="nil"/>
          <w:left w:val="nil"/>
          <w:bottom w:val="nil"/>
          <w:right w:val="nil"/>
          <w:between w:val="nil"/>
        </w:pBdr>
        <w:ind w:firstLine="709"/>
        <w:jc w:val="both"/>
        <w:rPr>
          <w:sz w:val="28"/>
          <w:szCs w:val="28"/>
        </w:rPr>
      </w:pPr>
      <w:r>
        <w:rPr>
          <w:sz w:val="28"/>
          <w:szCs w:val="28"/>
        </w:rPr>
        <w:t>The kinship vo</w:t>
      </w:r>
      <w:r>
        <w:rPr>
          <w:sz w:val="28"/>
          <w:szCs w:val="28"/>
        </w:rPr>
        <w:t>cabulary of Middle Kypchak, as evidenced in the «Daftar-i Jingiz-nama», reveals a highly developed semantic organization that reflects social realities between the fourteenth and seventeenth centuries. Each lexical item not only denotes a family member but</w:t>
      </w:r>
      <w:r>
        <w:rPr>
          <w:sz w:val="28"/>
          <w:szCs w:val="28"/>
        </w:rPr>
        <w:t xml:space="preserve"> also implies rank, gender, generation, and moral expectation. For instance, the contrast between «aġa» (‘elder brother’) and «ini» (‘younger brother’) encodes both genealogical and ethical relationships, emphasizing seniority and deference. Similarly, ter</w:t>
      </w:r>
      <w:r>
        <w:rPr>
          <w:sz w:val="28"/>
          <w:szCs w:val="28"/>
        </w:rPr>
        <w:t>ms such as «čengä» (‘sister-in-law’) and «čeyän» (‘relative from the wife’s side’) illustrate how marital alliances extend kinship networks beyond blood lines. Through the analysis of these relationships, we can reconstruct the semantic map of kinship in M</w:t>
      </w:r>
      <w:r>
        <w:rPr>
          <w:sz w:val="28"/>
          <w:szCs w:val="28"/>
        </w:rPr>
        <w:t>iddle Kypchak, which in turn provides insight into the social hierarchy, family values, and inter-clan alliances of the Turkic-speaking steppe world.</w:t>
      </w:r>
    </w:p>
    <w:p w14:paraId="47223BE3" w14:textId="77777777" w:rsidR="00F74BAF" w:rsidRDefault="00737583">
      <w:pPr>
        <w:pBdr>
          <w:top w:val="nil"/>
          <w:left w:val="nil"/>
          <w:bottom w:val="nil"/>
          <w:right w:val="nil"/>
          <w:between w:val="nil"/>
        </w:pBdr>
        <w:ind w:firstLine="709"/>
        <w:jc w:val="both"/>
        <w:rPr>
          <w:sz w:val="28"/>
          <w:szCs w:val="28"/>
        </w:rPr>
      </w:pPr>
      <w:r>
        <w:rPr>
          <w:sz w:val="28"/>
          <w:szCs w:val="28"/>
        </w:rPr>
        <w:t xml:space="preserve">The kinship semantic field can be divided along several axes. By gender, it bifurcates into male and </w:t>
      </w:r>
      <w:r>
        <w:rPr>
          <w:sz w:val="28"/>
          <w:szCs w:val="28"/>
        </w:rPr>
        <w:t>female subfields, where lexical differentiation mirrors cultural notions of patriarchy, inheritance, and maternal reverence. By relation type, it divides into three primary domains: the paternal field (centered on «ata» and his lineage), the maternal field</w:t>
      </w:r>
      <w:r>
        <w:rPr>
          <w:sz w:val="28"/>
          <w:szCs w:val="28"/>
        </w:rPr>
        <w:t xml:space="preserve"> (centered on «ana» and her kin, including «naġači»), and the affinal field, generated through in-laws («qayïn», «čengä», «jeyän»). By generation, it stratifies into senior and junior relatives, a distinction central to Turkic social etiquette. Within this</w:t>
      </w:r>
      <w:r>
        <w:rPr>
          <w:sz w:val="28"/>
          <w:szCs w:val="28"/>
        </w:rPr>
        <w:t xml:space="preserve"> structure, every kinship term is semantically positioned in relation to others, forming an integrated system that reflects both linguistic logic and cultural worldview.</w:t>
      </w:r>
    </w:p>
    <w:p w14:paraId="076046B7" w14:textId="77777777" w:rsidR="00F74BAF" w:rsidRDefault="00737583">
      <w:pPr>
        <w:pBdr>
          <w:top w:val="nil"/>
          <w:left w:val="nil"/>
          <w:bottom w:val="nil"/>
          <w:right w:val="nil"/>
          <w:between w:val="nil"/>
        </w:pBdr>
        <w:ind w:firstLine="709"/>
        <w:jc w:val="both"/>
        <w:rPr>
          <w:sz w:val="28"/>
          <w:szCs w:val="28"/>
        </w:rPr>
      </w:pPr>
      <w:r>
        <w:rPr>
          <w:sz w:val="28"/>
          <w:szCs w:val="28"/>
        </w:rPr>
        <w:t>The figure below (figure 7) illustrates this model, presenting a schematic classificat</w:t>
      </w:r>
      <w:r>
        <w:rPr>
          <w:sz w:val="28"/>
          <w:szCs w:val="28"/>
        </w:rPr>
        <w:t>ion of the kinship semantic field of Middle Kypchak as reconstructed from the «Daftar-i Jingiz-nama». The diagram visualizes how kinship terms cluster around generational and gendered poles, revealing the interplay between linguistic structure and social o</w:t>
      </w:r>
      <w:r>
        <w:rPr>
          <w:sz w:val="28"/>
          <w:szCs w:val="28"/>
        </w:rPr>
        <w:t>rder. In this way, the kinship vocabulary serves as a linguistic record of the moral and institutional architecture of Kypchak society, providing valuable insight into how the people of that era conceptualized family, hierarchy, and community.</w:t>
      </w:r>
    </w:p>
    <w:p w14:paraId="13858664" w14:textId="77777777" w:rsidR="00F74BAF" w:rsidRDefault="00F74BAF">
      <w:pPr>
        <w:pBdr>
          <w:top w:val="nil"/>
          <w:left w:val="nil"/>
          <w:bottom w:val="nil"/>
          <w:right w:val="nil"/>
          <w:between w:val="nil"/>
        </w:pBdr>
        <w:jc w:val="center"/>
        <w:rPr>
          <w:sz w:val="28"/>
          <w:szCs w:val="28"/>
        </w:rPr>
      </w:pPr>
    </w:p>
    <w:p w14:paraId="04816EBE" w14:textId="77777777" w:rsidR="00F74BAF" w:rsidRDefault="00F74BAF">
      <w:pPr>
        <w:pBdr>
          <w:top w:val="nil"/>
          <w:left w:val="nil"/>
          <w:bottom w:val="nil"/>
          <w:right w:val="nil"/>
          <w:between w:val="nil"/>
        </w:pBdr>
        <w:jc w:val="center"/>
        <w:rPr>
          <w:sz w:val="28"/>
          <w:szCs w:val="28"/>
        </w:rPr>
      </w:pPr>
    </w:p>
    <w:p w14:paraId="74821C47" w14:textId="77777777" w:rsidR="00F74BAF" w:rsidRDefault="00737583">
      <w:pPr>
        <w:pBdr>
          <w:top w:val="nil"/>
          <w:left w:val="nil"/>
          <w:bottom w:val="nil"/>
          <w:right w:val="nil"/>
          <w:between w:val="nil"/>
        </w:pBdr>
        <w:ind w:firstLine="720"/>
        <w:jc w:val="both"/>
        <w:rPr>
          <w:sz w:val="28"/>
          <w:szCs w:val="28"/>
        </w:rPr>
      </w:pPr>
      <w:r>
        <w:rPr>
          <w:noProof/>
          <w:lang w:val="ru-RU" w:eastAsia="ru-RU"/>
        </w:rPr>
        <w:drawing>
          <wp:anchor distT="152400" distB="152400" distL="152400" distR="152400" simplePos="0" relativeHeight="251667456" behindDoc="0" locked="0" layoutInCell="1" hidden="0" allowOverlap="1" wp14:anchorId="47B25072" wp14:editId="1EC4EE79">
            <wp:simplePos x="0" y="0"/>
            <wp:positionH relativeFrom="column">
              <wp:posOffset>200025</wp:posOffset>
            </wp:positionH>
            <wp:positionV relativeFrom="paragraph">
              <wp:posOffset>152400</wp:posOffset>
            </wp:positionV>
            <wp:extent cx="5411470" cy="2592070"/>
            <wp:effectExtent l="0" t="0" r="0" b="0"/>
            <wp:wrapSquare wrapText="bothSides" distT="152400" distB="152400" distL="152400" distR="152400"/>
            <wp:docPr id="1073741900" name="image5.png" descr="Image"/>
            <wp:cNvGraphicFramePr/>
            <a:graphic xmlns:a="http://schemas.openxmlformats.org/drawingml/2006/main">
              <a:graphicData uri="http://schemas.openxmlformats.org/drawingml/2006/picture">
                <pic:pic xmlns:pic="http://schemas.openxmlformats.org/drawingml/2006/picture">
                  <pic:nvPicPr>
                    <pic:cNvPr id="0" name="image5.png" descr="Image"/>
                    <pic:cNvPicPr preferRelativeResize="0"/>
                  </pic:nvPicPr>
                  <pic:blipFill>
                    <a:blip r:embed="rId17"/>
                    <a:srcRect t="7649"/>
                    <a:stretch>
                      <a:fillRect/>
                    </a:stretch>
                  </pic:blipFill>
                  <pic:spPr>
                    <a:xfrm>
                      <a:off x="0" y="0"/>
                      <a:ext cx="5411470" cy="2592070"/>
                    </a:xfrm>
                    <a:prstGeom prst="rect">
                      <a:avLst/>
                    </a:prstGeom>
                    <a:ln/>
                  </pic:spPr>
                </pic:pic>
              </a:graphicData>
            </a:graphic>
          </wp:anchor>
        </w:drawing>
      </w:r>
    </w:p>
    <w:p w14:paraId="3E83C4E8" w14:textId="77777777" w:rsidR="00F74BAF" w:rsidRDefault="00737583">
      <w:pPr>
        <w:jc w:val="center"/>
        <w:rPr>
          <w:i/>
          <w:iCs/>
          <w:sz w:val="28"/>
          <w:szCs w:val="28"/>
        </w:rPr>
      </w:pPr>
      <w:r>
        <w:rPr>
          <w:sz w:val="28"/>
          <w:szCs w:val="28"/>
        </w:rPr>
        <w:t xml:space="preserve">Figure 7.  Kinship Terms: </w:t>
      </w:r>
      <w:r>
        <w:rPr>
          <w:i/>
          <w:iCs/>
          <w:sz w:val="28"/>
          <w:szCs w:val="28"/>
        </w:rPr>
        <w:t>Yeerbole Munai</w:t>
      </w:r>
    </w:p>
    <w:p w14:paraId="6025CE86" w14:textId="77777777" w:rsidR="00F74BAF" w:rsidRDefault="00F74BAF">
      <w:pPr>
        <w:pBdr>
          <w:top w:val="nil"/>
          <w:left w:val="nil"/>
          <w:bottom w:val="nil"/>
          <w:right w:val="nil"/>
          <w:between w:val="nil"/>
        </w:pBdr>
        <w:ind w:firstLine="720"/>
        <w:jc w:val="both"/>
        <w:rPr>
          <w:sz w:val="28"/>
          <w:szCs w:val="28"/>
        </w:rPr>
      </w:pPr>
    </w:p>
    <w:p w14:paraId="2570C725" w14:textId="77777777" w:rsidR="00F74BAF" w:rsidRDefault="00737583">
      <w:pPr>
        <w:pBdr>
          <w:top w:val="nil"/>
          <w:left w:val="nil"/>
          <w:bottom w:val="nil"/>
          <w:right w:val="nil"/>
          <w:between w:val="nil"/>
        </w:pBdr>
        <w:ind w:firstLine="720"/>
        <w:jc w:val="both"/>
        <w:rPr>
          <w:sz w:val="28"/>
          <w:szCs w:val="28"/>
        </w:rPr>
      </w:pPr>
      <w:r>
        <w:rPr>
          <w:sz w:val="28"/>
          <w:szCs w:val="28"/>
        </w:rPr>
        <w:t>In general, the kinship terminology of the Turkic languages distinguishes between three principal domains: the paternal line, the maternal line, and the affinal (in-law) line. Within this tripartite structure, Turk</w:t>
      </w:r>
      <w:r>
        <w:rPr>
          <w:sz w:val="28"/>
          <w:szCs w:val="28"/>
        </w:rPr>
        <w:t>ic kinship terms emphasize the distinctions of age, gender, generation, and degree of closeness, while maintaining remarkable semantic precision. Most kinship identities have fixed lexical forms, and each title marks a specific relational role within the f</w:t>
      </w:r>
      <w:r>
        <w:rPr>
          <w:sz w:val="28"/>
          <w:szCs w:val="28"/>
        </w:rPr>
        <w:t>amily hierarchy. This precision reflects the highly systematized nature of familial relations in Turkic societies, where language not only names kinship but also codifies social ethics, hierarchy, and respect.</w:t>
      </w:r>
    </w:p>
    <w:p w14:paraId="72948F76" w14:textId="77777777" w:rsidR="00F74BAF" w:rsidRDefault="00737583">
      <w:pPr>
        <w:pBdr>
          <w:top w:val="nil"/>
          <w:left w:val="nil"/>
          <w:bottom w:val="nil"/>
          <w:right w:val="nil"/>
          <w:between w:val="nil"/>
        </w:pBdr>
        <w:ind w:firstLine="720"/>
        <w:jc w:val="both"/>
        <w:rPr>
          <w:sz w:val="28"/>
          <w:szCs w:val="28"/>
        </w:rPr>
      </w:pPr>
      <w:r>
        <w:rPr>
          <w:sz w:val="28"/>
          <w:szCs w:val="28"/>
        </w:rPr>
        <w:t xml:space="preserve">From the earliest stage of written Turkic, as </w:t>
      </w:r>
      <w:r>
        <w:rPr>
          <w:sz w:val="28"/>
          <w:szCs w:val="28"/>
        </w:rPr>
        <w:t>attested in the Orkhon-Yenisei inscriptions, we observe a well-developed lexicon of kinship. The core terms include: «qaŋ» – ‘father’, «ög» – ‘mother’, «eči» – ‘elder brother / paternal uncle’, and «eke» — ‘elder sister / paternal aunt’. These inscriptions</w:t>
      </w:r>
      <w:r>
        <w:rPr>
          <w:sz w:val="28"/>
          <w:szCs w:val="28"/>
        </w:rPr>
        <w:t xml:space="preserve"> provide valuable linguistic evidence for how early Turkic people conceived of kinship: not only as biological descent but as a structure of authority, obligation, and affection. In the Yenisei inscriptions, in addition to these basic terms, we also find «</w:t>
      </w:r>
      <w:r>
        <w:rPr>
          <w:sz w:val="28"/>
          <w:szCs w:val="28"/>
        </w:rPr>
        <w:t>ata» – ‘father’, «ana» – ‘mother’, «ača» – ‘brother’, and «egič» – ‘sister’. These parallel usages show the coexistence of archaic and innovative vocabulary, suggesting regional variation or diachronic layering within Old Turkic itself.</w:t>
      </w:r>
    </w:p>
    <w:p w14:paraId="48508479" w14:textId="77777777" w:rsidR="00F74BAF" w:rsidRDefault="00737583">
      <w:pPr>
        <w:pBdr>
          <w:top w:val="nil"/>
          <w:left w:val="nil"/>
          <w:bottom w:val="nil"/>
          <w:right w:val="nil"/>
          <w:between w:val="nil"/>
        </w:pBdr>
        <w:ind w:firstLine="720"/>
        <w:jc w:val="both"/>
        <w:rPr>
          <w:sz w:val="28"/>
          <w:szCs w:val="28"/>
        </w:rPr>
      </w:pPr>
      <w:r>
        <w:rPr>
          <w:sz w:val="28"/>
          <w:szCs w:val="28"/>
        </w:rPr>
        <w:t>Interestingly, both</w:t>
      </w:r>
      <w:r>
        <w:rPr>
          <w:sz w:val="28"/>
          <w:szCs w:val="28"/>
        </w:rPr>
        <w:t xml:space="preserve"> ancient and modern Turkic languages show overlapping semantic ranges between male and female senior relatives. For example, «eči» and «aqa» may both denote not only an ‘elder brother’ but also an ‘uncle’, while «eke», «apke», and «apa» can mean either ‘el</w:t>
      </w:r>
      <w:r>
        <w:rPr>
          <w:sz w:val="28"/>
          <w:szCs w:val="28"/>
        </w:rPr>
        <w:t>der sister’ or ‘aunt’. In other words, Turkic kinship semantics often generalize age-based seniority beyond strict lineage, producing lexical pairs that denote “older male relatives” and “older female relatives” more broadly. This structural feature reveal</w:t>
      </w:r>
      <w:r>
        <w:rPr>
          <w:sz w:val="28"/>
          <w:szCs w:val="28"/>
        </w:rPr>
        <w:t>s the flexibility of Turkic kinship vocabulary and its sensitivity to social rather than purely biological categories of relatedness.</w:t>
      </w:r>
    </w:p>
    <w:p w14:paraId="53F6F14B" w14:textId="77777777" w:rsidR="00F74BAF" w:rsidRDefault="00737583">
      <w:pPr>
        <w:pBdr>
          <w:top w:val="nil"/>
          <w:left w:val="nil"/>
          <w:bottom w:val="nil"/>
          <w:right w:val="nil"/>
          <w:between w:val="nil"/>
        </w:pBdr>
        <w:ind w:firstLine="720"/>
        <w:jc w:val="both"/>
        <w:rPr>
          <w:sz w:val="28"/>
          <w:szCs w:val="28"/>
        </w:rPr>
      </w:pPr>
      <w:r>
        <w:rPr>
          <w:sz w:val="28"/>
          <w:szCs w:val="28"/>
        </w:rPr>
        <w:t>The Orkhon inscriptions primarily employ «qaŋ» and «ög» to denote parents. These two words continue to appear in the Old U</w:t>
      </w:r>
      <w:r>
        <w:rPr>
          <w:sz w:val="28"/>
          <w:szCs w:val="28"/>
        </w:rPr>
        <w:t xml:space="preserve">ighur texts, but gradually, the usage of «ata» and «ana» increases in frequency. This shift marks a major semantic and phonological transition in Turkic kinship terminology. The term «aqa» is notably absent in the Orkhon–Yenisei corpus, which supports the </w:t>
      </w:r>
      <w:r>
        <w:rPr>
          <w:sz w:val="28"/>
          <w:szCs w:val="28"/>
        </w:rPr>
        <w:t>hypothesis that «aqa» is a Mongolic loanword that entered Turkic at a later stage, probably during the period of Mongol influence in the thirteenth century. The word «apa» in Old Uighur denotes ‘female relative’, which differs from its meaning ‘grandfather</w:t>
      </w:r>
      <w:r>
        <w:rPr>
          <w:sz w:val="28"/>
          <w:szCs w:val="28"/>
        </w:rPr>
        <w:t>’ in Orkhon Turkic. This semantic reversal illustrates how kinship terms can undergo directional semantic change, switching from one gendered or generational domain to another due to metaphorical reclassification and social reinterpretation.</w:t>
      </w:r>
    </w:p>
    <w:p w14:paraId="4393B432" w14:textId="77777777" w:rsidR="00F74BAF" w:rsidRDefault="00737583">
      <w:pPr>
        <w:pBdr>
          <w:top w:val="nil"/>
          <w:left w:val="nil"/>
          <w:bottom w:val="nil"/>
          <w:right w:val="nil"/>
          <w:between w:val="nil"/>
        </w:pBdr>
        <w:ind w:firstLine="720"/>
        <w:jc w:val="both"/>
        <w:rPr>
          <w:sz w:val="28"/>
          <w:szCs w:val="28"/>
        </w:rPr>
      </w:pPr>
      <w:r>
        <w:rPr>
          <w:sz w:val="28"/>
          <w:szCs w:val="28"/>
        </w:rPr>
        <w:t>During the Kar</w:t>
      </w:r>
      <w:r>
        <w:rPr>
          <w:sz w:val="28"/>
          <w:szCs w:val="28"/>
        </w:rPr>
        <w:t>akhanid era, Mahmud al-Kashgari’s «Dīwān Lughāt at-Turk» records a broader and more standardized inventory of kinship terms. The principal entries include: «ata» – ‘father’, «ana» / «aba» / «apa» – ‘mother’, «iči» – ‘elder brother’, and «eče» / «ege» – ‘si</w:t>
      </w:r>
      <w:r>
        <w:rPr>
          <w:sz w:val="28"/>
          <w:szCs w:val="28"/>
        </w:rPr>
        <w:t>ster’. Kashgari also mentions «aba», which he attributes to Tibetan influence, though he notes that it may also have entered from Arabic. He records the derivatives «ataš» and «anaš», formed by adding the diminutive suffix -š, and glosses them as metaphori</w:t>
      </w:r>
      <w:r>
        <w:rPr>
          <w:sz w:val="28"/>
          <w:szCs w:val="28"/>
        </w:rPr>
        <w:t>cal expressions: «ataš oġul» – ‘a boy who acts like an old man, as though he were father of the people’, and «anaš» – ‘a little girl who acts wisely, as though she were mother of the people’ [9, p. 99]. These examples illustrate semantic derivation through</w:t>
      </w:r>
      <w:r>
        <w:rPr>
          <w:sz w:val="28"/>
          <w:szCs w:val="28"/>
        </w:rPr>
        <w:t xml:space="preserve"> analogy, showing how kinship titles could extend metaphorically to describe maturity, dignity, or social behavior.</w:t>
      </w:r>
    </w:p>
    <w:p w14:paraId="1474B5DD" w14:textId="77777777" w:rsidR="00F74BAF" w:rsidRDefault="00737583">
      <w:pPr>
        <w:pBdr>
          <w:top w:val="nil"/>
          <w:left w:val="nil"/>
          <w:bottom w:val="nil"/>
          <w:right w:val="nil"/>
          <w:between w:val="nil"/>
        </w:pBdr>
        <w:ind w:firstLine="720"/>
        <w:jc w:val="both"/>
        <w:rPr>
          <w:sz w:val="28"/>
          <w:szCs w:val="28"/>
        </w:rPr>
      </w:pPr>
      <w:r>
        <w:rPr>
          <w:sz w:val="28"/>
          <w:szCs w:val="28"/>
        </w:rPr>
        <w:t>Notably, the «Dīwān» does not contain the word «qaŋ» (‘father’), but it includes several derivatives and compounds based on it: «qaŋdaş» – ‘</w:t>
      </w:r>
      <w:r>
        <w:rPr>
          <w:sz w:val="28"/>
          <w:szCs w:val="28"/>
        </w:rPr>
        <w:t>half-brother’, «qaŋsïq» – ‘successor’, «qaŋsïq ata» – ‘stepfather’, and «qaŋsïq oġul» – ‘stepson’. These formations reveal how kinship vocabulary developed morphologically to represent complex family relations such as remarriage and adoption. Kashgari also</w:t>
      </w:r>
      <w:r>
        <w:rPr>
          <w:sz w:val="28"/>
          <w:szCs w:val="28"/>
        </w:rPr>
        <w:t xml:space="preserve"> notes that «eči» can mean ‘old woman’ in the Barsġan dialect, showing that even by the eleventh century, kinship terms already exhibited dialectal semantic divergence.</w:t>
      </w:r>
    </w:p>
    <w:p w14:paraId="5C718EA3" w14:textId="77777777" w:rsidR="00F74BAF" w:rsidRDefault="00737583">
      <w:pPr>
        <w:pBdr>
          <w:top w:val="nil"/>
          <w:left w:val="nil"/>
          <w:bottom w:val="nil"/>
          <w:right w:val="nil"/>
          <w:between w:val="nil"/>
        </w:pBdr>
        <w:ind w:firstLine="720"/>
        <w:jc w:val="both"/>
        <w:rPr>
          <w:sz w:val="28"/>
          <w:szCs w:val="28"/>
        </w:rPr>
      </w:pPr>
      <w:r>
        <w:rPr>
          <w:sz w:val="28"/>
          <w:szCs w:val="28"/>
        </w:rPr>
        <w:t>Among the modern Turkic peoples, the Kazakh language preserves many features of this an</w:t>
      </w:r>
      <w:r>
        <w:rPr>
          <w:sz w:val="28"/>
          <w:szCs w:val="28"/>
        </w:rPr>
        <w:t>cient system while introducing additional semantic layers shaped by its nomadic heritage. As a historically pastoral society, the Kazakhs maintained the kinship structure of extended nomadic families well into modern times. Consequently, they retained both</w:t>
      </w:r>
      <w:r>
        <w:rPr>
          <w:sz w:val="28"/>
          <w:szCs w:val="28"/>
        </w:rPr>
        <w:t xml:space="preserve"> the ancient lexical stock and its associated social meanings. In modern Kazakh, «ata» and «äke» both denote ‘father’, while «ana», «apa», «ene», and «šeše» all can refer to ‘mother’. The term «aġa» denotes ‘elder brother’; «äpke», «äpeke», and «apa» refer</w:t>
      </w:r>
      <w:r>
        <w:rPr>
          <w:sz w:val="28"/>
          <w:szCs w:val="28"/>
        </w:rPr>
        <w:t xml:space="preserve"> to ‘elder sister’; and «qarïndas» means ‘younger sister’. This intricate system demonstrates that polysemy and contextual specialization continue to characterize Turkic kinship semantics.</w:t>
      </w:r>
    </w:p>
    <w:p w14:paraId="0B79FBA1" w14:textId="77777777" w:rsidR="00F74BAF" w:rsidRDefault="00737583">
      <w:pPr>
        <w:pBdr>
          <w:top w:val="nil"/>
          <w:left w:val="nil"/>
          <w:bottom w:val="nil"/>
          <w:right w:val="nil"/>
          <w:between w:val="nil"/>
        </w:pBdr>
        <w:ind w:firstLine="720"/>
        <w:jc w:val="both"/>
        <w:rPr>
          <w:sz w:val="28"/>
          <w:szCs w:val="28"/>
        </w:rPr>
      </w:pPr>
      <w:r>
        <w:rPr>
          <w:sz w:val="28"/>
          <w:szCs w:val="28"/>
        </w:rPr>
        <w:t>In most modern Turkic languages, «ata» remains the primary term for</w:t>
      </w:r>
      <w:r>
        <w:rPr>
          <w:sz w:val="28"/>
          <w:szCs w:val="28"/>
        </w:rPr>
        <w:t xml:space="preserve"> ‘father’. The compound «ata-ana» means ‘parents’, while «ata-ene» denotes ‘parents-in-law’. Derived compounds such as «qayïn ata» (‘father-in-law’) and «ögey ata» (‘stepfather’) show that «ata» retained its fundamental meaning of ‘father’, even as it exte</w:t>
      </w:r>
      <w:r>
        <w:rPr>
          <w:sz w:val="28"/>
          <w:szCs w:val="28"/>
        </w:rPr>
        <w:t>nded into affinal contexts. In Kazakh, the coexistence of «ata» and «äke» is particularly revealing. Linguistically, «äke» is believed to have developed from «aqa», originally meaning ‘brother’. Culturally, this semantic shift reflects the long-standing Ka</w:t>
      </w:r>
      <w:r>
        <w:rPr>
          <w:sz w:val="28"/>
          <w:szCs w:val="28"/>
        </w:rPr>
        <w:t>zakh practice of child adoption by grandparents, in which a first-born child is given to the grandparents to raise. In such families, the child’s biological father was thus referred to as ‘brother’ («äke»), while the grandfather became the socially recogni</w:t>
      </w:r>
      <w:r>
        <w:rPr>
          <w:sz w:val="28"/>
          <w:szCs w:val="28"/>
        </w:rPr>
        <w:t>zed ‘father’ («ata»). Over time, the semantic relationship between these words shifted accordingly: «äke» underwent semantic elevation from ‘brother’ to ‘father’, while losing its original meaning, and «ata» came to signify both ‘father’ and ‘grandfather’.</w:t>
      </w:r>
      <w:r>
        <w:rPr>
          <w:sz w:val="28"/>
          <w:szCs w:val="28"/>
        </w:rPr>
        <w:t xml:space="preserve"> </w:t>
      </w:r>
      <w:r>
        <w:rPr>
          <w:sz w:val="28"/>
          <w:szCs w:val="28"/>
        </w:rPr>
        <w:tab/>
      </w:r>
    </w:p>
    <w:p w14:paraId="61B6FEFE" w14:textId="77777777" w:rsidR="00F74BAF" w:rsidRDefault="00737583">
      <w:pPr>
        <w:pBdr>
          <w:top w:val="nil"/>
          <w:left w:val="nil"/>
          <w:bottom w:val="nil"/>
          <w:right w:val="nil"/>
          <w:between w:val="nil"/>
        </w:pBdr>
        <w:ind w:firstLine="720"/>
        <w:jc w:val="both"/>
        <w:rPr>
          <w:sz w:val="28"/>
          <w:szCs w:val="28"/>
        </w:rPr>
      </w:pPr>
      <w:r>
        <w:rPr>
          <w:sz w:val="28"/>
          <w:szCs w:val="28"/>
        </w:rPr>
        <w:t>Another ancient custom that profoundly influenced the kinship terminology of the Kazakh people is polygamy and levirate marriage, both long-standing practices among the nomadic peoples of Inner Asia. These customs, which trace their origins to the Xiong</w:t>
      </w:r>
      <w:r>
        <w:rPr>
          <w:sz w:val="28"/>
          <w:szCs w:val="28"/>
        </w:rPr>
        <w:t xml:space="preserve">nu period, were mechanisms of social continuity designed to preserve lineage and clan property within the extended family. The Han dynasty historian Sima Qian [46, 4-126], in his «Records of the Grand Historian», describes this custom in detail: «Upon the </w:t>
      </w:r>
      <w:r>
        <w:rPr>
          <w:sz w:val="28"/>
          <w:szCs w:val="28"/>
        </w:rPr>
        <w:t>death of a father, the son marries his stepmother; when brothers die, the surviving brothers take the widows for their own wives» [46, 130]. The levirate, known among the Kazakhs as «ämeŋgerlik», remained a widespread institution well into modern times. It</w:t>
      </w:r>
      <w:r>
        <w:rPr>
          <w:sz w:val="28"/>
          <w:szCs w:val="28"/>
        </w:rPr>
        <w:t xml:space="preserve"> ensured the protection of widows and the inheritance of family responsibilities within the male line. Such social arrangements, deeply rooted in the nomadic value system, help explain the polysemy of many kinship terms in modern Kazakh. Words that once de</w:t>
      </w:r>
      <w:r>
        <w:rPr>
          <w:sz w:val="28"/>
          <w:szCs w:val="28"/>
        </w:rPr>
        <w:t xml:space="preserve">noted a single relationship – such as «aġa» (‘elder brother’) or «äke» (‘father’) – expanded in meaning to encompass new familial roles created by these marital customs. The semantic fluidity of kinship terms thus mirrors the adaptive and pragmatic nature </w:t>
      </w:r>
      <w:r>
        <w:rPr>
          <w:sz w:val="28"/>
          <w:szCs w:val="28"/>
        </w:rPr>
        <w:t>of nomadic social life, where kinship was a living, flexible system rather than a rigid hierarchy.</w:t>
      </w:r>
    </w:p>
    <w:p w14:paraId="44613642" w14:textId="77777777" w:rsidR="00F74BAF" w:rsidRDefault="00737583">
      <w:pPr>
        <w:ind w:firstLine="720"/>
        <w:jc w:val="both"/>
        <w:rPr>
          <w:sz w:val="28"/>
          <w:szCs w:val="28"/>
        </w:rPr>
      </w:pPr>
      <w:r>
        <w:rPr>
          <w:sz w:val="28"/>
          <w:szCs w:val="28"/>
        </w:rPr>
        <w:t>The interplay between language and culture in this context recalls Edward Sapir’s observation: «Language has a setting… language does not exist apart from cu</w:t>
      </w:r>
      <w:r>
        <w:rPr>
          <w:sz w:val="28"/>
          <w:szCs w:val="28"/>
        </w:rPr>
        <w:t xml:space="preserve">lture – that is, apart from the socially inherited assemblage of practices and beliefs that determines the texture of our lives» [47, 190]. Indeed, the kinship terminology of the Turkic languages, and particularly of the Kypchak and Kazakh peoples, cannot </w:t>
      </w:r>
      <w:r>
        <w:rPr>
          <w:sz w:val="28"/>
          <w:szCs w:val="28"/>
        </w:rPr>
        <w:t>be understood apart from the cultural frameworks that gave rise to them. Each kinship term carries layers of historical, ethical, and psychological meaning – reflecting social values, concepts of honor, and inherited patterns of communal behavior. The lexi</w:t>
      </w:r>
      <w:r>
        <w:rPr>
          <w:sz w:val="28"/>
          <w:szCs w:val="28"/>
        </w:rPr>
        <w:t>con of kinship thus serves as a repository of cultural memory, encoding not only family relations but also broader ideals of solidarity, respect, and social duty.</w:t>
      </w:r>
    </w:p>
    <w:p w14:paraId="606B4F9A" w14:textId="77777777" w:rsidR="00F74BAF" w:rsidRDefault="00737583">
      <w:pPr>
        <w:ind w:firstLine="720"/>
        <w:jc w:val="both"/>
        <w:rPr>
          <w:sz w:val="28"/>
          <w:szCs w:val="28"/>
        </w:rPr>
      </w:pPr>
      <w:r>
        <w:rPr>
          <w:sz w:val="28"/>
          <w:szCs w:val="28"/>
        </w:rPr>
        <w:t>Based on the evidence from the Middle Kypchak period, we can summarize the structure of the k</w:t>
      </w:r>
      <w:r>
        <w:rPr>
          <w:sz w:val="28"/>
          <w:szCs w:val="28"/>
        </w:rPr>
        <w:t>inship system as follows. The entire system is divided into three primary categories: paternal relatives, maternal relatives, and affinal relatives (in-laws). Among these, only the paternal line possesses a fully developed set of specific lexical terms—suc</w:t>
      </w:r>
      <w:r>
        <w:rPr>
          <w:sz w:val="28"/>
          <w:szCs w:val="28"/>
        </w:rPr>
        <w:t>h as «ata» (‘father’), «ana» (‘mother’), and «aġa» (‘elder brother’). The maternal line, by contrast, is generally expressed through modification by the borrowed term «naġačï», which specifies kinship on the mother’s side. The affinal relations, formed thr</w:t>
      </w:r>
      <w:r>
        <w:rPr>
          <w:sz w:val="28"/>
          <w:szCs w:val="28"/>
        </w:rPr>
        <w:t>ough marriage, are denoted by terms derived from «qayïn». This tripartite system reveals a clear paternal orientation in Turkic kinship organization while still preserving lexical recognition of maternal and affinal ties. The semantic and morphological str</w:t>
      </w:r>
      <w:r>
        <w:rPr>
          <w:sz w:val="28"/>
          <w:szCs w:val="28"/>
        </w:rPr>
        <w:t>ucture of these terms thus reflects not only family organization but also the social philosophy of the steppe: a worldview in which kinship, marriage, and language together sustained the cohesion of nomadic life.</w:t>
      </w:r>
    </w:p>
    <w:p w14:paraId="0FD9A7AE" w14:textId="77777777" w:rsidR="00F74BAF" w:rsidRDefault="00F74BAF">
      <w:pPr>
        <w:ind w:firstLine="720"/>
        <w:jc w:val="both"/>
        <w:rPr>
          <w:sz w:val="28"/>
          <w:szCs w:val="28"/>
        </w:rPr>
      </w:pPr>
    </w:p>
    <w:p w14:paraId="2C0284CC" w14:textId="77777777" w:rsidR="00F74BAF" w:rsidRDefault="00737583">
      <w:pPr>
        <w:ind w:firstLine="709"/>
        <w:rPr>
          <w:b/>
          <w:bCs/>
          <w:sz w:val="28"/>
          <w:szCs w:val="28"/>
        </w:rPr>
      </w:pPr>
      <w:r>
        <w:rPr>
          <w:b/>
          <w:bCs/>
          <w:sz w:val="28"/>
          <w:szCs w:val="28"/>
        </w:rPr>
        <w:t>2.2 Profession Names</w:t>
      </w:r>
    </w:p>
    <w:p w14:paraId="77AD3DA1" w14:textId="77777777" w:rsidR="00F74BAF" w:rsidRDefault="00F74BAF">
      <w:pPr>
        <w:ind w:firstLine="709"/>
        <w:jc w:val="center"/>
        <w:rPr>
          <w:b/>
          <w:bCs/>
          <w:sz w:val="28"/>
          <w:szCs w:val="28"/>
        </w:rPr>
      </w:pPr>
    </w:p>
    <w:p w14:paraId="4C223A2E" w14:textId="77777777" w:rsidR="00F74BAF" w:rsidRDefault="00737583">
      <w:pPr>
        <w:ind w:firstLine="720"/>
        <w:jc w:val="both"/>
        <w:rPr>
          <w:sz w:val="28"/>
          <w:szCs w:val="28"/>
        </w:rPr>
      </w:pPr>
      <w:r>
        <w:rPr>
          <w:sz w:val="28"/>
          <w:szCs w:val="28"/>
        </w:rPr>
        <w:t>From the Golden Hord</w:t>
      </w:r>
      <w:r>
        <w:rPr>
          <w:sz w:val="28"/>
          <w:szCs w:val="28"/>
        </w:rPr>
        <w:t>e yarlïġs and bitigs, and the «Daftar-i Jingiz-nama», the author has identified twenty-nine profession names. In semantic research, the study of profession names—also referred to as occupational terms – holds particular importance. These words are far more</w:t>
      </w:r>
      <w:r>
        <w:rPr>
          <w:sz w:val="28"/>
          <w:szCs w:val="28"/>
        </w:rPr>
        <w:t xml:space="preserve"> than simple designations for types of work; they serve as linguistic markers of social organization, cultural values, economic life, and historical development. Examining profession names from a semantic perspective therefore offers a valuable window into</w:t>
      </w:r>
      <w:r>
        <w:rPr>
          <w:sz w:val="28"/>
          <w:szCs w:val="28"/>
        </w:rPr>
        <w:t xml:space="preserve"> the relationship between language and society.</w:t>
      </w:r>
    </w:p>
    <w:p w14:paraId="581ED7BE" w14:textId="77777777" w:rsidR="00F74BAF" w:rsidRDefault="00737583">
      <w:pPr>
        <w:ind w:firstLine="720"/>
        <w:jc w:val="both"/>
        <w:rPr>
          <w:sz w:val="28"/>
          <w:szCs w:val="28"/>
        </w:rPr>
      </w:pPr>
      <w:r>
        <w:rPr>
          <w:sz w:val="28"/>
          <w:szCs w:val="28"/>
        </w:rPr>
        <w:t>Profession names play a central role in the lexical and linguistic evolution of a language. As new occupations arise through technological or social change, new terms are coined, borrowed, or semantically ada</w:t>
      </w:r>
      <w:r>
        <w:rPr>
          <w:sz w:val="28"/>
          <w:szCs w:val="28"/>
        </w:rPr>
        <w:t>pted, thereby enriching the vocabulary. The processes by which professional designations enter a language – whether through internal derivation or external borrowing – reveal patterns of cultural interaction and linguistic exchange. For example, in English</w:t>
      </w:r>
      <w:r>
        <w:rPr>
          <w:sz w:val="28"/>
          <w:szCs w:val="28"/>
        </w:rPr>
        <w:t>, many occupational terms such as «engineer», «chef», and «chauffeur» originated from French or Latin, reflecting historical contact and transmission of professional knowledge. Similarly, in Turkic languages, terms of Persian, Arabic, and Mongolic origin e</w:t>
      </w:r>
      <w:r>
        <w:rPr>
          <w:sz w:val="28"/>
          <w:szCs w:val="28"/>
        </w:rPr>
        <w:t>ntered the lexicon during periods of cultural synthesis. Analyzing these words allows linguists to trace the paths of lexical expansion and to observe how languages respond to socio-economic innovation through semantic adaptation.</w:t>
      </w:r>
    </w:p>
    <w:p w14:paraId="3247767B" w14:textId="77777777" w:rsidR="00F74BAF" w:rsidRDefault="00737583">
      <w:pPr>
        <w:ind w:firstLine="720"/>
        <w:jc w:val="both"/>
        <w:rPr>
          <w:sz w:val="28"/>
          <w:szCs w:val="28"/>
        </w:rPr>
      </w:pPr>
      <w:r>
        <w:rPr>
          <w:sz w:val="28"/>
          <w:szCs w:val="28"/>
        </w:rPr>
        <w:t>Furthermore, profession n</w:t>
      </w:r>
      <w:r>
        <w:rPr>
          <w:sz w:val="28"/>
          <w:szCs w:val="28"/>
        </w:rPr>
        <w:t>ames encapsulate the social hierarchies and role structures of a community. They denote not only the types of labor performed but also the prestige, authority, or marginality associated with each occupation. Terms such as «xan» (‘ruler’), «mulla» (‘cleric’</w:t>
      </w:r>
      <w:r>
        <w:rPr>
          <w:sz w:val="28"/>
          <w:szCs w:val="28"/>
        </w:rPr>
        <w:t>) reflect high-status or specialized roles, whereas words like «temirči» (‘smith’), «diqan» (‘farmer’), or «tokmačï» (‘weaver’) indicate productive yet socially distinct categories of work. The hierarchical distinctions implicit in these terms mirror the b</w:t>
      </w:r>
      <w:r>
        <w:rPr>
          <w:sz w:val="28"/>
          <w:szCs w:val="28"/>
        </w:rPr>
        <w:t>roader social and economic order of their time. Through the semantic study of occupational terminology, researchers can reconstruct systems of social stratification, division of labor, and value perception within historical societies.</w:t>
      </w:r>
    </w:p>
    <w:p w14:paraId="7A991A15" w14:textId="77777777" w:rsidR="00F74BAF" w:rsidRDefault="00737583">
      <w:pPr>
        <w:ind w:firstLine="720"/>
        <w:jc w:val="both"/>
        <w:rPr>
          <w:sz w:val="28"/>
          <w:szCs w:val="28"/>
        </w:rPr>
      </w:pPr>
      <w:r>
        <w:rPr>
          <w:sz w:val="28"/>
          <w:szCs w:val="28"/>
        </w:rPr>
        <w:t>In this way, the anal</w:t>
      </w:r>
      <w:r>
        <w:rPr>
          <w:sz w:val="28"/>
          <w:szCs w:val="28"/>
        </w:rPr>
        <w:t>ysis of profession names not only contributes to linguistic description but also deepens our understanding of how language encodes social reality. Occupational vocabulary functions as a semantic archive of a people’s economic practices, moral ideals, and i</w:t>
      </w:r>
      <w:r>
        <w:rPr>
          <w:sz w:val="28"/>
          <w:szCs w:val="28"/>
        </w:rPr>
        <w:t>nteractions with other cultures – making it an indispensable component of historical and cultural linguistics.</w:t>
      </w:r>
    </w:p>
    <w:p w14:paraId="5E8A89D1" w14:textId="77777777" w:rsidR="00F74BAF" w:rsidRDefault="00737583">
      <w:pPr>
        <w:ind w:firstLine="720"/>
        <w:jc w:val="both"/>
        <w:rPr>
          <w:sz w:val="28"/>
          <w:szCs w:val="28"/>
        </w:rPr>
      </w:pPr>
      <w:r>
        <w:rPr>
          <w:sz w:val="28"/>
          <w:szCs w:val="28"/>
        </w:rPr>
        <w:t>Semantic Analysis</w:t>
      </w:r>
    </w:p>
    <w:p w14:paraId="03D6103D" w14:textId="77777777" w:rsidR="00F74BAF" w:rsidRDefault="00737583">
      <w:pPr>
        <w:ind w:firstLine="720"/>
        <w:jc w:val="both"/>
        <w:rPr>
          <w:sz w:val="28"/>
          <w:szCs w:val="28"/>
        </w:rPr>
      </w:pPr>
      <w:r>
        <w:rPr>
          <w:sz w:val="28"/>
          <w:szCs w:val="28"/>
        </w:rPr>
        <w:t>«Barsčï» </w:t>
      </w:r>
    </w:p>
    <w:p w14:paraId="4639AA8F" w14:textId="77777777" w:rsidR="00F74BAF" w:rsidRDefault="00737583">
      <w:pPr>
        <w:ind w:firstLine="720"/>
        <w:jc w:val="both"/>
        <w:rPr>
          <w:sz w:val="28"/>
          <w:szCs w:val="28"/>
        </w:rPr>
      </w:pPr>
      <w:r>
        <w:rPr>
          <w:sz w:val="28"/>
          <w:szCs w:val="28"/>
        </w:rPr>
        <w:t>The root «bars», believed to have entered Turkic from Persian, functions both as a noun referring to an animal and as a personal or official title in historical and modern Turkic dialects [26, p. 368]. As the name of a predatory beast, «bars» (tiger, leopa</w:t>
      </w:r>
      <w:r>
        <w:rPr>
          <w:sz w:val="28"/>
          <w:szCs w:val="28"/>
        </w:rPr>
        <w:t xml:space="preserve">rd) also appears in the Twelve-Animal Turkic calendar, where «bars yïl» denotes the third year — the Year of the Tiger. For instance, the phrase «ančïp bars yïlqa čik tapa yorïdïm» (‘I sent the army to attack the Čik people in the Year of the Tiger’) [26, </w:t>
      </w:r>
      <w:r>
        <w:rPr>
          <w:sz w:val="28"/>
          <w:szCs w:val="28"/>
        </w:rPr>
        <w:t>p. 194] illustrates its calendrical use. </w:t>
      </w:r>
      <w:r>
        <w:rPr>
          <w:sz w:val="28"/>
          <w:szCs w:val="28"/>
        </w:rPr>
        <w:tab/>
        <w:t>Additionally, «bars» occurs as a personal or official name as early as the Old Turkic inscriptions — e.g., «Bars bäg ärti…» (KT E 20) [26, p. 126]. In the Golden Horde period, the derivative «barsčï» designated a k</w:t>
      </w:r>
      <w:r>
        <w:rPr>
          <w:sz w:val="28"/>
          <w:szCs w:val="28"/>
        </w:rPr>
        <w:t>eeper or tamer of tigers and leopards — individuals responsible for training and maintaining these predatory animals in the Khan’s service, similar to royal beastmasters in other medieval courts.</w:t>
      </w:r>
    </w:p>
    <w:p w14:paraId="2D5104D8" w14:textId="77777777" w:rsidR="00F74BAF" w:rsidRDefault="00737583">
      <w:pPr>
        <w:ind w:firstLine="709"/>
        <w:jc w:val="both"/>
        <w:rPr>
          <w:sz w:val="28"/>
          <w:szCs w:val="28"/>
        </w:rPr>
      </w:pPr>
      <w:r>
        <w:rPr>
          <w:sz w:val="28"/>
          <w:szCs w:val="28"/>
        </w:rPr>
        <w:tab/>
        <w:t>«Bazirgän» / «Bazargän» </w:t>
      </w:r>
      <w:r>
        <w:rPr>
          <w:sz w:val="28"/>
          <w:szCs w:val="28"/>
        </w:rPr>
        <w:tab/>
      </w:r>
    </w:p>
    <w:p w14:paraId="1833A498" w14:textId="77777777" w:rsidR="00F74BAF" w:rsidRDefault="00737583">
      <w:pPr>
        <w:ind w:firstLine="709"/>
        <w:jc w:val="both"/>
        <w:rPr>
          <w:sz w:val="28"/>
          <w:szCs w:val="28"/>
        </w:rPr>
      </w:pPr>
      <w:r>
        <w:rPr>
          <w:sz w:val="28"/>
          <w:szCs w:val="28"/>
        </w:rPr>
        <w:t>This term is a Persian loanword d</w:t>
      </w:r>
      <w:r>
        <w:rPr>
          <w:sz w:val="28"/>
          <w:szCs w:val="28"/>
        </w:rPr>
        <w:t>enoting ‘merchant’ or ‘trader’. The widespread adoption of «bazirgän» across Turkic languages reflects the growing importance of commerce and urban trade networks in the post-Mongol era. It appears frequently in administrative and legal sources of the Gold</w:t>
      </w:r>
      <w:r>
        <w:rPr>
          <w:sz w:val="28"/>
          <w:szCs w:val="28"/>
        </w:rPr>
        <w:t>en Horde and later Chagatai states, marking the professionalization of long-distance trade. The form «bazargän» likely represents a regional phonetic variant [37, p. 1157].</w:t>
      </w:r>
    </w:p>
    <w:p w14:paraId="103E11B2" w14:textId="77777777" w:rsidR="00F74BAF" w:rsidRDefault="00737583">
      <w:pPr>
        <w:ind w:firstLine="709"/>
        <w:jc w:val="both"/>
        <w:rPr>
          <w:sz w:val="28"/>
          <w:szCs w:val="28"/>
        </w:rPr>
      </w:pPr>
      <w:r>
        <w:rPr>
          <w:sz w:val="28"/>
          <w:szCs w:val="28"/>
        </w:rPr>
        <w:tab/>
        <w:t>«Bökevül» </w:t>
      </w:r>
      <w:r>
        <w:rPr>
          <w:sz w:val="28"/>
          <w:szCs w:val="28"/>
        </w:rPr>
        <w:tab/>
      </w:r>
    </w:p>
    <w:p w14:paraId="38398F2A" w14:textId="77777777" w:rsidR="00F74BAF" w:rsidRDefault="00737583">
      <w:pPr>
        <w:ind w:firstLine="709"/>
        <w:jc w:val="both"/>
        <w:rPr>
          <w:sz w:val="28"/>
          <w:szCs w:val="28"/>
        </w:rPr>
      </w:pPr>
      <w:r>
        <w:rPr>
          <w:sz w:val="28"/>
          <w:szCs w:val="28"/>
        </w:rPr>
        <w:t>The general meaning of «bökevül» is ‘commissary’ or ‘court attendant’,</w:t>
      </w:r>
      <w:r>
        <w:rPr>
          <w:sz w:val="28"/>
          <w:szCs w:val="28"/>
        </w:rPr>
        <w:t xml:space="preserve"> though its precise etymology remains debated among Turkologists. Early on, William Bang analyzed the suffix «-vül» (or «-aul») and proposed that «bökevül» meant ‘waiter’ or ‘serving official’ [38, p. 49]. Pelliot later suggested that it derived from the T</w:t>
      </w:r>
      <w:r>
        <w:rPr>
          <w:sz w:val="28"/>
          <w:szCs w:val="28"/>
        </w:rPr>
        <w:t>urkic root related to the beverage begin, interpreting «bökevül» as ‘wine servant’ or ‘cupbearer’ [39, p. 64]. Doerfer, in Turkische und Mongolische Elemente im Neupersischen, offered a detailed explanation of the term’s occurrences in several Persian chro</w:t>
      </w:r>
      <w:r>
        <w:rPr>
          <w:sz w:val="28"/>
          <w:szCs w:val="28"/>
        </w:rPr>
        <w:t>nicles — «Jāmiʿ al-tawārīkh», «Tārīkh-i Ūljāytū», and «Dastūr al-kātib fī taʿyīn al-marātib» — and proposed derivation from the Turkic verb «bök-» (‘to be full, to swell’), interpreting «bökevül» as ‘taster’ — a person expert in tasting food and drink [33,</w:t>
      </w:r>
      <w:r>
        <w:rPr>
          <w:sz w:val="28"/>
          <w:szCs w:val="28"/>
        </w:rPr>
        <w:t xml:space="preserve"> pp. 301–307]. Rybatzki, however, connects the word to «böke» (‘warrior’), whereas Vásáry, using Persian sources, traces it to Mongolian «bokeyi» / «bokeyü» (‘to bend over, bow’), suggesting the semantic sense of ‘servant or attendant’ [40, pp. 199-201]. D</w:t>
      </w:r>
      <w:r>
        <w:rPr>
          <w:sz w:val="28"/>
          <w:szCs w:val="28"/>
        </w:rPr>
        <w:t>espite divergent etymologies, all scholars agree that the «bökevül» was a high-ranking court official, intimately attached to the Khan’s household, possibly combining ceremonial and administrative duties.</w:t>
      </w:r>
    </w:p>
    <w:p w14:paraId="13360C43" w14:textId="77777777" w:rsidR="00F74BAF" w:rsidRDefault="00737583">
      <w:pPr>
        <w:ind w:firstLine="709"/>
        <w:jc w:val="both"/>
        <w:rPr>
          <w:sz w:val="28"/>
          <w:szCs w:val="28"/>
        </w:rPr>
      </w:pPr>
      <w:r>
        <w:rPr>
          <w:sz w:val="28"/>
          <w:szCs w:val="28"/>
        </w:rPr>
        <w:tab/>
        <w:t>«Bitigči» </w:t>
      </w:r>
      <w:r>
        <w:rPr>
          <w:sz w:val="28"/>
          <w:szCs w:val="28"/>
        </w:rPr>
        <w:tab/>
      </w:r>
    </w:p>
    <w:p w14:paraId="1B811D31" w14:textId="77777777" w:rsidR="00F74BAF" w:rsidRDefault="00737583">
      <w:pPr>
        <w:ind w:firstLine="709"/>
        <w:jc w:val="both"/>
        <w:rPr>
          <w:sz w:val="28"/>
          <w:szCs w:val="28"/>
        </w:rPr>
      </w:pPr>
      <w:r>
        <w:rPr>
          <w:sz w:val="28"/>
          <w:szCs w:val="28"/>
        </w:rPr>
        <w:t>The term «bitigči» derives from the no</w:t>
      </w:r>
      <w:r>
        <w:rPr>
          <w:sz w:val="28"/>
          <w:szCs w:val="28"/>
        </w:rPr>
        <w:t>un «bitig» (‘book, inscription, letter, document’) plus the professional suffix «-či», producing the sense ‘writer’, ‘scribe’, or ‘secretary’ [26, p. 302]. In the medieval Central Asian states, particularly those influenced by the Chinggisid bureaucratic s</w:t>
      </w:r>
      <w:r>
        <w:rPr>
          <w:sz w:val="28"/>
          <w:szCs w:val="28"/>
        </w:rPr>
        <w:t>ystem, the «bitigči» served as a secretary, record keeper, or archivist. The title appears in the yarlïqs of Qutlugh, often paired with «divān» (Arabic ‘archive’), denoting officials engaged in documentation and correspondence. The profession represented a</w:t>
      </w:r>
      <w:r>
        <w:rPr>
          <w:sz w:val="28"/>
          <w:szCs w:val="28"/>
        </w:rPr>
        <w:t xml:space="preserve"> vital component of state administration, bridging oral command and written order. After the dissolution of the Mongol successor states, the title «bitigči» persisted among Turko-Mongol elites before eventually disappearing in the modern era. The term surv</w:t>
      </w:r>
      <w:r>
        <w:rPr>
          <w:sz w:val="28"/>
          <w:szCs w:val="28"/>
        </w:rPr>
        <w:t>ives today only as a historical title with cultural resonance rather than an active profession.</w:t>
      </w:r>
    </w:p>
    <w:p w14:paraId="434992C7" w14:textId="77777777" w:rsidR="00F74BAF" w:rsidRDefault="00737583">
      <w:pPr>
        <w:ind w:firstLine="709"/>
        <w:jc w:val="both"/>
        <w:rPr>
          <w:sz w:val="28"/>
          <w:szCs w:val="28"/>
        </w:rPr>
      </w:pPr>
      <w:r>
        <w:rPr>
          <w:sz w:val="28"/>
          <w:szCs w:val="28"/>
        </w:rPr>
        <w:tab/>
        <w:t>«Elči» </w:t>
      </w:r>
      <w:r>
        <w:rPr>
          <w:sz w:val="28"/>
          <w:szCs w:val="28"/>
        </w:rPr>
        <w:tab/>
      </w:r>
    </w:p>
    <w:p w14:paraId="7890BC0C" w14:textId="77777777" w:rsidR="00F74BAF" w:rsidRDefault="00737583">
      <w:pPr>
        <w:ind w:firstLine="709"/>
        <w:jc w:val="both"/>
        <w:rPr>
          <w:sz w:val="28"/>
          <w:szCs w:val="28"/>
        </w:rPr>
      </w:pPr>
      <w:r>
        <w:rPr>
          <w:sz w:val="28"/>
          <w:szCs w:val="28"/>
        </w:rPr>
        <w:t>This ancient Turkic word, formed from «el» (‘country, people, polity’) and the suffix «-či», denotes an ‘envoy’ or ‘ambassador’. The earliest attestat</w:t>
      </w:r>
      <w:r>
        <w:rPr>
          <w:sz w:val="28"/>
          <w:szCs w:val="28"/>
        </w:rPr>
        <w:t>ions appear in Old Uighur inscriptions and Manichaean documents, where the «elči» served as an intermediary responsible for diplomatic or ritual communication between rulers [39, p. 129]. Unlike hereditary offices, the position of «elči» was granted tempor</w:t>
      </w:r>
      <w:r>
        <w:rPr>
          <w:sz w:val="28"/>
          <w:szCs w:val="28"/>
        </w:rPr>
        <w:t>arily, typically to members of the nobility possessing rhetorical skill and loyalty. The word continues to exist in all modern Turkic languages. In Kazakh, «elči» retains its meaning of ‘envoy’ or ‘ambassador’. The proverb «eldesteretin elši, jawlastiratïn</w:t>
      </w:r>
      <w:r>
        <w:rPr>
          <w:sz w:val="28"/>
          <w:szCs w:val="28"/>
        </w:rPr>
        <w:t xml:space="preserve"> jawšï» (‘the envoy brings peace between nations; the messenger settles hostility’) encapsulates the envoy’s cultural symbolism as a bearer of concord and diplomacy. In the «Daftar-i Jingiz-nama», the term occurs repeatedly, often collocating with verbs su</w:t>
      </w:r>
      <w:r>
        <w:rPr>
          <w:sz w:val="28"/>
          <w:szCs w:val="28"/>
        </w:rPr>
        <w:t>ch as «käl-» (‘to come’) and «yibär-» (‘to send’): e.g., «elči kälibdür» (9v6, ‘the envoy has come’), «kälgän elči» (‘the envoy who came’), and «elči yibärdi» (32v11, ‘he sent the envoy’).</w:t>
      </w:r>
    </w:p>
    <w:p w14:paraId="638B1DCE" w14:textId="77777777" w:rsidR="00F74BAF" w:rsidRDefault="00737583">
      <w:pPr>
        <w:ind w:firstLine="709"/>
        <w:jc w:val="both"/>
        <w:rPr>
          <w:sz w:val="28"/>
          <w:szCs w:val="28"/>
        </w:rPr>
      </w:pPr>
      <w:r>
        <w:rPr>
          <w:sz w:val="28"/>
          <w:szCs w:val="28"/>
        </w:rPr>
        <w:tab/>
        <w:t>«Etmäkči» </w:t>
      </w:r>
      <w:r>
        <w:rPr>
          <w:sz w:val="28"/>
          <w:szCs w:val="28"/>
        </w:rPr>
        <w:tab/>
      </w:r>
    </w:p>
    <w:p w14:paraId="6B035501" w14:textId="77777777" w:rsidR="00F74BAF" w:rsidRDefault="00737583">
      <w:pPr>
        <w:ind w:firstLine="709"/>
        <w:jc w:val="both"/>
        <w:rPr>
          <w:sz w:val="28"/>
          <w:szCs w:val="28"/>
        </w:rPr>
      </w:pPr>
      <w:r>
        <w:rPr>
          <w:sz w:val="28"/>
          <w:szCs w:val="28"/>
        </w:rPr>
        <w:t>The profession name «etmäkči» derives from the noun «e</w:t>
      </w:r>
      <w:r>
        <w:rPr>
          <w:sz w:val="28"/>
          <w:szCs w:val="28"/>
        </w:rPr>
        <w:t>tmek» (‘bread’) combined with the agentive suffix «-či», yielding the meaning ‘baker’ or ‘bread maker’. The base «etmek» may itself be related to the verb «ek-» (‘to sow’) [39, p. 60], suggesting an early semantic link between sowing grain and producing br</w:t>
      </w:r>
      <w:r>
        <w:rPr>
          <w:sz w:val="28"/>
          <w:szCs w:val="28"/>
        </w:rPr>
        <w:t>ead. In the «Daftar-i Jingiz-nama», «etmäkči» appears only once: «etmekčidän kengäs sormagil» (10v5) — ‘Do not seek counsel from a baker.’ This proverb-like expression implies a social distinction between professions of labor and those of governance, illus</w:t>
      </w:r>
      <w:r>
        <w:rPr>
          <w:sz w:val="28"/>
          <w:szCs w:val="28"/>
        </w:rPr>
        <w:t>trating how occupational terms could carry metaphorical connotations beyond their literal meaning.</w:t>
      </w:r>
    </w:p>
    <w:p w14:paraId="79E0FA26" w14:textId="77777777" w:rsidR="00F74BAF" w:rsidRDefault="00737583">
      <w:pPr>
        <w:ind w:firstLine="709"/>
        <w:jc w:val="both"/>
        <w:rPr>
          <w:sz w:val="28"/>
          <w:szCs w:val="28"/>
        </w:rPr>
      </w:pPr>
      <w:r>
        <w:rPr>
          <w:sz w:val="28"/>
          <w:szCs w:val="28"/>
        </w:rPr>
        <w:t>«Kemeči»</w:t>
      </w:r>
    </w:p>
    <w:p w14:paraId="46E98E7F" w14:textId="77777777" w:rsidR="00F74BAF" w:rsidRDefault="00737583">
      <w:pPr>
        <w:ind w:firstLine="709"/>
        <w:jc w:val="both"/>
        <w:rPr>
          <w:sz w:val="28"/>
          <w:szCs w:val="28"/>
        </w:rPr>
      </w:pPr>
      <w:r>
        <w:rPr>
          <w:sz w:val="28"/>
          <w:szCs w:val="28"/>
        </w:rPr>
        <w:t>The term «kemeči» derives from the noun «keme» (‘boat, ship’) with the agentive suffix «-či», thus meaning ‘sailor’ or ‘boatman’. The root «keme» ap</w:t>
      </w:r>
      <w:r>
        <w:rPr>
          <w:sz w:val="28"/>
          <w:szCs w:val="28"/>
        </w:rPr>
        <w:t>pears in «Dīwān Lughāt at-Turk», where Mahmud al-Kashgari defines it as ‘boat’, noting its usage in both the Oghuz and Kypchak dialects [42, p. 101]. In modern Kazakh, «keme» is synonymous with «qayïq», though its semantics are broader. While «qayïq» gener</w:t>
      </w:r>
      <w:r>
        <w:rPr>
          <w:sz w:val="28"/>
          <w:szCs w:val="28"/>
        </w:rPr>
        <w:t>ally denotes small riverboats, «keme» refers to larger vessels used for transportation on both rivers and seas [43, p. 584]. The semantic range of «keme» therefore reflects the technological and geographical expansion of maritime and riverine activity with</w:t>
      </w:r>
      <w:r>
        <w:rPr>
          <w:sz w:val="28"/>
          <w:szCs w:val="28"/>
        </w:rPr>
        <w:t>in Turkic-speaking regions.</w:t>
      </w:r>
    </w:p>
    <w:p w14:paraId="090C805F" w14:textId="77777777" w:rsidR="00F74BAF" w:rsidRDefault="00737583">
      <w:pPr>
        <w:ind w:firstLine="709"/>
        <w:jc w:val="both"/>
        <w:rPr>
          <w:sz w:val="28"/>
          <w:szCs w:val="28"/>
        </w:rPr>
      </w:pPr>
      <w:r>
        <w:rPr>
          <w:sz w:val="28"/>
          <w:szCs w:val="28"/>
        </w:rPr>
        <w:t>«Kengäsči»</w:t>
      </w:r>
    </w:p>
    <w:p w14:paraId="3FA57502" w14:textId="77777777" w:rsidR="00F74BAF" w:rsidRDefault="00737583">
      <w:pPr>
        <w:ind w:firstLine="709"/>
        <w:jc w:val="both"/>
        <w:rPr>
          <w:sz w:val="28"/>
          <w:szCs w:val="28"/>
        </w:rPr>
      </w:pPr>
      <w:r>
        <w:rPr>
          <w:sz w:val="28"/>
          <w:szCs w:val="28"/>
        </w:rPr>
        <w:t xml:space="preserve">This profession name derives from the noun «kengäs» (‘counsel, consultation’) combined with the suffix «-či», denoting ‘counsellor’ or ‘advisor’. The semantic function of «kengäsči» reflects the institutionalization </w:t>
      </w:r>
      <w:r>
        <w:rPr>
          <w:sz w:val="28"/>
          <w:szCs w:val="28"/>
        </w:rPr>
        <w:t>of deliberative governance in medieval Turkic polities, where counsel and collective decision-making were vital components of political legitimacy.</w:t>
      </w:r>
    </w:p>
    <w:p w14:paraId="4986A5EB" w14:textId="77777777" w:rsidR="00F74BAF" w:rsidRDefault="00737583">
      <w:pPr>
        <w:ind w:firstLine="709"/>
        <w:jc w:val="both"/>
        <w:rPr>
          <w:sz w:val="28"/>
          <w:szCs w:val="28"/>
        </w:rPr>
      </w:pPr>
      <w:r>
        <w:rPr>
          <w:sz w:val="28"/>
          <w:szCs w:val="28"/>
        </w:rPr>
        <w:t>«Köprükči»</w:t>
      </w:r>
    </w:p>
    <w:p w14:paraId="4D97FA31" w14:textId="77777777" w:rsidR="00F74BAF" w:rsidRDefault="00737583">
      <w:pPr>
        <w:ind w:firstLine="709"/>
        <w:jc w:val="both"/>
        <w:rPr>
          <w:sz w:val="28"/>
          <w:szCs w:val="28"/>
        </w:rPr>
      </w:pPr>
      <w:r>
        <w:rPr>
          <w:sz w:val="28"/>
          <w:szCs w:val="28"/>
        </w:rPr>
        <w:t>Derived from the noun «köprük» (‘bridge’) and the suffix «-či», the term «köprükči» means ‘bridge</w:t>
      </w:r>
      <w:r>
        <w:rPr>
          <w:sz w:val="28"/>
          <w:szCs w:val="28"/>
        </w:rPr>
        <w:t xml:space="preserve"> builder’. The existence of this profession indicates the infrastructural development and engineering expertise of the Golden Horde period, where bridge construction was essential for maintaining trade and communication routes across the steppe and riverin</w:t>
      </w:r>
      <w:r>
        <w:rPr>
          <w:sz w:val="28"/>
          <w:szCs w:val="28"/>
        </w:rPr>
        <w:t>e landscapes.</w:t>
      </w:r>
    </w:p>
    <w:p w14:paraId="5A661120" w14:textId="77777777" w:rsidR="00F74BAF" w:rsidRDefault="00737583">
      <w:pPr>
        <w:ind w:firstLine="709"/>
        <w:jc w:val="both"/>
        <w:rPr>
          <w:sz w:val="28"/>
          <w:szCs w:val="28"/>
        </w:rPr>
      </w:pPr>
      <w:r>
        <w:rPr>
          <w:sz w:val="28"/>
          <w:szCs w:val="28"/>
        </w:rPr>
        <w:t>«Oluqčï»</w:t>
      </w:r>
    </w:p>
    <w:p w14:paraId="18ABE4F9" w14:textId="77777777" w:rsidR="00F74BAF" w:rsidRDefault="00737583">
      <w:pPr>
        <w:ind w:firstLine="709"/>
        <w:jc w:val="both"/>
        <w:rPr>
          <w:sz w:val="28"/>
          <w:szCs w:val="28"/>
        </w:rPr>
      </w:pPr>
      <w:r>
        <w:rPr>
          <w:sz w:val="28"/>
          <w:szCs w:val="28"/>
        </w:rPr>
        <w:t>This word combines «oluq» (‘ditch, canal’) with the agentive suffix «-či», signifying an ‘irrigation inspector’ or ‘canal overseer’. Such a title reflects the importance of water management in agrarian zones of the Golden Horde, wher</w:t>
      </w:r>
      <w:r>
        <w:rPr>
          <w:sz w:val="28"/>
          <w:szCs w:val="28"/>
        </w:rPr>
        <w:t>e irrigation canals were vital for supporting both agricultural production and settlement life.</w:t>
      </w:r>
    </w:p>
    <w:p w14:paraId="157BF0F6" w14:textId="77777777" w:rsidR="00F74BAF" w:rsidRDefault="00737583">
      <w:pPr>
        <w:ind w:firstLine="709"/>
        <w:jc w:val="both"/>
        <w:rPr>
          <w:sz w:val="28"/>
          <w:szCs w:val="28"/>
        </w:rPr>
      </w:pPr>
      <w:r>
        <w:rPr>
          <w:sz w:val="28"/>
          <w:szCs w:val="28"/>
        </w:rPr>
        <w:t>«Qarawul»</w:t>
      </w:r>
    </w:p>
    <w:p w14:paraId="4ED7D24D" w14:textId="77777777" w:rsidR="00F74BAF" w:rsidRDefault="00737583">
      <w:pPr>
        <w:ind w:firstLine="709"/>
        <w:jc w:val="both"/>
        <w:rPr>
          <w:sz w:val="28"/>
          <w:szCs w:val="28"/>
        </w:rPr>
      </w:pPr>
      <w:r>
        <w:rPr>
          <w:sz w:val="28"/>
          <w:szCs w:val="28"/>
        </w:rPr>
        <w:t>The noun «qarawul» (‘guard, sentinel’) derives from the Mongolian verb «qara-» (‘to look, to watch’) combined with the deverbal suffix «-AġUl», formin</w:t>
      </w:r>
      <w:r>
        <w:rPr>
          <w:sz w:val="28"/>
          <w:szCs w:val="28"/>
        </w:rPr>
        <w:t>g the meaning ‘watch post’ or ‘patrol unit’ [24, p. 399]. The word occurs twice in «Čingiz-nama», e.g. «ol yürüšdä Šïban Hanġa otuz miŋ kiši qošup qarawïl yibärdi» — ‘Sayin Khan (Batu Khan) sent thirty thousand men with patrols’ [44, p. 70]. In other Turki</w:t>
      </w:r>
      <w:r>
        <w:rPr>
          <w:sz w:val="28"/>
          <w:szCs w:val="28"/>
        </w:rPr>
        <w:t xml:space="preserve">c sources, the form appears as «qarawulčï», where the Mongolian suffix is replaced by the Turkic agentive «-čï», e.g. «bir qarawulčïsï bar edi» — ‘he used to have a guard’ [4, p. 161]. Both «qarawul» and «qarawulčï» survive in modern Kazakh, retaining the </w:t>
      </w:r>
      <w:r>
        <w:rPr>
          <w:sz w:val="28"/>
          <w:szCs w:val="28"/>
        </w:rPr>
        <w:t>meaning ‘guard’ [45, pp. 357–358].</w:t>
      </w:r>
    </w:p>
    <w:p w14:paraId="48ABB202" w14:textId="77777777" w:rsidR="00F74BAF" w:rsidRDefault="00737583">
      <w:pPr>
        <w:ind w:firstLine="709"/>
        <w:jc w:val="both"/>
        <w:rPr>
          <w:sz w:val="28"/>
          <w:szCs w:val="28"/>
        </w:rPr>
      </w:pPr>
      <w:r>
        <w:rPr>
          <w:sz w:val="28"/>
          <w:szCs w:val="28"/>
        </w:rPr>
        <w:t xml:space="preserve"> «Qarawulčï»</w:t>
      </w:r>
    </w:p>
    <w:p w14:paraId="7DD8CEFD" w14:textId="77777777" w:rsidR="00F74BAF" w:rsidRDefault="00737583">
      <w:pPr>
        <w:ind w:firstLine="709"/>
        <w:jc w:val="both"/>
        <w:rPr>
          <w:sz w:val="28"/>
          <w:szCs w:val="28"/>
        </w:rPr>
      </w:pPr>
      <w:r>
        <w:rPr>
          <w:sz w:val="28"/>
          <w:szCs w:val="28"/>
        </w:rPr>
        <w:t xml:space="preserve">A later derivative from «qarawul», formed by adding the Turkic suffix «-čï» after the original Mongolian «-wul» suffix had been lost. It preserves the meaning ‘guard, watchman’, marking the full assimilation </w:t>
      </w:r>
      <w:r>
        <w:rPr>
          <w:sz w:val="28"/>
          <w:szCs w:val="28"/>
        </w:rPr>
        <w:t>of this loanword into the Turkic morphological system.</w:t>
      </w:r>
    </w:p>
    <w:p w14:paraId="0189BF11" w14:textId="77777777" w:rsidR="00F74BAF" w:rsidRDefault="00737583">
      <w:pPr>
        <w:ind w:firstLine="709"/>
        <w:jc w:val="both"/>
        <w:rPr>
          <w:sz w:val="28"/>
          <w:szCs w:val="28"/>
        </w:rPr>
      </w:pPr>
      <w:r>
        <w:rPr>
          <w:sz w:val="28"/>
          <w:szCs w:val="28"/>
        </w:rPr>
        <w:t>«Qassabči»</w:t>
      </w:r>
    </w:p>
    <w:p w14:paraId="1C73AC18" w14:textId="77777777" w:rsidR="00F74BAF" w:rsidRDefault="00737583">
      <w:pPr>
        <w:ind w:firstLine="709"/>
        <w:jc w:val="both"/>
        <w:rPr>
          <w:sz w:val="28"/>
          <w:szCs w:val="28"/>
        </w:rPr>
      </w:pPr>
      <w:r>
        <w:rPr>
          <w:sz w:val="28"/>
          <w:szCs w:val="28"/>
        </w:rPr>
        <w:t>The term «qassabči» means ‘butcher’, derived from the Arabic loanword «qassab» (</w:t>
      </w:r>
      <w:r>
        <w:rPr>
          <w:sz w:val="28"/>
          <w:szCs w:val="28"/>
          <w:rtl/>
        </w:rPr>
        <w:t>قَصَب</w:t>
      </w:r>
      <w:r>
        <w:rPr>
          <w:sz w:val="28"/>
          <w:szCs w:val="28"/>
        </w:rPr>
        <w:t xml:space="preserve">َ), also meaning ‘butcher’ [46, p. 2537]. In «Daftar-i Jingiz-nama», it occurs once: «Qassabčidan kengäs </w:t>
      </w:r>
      <w:r>
        <w:rPr>
          <w:sz w:val="28"/>
          <w:szCs w:val="28"/>
        </w:rPr>
        <w:t>sormagil» (10v7) — ‘Do not seek counsel from a butcher.’ The phrase parallels similar admonitions directed at other tradesmen, expressing a hierarchical worldview in which manual professions were excluded from political deliberation.</w:t>
      </w:r>
    </w:p>
    <w:p w14:paraId="1C9DE20C" w14:textId="77777777" w:rsidR="00F74BAF" w:rsidRDefault="00737583">
      <w:pPr>
        <w:ind w:firstLine="709"/>
        <w:jc w:val="both"/>
        <w:rPr>
          <w:sz w:val="28"/>
          <w:szCs w:val="28"/>
        </w:rPr>
      </w:pPr>
      <w:r>
        <w:rPr>
          <w:sz w:val="28"/>
          <w:szCs w:val="28"/>
        </w:rPr>
        <w:t>«Qazanči»</w:t>
      </w:r>
    </w:p>
    <w:p w14:paraId="6FF5B6B8" w14:textId="77777777" w:rsidR="00F74BAF" w:rsidRDefault="00737583">
      <w:pPr>
        <w:ind w:firstLine="709"/>
        <w:jc w:val="both"/>
        <w:rPr>
          <w:sz w:val="28"/>
          <w:szCs w:val="28"/>
        </w:rPr>
      </w:pPr>
      <w:r>
        <w:rPr>
          <w:sz w:val="28"/>
          <w:szCs w:val="28"/>
        </w:rPr>
        <w:t>This derivative of «qazan» (‘cauldron’) plus «-či» denotes a ‘cook’. The root’s earlier form «qazġan» (&lt;«qaz-», ‘to dig’) originally meant ‘crack’ or ‘crevice’ [26, p. 682]. In «Dīwān Lughāt at-Turk», Kashgari includes the proverb «yer yawuzi qazġan» — ‘Th</w:t>
      </w:r>
      <w:r>
        <w:rPr>
          <w:sz w:val="28"/>
          <w:szCs w:val="28"/>
        </w:rPr>
        <w:t xml:space="preserve">e worst land is the eroded one,’ explaining that such land is unfit for sowing [27, p. 331]. Over time, «qazġan» shifted semantically to mean ‘cauldron’, likely through metaphorical association with a hollowed vessel, while phonological reduction produced </w:t>
      </w:r>
      <w:r>
        <w:rPr>
          <w:sz w:val="28"/>
          <w:szCs w:val="28"/>
        </w:rPr>
        <w:t xml:space="preserve">the modern form «qazan». </w:t>
      </w:r>
    </w:p>
    <w:p w14:paraId="406F968F" w14:textId="77777777" w:rsidR="00F74BAF" w:rsidRDefault="00737583">
      <w:pPr>
        <w:ind w:firstLine="709"/>
        <w:jc w:val="both"/>
        <w:rPr>
          <w:sz w:val="28"/>
          <w:szCs w:val="28"/>
        </w:rPr>
      </w:pPr>
      <w:r>
        <w:rPr>
          <w:sz w:val="28"/>
          <w:szCs w:val="28"/>
        </w:rPr>
        <w:t>«Qusčï»</w:t>
      </w:r>
    </w:p>
    <w:p w14:paraId="13EFC8CA" w14:textId="77777777" w:rsidR="00F74BAF" w:rsidRDefault="00737583">
      <w:pPr>
        <w:ind w:firstLine="709"/>
        <w:jc w:val="both"/>
        <w:rPr>
          <w:sz w:val="28"/>
          <w:szCs w:val="28"/>
        </w:rPr>
      </w:pPr>
      <w:r>
        <w:rPr>
          <w:sz w:val="28"/>
          <w:szCs w:val="28"/>
        </w:rPr>
        <w:t>The noun «qus» denotes ‘bird’ and is a general term encompassing all avian species in most Turkic dialects, except Yakut, where it specifically means ‘duck’ [26, p. 670]. Birds occupy an important place in Turkic nomadic c</w:t>
      </w:r>
      <w:r>
        <w:rPr>
          <w:sz w:val="28"/>
          <w:szCs w:val="28"/>
        </w:rPr>
        <w:t xml:space="preserve">ulture, particularly through the tradition of falconry. Within the Khan’s court, «qusčï» designated either a bird trainer or a hunter using birds of prey. The title appears in numerous steppe chronicles and continues in modern Turkic languages. In Kazakh, </w:t>
      </w:r>
      <w:r>
        <w:rPr>
          <w:sz w:val="28"/>
          <w:szCs w:val="28"/>
        </w:rPr>
        <w:t xml:space="preserve">«qusčï» means ‘hunter who uses birds’, while ‘bird trainer’ is expressed by «qusbeg» [45, pp. 451, 454]. The persistence of this semantic distinction reflects the central role of avian symbolism and hunting in Turkic social life. </w:t>
      </w:r>
    </w:p>
    <w:p w14:paraId="70F6A2E1" w14:textId="77777777" w:rsidR="00F74BAF" w:rsidRDefault="00737583">
      <w:pPr>
        <w:ind w:firstLine="709"/>
        <w:jc w:val="both"/>
        <w:rPr>
          <w:sz w:val="28"/>
          <w:szCs w:val="28"/>
        </w:rPr>
      </w:pPr>
      <w:r>
        <w:rPr>
          <w:sz w:val="28"/>
          <w:szCs w:val="28"/>
        </w:rPr>
        <w:t>«Salčï»</w:t>
      </w:r>
    </w:p>
    <w:p w14:paraId="40D3861A" w14:textId="77777777" w:rsidR="00F74BAF" w:rsidRDefault="00737583">
      <w:pPr>
        <w:ind w:firstLine="709"/>
        <w:jc w:val="both"/>
        <w:rPr>
          <w:sz w:val="28"/>
          <w:szCs w:val="28"/>
        </w:rPr>
      </w:pPr>
      <w:r>
        <w:rPr>
          <w:sz w:val="28"/>
          <w:szCs w:val="28"/>
        </w:rPr>
        <w:t>Derived from «sal</w:t>
      </w:r>
      <w:r>
        <w:rPr>
          <w:sz w:val="28"/>
          <w:szCs w:val="28"/>
        </w:rPr>
        <w:t>» (‘raft, timber raft’) and the suffix «-čï», «salčï» means ‘raftsman’. Clauson notes that «sal» specifically denotes a raft made of timber, distinguishing it from «tar» (‘skin raft’) [26, p. 823]. The term occurs in a poetic line: «aq İdildä salčï-män» —</w:t>
      </w:r>
      <w:r>
        <w:rPr>
          <w:sz w:val="28"/>
          <w:szCs w:val="28"/>
        </w:rPr>
        <w:t xml:space="preserve"> ‘I am a raftsman on the White Idil (Volga) River’, evoking both literal and symbolic associations of navigation and livelihood. </w:t>
      </w:r>
    </w:p>
    <w:p w14:paraId="0DCC70BC" w14:textId="77777777" w:rsidR="00F74BAF" w:rsidRDefault="00737583">
      <w:pPr>
        <w:ind w:firstLine="709"/>
        <w:jc w:val="both"/>
        <w:rPr>
          <w:sz w:val="28"/>
          <w:szCs w:val="28"/>
        </w:rPr>
      </w:pPr>
      <w:r>
        <w:rPr>
          <w:sz w:val="28"/>
          <w:szCs w:val="28"/>
        </w:rPr>
        <w:t>«Satučï»</w:t>
      </w:r>
    </w:p>
    <w:p w14:paraId="770D953D" w14:textId="77777777" w:rsidR="00F74BAF" w:rsidRDefault="00737583">
      <w:pPr>
        <w:ind w:firstLine="709"/>
        <w:jc w:val="both"/>
        <w:rPr>
          <w:sz w:val="28"/>
          <w:szCs w:val="28"/>
        </w:rPr>
      </w:pPr>
      <w:r>
        <w:rPr>
          <w:sz w:val="28"/>
          <w:szCs w:val="28"/>
        </w:rPr>
        <w:t>A derivative of the deverbal noun «satu-» (‘to sell’) with «-čï», denoting ‘seller’. Clauson interprets «sat-» (‘sell</w:t>
      </w:r>
      <w:r>
        <w:rPr>
          <w:sz w:val="28"/>
          <w:szCs w:val="28"/>
        </w:rPr>
        <w:t>’) as a causative of «sa-» (‘count’), originally meaning ‘to make someone count out payment’. In «Daftar-i Jingiz-nama», the word occurs several times, e.g. «bāzargānlarnï satučï-larnï talayïq» (32v1, 32v6) — ‘Let us rob the merchants and sellers.’ Here,</w:t>
      </w:r>
      <w:r>
        <w:rPr>
          <w:sz w:val="28"/>
          <w:szCs w:val="28"/>
        </w:rPr>
        <w:t xml:space="preserve"> «bāzargän» and «satučï» are juxtaposed as near-synonyms, suggesting overlapping semantic fields of commerce and trade. </w:t>
      </w:r>
    </w:p>
    <w:p w14:paraId="5F234729" w14:textId="77777777" w:rsidR="00F74BAF" w:rsidRDefault="00737583">
      <w:pPr>
        <w:ind w:firstLine="709"/>
        <w:jc w:val="both"/>
        <w:rPr>
          <w:sz w:val="28"/>
          <w:szCs w:val="28"/>
        </w:rPr>
      </w:pPr>
      <w:r>
        <w:rPr>
          <w:sz w:val="28"/>
          <w:szCs w:val="28"/>
        </w:rPr>
        <w:t>«Süsünči»</w:t>
      </w:r>
    </w:p>
    <w:p w14:paraId="676DCF6D" w14:textId="77777777" w:rsidR="00F74BAF" w:rsidRDefault="00737583">
      <w:pPr>
        <w:ind w:firstLine="709"/>
        <w:jc w:val="both"/>
        <w:rPr>
          <w:sz w:val="28"/>
          <w:szCs w:val="28"/>
        </w:rPr>
      </w:pPr>
      <w:r>
        <w:rPr>
          <w:sz w:val="28"/>
          <w:szCs w:val="28"/>
        </w:rPr>
        <w:t>The term derives from «süsün», a compulsory service tax meaning ‘provision for travelers’, given by the state to officials a</w:t>
      </w:r>
      <w:r>
        <w:rPr>
          <w:sz w:val="28"/>
          <w:szCs w:val="28"/>
        </w:rPr>
        <w:t>nd envoys in the Turkestan Khanates [47, p. 235]. Vásáry traces the concept to the Mongolian «susun» / «süsün» [48, pp. 51-59], itself possibly derived from Turkic «sub» / «su» (‘water’), implying sustenance for both humans and animals. Thus, «süsünči» des</w:t>
      </w:r>
      <w:r>
        <w:rPr>
          <w:sz w:val="28"/>
          <w:szCs w:val="28"/>
        </w:rPr>
        <w:t>ignated officials responsible for collecting or distributing this form of tax or tribute, which took the form of food or supplies for travelers and diplomats.</w:t>
      </w:r>
    </w:p>
    <w:p w14:paraId="7ABB7923" w14:textId="77777777" w:rsidR="00F74BAF" w:rsidRDefault="00737583">
      <w:pPr>
        <w:ind w:firstLine="709"/>
        <w:jc w:val="both"/>
        <w:rPr>
          <w:sz w:val="28"/>
          <w:szCs w:val="28"/>
        </w:rPr>
      </w:pPr>
      <w:r>
        <w:rPr>
          <w:sz w:val="28"/>
          <w:szCs w:val="28"/>
        </w:rPr>
        <w:t>«Šïmčï»</w:t>
      </w:r>
    </w:p>
    <w:p w14:paraId="05232D2D" w14:textId="77777777" w:rsidR="00F74BAF" w:rsidRDefault="00737583">
      <w:pPr>
        <w:ind w:firstLine="709"/>
        <w:jc w:val="both"/>
        <w:rPr>
          <w:sz w:val="28"/>
          <w:szCs w:val="28"/>
        </w:rPr>
      </w:pPr>
      <w:r>
        <w:rPr>
          <w:sz w:val="28"/>
          <w:szCs w:val="28"/>
        </w:rPr>
        <w:t>Formed from the root «šïm», likely borrowed from the Arabic verb «šïm» (</w:t>
      </w:r>
      <w:r>
        <w:rPr>
          <w:sz w:val="28"/>
          <w:szCs w:val="28"/>
          <w:rtl/>
        </w:rPr>
        <w:t>شيم</w:t>
      </w:r>
      <w:r>
        <w:rPr>
          <w:sz w:val="28"/>
          <w:szCs w:val="28"/>
        </w:rPr>
        <w:t>) ‘to hide’, p</w:t>
      </w:r>
      <w:r>
        <w:rPr>
          <w:sz w:val="28"/>
          <w:szCs w:val="28"/>
        </w:rPr>
        <w:t>lus «-čï», this term denotes a ‘spy’ or ‘secret agent’. In «Daftar-i Jingiz-nama», «šïmčï» consistently collocates with «yibär-» (‘to send’), as in «šïmčï yibärdi» — ‘He sent the spy.’ This syntagmatic pairing indicates that espionage was an institutionali</w:t>
      </w:r>
      <w:r>
        <w:rPr>
          <w:sz w:val="28"/>
          <w:szCs w:val="28"/>
        </w:rPr>
        <w:t>zed activity within the administrative apparatus.</w:t>
      </w:r>
    </w:p>
    <w:p w14:paraId="3188DBC2" w14:textId="77777777" w:rsidR="00F74BAF" w:rsidRDefault="00737583">
      <w:pPr>
        <w:ind w:firstLine="709"/>
        <w:jc w:val="both"/>
        <w:rPr>
          <w:sz w:val="28"/>
          <w:szCs w:val="28"/>
        </w:rPr>
      </w:pPr>
      <w:r>
        <w:rPr>
          <w:sz w:val="28"/>
          <w:szCs w:val="28"/>
        </w:rPr>
        <w:t>«Tamġačï»</w:t>
      </w:r>
    </w:p>
    <w:p w14:paraId="6A637518" w14:textId="77777777" w:rsidR="00F74BAF" w:rsidRDefault="00737583">
      <w:pPr>
        <w:ind w:firstLine="709"/>
        <w:jc w:val="both"/>
        <w:rPr>
          <w:sz w:val="28"/>
          <w:szCs w:val="28"/>
        </w:rPr>
      </w:pPr>
      <w:r>
        <w:rPr>
          <w:sz w:val="28"/>
          <w:szCs w:val="28"/>
        </w:rPr>
        <w:t xml:space="preserve">In Old Turkic, «tamġa» originally meant ‘brand’ or ‘mark of ownership’ applied to livestock [26, p. 506]. The derivative «tamġačï» therefore meant ‘one who makes or holds a tamġa’. The term later </w:t>
      </w:r>
      <w:r>
        <w:rPr>
          <w:sz w:val="28"/>
          <w:szCs w:val="28"/>
        </w:rPr>
        <w:t>evolved into a bureaucratic title during the Mongol and post-Mongol periods. «Altun tamġa» (‘gold seal’) denoted official authority, and according to Rašīd-al-dīn, the Ilkhanate employed three varieties: large seals for important decrees, military seals, a</w:t>
      </w:r>
      <w:r>
        <w:rPr>
          <w:sz w:val="28"/>
          <w:szCs w:val="28"/>
        </w:rPr>
        <w:t>nd small fiscal seals («altūn tamḡā-ye kūčak») for administrative letters [49, p. 914]. Consequently, «tamġačï» became the title of officials responsible for seals, taxation, or trade documentation. The earliest occurrence appears in the Kül Tegin inscript</w:t>
      </w:r>
      <w:r>
        <w:rPr>
          <w:sz w:val="28"/>
          <w:szCs w:val="28"/>
        </w:rPr>
        <w:t xml:space="preserve">ion: «on oq oġlïm türgiš qaġanta maqarač tamġačï, oġuz bilgä tamġačï kälti» (I: N 13) — ‘The two representatives of my son, the Türgeš Qaġan of the Ten Arrows, at Kül Tegin’s funeral were Maqarač, the Türgeš tamġačï, and the Oghuz learned tamġačï’ [31, p. </w:t>
      </w:r>
      <w:r>
        <w:rPr>
          <w:sz w:val="28"/>
          <w:szCs w:val="28"/>
        </w:rPr>
        <w:t>135].</w:t>
      </w:r>
    </w:p>
    <w:p w14:paraId="04900ED6" w14:textId="77777777" w:rsidR="00F74BAF" w:rsidRDefault="00737583">
      <w:pPr>
        <w:ind w:firstLine="709"/>
        <w:jc w:val="both"/>
        <w:rPr>
          <w:sz w:val="28"/>
          <w:szCs w:val="28"/>
        </w:rPr>
      </w:pPr>
      <w:r>
        <w:rPr>
          <w:sz w:val="28"/>
          <w:szCs w:val="28"/>
        </w:rPr>
        <w:t>«Tartnaqčï»</w:t>
      </w:r>
    </w:p>
    <w:p w14:paraId="2595D78C" w14:textId="77777777" w:rsidR="00F74BAF" w:rsidRDefault="00737583">
      <w:pPr>
        <w:ind w:firstLine="709"/>
        <w:jc w:val="both"/>
        <w:rPr>
          <w:sz w:val="28"/>
          <w:szCs w:val="28"/>
        </w:rPr>
      </w:pPr>
      <w:r>
        <w:rPr>
          <w:sz w:val="28"/>
          <w:szCs w:val="28"/>
        </w:rPr>
        <w:t>«Tartnaqči» is generally considered as 'a tax collector'. The stem verb tart- basically means 'to pull, or drag', but with many extended meanings of which 'to weigh' is the oldest [26, p. 534]. Although the root and the explanation of the</w:t>
      </w:r>
      <w:r>
        <w:rPr>
          <w:sz w:val="28"/>
          <w:szCs w:val="28"/>
        </w:rPr>
        <w:t xml:space="preserve"> suffix «-naq» is still uncertain, the fact that «tartnaqčï» is a type of tax is in evidence from the context in which the word occurs, i.g., «kirür čïqarïnda qïrïmda kefede……tartnaq almasun» [41, p. 107]. 'In roads and places, at entrance or exit, in Qrïm</w:t>
      </w:r>
      <w:r>
        <w:rPr>
          <w:sz w:val="28"/>
          <w:szCs w:val="28"/>
        </w:rPr>
        <w:t xml:space="preserve"> or Caffa……the tartnaq [tax for weighing] shall not apply' [46, 2018]. Neverthless, another opinion toward the word «Tartnaq» rather explains it as 'a gift or tribute' rather than 'a tax'. A. N. Samoylovich used the existence of «tartuw» in the Kazakh lang</w:t>
      </w:r>
      <w:r>
        <w:rPr>
          <w:sz w:val="28"/>
          <w:szCs w:val="28"/>
        </w:rPr>
        <w:t>uage to support his speculation, [50, pp. 259-260] i.g. «tartuw tarttï» 'a thing given as a gift from one to another with respect' [45, p. 13]. Therefore, in his opinion, «tartnaqčï», instead of a tax collector, was more likely a person who collected gifts</w:t>
      </w:r>
      <w:r>
        <w:rPr>
          <w:sz w:val="28"/>
          <w:szCs w:val="28"/>
        </w:rPr>
        <w:t xml:space="preserve"> or tributes from the Golden Horde Khan's ruling regions. </w:t>
      </w:r>
    </w:p>
    <w:p w14:paraId="007AEB5B" w14:textId="77777777" w:rsidR="00F74BAF" w:rsidRDefault="00737583">
      <w:pPr>
        <w:ind w:firstLine="709"/>
        <w:jc w:val="both"/>
        <w:rPr>
          <w:sz w:val="28"/>
          <w:szCs w:val="28"/>
        </w:rPr>
      </w:pPr>
      <w:r>
        <w:rPr>
          <w:sz w:val="28"/>
          <w:szCs w:val="28"/>
        </w:rPr>
        <w:t>«Tawuqčï»</w:t>
      </w:r>
    </w:p>
    <w:p w14:paraId="06A3BF34" w14:textId="77777777" w:rsidR="00F74BAF" w:rsidRDefault="00737583">
      <w:pPr>
        <w:ind w:firstLine="709"/>
        <w:jc w:val="both"/>
        <w:rPr>
          <w:sz w:val="28"/>
          <w:szCs w:val="28"/>
        </w:rPr>
      </w:pPr>
      <w:r>
        <w:rPr>
          <w:sz w:val="28"/>
          <w:szCs w:val="28"/>
        </w:rPr>
        <w:t>Derived from «tawuq» (‘poultry’) plus «-čï», this term means ‘poultry keeper’. The Old Turkic form «taqïġu» is attested with the same meaning [26, p. 468]. Doerfer interprets it as quasi-</w:t>
      </w:r>
      <w:r>
        <w:rPr>
          <w:sz w:val="28"/>
          <w:szCs w:val="28"/>
        </w:rPr>
        <w:t>onomatopoetic [33, p. 861], while Clauson regards it as an early animal name with the suffix «-ġu». The semantic stability of «tawuq» across all Turkic languages testifies to its cultural universality.</w:t>
      </w:r>
    </w:p>
    <w:p w14:paraId="52EAE9C2" w14:textId="77777777" w:rsidR="00F74BAF" w:rsidRDefault="00737583">
      <w:pPr>
        <w:ind w:firstLine="709"/>
        <w:jc w:val="both"/>
        <w:rPr>
          <w:sz w:val="28"/>
          <w:szCs w:val="28"/>
        </w:rPr>
      </w:pPr>
      <w:r>
        <w:rPr>
          <w:sz w:val="28"/>
          <w:szCs w:val="28"/>
        </w:rPr>
        <w:t>«Temirči»</w:t>
      </w:r>
    </w:p>
    <w:p w14:paraId="1916A1D6" w14:textId="77777777" w:rsidR="00F74BAF" w:rsidRDefault="00737583">
      <w:pPr>
        <w:ind w:firstLine="709"/>
        <w:jc w:val="both"/>
        <w:rPr>
          <w:sz w:val="28"/>
          <w:szCs w:val="28"/>
        </w:rPr>
      </w:pPr>
      <w:r>
        <w:rPr>
          <w:sz w:val="28"/>
          <w:szCs w:val="28"/>
        </w:rPr>
        <w:t>Formed from «temir» (‘iron’) with «-čï», thi</w:t>
      </w:r>
      <w:r>
        <w:rPr>
          <w:sz w:val="28"/>
          <w:szCs w:val="28"/>
        </w:rPr>
        <w:t>s word denotes ‘blacksmith’. The root «temir» appears in the Orkhon inscriptions, e.g. «temir qapïġ» (‘the Iron Gate’, I S 4) [31, p. 117], and «temirči» in the Old Uighur documents of the eighth century [26, p. 509]. In «Dīwān Lughāt at-Turk», Kashgari re</w:t>
      </w:r>
      <w:r>
        <w:rPr>
          <w:sz w:val="28"/>
          <w:szCs w:val="28"/>
        </w:rPr>
        <w:t>cords both forms and cites a proverb: «kök tämür kerü turmās» — ‘Blue iron never rests idly,’ meaning that iron always acts effectively [27, p. 280]. He also describes a remarkable ritual among the Qïrqïz, Yabaqu, and Kypchak: when forming an alliance, the</w:t>
      </w:r>
      <w:r>
        <w:rPr>
          <w:sz w:val="28"/>
          <w:szCs w:val="28"/>
        </w:rPr>
        <w:t>y place a bare sword crosswise and swear, saying «bu kök kirsün qïzïl čïqsun» — ‘May it go in blue and come out red (with blood),’ signifying vengeance for any broken oath. This practice reflects the symbolic sanctity of iron in Turkic culture. In «Daftar-</w:t>
      </w:r>
      <w:r>
        <w:rPr>
          <w:sz w:val="28"/>
          <w:szCs w:val="28"/>
        </w:rPr>
        <w:t xml:space="preserve">i Jingiz-nama», the phrase «Temirčidän kengäs sormagil» (10v6) — ‘Do not seek counsel from a blacksmith’ — once again employs the motif of occupational exclusion from political wisdom. </w:t>
      </w:r>
    </w:p>
    <w:p w14:paraId="144B479E" w14:textId="77777777" w:rsidR="00F74BAF" w:rsidRDefault="00737583">
      <w:pPr>
        <w:ind w:firstLine="709"/>
        <w:jc w:val="both"/>
        <w:rPr>
          <w:sz w:val="28"/>
          <w:szCs w:val="28"/>
        </w:rPr>
      </w:pPr>
      <w:r>
        <w:rPr>
          <w:sz w:val="28"/>
          <w:szCs w:val="28"/>
        </w:rPr>
        <w:t xml:space="preserve">«Tončï» </w:t>
      </w:r>
    </w:p>
    <w:p w14:paraId="270726B5" w14:textId="77777777" w:rsidR="00F74BAF" w:rsidRDefault="00737583">
      <w:pPr>
        <w:ind w:firstLine="709"/>
        <w:jc w:val="both"/>
        <w:rPr>
          <w:sz w:val="28"/>
          <w:szCs w:val="28"/>
        </w:rPr>
      </w:pPr>
      <w:r>
        <w:rPr>
          <w:sz w:val="28"/>
          <w:szCs w:val="28"/>
        </w:rPr>
        <w:t>Derived from «ton» (‘coat, garment’) with «-čï», the term mea</w:t>
      </w:r>
      <w:r>
        <w:rPr>
          <w:sz w:val="28"/>
          <w:szCs w:val="28"/>
        </w:rPr>
        <w:t>ns ‘tailor’ or ‘cloth maker’. The word «ton» retains the meaning of 'outer garment’ in nearly all modern Turkic languages, marking the continuity of this occupational vocabulary from medieval to contemporary usage.</w:t>
      </w:r>
    </w:p>
    <w:p w14:paraId="5864AAF8" w14:textId="77777777" w:rsidR="00F74BAF" w:rsidRDefault="00737583">
      <w:pPr>
        <w:ind w:firstLine="709"/>
        <w:jc w:val="both"/>
        <w:rPr>
          <w:sz w:val="28"/>
          <w:szCs w:val="28"/>
        </w:rPr>
      </w:pPr>
      <w:r>
        <w:rPr>
          <w:sz w:val="28"/>
          <w:szCs w:val="28"/>
        </w:rPr>
        <w:t xml:space="preserve">«Totqavul» </w:t>
      </w:r>
    </w:p>
    <w:p w14:paraId="28FFD54B" w14:textId="77777777" w:rsidR="00F74BAF" w:rsidRDefault="00737583">
      <w:pPr>
        <w:ind w:firstLine="709"/>
        <w:jc w:val="both"/>
        <w:rPr>
          <w:sz w:val="28"/>
          <w:szCs w:val="28"/>
        </w:rPr>
      </w:pPr>
      <w:r>
        <w:rPr>
          <w:sz w:val="28"/>
          <w:szCs w:val="28"/>
        </w:rPr>
        <w:t>Meaning ‘guardian’ or ‘sentin</w:t>
      </w:r>
      <w:r>
        <w:rPr>
          <w:sz w:val="28"/>
          <w:szCs w:val="28"/>
        </w:rPr>
        <w:t>el’, this word is derived from the Mongolian root «totqa-» (&lt;«tod-», «totu-»), ‘to hold, to grasp’, with the nominalizing suffix «-vul». It denotes an officer responsible for maintaining security on roads, borders, and mountain passes [24, p. 251].</w:t>
      </w:r>
    </w:p>
    <w:p w14:paraId="79A678FB" w14:textId="77777777" w:rsidR="00F74BAF" w:rsidRDefault="00737583">
      <w:pPr>
        <w:ind w:firstLine="709"/>
        <w:jc w:val="both"/>
        <w:rPr>
          <w:sz w:val="28"/>
          <w:szCs w:val="28"/>
        </w:rPr>
      </w:pPr>
      <w:r>
        <w:rPr>
          <w:sz w:val="28"/>
          <w:szCs w:val="28"/>
        </w:rPr>
        <w:t>«Tučï»</w:t>
      </w:r>
    </w:p>
    <w:p w14:paraId="027C341E" w14:textId="77777777" w:rsidR="00F74BAF" w:rsidRDefault="00737583">
      <w:pPr>
        <w:ind w:firstLine="705"/>
        <w:jc w:val="both"/>
        <w:rPr>
          <w:sz w:val="28"/>
          <w:szCs w:val="28"/>
        </w:rPr>
      </w:pPr>
      <w:r>
        <w:rPr>
          <w:sz w:val="28"/>
          <w:szCs w:val="28"/>
        </w:rPr>
        <w:t>A compound of «tu» (‘banner’) and «-čï», signifying ‘standard-bearer’. The title held ceremonial importance in steppe armies, where bearing the banner represented both honor and loyalty.</w:t>
      </w:r>
    </w:p>
    <w:p w14:paraId="71E80AFB" w14:textId="77777777" w:rsidR="00F74BAF" w:rsidRDefault="00737583">
      <w:pPr>
        <w:ind w:firstLine="709"/>
        <w:jc w:val="both"/>
        <w:rPr>
          <w:sz w:val="28"/>
          <w:szCs w:val="28"/>
        </w:rPr>
      </w:pPr>
      <w:r>
        <w:rPr>
          <w:sz w:val="28"/>
          <w:szCs w:val="28"/>
        </w:rPr>
        <w:t>«Yalči»</w:t>
      </w:r>
    </w:p>
    <w:p w14:paraId="6DFA4634" w14:textId="77777777" w:rsidR="00F74BAF" w:rsidRDefault="00737583">
      <w:pPr>
        <w:ind w:firstLine="709"/>
        <w:jc w:val="both"/>
        <w:rPr>
          <w:sz w:val="28"/>
          <w:szCs w:val="28"/>
        </w:rPr>
      </w:pPr>
      <w:r>
        <w:rPr>
          <w:sz w:val="28"/>
          <w:szCs w:val="28"/>
        </w:rPr>
        <w:t xml:space="preserve">This derivative of the verb «satu-» (‘to sell’) with «-čï» means ‘seller’, possibly a scribal variant of «satučï». It occurs in «Daftar-i Jingiz-nama», e.g. «Aq Sarayday-män» (44v3), in commercial or market contexts. </w:t>
      </w:r>
    </w:p>
    <w:p w14:paraId="356435F2" w14:textId="77777777" w:rsidR="00F74BAF" w:rsidRDefault="00737583">
      <w:pPr>
        <w:ind w:firstLine="709"/>
        <w:jc w:val="both"/>
        <w:rPr>
          <w:sz w:val="28"/>
          <w:szCs w:val="28"/>
        </w:rPr>
      </w:pPr>
      <w:r>
        <w:rPr>
          <w:sz w:val="28"/>
          <w:szCs w:val="28"/>
        </w:rPr>
        <w:t>«Yolavčï»</w:t>
      </w:r>
    </w:p>
    <w:p w14:paraId="607664E5" w14:textId="77777777" w:rsidR="00F74BAF" w:rsidRDefault="00737583">
      <w:pPr>
        <w:ind w:firstLine="709"/>
        <w:jc w:val="both"/>
        <w:rPr>
          <w:sz w:val="28"/>
          <w:szCs w:val="28"/>
        </w:rPr>
      </w:pPr>
      <w:r>
        <w:rPr>
          <w:sz w:val="28"/>
          <w:szCs w:val="28"/>
        </w:rPr>
        <w:tab/>
        <w:t>The original sense of «yola</w:t>
      </w:r>
      <w:r>
        <w:rPr>
          <w:sz w:val="28"/>
          <w:szCs w:val="28"/>
        </w:rPr>
        <w:t>včï» was ‘diplomatic envoy’. According to Clauson, it may derive from Persian «-vāč»/ «-wāč» (‘voice, speech’), while Ramstedt compared it to Old Turkic «yala-» (‘to accuse’) and proposed that it arose from «yala» + «pač», where «pač» (cf. Manchu and Korea</w:t>
      </w:r>
      <w:r>
        <w:rPr>
          <w:sz w:val="28"/>
          <w:szCs w:val="28"/>
        </w:rPr>
        <w:t>n) denote ‘person’ [60, p. 107]. Related forms, such as «yalabač», appear in the Orkhon–Yenisei inscriptions, e.g. «yalabač barïpan kälmädiŋiz bägimiz» — ‘You have gone as an ambassador but not returned, our lord!’ (Uibat I: 5).</w:t>
      </w:r>
    </w:p>
    <w:p w14:paraId="3909992E" w14:textId="77777777" w:rsidR="00F74BAF" w:rsidRDefault="00737583">
      <w:pPr>
        <w:ind w:firstLine="709"/>
        <w:jc w:val="both"/>
        <w:rPr>
          <w:sz w:val="28"/>
          <w:szCs w:val="28"/>
        </w:rPr>
      </w:pPr>
      <w:r>
        <w:rPr>
          <w:sz w:val="28"/>
          <w:szCs w:val="28"/>
        </w:rPr>
        <w:t>The Kypchak sound change b&gt;</w:t>
      </w:r>
      <w:r>
        <w:rPr>
          <w:sz w:val="28"/>
          <w:szCs w:val="28"/>
        </w:rPr>
        <w:t xml:space="preserve">v&gt;w likely produced «yolavčï» from «yalabač». The term also appears in Manichaean texts as ‘prophet’, e.g. «Söki teŋri yalavačï burxanlarka» — ‘Against the former Prophets, the envoys of God’ [52, pp. 64-65]. Synonymous titles include «elči», «arqïš», and </w:t>
      </w:r>
      <w:r>
        <w:rPr>
          <w:sz w:val="28"/>
          <w:szCs w:val="28"/>
        </w:rPr>
        <w:t>«sabčï». In modern Kazakh, the variant «jolawšï» preserves the original sense of ‘traveler’ or ‘envoy’, though it is now more commonly used for ‘passenger’ [45, pp. 469–470].</w:t>
      </w:r>
    </w:p>
    <w:p w14:paraId="40465A72" w14:textId="77777777" w:rsidR="00F74BAF" w:rsidRDefault="00737583">
      <w:pPr>
        <w:ind w:firstLine="709"/>
        <w:jc w:val="both"/>
        <w:rPr>
          <w:sz w:val="28"/>
          <w:szCs w:val="28"/>
        </w:rPr>
      </w:pPr>
      <w:r>
        <w:rPr>
          <w:sz w:val="28"/>
          <w:szCs w:val="28"/>
        </w:rPr>
        <w:t>«Yamčï»</w:t>
      </w:r>
    </w:p>
    <w:p w14:paraId="66088DFF" w14:textId="77777777" w:rsidR="00F74BAF" w:rsidRDefault="00737583">
      <w:pPr>
        <w:ind w:firstLine="709"/>
        <w:jc w:val="both"/>
        <w:rPr>
          <w:b/>
          <w:bCs/>
          <w:sz w:val="28"/>
          <w:szCs w:val="28"/>
        </w:rPr>
      </w:pPr>
      <w:r>
        <w:rPr>
          <w:sz w:val="28"/>
          <w:szCs w:val="28"/>
        </w:rPr>
        <w:t xml:space="preserve">Derived from «yam» (‘post station’) plus «-čï», denoting ‘post-rider’ or </w:t>
      </w:r>
      <w:r>
        <w:rPr>
          <w:sz w:val="28"/>
          <w:szCs w:val="28"/>
        </w:rPr>
        <w:t>‘postal courier’. The term «yam» originates from Chinese «zhàn» (站, ‘station, relay stop’), borrowed into Persian as «yam» (‘post-station; post-horse’) and adopted into Turkic via Mongolian [26, p. 583]. Despite the unclear sound shift c &gt; y, the term beca</w:t>
      </w:r>
      <w:r>
        <w:rPr>
          <w:sz w:val="28"/>
          <w:szCs w:val="28"/>
        </w:rPr>
        <w:t>me firmly established in the postal systems of the Mongol Empire. Thus, «yamčï» referred to the official in charge of post horses and relay communications — a vital administrative institution in steppe governance.</w:t>
      </w:r>
    </w:p>
    <w:p w14:paraId="713C4D85" w14:textId="77777777" w:rsidR="00F74BAF" w:rsidRDefault="00F74BAF">
      <w:pPr>
        <w:ind w:firstLine="709"/>
        <w:jc w:val="both"/>
        <w:rPr>
          <w:sz w:val="28"/>
          <w:szCs w:val="28"/>
        </w:rPr>
      </w:pPr>
    </w:p>
    <w:p w14:paraId="3176D803" w14:textId="77777777" w:rsidR="00F74BAF" w:rsidRDefault="00737583">
      <w:pPr>
        <w:ind w:firstLine="709"/>
        <w:jc w:val="both"/>
        <w:rPr>
          <w:sz w:val="28"/>
          <w:szCs w:val="28"/>
        </w:rPr>
      </w:pPr>
      <w:r>
        <w:rPr>
          <w:sz w:val="28"/>
          <w:szCs w:val="28"/>
        </w:rPr>
        <w:t>The Middle Kypchak text «Daftar-i Jingiz-</w:t>
      </w:r>
      <w:r>
        <w:rPr>
          <w:sz w:val="28"/>
          <w:szCs w:val="28"/>
        </w:rPr>
        <w:t>nama», and the Golden Horde yarlïġs and bitigs contain numerous profession names formed with the agentive suffix «-či/čï». This suffix has deep roots in Old Turkic (often discussed under the broader “Altaic” hypothesis) and is highly productive across hist</w:t>
      </w:r>
      <w:r>
        <w:rPr>
          <w:sz w:val="28"/>
          <w:szCs w:val="28"/>
        </w:rPr>
        <w:t xml:space="preserve">orical and modern Turkic varieties. In the corpus, three formation patterns are especially common: </w:t>
      </w:r>
    </w:p>
    <w:p w14:paraId="3749A5C2" w14:textId="77777777" w:rsidR="00F74BAF" w:rsidRDefault="00737583">
      <w:pPr>
        <w:ind w:firstLine="709"/>
        <w:jc w:val="both"/>
        <w:rPr>
          <w:sz w:val="28"/>
          <w:szCs w:val="28"/>
        </w:rPr>
      </w:pPr>
      <w:r>
        <w:rPr>
          <w:sz w:val="28"/>
          <w:szCs w:val="28"/>
        </w:rPr>
        <w:t>- From simple nouns: a base noun + «-či/čï» &gt; occupational title. Examples: «tamǧa» ‘seal’ + «-čï» &gt; «tamǧačï» ‘seal-holder; customs officer’; «keme» ‘ship’</w:t>
      </w:r>
      <w:r>
        <w:rPr>
          <w:sz w:val="28"/>
          <w:szCs w:val="28"/>
        </w:rPr>
        <w:t xml:space="preserve"> + «-či» &gt; «kemeči» ‘shipwright; mariner’. </w:t>
      </w:r>
    </w:p>
    <w:p w14:paraId="1F68E5EF" w14:textId="77777777" w:rsidR="00F74BAF" w:rsidRDefault="00737583">
      <w:pPr>
        <w:ind w:firstLine="709"/>
        <w:jc w:val="both"/>
        <w:rPr>
          <w:sz w:val="28"/>
          <w:szCs w:val="28"/>
        </w:rPr>
      </w:pPr>
      <w:r>
        <w:rPr>
          <w:sz w:val="28"/>
          <w:szCs w:val="28"/>
        </w:rPr>
        <w:t xml:space="preserve">- From deverbal nouns: verb stem &gt; deverbal base &gt; + «-či» &gt; occupational title. Example: «biti-» ‘to write’ + «-g» (deverbal) + «-či» &gt; «bitigči» ‘scribe; secretary’. </w:t>
      </w:r>
    </w:p>
    <w:p w14:paraId="1649CF3A" w14:textId="77777777" w:rsidR="00F74BAF" w:rsidRDefault="00737583">
      <w:pPr>
        <w:ind w:firstLine="709"/>
        <w:jc w:val="both"/>
        <w:rPr>
          <w:sz w:val="28"/>
          <w:szCs w:val="28"/>
        </w:rPr>
      </w:pPr>
      <w:r>
        <w:rPr>
          <w:sz w:val="28"/>
          <w:szCs w:val="28"/>
        </w:rPr>
        <w:t>- Directly from verbs / verbal phrases: ver</w:t>
      </w:r>
      <w:r>
        <w:rPr>
          <w:sz w:val="28"/>
          <w:szCs w:val="28"/>
        </w:rPr>
        <w:t>b (or phrasal base) + «-či/čï» &gt; occupational title. Example (as recorded in your materials): «yortar» ‘to trot’ + «išlen-» ‘to work’ + «-či» &gt; «yortar išlenči» ‘envoy’ (phrasal/lexicalized formation).</w:t>
      </w:r>
    </w:p>
    <w:p w14:paraId="289FAFE6" w14:textId="77777777" w:rsidR="00F74BAF" w:rsidRDefault="00737583">
      <w:pPr>
        <w:ind w:firstLine="709"/>
        <w:jc w:val="both"/>
        <w:rPr>
          <w:sz w:val="28"/>
          <w:szCs w:val="28"/>
        </w:rPr>
      </w:pPr>
      <w:r>
        <w:rPr>
          <w:sz w:val="28"/>
          <w:szCs w:val="28"/>
        </w:rPr>
        <w:t>From a semantic perspective, attaching «-či/čï» to dif</w:t>
      </w:r>
      <w:r>
        <w:rPr>
          <w:sz w:val="28"/>
          <w:szCs w:val="28"/>
        </w:rPr>
        <w:t>ferent bases yields systematic meaning types:</w:t>
      </w:r>
    </w:p>
    <w:p w14:paraId="112BDD81" w14:textId="77777777" w:rsidR="00F74BAF" w:rsidRDefault="00737583">
      <w:pPr>
        <w:ind w:firstLine="709"/>
        <w:jc w:val="both"/>
        <w:rPr>
          <w:sz w:val="28"/>
          <w:szCs w:val="28"/>
        </w:rPr>
      </w:pPr>
      <w:r>
        <w:rPr>
          <w:sz w:val="28"/>
          <w:szCs w:val="28"/>
        </w:rPr>
        <w:t>- Animals &gt; handlers/hunters: «qus» ‘bird’ + «-čï» &gt; «qusčï» ‘falconer; hunter using birds’; «bars» ‘leopard’ + «-čï» &gt; «barsčï» ‘leopard/tiger tamer’.</w:t>
      </w:r>
    </w:p>
    <w:p w14:paraId="5ADD5443" w14:textId="77777777" w:rsidR="00F74BAF" w:rsidRDefault="00737583">
      <w:pPr>
        <w:ind w:firstLine="709"/>
        <w:jc w:val="both"/>
        <w:rPr>
          <w:sz w:val="28"/>
          <w:szCs w:val="28"/>
        </w:rPr>
      </w:pPr>
      <w:r>
        <w:rPr>
          <w:sz w:val="28"/>
          <w:szCs w:val="28"/>
        </w:rPr>
        <w:t>- Instruments &gt; users/operators: «bitig» ‘book/document’ +</w:t>
      </w:r>
      <w:r>
        <w:rPr>
          <w:sz w:val="28"/>
          <w:szCs w:val="28"/>
        </w:rPr>
        <w:t xml:space="preserve"> «-čï» &gt; «bitigči» ‘scribe’; «saban» ‘plough’ + «-čï» &gt; «sabančï» ‘ploughman; peasant’.</w:t>
      </w:r>
    </w:p>
    <w:p w14:paraId="77F6633B" w14:textId="77777777" w:rsidR="00F74BAF" w:rsidRDefault="00737583">
      <w:pPr>
        <w:ind w:firstLine="709"/>
        <w:jc w:val="both"/>
        <w:rPr>
          <w:sz w:val="28"/>
          <w:szCs w:val="28"/>
        </w:rPr>
      </w:pPr>
      <w:r>
        <w:rPr>
          <w:sz w:val="28"/>
          <w:szCs w:val="28"/>
        </w:rPr>
        <w:t>- Specific items (tax/seal) &gt; officials in charge: «tamǧa» ‘seal’ + «-čï» &gt; «tamǧačï» ‘seal-holder; customs officer’; «tartnaq» (tax name) + «-čï» &gt; «tartnaqčï» ‘tax co</w:t>
      </w:r>
      <w:r>
        <w:rPr>
          <w:sz w:val="28"/>
          <w:szCs w:val="28"/>
        </w:rPr>
        <w:t>llector’ (or, per an alternative view, ‘collector of tributes/gifts’).</w:t>
      </w:r>
    </w:p>
    <w:p w14:paraId="4249C6EB" w14:textId="77777777" w:rsidR="00F74BAF" w:rsidRDefault="00737583">
      <w:pPr>
        <w:ind w:firstLine="709"/>
        <w:jc w:val="both"/>
        <w:rPr>
          <w:sz w:val="28"/>
          <w:szCs w:val="28"/>
        </w:rPr>
      </w:pPr>
      <w:r>
        <w:rPr>
          <w:sz w:val="28"/>
          <w:szCs w:val="28"/>
        </w:rPr>
        <w:t>- Places/installation names &gt; staff serving there: «yam» ‘post-station’ + «-čï» &gt; «yamčï» ‘post-rider; relay courier’.</w:t>
      </w:r>
    </w:p>
    <w:p w14:paraId="23610236" w14:textId="77777777" w:rsidR="00F74BAF" w:rsidRDefault="00737583">
      <w:pPr>
        <w:ind w:firstLine="709"/>
        <w:jc w:val="both"/>
        <w:rPr>
          <w:sz w:val="28"/>
          <w:szCs w:val="28"/>
        </w:rPr>
      </w:pPr>
      <w:r>
        <w:rPr>
          <w:sz w:val="28"/>
          <w:szCs w:val="28"/>
        </w:rPr>
        <w:t>Across the chronology from Old Turkic &gt; Middle Kypchak &gt; Modern Ky</w:t>
      </w:r>
      <w:r>
        <w:rPr>
          <w:sz w:val="28"/>
          <w:szCs w:val="28"/>
        </w:rPr>
        <w:t xml:space="preserve">pchak, we observe regular semantic drift and contextual narrowing/broadening. In some contexts, meanings vary pragmatically (e.g., court vs. provincial usage). Many professional terms also arise from borrowed bases (Persian, Arabic, Mongolic, occasionally </w:t>
      </w:r>
      <w:r>
        <w:rPr>
          <w:sz w:val="28"/>
          <w:szCs w:val="28"/>
        </w:rPr>
        <w:t>Chinese), which are then integrated morphologically by adding the Turkic suffix «-či/čï», effectively “Turkicizing” the item (e.g., «bazirgän», «qassab» &gt; «qassabči», «yam» &gt; «yamčï»). Modern Kazakh retains a substantial portion of these Middle Kypchak for</w:t>
      </w:r>
      <w:r>
        <w:rPr>
          <w:sz w:val="28"/>
          <w:szCs w:val="28"/>
        </w:rPr>
        <w:t>mations—often with minor phonetic adjustments—attesting to the continuity of the derivational pattern.</w:t>
      </w:r>
    </w:p>
    <w:p w14:paraId="5B9E871D" w14:textId="77777777" w:rsidR="00F74BAF" w:rsidRDefault="00737583">
      <w:pPr>
        <w:ind w:firstLine="709"/>
        <w:jc w:val="both"/>
        <w:rPr>
          <w:sz w:val="28"/>
          <w:szCs w:val="28"/>
        </w:rPr>
      </w:pPr>
      <w:r>
        <w:rPr>
          <w:sz w:val="28"/>
          <w:szCs w:val="28"/>
        </w:rPr>
        <w:t xml:space="preserve">Crucially, the semantic field of profession names in the Golden Horde period function as a microcosm of society: it mirrors administrative organization, </w:t>
      </w:r>
      <w:r>
        <w:rPr>
          <w:sz w:val="28"/>
          <w:szCs w:val="28"/>
        </w:rPr>
        <w:t>economic life, and material culture. Even though our present classification is necessarily schematic, it offers a substantive window onto production regimes and institutional structures during a formative era in Turkic social history.</w:t>
      </w:r>
    </w:p>
    <w:p w14:paraId="6BB257E5" w14:textId="77777777" w:rsidR="00F74BAF" w:rsidRDefault="00737583">
      <w:pPr>
        <w:ind w:firstLine="709"/>
        <w:jc w:val="both"/>
        <w:rPr>
          <w:sz w:val="28"/>
          <w:szCs w:val="28"/>
        </w:rPr>
      </w:pPr>
      <w:r>
        <w:rPr>
          <w:sz w:val="28"/>
          <w:szCs w:val="28"/>
        </w:rPr>
        <w:t>Taken together, these</w:t>
      </w:r>
      <w:r>
        <w:rPr>
          <w:sz w:val="28"/>
          <w:szCs w:val="28"/>
        </w:rPr>
        <w:t xml:space="preserve"> occupational terms reflect a diversified economic order of the Golden Horde, encompassing agriculture, animal husbandry, forestry, fishery, handicrafts and construction, the food and clothing industries, military service, and commercial systems. The sheer</w:t>
      </w:r>
      <w:r>
        <w:rPr>
          <w:sz w:val="28"/>
          <w:szCs w:val="28"/>
        </w:rPr>
        <w:t xml:space="preserve"> breadth and internal structuring of the «-či/čï» lexicon signal not only linguistic productivity but also robust socioeconomic complexity in medieval Central Eurasia.</w:t>
      </w:r>
    </w:p>
    <w:p w14:paraId="33E2EFC4" w14:textId="77777777" w:rsidR="00F74BAF" w:rsidRDefault="00F74BAF">
      <w:pPr>
        <w:ind w:firstLine="709"/>
        <w:jc w:val="both"/>
        <w:rPr>
          <w:b/>
          <w:bCs/>
          <w:sz w:val="28"/>
          <w:szCs w:val="28"/>
        </w:rPr>
      </w:pPr>
    </w:p>
    <w:p w14:paraId="24150A8C" w14:textId="77777777" w:rsidR="00F74BAF" w:rsidRDefault="00737583">
      <w:pPr>
        <w:ind w:firstLine="709"/>
        <w:jc w:val="both"/>
        <w:rPr>
          <w:sz w:val="28"/>
          <w:szCs w:val="28"/>
        </w:rPr>
      </w:pPr>
      <w:r>
        <w:rPr>
          <w:b/>
          <w:bCs/>
          <w:sz w:val="28"/>
          <w:szCs w:val="28"/>
        </w:rPr>
        <w:t>The Conclusion of the Second Chapter</w:t>
      </w:r>
    </w:p>
    <w:p w14:paraId="56425641" w14:textId="77777777" w:rsidR="00F74BAF" w:rsidRDefault="00737583">
      <w:pPr>
        <w:ind w:firstLine="709"/>
        <w:jc w:val="both"/>
        <w:rPr>
          <w:sz w:val="28"/>
          <w:szCs w:val="28"/>
        </w:rPr>
      </w:pPr>
      <w:r>
        <w:rPr>
          <w:sz w:val="28"/>
          <w:szCs w:val="28"/>
        </w:rPr>
        <w:t>This chapter has examined the semantic fields of k</w:t>
      </w:r>
      <w:r>
        <w:rPr>
          <w:sz w:val="28"/>
          <w:szCs w:val="28"/>
        </w:rPr>
        <w:t>inship and occupational terminology in the Kypchak language from the fifteenth to the seventeenth centuries. Through the analysis of these linguistic categories, we have gained valuable insight into the social structure and cultural dynamics of Central Asi</w:t>
      </w:r>
      <w:r>
        <w:rPr>
          <w:sz w:val="28"/>
          <w:szCs w:val="28"/>
        </w:rPr>
        <w:t>an Turkic societies during this period.</w:t>
      </w:r>
    </w:p>
    <w:p w14:paraId="49F3DAB2" w14:textId="77777777" w:rsidR="00F74BAF" w:rsidRDefault="00737583">
      <w:pPr>
        <w:ind w:firstLine="709"/>
        <w:jc w:val="both"/>
        <w:rPr>
          <w:sz w:val="28"/>
          <w:szCs w:val="28"/>
        </w:rPr>
      </w:pPr>
      <w:r>
        <w:rPr>
          <w:sz w:val="28"/>
          <w:szCs w:val="28"/>
        </w:rPr>
        <w:t>The kinship lexicon reflects the intricate web of family relations, social hierarchies, and moral values that governed interpersonal behavior within Kypchak communities. It reveals how language encoded distinctions o</w:t>
      </w:r>
      <w:r>
        <w:rPr>
          <w:sz w:val="28"/>
          <w:szCs w:val="28"/>
        </w:rPr>
        <w:t>f generation, gender, seniority, and lineage—thus serving as both a mirror of familial organization and a medium of social regulation.</w:t>
      </w:r>
    </w:p>
    <w:p w14:paraId="2B19CBC3" w14:textId="77777777" w:rsidR="00F74BAF" w:rsidRDefault="00737583">
      <w:pPr>
        <w:ind w:firstLine="709"/>
        <w:jc w:val="both"/>
        <w:rPr>
          <w:sz w:val="28"/>
          <w:szCs w:val="28"/>
        </w:rPr>
      </w:pPr>
      <w:r>
        <w:rPr>
          <w:sz w:val="28"/>
          <w:szCs w:val="28"/>
        </w:rPr>
        <w:t>Similarly, occupational terminology illustrates the diversification of economic life, the emergence of specialized labor,</w:t>
      </w:r>
      <w:r>
        <w:rPr>
          <w:sz w:val="28"/>
          <w:szCs w:val="28"/>
        </w:rPr>
        <w:t xml:space="preserve"> and the administrative complexity that characterized the Golden Horde and its successor states. The abundance of profession names—many formed with the productive suffix «-či/čï»—demonstrates how linguistic creativity accompanied social and economic develo</w:t>
      </w:r>
      <w:r>
        <w:rPr>
          <w:sz w:val="28"/>
          <w:szCs w:val="28"/>
        </w:rPr>
        <w:t>pment.</w:t>
      </w:r>
    </w:p>
    <w:p w14:paraId="17AABD4D" w14:textId="77777777" w:rsidR="00F74BAF" w:rsidRDefault="00737583">
      <w:pPr>
        <w:ind w:firstLine="709"/>
        <w:jc w:val="both"/>
        <w:rPr>
          <w:sz w:val="28"/>
          <w:szCs w:val="28"/>
        </w:rPr>
      </w:pPr>
      <w:r>
        <w:rPr>
          <w:sz w:val="28"/>
          <w:szCs w:val="28"/>
        </w:rPr>
        <w:t>Taken together, these two semantic fields form a coherent picture of Kypchak society as a living linguistic ecosystem. They show how vocabulary both reflects and reinforces the material and moral foundations of the age: kinship as the core of social</w:t>
      </w:r>
      <w:r>
        <w:rPr>
          <w:sz w:val="28"/>
          <w:szCs w:val="28"/>
        </w:rPr>
        <w:t xml:space="preserve"> identity, and labor as the basis of collective survival. The study of these terms thus deepens our understanding of how language functioned as a repository of cultural values, preserving within its structure the social norms, ethical codes, and economic r</w:t>
      </w:r>
      <w:r>
        <w:rPr>
          <w:sz w:val="28"/>
          <w:szCs w:val="28"/>
        </w:rPr>
        <w:t>ealities of the Central Asian Turkic world between the fifteenth and seventeenth centuries.</w:t>
      </w:r>
    </w:p>
    <w:p w14:paraId="0C2CF510" w14:textId="77777777" w:rsidR="00F74BAF" w:rsidRDefault="00F74BAF">
      <w:pPr>
        <w:pBdr>
          <w:top w:val="nil"/>
          <w:left w:val="nil"/>
          <w:bottom w:val="nil"/>
          <w:right w:val="nil"/>
          <w:between w:val="nil"/>
        </w:pBdr>
        <w:ind w:firstLine="709"/>
        <w:jc w:val="both"/>
        <w:rPr>
          <w:sz w:val="28"/>
          <w:szCs w:val="28"/>
        </w:rPr>
      </w:pPr>
    </w:p>
    <w:p w14:paraId="33C2223B" w14:textId="77777777" w:rsidR="00F74BAF" w:rsidRDefault="00F74BAF">
      <w:pPr>
        <w:pBdr>
          <w:top w:val="nil"/>
          <w:left w:val="nil"/>
          <w:bottom w:val="nil"/>
          <w:right w:val="nil"/>
          <w:between w:val="nil"/>
        </w:pBdr>
        <w:ind w:firstLine="709"/>
        <w:jc w:val="both"/>
        <w:rPr>
          <w:b/>
          <w:bCs/>
          <w:color w:val="000000"/>
          <w:sz w:val="28"/>
          <w:szCs w:val="28"/>
        </w:rPr>
      </w:pPr>
    </w:p>
    <w:p w14:paraId="39A80CD9" w14:textId="77777777" w:rsidR="00F74BAF" w:rsidRDefault="00F74BAF">
      <w:pPr>
        <w:pBdr>
          <w:top w:val="nil"/>
          <w:left w:val="nil"/>
          <w:bottom w:val="nil"/>
          <w:right w:val="nil"/>
          <w:between w:val="nil"/>
        </w:pBdr>
        <w:ind w:firstLine="709"/>
        <w:jc w:val="both"/>
        <w:rPr>
          <w:b/>
          <w:bCs/>
          <w:color w:val="000000"/>
          <w:sz w:val="28"/>
          <w:szCs w:val="28"/>
        </w:rPr>
      </w:pPr>
    </w:p>
    <w:p w14:paraId="7F01AB62" w14:textId="77777777" w:rsidR="00F74BAF" w:rsidRDefault="00F74BAF">
      <w:pPr>
        <w:pBdr>
          <w:top w:val="nil"/>
          <w:left w:val="nil"/>
          <w:bottom w:val="nil"/>
          <w:right w:val="nil"/>
          <w:between w:val="nil"/>
        </w:pBdr>
        <w:ind w:firstLine="709"/>
        <w:jc w:val="both"/>
        <w:rPr>
          <w:b/>
          <w:bCs/>
          <w:color w:val="000000"/>
          <w:sz w:val="28"/>
          <w:szCs w:val="28"/>
        </w:rPr>
      </w:pPr>
    </w:p>
    <w:p w14:paraId="7E18C489" w14:textId="77777777" w:rsidR="00F74BAF" w:rsidRDefault="00F74BAF">
      <w:pPr>
        <w:pBdr>
          <w:top w:val="nil"/>
          <w:left w:val="nil"/>
          <w:bottom w:val="nil"/>
          <w:right w:val="nil"/>
          <w:between w:val="nil"/>
        </w:pBdr>
        <w:ind w:firstLine="709"/>
        <w:jc w:val="both"/>
        <w:rPr>
          <w:b/>
          <w:bCs/>
          <w:color w:val="000000"/>
          <w:sz w:val="28"/>
          <w:szCs w:val="28"/>
        </w:rPr>
      </w:pPr>
    </w:p>
    <w:p w14:paraId="1738B861" w14:textId="77777777" w:rsidR="00F74BAF" w:rsidRDefault="00F74BAF">
      <w:pPr>
        <w:pBdr>
          <w:top w:val="nil"/>
          <w:left w:val="nil"/>
          <w:bottom w:val="nil"/>
          <w:right w:val="nil"/>
          <w:between w:val="nil"/>
        </w:pBdr>
        <w:ind w:firstLine="709"/>
        <w:jc w:val="both"/>
        <w:rPr>
          <w:b/>
          <w:bCs/>
          <w:color w:val="000000"/>
          <w:sz w:val="28"/>
          <w:szCs w:val="28"/>
        </w:rPr>
      </w:pPr>
    </w:p>
    <w:p w14:paraId="76061769" w14:textId="77777777" w:rsidR="00F74BAF" w:rsidRDefault="00F74BAF">
      <w:pPr>
        <w:pBdr>
          <w:top w:val="nil"/>
          <w:left w:val="nil"/>
          <w:bottom w:val="nil"/>
          <w:right w:val="nil"/>
          <w:between w:val="nil"/>
        </w:pBdr>
        <w:ind w:firstLine="709"/>
        <w:jc w:val="both"/>
        <w:rPr>
          <w:b/>
          <w:bCs/>
          <w:color w:val="000000"/>
          <w:sz w:val="28"/>
          <w:szCs w:val="28"/>
        </w:rPr>
      </w:pPr>
    </w:p>
    <w:p w14:paraId="62BCFD7F" w14:textId="77777777" w:rsidR="00F74BAF" w:rsidRDefault="00F74BAF">
      <w:pPr>
        <w:pBdr>
          <w:top w:val="nil"/>
          <w:left w:val="nil"/>
          <w:bottom w:val="nil"/>
          <w:right w:val="nil"/>
          <w:between w:val="nil"/>
        </w:pBdr>
        <w:ind w:firstLine="709"/>
        <w:jc w:val="both"/>
        <w:rPr>
          <w:b/>
          <w:bCs/>
          <w:color w:val="000000"/>
          <w:sz w:val="28"/>
          <w:szCs w:val="28"/>
        </w:rPr>
      </w:pPr>
    </w:p>
    <w:p w14:paraId="0755CFC6" w14:textId="77777777" w:rsidR="00F74BAF" w:rsidRDefault="00F74BAF">
      <w:pPr>
        <w:pBdr>
          <w:top w:val="nil"/>
          <w:left w:val="nil"/>
          <w:bottom w:val="nil"/>
          <w:right w:val="nil"/>
          <w:between w:val="nil"/>
        </w:pBdr>
        <w:ind w:firstLine="709"/>
        <w:jc w:val="both"/>
        <w:rPr>
          <w:b/>
          <w:bCs/>
          <w:color w:val="000000"/>
          <w:sz w:val="28"/>
          <w:szCs w:val="28"/>
        </w:rPr>
      </w:pPr>
    </w:p>
    <w:p w14:paraId="0210A238" w14:textId="77777777" w:rsidR="00F74BAF" w:rsidRDefault="00F74BAF">
      <w:pPr>
        <w:pBdr>
          <w:top w:val="nil"/>
          <w:left w:val="nil"/>
          <w:bottom w:val="nil"/>
          <w:right w:val="nil"/>
          <w:between w:val="nil"/>
        </w:pBdr>
        <w:jc w:val="both"/>
        <w:rPr>
          <w:b/>
          <w:bCs/>
          <w:sz w:val="28"/>
          <w:szCs w:val="28"/>
        </w:rPr>
      </w:pPr>
    </w:p>
    <w:p w14:paraId="532BF62A" w14:textId="77777777" w:rsidR="00F74BAF" w:rsidRDefault="00F74BAF">
      <w:pPr>
        <w:pBdr>
          <w:top w:val="nil"/>
          <w:left w:val="nil"/>
          <w:bottom w:val="nil"/>
          <w:right w:val="nil"/>
          <w:between w:val="nil"/>
        </w:pBdr>
        <w:jc w:val="both"/>
        <w:rPr>
          <w:b/>
          <w:bCs/>
          <w:sz w:val="28"/>
          <w:szCs w:val="28"/>
        </w:rPr>
      </w:pPr>
    </w:p>
    <w:p w14:paraId="588F8F76" w14:textId="77777777" w:rsidR="00F74BAF" w:rsidRDefault="00F74BAF">
      <w:pPr>
        <w:pBdr>
          <w:top w:val="nil"/>
          <w:left w:val="nil"/>
          <w:bottom w:val="nil"/>
          <w:right w:val="nil"/>
          <w:between w:val="nil"/>
        </w:pBdr>
        <w:ind w:firstLine="709"/>
        <w:jc w:val="both"/>
        <w:rPr>
          <w:b/>
          <w:bCs/>
          <w:sz w:val="28"/>
          <w:szCs w:val="28"/>
        </w:rPr>
      </w:pPr>
    </w:p>
    <w:p w14:paraId="167F896C" w14:textId="77777777" w:rsidR="00F74BAF" w:rsidRDefault="00F74BAF">
      <w:pPr>
        <w:pBdr>
          <w:top w:val="nil"/>
          <w:left w:val="nil"/>
          <w:bottom w:val="nil"/>
          <w:right w:val="nil"/>
          <w:between w:val="nil"/>
        </w:pBdr>
        <w:ind w:firstLine="709"/>
        <w:jc w:val="both"/>
        <w:rPr>
          <w:b/>
          <w:bCs/>
          <w:sz w:val="28"/>
          <w:szCs w:val="28"/>
        </w:rPr>
      </w:pPr>
    </w:p>
    <w:p w14:paraId="35C7A8C3" w14:textId="77777777" w:rsidR="00F74BAF" w:rsidRDefault="00F74BAF">
      <w:pPr>
        <w:pBdr>
          <w:top w:val="nil"/>
          <w:left w:val="nil"/>
          <w:bottom w:val="nil"/>
          <w:right w:val="nil"/>
          <w:between w:val="nil"/>
        </w:pBdr>
        <w:ind w:firstLine="709"/>
        <w:jc w:val="both"/>
        <w:rPr>
          <w:b/>
          <w:bCs/>
          <w:sz w:val="28"/>
          <w:szCs w:val="28"/>
        </w:rPr>
      </w:pPr>
    </w:p>
    <w:p w14:paraId="47A200FA" w14:textId="77777777" w:rsidR="00F74BAF" w:rsidRDefault="00F74BAF">
      <w:pPr>
        <w:pBdr>
          <w:top w:val="nil"/>
          <w:left w:val="nil"/>
          <w:bottom w:val="nil"/>
          <w:right w:val="nil"/>
          <w:between w:val="nil"/>
        </w:pBdr>
        <w:ind w:firstLine="709"/>
        <w:jc w:val="both"/>
        <w:rPr>
          <w:b/>
          <w:bCs/>
          <w:sz w:val="28"/>
          <w:szCs w:val="28"/>
        </w:rPr>
      </w:pPr>
    </w:p>
    <w:p w14:paraId="2D0C633E" w14:textId="77777777" w:rsidR="00F74BAF" w:rsidRDefault="00F74BAF">
      <w:pPr>
        <w:pBdr>
          <w:top w:val="nil"/>
          <w:left w:val="nil"/>
          <w:bottom w:val="nil"/>
          <w:right w:val="nil"/>
          <w:between w:val="nil"/>
        </w:pBdr>
        <w:ind w:firstLine="709"/>
        <w:jc w:val="both"/>
        <w:rPr>
          <w:b/>
          <w:bCs/>
          <w:sz w:val="28"/>
          <w:szCs w:val="28"/>
        </w:rPr>
      </w:pPr>
    </w:p>
    <w:p w14:paraId="4F4814FE" w14:textId="77777777" w:rsidR="00F74BAF" w:rsidRDefault="00F74BAF">
      <w:pPr>
        <w:pBdr>
          <w:top w:val="nil"/>
          <w:left w:val="nil"/>
          <w:bottom w:val="nil"/>
          <w:right w:val="nil"/>
          <w:between w:val="nil"/>
        </w:pBdr>
        <w:ind w:firstLine="709"/>
        <w:jc w:val="both"/>
        <w:rPr>
          <w:b/>
          <w:bCs/>
          <w:sz w:val="28"/>
          <w:szCs w:val="28"/>
        </w:rPr>
      </w:pPr>
    </w:p>
    <w:p w14:paraId="1B5A3B74" w14:textId="77777777" w:rsidR="00F74BAF" w:rsidRDefault="00F74BAF">
      <w:pPr>
        <w:pBdr>
          <w:top w:val="nil"/>
          <w:left w:val="nil"/>
          <w:bottom w:val="nil"/>
          <w:right w:val="nil"/>
          <w:between w:val="nil"/>
        </w:pBdr>
        <w:ind w:firstLine="709"/>
        <w:jc w:val="both"/>
        <w:rPr>
          <w:b/>
          <w:bCs/>
          <w:sz w:val="28"/>
          <w:szCs w:val="28"/>
        </w:rPr>
      </w:pPr>
    </w:p>
    <w:p w14:paraId="6FA7892F" w14:textId="77777777" w:rsidR="00F74BAF" w:rsidRDefault="00F74BAF">
      <w:pPr>
        <w:pBdr>
          <w:top w:val="nil"/>
          <w:left w:val="nil"/>
          <w:bottom w:val="nil"/>
          <w:right w:val="nil"/>
          <w:between w:val="nil"/>
        </w:pBdr>
        <w:ind w:firstLine="709"/>
        <w:jc w:val="both"/>
        <w:rPr>
          <w:b/>
          <w:bCs/>
          <w:sz w:val="28"/>
          <w:szCs w:val="28"/>
        </w:rPr>
      </w:pPr>
    </w:p>
    <w:p w14:paraId="0946CB2F" w14:textId="77777777" w:rsidR="00F74BAF" w:rsidRDefault="00F74BAF">
      <w:pPr>
        <w:pBdr>
          <w:top w:val="nil"/>
          <w:left w:val="nil"/>
          <w:bottom w:val="nil"/>
          <w:right w:val="nil"/>
          <w:between w:val="nil"/>
        </w:pBdr>
        <w:jc w:val="both"/>
        <w:rPr>
          <w:b/>
          <w:bCs/>
          <w:color w:val="000000"/>
          <w:sz w:val="28"/>
          <w:szCs w:val="28"/>
        </w:rPr>
      </w:pPr>
    </w:p>
    <w:p w14:paraId="7BED8E55" w14:textId="77777777" w:rsidR="00F74BAF" w:rsidRDefault="00F74BAF">
      <w:pPr>
        <w:pBdr>
          <w:top w:val="nil"/>
          <w:left w:val="nil"/>
          <w:bottom w:val="nil"/>
          <w:right w:val="nil"/>
          <w:between w:val="nil"/>
        </w:pBdr>
        <w:jc w:val="both"/>
        <w:rPr>
          <w:b/>
          <w:bCs/>
          <w:color w:val="000000"/>
          <w:sz w:val="28"/>
          <w:szCs w:val="28"/>
        </w:rPr>
      </w:pPr>
    </w:p>
    <w:p w14:paraId="637A3EEC" w14:textId="77777777" w:rsidR="00F74BAF" w:rsidRDefault="00F74BAF">
      <w:pPr>
        <w:pBdr>
          <w:top w:val="nil"/>
          <w:left w:val="nil"/>
          <w:bottom w:val="nil"/>
          <w:right w:val="nil"/>
          <w:between w:val="nil"/>
        </w:pBdr>
        <w:jc w:val="both"/>
        <w:rPr>
          <w:b/>
          <w:bCs/>
          <w:color w:val="000000"/>
          <w:sz w:val="28"/>
          <w:szCs w:val="28"/>
        </w:rPr>
      </w:pPr>
    </w:p>
    <w:p w14:paraId="63CCE13D" w14:textId="77777777" w:rsidR="00F74BAF" w:rsidRDefault="00F74BAF">
      <w:pPr>
        <w:pBdr>
          <w:top w:val="nil"/>
          <w:left w:val="nil"/>
          <w:bottom w:val="nil"/>
          <w:right w:val="nil"/>
          <w:between w:val="nil"/>
        </w:pBdr>
        <w:jc w:val="both"/>
        <w:rPr>
          <w:b/>
          <w:bCs/>
          <w:color w:val="000000"/>
          <w:sz w:val="28"/>
          <w:szCs w:val="28"/>
        </w:rPr>
      </w:pPr>
    </w:p>
    <w:p w14:paraId="45E9C484" w14:textId="77777777" w:rsidR="00F74BAF" w:rsidRDefault="00F74BAF">
      <w:pPr>
        <w:pBdr>
          <w:top w:val="nil"/>
          <w:left w:val="nil"/>
          <w:bottom w:val="nil"/>
          <w:right w:val="nil"/>
          <w:between w:val="nil"/>
        </w:pBdr>
        <w:jc w:val="both"/>
        <w:rPr>
          <w:b/>
          <w:bCs/>
          <w:color w:val="000000"/>
          <w:sz w:val="28"/>
          <w:szCs w:val="28"/>
        </w:rPr>
      </w:pPr>
    </w:p>
    <w:p w14:paraId="3424D040" w14:textId="77777777" w:rsidR="00F74BAF" w:rsidRDefault="00F74BAF">
      <w:pPr>
        <w:pBdr>
          <w:top w:val="nil"/>
          <w:left w:val="nil"/>
          <w:bottom w:val="nil"/>
          <w:right w:val="nil"/>
          <w:between w:val="nil"/>
        </w:pBdr>
        <w:jc w:val="both"/>
        <w:rPr>
          <w:b/>
          <w:bCs/>
          <w:color w:val="000000"/>
          <w:sz w:val="28"/>
          <w:szCs w:val="28"/>
        </w:rPr>
      </w:pPr>
    </w:p>
    <w:p w14:paraId="0355E7FE" w14:textId="77777777" w:rsidR="00F74BAF" w:rsidRDefault="00F74BAF">
      <w:pPr>
        <w:pBdr>
          <w:top w:val="nil"/>
          <w:left w:val="nil"/>
          <w:bottom w:val="nil"/>
          <w:right w:val="nil"/>
          <w:between w:val="nil"/>
        </w:pBdr>
        <w:jc w:val="both"/>
        <w:rPr>
          <w:b/>
          <w:bCs/>
          <w:color w:val="000000"/>
          <w:sz w:val="28"/>
          <w:szCs w:val="28"/>
        </w:rPr>
      </w:pPr>
    </w:p>
    <w:p w14:paraId="11B1AC5B" w14:textId="77777777" w:rsidR="00F74BAF" w:rsidRDefault="00F74BAF">
      <w:pPr>
        <w:pBdr>
          <w:top w:val="nil"/>
          <w:left w:val="nil"/>
          <w:bottom w:val="nil"/>
          <w:right w:val="nil"/>
          <w:between w:val="nil"/>
        </w:pBdr>
        <w:jc w:val="both"/>
        <w:rPr>
          <w:b/>
          <w:bCs/>
          <w:color w:val="000000"/>
          <w:sz w:val="28"/>
          <w:szCs w:val="28"/>
        </w:rPr>
      </w:pPr>
    </w:p>
    <w:p w14:paraId="682DD18F" w14:textId="77777777" w:rsidR="00F74BAF" w:rsidRDefault="00F74BAF">
      <w:pPr>
        <w:pBdr>
          <w:top w:val="nil"/>
          <w:left w:val="nil"/>
          <w:bottom w:val="nil"/>
          <w:right w:val="nil"/>
          <w:between w:val="nil"/>
        </w:pBdr>
        <w:jc w:val="both"/>
        <w:rPr>
          <w:b/>
          <w:bCs/>
          <w:color w:val="000000"/>
          <w:sz w:val="28"/>
          <w:szCs w:val="28"/>
        </w:rPr>
      </w:pPr>
    </w:p>
    <w:p w14:paraId="40CD451F" w14:textId="77777777" w:rsidR="00F74BAF" w:rsidRDefault="00F74BAF">
      <w:pPr>
        <w:pBdr>
          <w:top w:val="nil"/>
          <w:left w:val="nil"/>
          <w:bottom w:val="nil"/>
          <w:right w:val="nil"/>
          <w:between w:val="nil"/>
        </w:pBdr>
        <w:jc w:val="both"/>
        <w:rPr>
          <w:b/>
          <w:bCs/>
          <w:color w:val="000000"/>
          <w:sz w:val="28"/>
          <w:szCs w:val="28"/>
        </w:rPr>
      </w:pPr>
    </w:p>
    <w:p w14:paraId="1DE19EDD" w14:textId="77777777" w:rsidR="00F74BAF" w:rsidRDefault="00F74BAF">
      <w:pPr>
        <w:pBdr>
          <w:top w:val="nil"/>
          <w:left w:val="nil"/>
          <w:bottom w:val="nil"/>
          <w:right w:val="nil"/>
          <w:between w:val="nil"/>
        </w:pBdr>
        <w:jc w:val="both"/>
        <w:rPr>
          <w:b/>
          <w:bCs/>
          <w:color w:val="000000"/>
          <w:sz w:val="28"/>
          <w:szCs w:val="28"/>
        </w:rPr>
      </w:pPr>
    </w:p>
    <w:p w14:paraId="73984DA3" w14:textId="77777777" w:rsidR="00F74BAF" w:rsidRDefault="00F74BAF">
      <w:pPr>
        <w:pBdr>
          <w:top w:val="nil"/>
          <w:left w:val="nil"/>
          <w:bottom w:val="nil"/>
          <w:right w:val="nil"/>
          <w:between w:val="nil"/>
        </w:pBdr>
        <w:jc w:val="both"/>
        <w:rPr>
          <w:b/>
          <w:bCs/>
          <w:color w:val="000000"/>
          <w:sz w:val="28"/>
          <w:szCs w:val="28"/>
        </w:rPr>
      </w:pPr>
    </w:p>
    <w:p w14:paraId="34E75FC0" w14:textId="77777777" w:rsidR="00F74BAF" w:rsidRDefault="00F74BAF">
      <w:pPr>
        <w:pBdr>
          <w:top w:val="nil"/>
          <w:left w:val="nil"/>
          <w:bottom w:val="nil"/>
          <w:right w:val="nil"/>
          <w:between w:val="nil"/>
        </w:pBdr>
        <w:jc w:val="both"/>
        <w:rPr>
          <w:b/>
          <w:bCs/>
          <w:color w:val="000000"/>
          <w:sz w:val="28"/>
          <w:szCs w:val="28"/>
        </w:rPr>
      </w:pPr>
    </w:p>
    <w:p w14:paraId="2B511434" w14:textId="77777777" w:rsidR="00F74BAF" w:rsidRDefault="00F74BAF">
      <w:pPr>
        <w:pBdr>
          <w:top w:val="nil"/>
          <w:left w:val="nil"/>
          <w:bottom w:val="nil"/>
          <w:right w:val="nil"/>
          <w:between w:val="nil"/>
        </w:pBdr>
        <w:jc w:val="both"/>
        <w:rPr>
          <w:b/>
          <w:bCs/>
          <w:color w:val="000000"/>
          <w:sz w:val="28"/>
          <w:szCs w:val="28"/>
        </w:rPr>
      </w:pPr>
    </w:p>
    <w:p w14:paraId="6080E55B" w14:textId="77777777" w:rsidR="00F74BAF" w:rsidRDefault="00F74BAF">
      <w:pPr>
        <w:pBdr>
          <w:top w:val="nil"/>
          <w:left w:val="nil"/>
          <w:bottom w:val="nil"/>
          <w:right w:val="nil"/>
          <w:between w:val="nil"/>
        </w:pBdr>
        <w:jc w:val="both"/>
        <w:rPr>
          <w:b/>
          <w:bCs/>
          <w:color w:val="000000"/>
          <w:sz w:val="28"/>
          <w:szCs w:val="28"/>
        </w:rPr>
      </w:pPr>
    </w:p>
    <w:p w14:paraId="4BEBC56D" w14:textId="77777777" w:rsidR="00F74BAF" w:rsidRDefault="00F74BAF">
      <w:pPr>
        <w:pBdr>
          <w:top w:val="nil"/>
          <w:left w:val="nil"/>
          <w:bottom w:val="nil"/>
          <w:right w:val="nil"/>
          <w:between w:val="nil"/>
        </w:pBdr>
        <w:jc w:val="both"/>
        <w:rPr>
          <w:b/>
          <w:bCs/>
          <w:color w:val="000000"/>
          <w:sz w:val="28"/>
          <w:szCs w:val="28"/>
        </w:rPr>
      </w:pPr>
    </w:p>
    <w:p w14:paraId="2F01B99F" w14:textId="77777777" w:rsidR="00F74BAF" w:rsidRDefault="00F74BAF">
      <w:pPr>
        <w:pBdr>
          <w:top w:val="nil"/>
          <w:left w:val="nil"/>
          <w:bottom w:val="nil"/>
          <w:right w:val="nil"/>
          <w:between w:val="nil"/>
        </w:pBdr>
        <w:jc w:val="both"/>
        <w:rPr>
          <w:b/>
          <w:bCs/>
          <w:color w:val="000000"/>
          <w:sz w:val="28"/>
          <w:szCs w:val="28"/>
        </w:rPr>
      </w:pPr>
    </w:p>
    <w:p w14:paraId="703AC620" w14:textId="77777777" w:rsidR="00F74BAF" w:rsidRDefault="00F74BAF">
      <w:pPr>
        <w:pBdr>
          <w:top w:val="nil"/>
          <w:left w:val="nil"/>
          <w:bottom w:val="nil"/>
          <w:right w:val="nil"/>
          <w:between w:val="nil"/>
        </w:pBdr>
        <w:jc w:val="both"/>
        <w:rPr>
          <w:b/>
          <w:bCs/>
          <w:color w:val="000000"/>
          <w:sz w:val="28"/>
          <w:szCs w:val="28"/>
        </w:rPr>
      </w:pPr>
    </w:p>
    <w:p w14:paraId="19CFB0C3" w14:textId="77777777" w:rsidR="00F74BAF" w:rsidRDefault="00F74BAF">
      <w:pPr>
        <w:pBdr>
          <w:top w:val="nil"/>
          <w:left w:val="nil"/>
          <w:bottom w:val="nil"/>
          <w:right w:val="nil"/>
          <w:between w:val="nil"/>
        </w:pBdr>
        <w:jc w:val="both"/>
        <w:rPr>
          <w:b/>
          <w:bCs/>
          <w:color w:val="000000"/>
          <w:sz w:val="28"/>
          <w:szCs w:val="28"/>
        </w:rPr>
      </w:pPr>
    </w:p>
    <w:p w14:paraId="4FBCFB7C" w14:textId="77777777" w:rsidR="00F74BAF" w:rsidRDefault="00F74BAF">
      <w:pPr>
        <w:pBdr>
          <w:top w:val="nil"/>
          <w:left w:val="nil"/>
          <w:bottom w:val="nil"/>
          <w:right w:val="nil"/>
          <w:between w:val="nil"/>
        </w:pBdr>
        <w:jc w:val="both"/>
        <w:rPr>
          <w:b/>
          <w:bCs/>
          <w:color w:val="000000"/>
          <w:sz w:val="28"/>
          <w:szCs w:val="28"/>
        </w:rPr>
      </w:pPr>
    </w:p>
    <w:p w14:paraId="2008AB4D" w14:textId="77777777" w:rsidR="00F74BAF" w:rsidRDefault="00F74BAF">
      <w:pPr>
        <w:pBdr>
          <w:top w:val="nil"/>
          <w:left w:val="nil"/>
          <w:bottom w:val="nil"/>
          <w:right w:val="nil"/>
          <w:between w:val="nil"/>
        </w:pBdr>
        <w:ind w:firstLine="709"/>
        <w:jc w:val="both"/>
        <w:rPr>
          <w:b/>
          <w:bCs/>
          <w:color w:val="000000"/>
          <w:sz w:val="28"/>
          <w:szCs w:val="28"/>
        </w:rPr>
      </w:pPr>
    </w:p>
    <w:p w14:paraId="07A067FE" w14:textId="77777777" w:rsidR="00F74BAF" w:rsidRDefault="00737583">
      <w:pPr>
        <w:pBdr>
          <w:top w:val="nil"/>
          <w:left w:val="nil"/>
          <w:bottom w:val="nil"/>
          <w:right w:val="nil"/>
          <w:between w:val="nil"/>
        </w:pBdr>
        <w:ind w:firstLine="720"/>
        <w:rPr>
          <w:b/>
          <w:bCs/>
          <w:color w:val="000000"/>
          <w:sz w:val="28"/>
          <w:szCs w:val="28"/>
        </w:rPr>
      </w:pPr>
      <w:r>
        <w:rPr>
          <w:b/>
          <w:bCs/>
          <w:color w:val="000000"/>
          <w:sz w:val="28"/>
          <w:szCs w:val="28"/>
        </w:rPr>
        <w:t xml:space="preserve">3. SEMANTIC FIELDS OF ÖTÄMIŠ ḤĀJĪ'S </w:t>
      </w:r>
      <w:r>
        <w:rPr>
          <w:b/>
          <w:bCs/>
          <w:sz w:val="28"/>
          <w:szCs w:val="28"/>
        </w:rPr>
        <w:t>ČINGIZ-NAMA</w:t>
      </w:r>
    </w:p>
    <w:p w14:paraId="2FC22589" w14:textId="77777777" w:rsidR="00F74BAF" w:rsidRDefault="00F74BAF">
      <w:pPr>
        <w:pBdr>
          <w:top w:val="nil"/>
          <w:left w:val="nil"/>
          <w:bottom w:val="nil"/>
          <w:right w:val="nil"/>
          <w:between w:val="nil"/>
        </w:pBdr>
        <w:ind w:firstLine="709"/>
        <w:jc w:val="both"/>
        <w:rPr>
          <w:b/>
          <w:bCs/>
          <w:color w:val="000000"/>
          <w:sz w:val="28"/>
          <w:szCs w:val="28"/>
        </w:rPr>
      </w:pPr>
    </w:p>
    <w:p w14:paraId="4626BD54" w14:textId="77777777" w:rsidR="00F74BAF" w:rsidRDefault="00737583">
      <w:pPr>
        <w:pBdr>
          <w:top w:val="nil"/>
          <w:left w:val="nil"/>
          <w:bottom w:val="nil"/>
          <w:right w:val="nil"/>
          <w:between w:val="nil"/>
        </w:pBdr>
        <w:ind w:firstLine="709"/>
        <w:rPr>
          <w:b/>
          <w:bCs/>
          <w:color w:val="000000"/>
          <w:sz w:val="28"/>
          <w:szCs w:val="28"/>
        </w:rPr>
      </w:pPr>
      <w:r>
        <w:rPr>
          <w:b/>
          <w:bCs/>
          <w:color w:val="000000"/>
          <w:sz w:val="28"/>
          <w:szCs w:val="28"/>
        </w:rPr>
        <w:t>3.1 Military Terms</w:t>
      </w:r>
    </w:p>
    <w:p w14:paraId="573A211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Military terms are specific words, phrases, or </w:t>
      </w:r>
      <w:r>
        <w:rPr>
          <w:color w:val="000000"/>
          <w:sz w:val="28"/>
          <w:szCs w:val="28"/>
        </w:rPr>
        <w:t>expressions used within military contexts to describe operations, strategies, equipment, ranks, roles, and procedures. These terms are essential for clear and precise communication in military settings, where misunderstandings can have critical consequence</w:t>
      </w:r>
      <w:r>
        <w:rPr>
          <w:color w:val="000000"/>
          <w:sz w:val="28"/>
          <w:szCs w:val="28"/>
        </w:rPr>
        <w:t>s. They encompass a wide range of vocabulary related to the structure, function, and activities of armed forces.</w:t>
      </w:r>
    </w:p>
    <w:p w14:paraId="6C139C68"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 study of military terms in Turkic languages has a long history. Mahmud al-Kashgari collected and compiled many military words in his dictio</w:t>
      </w:r>
      <w:r>
        <w:rPr>
          <w:color w:val="000000"/>
          <w:sz w:val="28"/>
          <w:szCs w:val="28"/>
        </w:rPr>
        <w:t>nary, «Dīwān Lughāt at-Turk», covering military systems, management, equipment, and the art of war. Robert Dancoff, in his edition of the English translation of «Dīwān Lughāt at-Turk», classified military terms into different groups, such as disagreement a</w:t>
      </w:r>
      <w:r>
        <w:rPr>
          <w:color w:val="000000"/>
          <w:sz w:val="28"/>
          <w:szCs w:val="28"/>
        </w:rPr>
        <w:t>nd fighting, troops and tactics, weapons and armor, archery, etc [59, р. 17-265]. In 1950, the Russian historians B.D. Grekov, A.Y. Yakubovsky published their historical monograph, «The Golden Horde and Its Downfall» («Золотая Орда и Ее Падение»). In its s</w:t>
      </w:r>
      <w:r>
        <w:rPr>
          <w:color w:val="000000"/>
          <w:sz w:val="28"/>
          <w:szCs w:val="28"/>
        </w:rPr>
        <w:t>ixth chapter, the political structure of Golden Horde, the scholars studied the political and military system of the Golden Horde. They discussed and analyzed several Turko-Mongolian military official titles. The Hungarian scholar Istvan István Vásáry wrot</w:t>
      </w:r>
      <w:r>
        <w:rPr>
          <w:color w:val="000000"/>
          <w:sz w:val="28"/>
          <w:szCs w:val="28"/>
        </w:rPr>
        <w:t>e articles analyzing the military terminology of the Golden Horde, e.g., «daruga», «bökevul», etc. [10, р. 187-196; 61].</w:t>
      </w:r>
    </w:p>
    <w:p w14:paraId="47643F10" w14:textId="77777777" w:rsidR="00F74BAF" w:rsidRDefault="00737583">
      <w:pPr>
        <w:pBdr>
          <w:top w:val="nil"/>
          <w:left w:val="nil"/>
          <w:bottom w:val="nil"/>
          <w:right w:val="nil"/>
          <w:between w:val="nil"/>
        </w:pBdr>
        <w:ind w:firstLine="709"/>
        <w:jc w:val="both"/>
        <w:rPr>
          <w:b/>
          <w:bCs/>
          <w:color w:val="000000"/>
          <w:sz w:val="28"/>
          <w:szCs w:val="28"/>
        </w:rPr>
      </w:pPr>
      <w:r>
        <w:rPr>
          <w:color w:val="000000"/>
          <w:sz w:val="28"/>
          <w:szCs w:val="28"/>
        </w:rPr>
        <w:t>Meanwhile, studies of military terms have also been done on other historical Turkic sources. Chinese ethnic Uyghur researcher Abduqïrïm</w:t>
      </w:r>
      <w:r>
        <w:rPr>
          <w:color w:val="000000"/>
          <w:sz w:val="28"/>
          <w:szCs w:val="28"/>
        </w:rPr>
        <w:t xml:space="preserve"> Abulǧazï (pinyin: Abudukelimu Abulizi) wrote a postgraduate thesis on the topic of A study on the Military Words in «Compendium of the Turkic Dialects» (</w:t>
      </w:r>
      <w:r>
        <w:rPr>
          <w:sz w:val="28"/>
          <w:szCs w:val="28"/>
        </w:rPr>
        <w:t>«Dīwān Lughāt at-Turk»</w:t>
      </w:r>
      <w:r>
        <w:rPr>
          <w:color w:val="000000"/>
          <w:sz w:val="28"/>
          <w:szCs w:val="28"/>
        </w:rPr>
        <w:t>), focusing on the morphological and semantic analysis of the military terms whi</w:t>
      </w:r>
      <w:r>
        <w:rPr>
          <w:color w:val="000000"/>
          <w:sz w:val="28"/>
          <w:szCs w:val="28"/>
        </w:rPr>
        <w:t>ch occur in Mahmud al-Kashgari's «Dīwān Lughāt at-Turk». Gergely Csiky conducted linguistic research on military terms with Turko-Mongolian origin in the historical document «Tuzükät-i Tîmûr» [11, р. 439-490].</w:t>
      </w:r>
    </w:p>
    <w:p w14:paraId="6BD41743" w14:textId="77777777" w:rsidR="00F74BAF" w:rsidRDefault="00737583">
      <w:pPr>
        <w:pBdr>
          <w:top w:val="nil"/>
          <w:left w:val="nil"/>
          <w:bottom w:val="nil"/>
          <w:right w:val="nil"/>
          <w:between w:val="nil"/>
        </w:pBdr>
        <w:ind w:firstLine="709"/>
        <w:jc w:val="both"/>
        <w:rPr>
          <w:b/>
          <w:bCs/>
          <w:color w:val="000000"/>
          <w:sz w:val="28"/>
          <w:szCs w:val="28"/>
        </w:rPr>
      </w:pPr>
      <w:r>
        <w:rPr>
          <w:color w:val="000000"/>
          <w:sz w:val="28"/>
          <w:szCs w:val="28"/>
        </w:rPr>
        <w:t>«</w:t>
      </w:r>
      <w:r>
        <w:rPr>
          <w:sz w:val="28"/>
          <w:szCs w:val="28"/>
        </w:rPr>
        <w:t>Čingiz-nama</w:t>
      </w:r>
      <w:r>
        <w:rPr>
          <w:color w:val="000000"/>
          <w:sz w:val="28"/>
          <w:szCs w:val="28"/>
        </w:rPr>
        <w:t>» as a chronicle of the Jochid lin</w:t>
      </w:r>
      <w:r>
        <w:rPr>
          <w:color w:val="000000"/>
          <w:sz w:val="28"/>
          <w:szCs w:val="28"/>
        </w:rPr>
        <w:t>eage records several wars that the Golden Horde declared to other states, including the expedition to Russia, the conquest of the Caucasian region, the conflict with the Ilkhan Khanate, and the battles between Toqtamish Khan and Urus Khan, etc. Those detai</w:t>
      </w:r>
      <w:r>
        <w:rPr>
          <w:color w:val="000000"/>
          <w:sz w:val="28"/>
          <w:szCs w:val="28"/>
        </w:rPr>
        <w:t xml:space="preserve">led descriptions of wars and battles provide sufficient vocabulary related to military affairs and allow us to analyze those military words in terms of semantics. Meanwhile, the analysis can also offer us an insight into the military system and culture of </w:t>
      </w:r>
      <w:r>
        <w:rPr>
          <w:color w:val="000000"/>
          <w:sz w:val="28"/>
          <w:szCs w:val="28"/>
        </w:rPr>
        <w:t>the Golden Horde. Unlike in sedentary civilizations, the boundary between civilian and military life is indistinctive in a nomadic society; for instance, every adult man was a potentially skilled soldier, and hunting to obtain subsistence nourishment was a</w:t>
      </w:r>
      <w:r>
        <w:rPr>
          <w:color w:val="000000"/>
          <w:sz w:val="28"/>
          <w:szCs w:val="28"/>
        </w:rPr>
        <w:t>lso a military practice. The phenomenon has been thoroughly observed and recorded by their neighbors from China to the Middle East and the West [62]. Thus, there is no doubt that military affairs play an important role in the Golden Horde's society, and th</w:t>
      </w:r>
      <w:r>
        <w:rPr>
          <w:color w:val="000000"/>
          <w:sz w:val="28"/>
          <w:szCs w:val="28"/>
        </w:rPr>
        <w:t xml:space="preserve">is </w:t>
      </w:r>
      <w:r>
        <w:rPr>
          <w:sz w:val="28"/>
          <w:szCs w:val="28"/>
        </w:rPr>
        <w:t>dissertation</w:t>
      </w:r>
      <w:r>
        <w:rPr>
          <w:color w:val="000000"/>
          <w:sz w:val="28"/>
          <w:szCs w:val="28"/>
        </w:rPr>
        <w:t xml:space="preserve"> aims to depict this aspect of that society by conducting a semantic analysis of the military terms.</w:t>
      </w:r>
    </w:p>
    <w:p w14:paraId="428D45FF"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«Är» </w:t>
      </w:r>
    </w:p>
    <w:p w14:paraId="40C32DC4"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'warrior.' This word is an ancient Turkic word and initially only means 'a human male.' Är was first recorded in the Old Turkic inscri</w:t>
      </w:r>
      <w:r>
        <w:rPr>
          <w:color w:val="000000"/>
          <w:sz w:val="28"/>
          <w:szCs w:val="28"/>
        </w:rPr>
        <w:t xml:space="preserve">ptions, e.g., «inim Kül Tegin er at bulti.» 'my younger brother Kül Tegin received his adult name' (I: E, 31); «bay är» 'a rich man' (IrqB 5,7). Its plural form was «ärän», which was rarely used in the later period. In  the </w:t>
      </w:r>
      <w:r>
        <w:rPr>
          <w:sz w:val="28"/>
          <w:szCs w:val="28"/>
        </w:rPr>
        <w:t>«Dīwān Lughāt at-Turk»</w:t>
      </w:r>
      <w:r>
        <w:rPr>
          <w:color w:val="000000"/>
          <w:sz w:val="28"/>
          <w:szCs w:val="28"/>
        </w:rPr>
        <w:t>, M. Kashg</w:t>
      </w:r>
      <w:r>
        <w:rPr>
          <w:color w:val="000000"/>
          <w:sz w:val="28"/>
          <w:szCs w:val="28"/>
        </w:rPr>
        <w:t>ari refers to «är» as 'a human being, man. As time advanced, the semantic breadth of «är» has progressively extended. In Ottoman Turkish, this word indicates 'a human male; a husband [of a wife]; a brave man; an apt man; a clever man' [</w:t>
      </w:r>
      <w:r>
        <w:rPr>
          <w:sz w:val="28"/>
          <w:szCs w:val="28"/>
        </w:rPr>
        <w:t>53</w:t>
      </w:r>
      <w:r>
        <w:rPr>
          <w:color w:val="000000"/>
          <w:sz w:val="28"/>
          <w:szCs w:val="28"/>
        </w:rPr>
        <w:t xml:space="preserve">, р. 133-143; 63] </w:t>
      </w:r>
      <w:r>
        <w:rPr>
          <w:color w:val="000000"/>
          <w:sz w:val="28"/>
          <w:szCs w:val="28"/>
        </w:rPr>
        <w:t>Apart from the meanings above, in the Central Asian middle Turkic, «är» also indicates the meaning of 'hero, warrior.' «Är» was also used as an honorific title; this word only appears once in «</w:t>
      </w:r>
      <w:r>
        <w:rPr>
          <w:sz w:val="28"/>
          <w:szCs w:val="28"/>
        </w:rPr>
        <w:t>Čingiz-nama</w:t>
      </w:r>
      <w:r>
        <w:rPr>
          <w:color w:val="000000"/>
          <w:sz w:val="28"/>
          <w:szCs w:val="28"/>
        </w:rPr>
        <w:t>», being a respectful title rather than meaning 'war</w:t>
      </w:r>
      <w:r>
        <w:rPr>
          <w:color w:val="000000"/>
          <w:sz w:val="28"/>
          <w:szCs w:val="28"/>
        </w:rPr>
        <w:t>rior,' i.e., «qïlïč čapġan yurt ačġan är Šïbannïŋ oġlanlarï dur» 'They are the sons of Är Šïban who wielded the sword and established a yurt' [</w:t>
      </w:r>
      <w:r>
        <w:rPr>
          <w:sz w:val="28"/>
          <w:szCs w:val="28"/>
        </w:rPr>
        <w:t>44</w:t>
      </w:r>
      <w:r>
        <w:rPr>
          <w:color w:val="000000"/>
          <w:sz w:val="28"/>
          <w:szCs w:val="28"/>
        </w:rPr>
        <w:t xml:space="preserve">, р. </w:t>
      </w:r>
      <w:r>
        <w:rPr>
          <w:sz w:val="28"/>
          <w:szCs w:val="28"/>
        </w:rPr>
        <w:t>69</w:t>
      </w:r>
      <w:r>
        <w:rPr>
          <w:color w:val="000000"/>
          <w:sz w:val="28"/>
          <w:szCs w:val="28"/>
        </w:rPr>
        <w:t>]. The semantics of «är» is 'male; husband; human being; hero, warrior' [</w:t>
      </w:r>
      <w:r>
        <w:rPr>
          <w:sz w:val="28"/>
          <w:szCs w:val="28"/>
        </w:rPr>
        <w:t>45</w:t>
      </w:r>
      <w:r>
        <w:rPr>
          <w:color w:val="000000"/>
          <w:sz w:val="28"/>
          <w:szCs w:val="28"/>
        </w:rPr>
        <w:t>, рp. 328-329].</w:t>
      </w:r>
    </w:p>
    <w:p w14:paraId="1ABF81C9"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«Alp»</w:t>
      </w:r>
    </w:p>
    <w:p w14:paraId="3FE2BDBB"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'warrior, hero, brave.' According to Clauson, «alp» originally meant 'tough, resistant, hard to overcome,' and 'brave' is to describe persons and 'tough, hard' to objects [</w:t>
      </w:r>
      <w:r>
        <w:rPr>
          <w:sz w:val="28"/>
          <w:szCs w:val="28"/>
        </w:rPr>
        <w:t>26</w:t>
      </w:r>
      <w:r>
        <w:rPr>
          <w:color w:val="000000"/>
          <w:sz w:val="28"/>
          <w:szCs w:val="28"/>
        </w:rPr>
        <w:t xml:space="preserve">, pр. 127-128]. This word was first seen in the </w:t>
      </w:r>
      <w:r>
        <w:rPr>
          <w:sz w:val="28"/>
          <w:szCs w:val="28"/>
        </w:rPr>
        <w:t>eigh</w:t>
      </w:r>
      <w:r>
        <w:rPr>
          <w:color w:val="000000"/>
          <w:sz w:val="28"/>
          <w:szCs w:val="28"/>
        </w:rPr>
        <w:t>th century Old Turkic inscript</w:t>
      </w:r>
      <w:r>
        <w:rPr>
          <w:color w:val="000000"/>
          <w:sz w:val="28"/>
          <w:szCs w:val="28"/>
        </w:rPr>
        <w:t>ions, e.g., «ädgü bilgä kišig, ädgü alp kišig yortmaz ärmiš» 'They do not let wise men and brave men amount something' [KT: S, 6], [</w:t>
      </w:r>
      <w:r>
        <w:rPr>
          <w:sz w:val="28"/>
          <w:szCs w:val="28"/>
        </w:rPr>
        <w:t>31</w:t>
      </w:r>
      <w:r>
        <w:rPr>
          <w:color w:val="000000"/>
          <w:sz w:val="28"/>
          <w:szCs w:val="28"/>
        </w:rPr>
        <w:t xml:space="preserve">, р. 118]. It has been attested in the </w:t>
      </w:r>
      <w:r>
        <w:rPr>
          <w:sz w:val="28"/>
          <w:szCs w:val="28"/>
        </w:rPr>
        <w:t>eleven</w:t>
      </w:r>
      <w:r>
        <w:rPr>
          <w:color w:val="000000"/>
          <w:sz w:val="28"/>
          <w:szCs w:val="28"/>
        </w:rPr>
        <w:t xml:space="preserve">th century Turkic sources as well. For instance, there is a proverb recorded </w:t>
      </w:r>
      <w:r>
        <w:rPr>
          <w:color w:val="000000"/>
          <w:sz w:val="28"/>
          <w:szCs w:val="28"/>
        </w:rPr>
        <w:t>in the DLT: «alp yaġïda alčaq čoġïda» 'bravery is seen in war, modesty is seen in disputes' [64]. In «</w:t>
      </w:r>
      <w:r>
        <w:rPr>
          <w:sz w:val="28"/>
          <w:szCs w:val="28"/>
        </w:rPr>
        <w:t>Čingiz-nama</w:t>
      </w:r>
      <w:r>
        <w:rPr>
          <w:color w:val="000000"/>
          <w:sz w:val="28"/>
          <w:szCs w:val="28"/>
        </w:rPr>
        <w:t>», alp also indicates the meaning of warrior and is juxtaposed with «atġučï», e.g., «alp-atġučï» 'a warrior archer' [</w:t>
      </w:r>
      <w:r>
        <w:rPr>
          <w:sz w:val="28"/>
          <w:szCs w:val="28"/>
        </w:rPr>
        <w:t>44</w:t>
      </w:r>
      <w:r>
        <w:rPr>
          <w:color w:val="000000"/>
          <w:sz w:val="28"/>
          <w:szCs w:val="28"/>
        </w:rPr>
        <w:t>, р. 2-62]. In modern Ka</w:t>
      </w:r>
      <w:r>
        <w:rPr>
          <w:color w:val="000000"/>
          <w:sz w:val="28"/>
          <w:szCs w:val="28"/>
        </w:rPr>
        <w:t>zakh, the semantics of «alïp» is 'huge, great,' e.g., «alïp adam» 'great man' [</w:t>
      </w:r>
      <w:r>
        <w:rPr>
          <w:sz w:val="28"/>
          <w:szCs w:val="28"/>
        </w:rPr>
        <w:t>45</w:t>
      </w:r>
      <w:r>
        <w:rPr>
          <w:color w:val="000000"/>
          <w:sz w:val="28"/>
          <w:szCs w:val="28"/>
        </w:rPr>
        <w:t xml:space="preserve">, </w:t>
      </w:r>
      <w:r>
        <w:rPr>
          <w:sz w:val="28"/>
          <w:szCs w:val="28"/>
        </w:rPr>
        <w:t>p.</w:t>
      </w:r>
      <w:r>
        <w:rPr>
          <w:color w:val="000000"/>
          <w:sz w:val="28"/>
          <w:szCs w:val="28"/>
        </w:rPr>
        <w:t xml:space="preserve"> 472].</w:t>
      </w:r>
    </w:p>
    <w:p w14:paraId="7895943C"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«Bahadïr»</w:t>
      </w:r>
    </w:p>
    <w:p w14:paraId="1D64B1D1"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'warrior, hero.' «Bahadïr» has many variants among different periods, sources, and peoples, e.g., «bahadur», «batur», «batïr», «batar», etc. «Bahadïr» has</w:t>
      </w:r>
      <w:r>
        <w:rPr>
          <w:color w:val="000000"/>
          <w:sz w:val="28"/>
          <w:szCs w:val="28"/>
        </w:rPr>
        <w:t xml:space="preserve"> a long history and has been spread broadly in Altaic languages from Manchu to Ottoman Turkish. Clauson considers that this word can be traced back to the Xiongnu era and was a loanword borrowed from Mongolian at the early stage. The Turkic equivalent of «</w:t>
      </w:r>
      <w:r>
        <w:rPr>
          <w:color w:val="000000"/>
          <w:sz w:val="28"/>
          <w:szCs w:val="28"/>
        </w:rPr>
        <w:t>bahadïr» is «alpaġut» [</w:t>
      </w:r>
      <w:r>
        <w:rPr>
          <w:sz w:val="28"/>
          <w:szCs w:val="28"/>
        </w:rPr>
        <w:t>26</w:t>
      </w:r>
      <w:r>
        <w:rPr>
          <w:color w:val="000000"/>
          <w:sz w:val="28"/>
          <w:szCs w:val="28"/>
        </w:rPr>
        <w:t>, р. 313]. «Bahadïr» originally referred to 'brave man, courageousness,' then the meaning evolved into 'warrior' and became a name, an honorific title. In «</w:t>
      </w:r>
      <w:r>
        <w:rPr>
          <w:sz w:val="28"/>
          <w:szCs w:val="28"/>
        </w:rPr>
        <w:t>Čingiz-nama</w:t>
      </w:r>
      <w:r>
        <w:rPr>
          <w:color w:val="000000"/>
          <w:sz w:val="28"/>
          <w:szCs w:val="28"/>
        </w:rPr>
        <w:t>», the context implies that «Bahadïr» is in the sense of 'warrio</w:t>
      </w:r>
      <w:r>
        <w:rPr>
          <w:color w:val="000000"/>
          <w:sz w:val="28"/>
          <w:szCs w:val="28"/>
        </w:rPr>
        <w:t>r,' e.g., «bir jama'at bahādïrlarïnï ol yolġa ta'yīn qïlïp tururlar» '(He) sent a group of warriors into that way.' «Bahadïr» is «batïr» in Kazakh and possesses various meanings, such as 'hero,' 'an honorific title,' and 'warrior or skilled soldier' [</w:t>
      </w:r>
      <w:r>
        <w:rPr>
          <w:sz w:val="28"/>
          <w:szCs w:val="28"/>
        </w:rPr>
        <w:t>45</w:t>
      </w:r>
      <w:r>
        <w:rPr>
          <w:color w:val="000000"/>
          <w:sz w:val="28"/>
          <w:szCs w:val="28"/>
        </w:rPr>
        <w:t>, р</w:t>
      </w:r>
      <w:r>
        <w:rPr>
          <w:color w:val="000000"/>
          <w:sz w:val="28"/>
          <w:szCs w:val="28"/>
        </w:rPr>
        <w:t>. 112-113].</w:t>
      </w:r>
    </w:p>
    <w:p w14:paraId="3B0667AF"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«Qarawïl»/«qarawul»</w:t>
      </w:r>
    </w:p>
    <w:p w14:paraId="7FC4665C"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'guard.' «Qarawïl» is a derivative of the Mongolian verb «qara-» 'to look, to watch' with the Mongolian deverbal suffix «-AġUl», conveying the meaning of 'a group of reconnaissance, riding patrol' [</w:t>
      </w:r>
      <w:r>
        <w:rPr>
          <w:sz w:val="28"/>
          <w:szCs w:val="28"/>
        </w:rPr>
        <w:t>26</w:t>
      </w:r>
      <w:r>
        <w:rPr>
          <w:color w:val="000000"/>
          <w:sz w:val="28"/>
          <w:szCs w:val="28"/>
        </w:rPr>
        <w:t>, р. 399]. This word occ</w:t>
      </w:r>
      <w:r>
        <w:rPr>
          <w:color w:val="000000"/>
          <w:sz w:val="28"/>
          <w:szCs w:val="28"/>
        </w:rPr>
        <w:t>urs only twice in «</w:t>
      </w:r>
      <w:r>
        <w:rPr>
          <w:sz w:val="28"/>
          <w:szCs w:val="28"/>
        </w:rPr>
        <w:t>Čingiz-nama</w:t>
      </w:r>
      <w:r>
        <w:rPr>
          <w:color w:val="000000"/>
          <w:sz w:val="28"/>
          <w:szCs w:val="28"/>
        </w:rPr>
        <w:t xml:space="preserve">», e.g., «ol yürüšdä Šïban Hanġa otuz miŋ kiši qošup qarawïl yibärdi» 'Sayin Khan (Batu Khan) sent three thousand men with patrols' [8, р. 3-62]. In other sources, «qarawïl» can be attached with the Turkic suffix «-čI», e.g., </w:t>
      </w:r>
      <w:r>
        <w:rPr>
          <w:color w:val="000000"/>
          <w:sz w:val="28"/>
          <w:szCs w:val="28"/>
        </w:rPr>
        <w:t>«bir qarawulčïsï bar edi» 'he used to have a guard' [</w:t>
      </w:r>
      <w:r>
        <w:rPr>
          <w:sz w:val="28"/>
          <w:szCs w:val="28"/>
        </w:rPr>
        <w:t>28</w:t>
      </w:r>
      <w:r>
        <w:rPr>
          <w:color w:val="000000"/>
          <w:sz w:val="28"/>
          <w:szCs w:val="28"/>
        </w:rPr>
        <w:t>, р. 161] «Qarawïl» and «qarawïlčï» both exist in modern Kazakh and indicate the meaning of 'guard' [4</w:t>
      </w:r>
      <w:r>
        <w:rPr>
          <w:sz w:val="28"/>
          <w:szCs w:val="28"/>
        </w:rPr>
        <w:t>5</w:t>
      </w:r>
      <w:r>
        <w:rPr>
          <w:color w:val="000000"/>
          <w:sz w:val="28"/>
          <w:szCs w:val="28"/>
        </w:rPr>
        <w:t>, р. 357-358].</w:t>
      </w:r>
    </w:p>
    <w:p w14:paraId="2C97C3B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«Newkär» </w:t>
      </w:r>
    </w:p>
    <w:p w14:paraId="553B4945"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'royal guard.' «Newkär» is a Mongolian loanword, «nökör», borrowed into T</w:t>
      </w:r>
      <w:r>
        <w:rPr>
          <w:color w:val="000000"/>
          <w:sz w:val="28"/>
          <w:szCs w:val="28"/>
        </w:rPr>
        <w:t>urkic. The word's original meaning is 'companion, friend, comrade' [</w:t>
      </w:r>
      <w:r>
        <w:rPr>
          <w:sz w:val="28"/>
          <w:szCs w:val="28"/>
        </w:rPr>
        <w:t>24</w:t>
      </w:r>
      <w:r>
        <w:rPr>
          <w:color w:val="000000"/>
          <w:sz w:val="28"/>
          <w:szCs w:val="28"/>
        </w:rPr>
        <w:t>, р. 521]. During the Mongol Empire, the term consistently delivered the meaning of military servants to Khans or royals, and they were close and faithful to the Khans. In «Čingiz-Name»,</w:t>
      </w:r>
      <w:r>
        <w:rPr>
          <w:color w:val="000000"/>
          <w:sz w:val="28"/>
          <w:szCs w:val="28"/>
        </w:rPr>
        <w:t xml:space="preserve"> «newkär» appears up with the word «qul» 'slave' sometimes, e.g., «newkärlik», «qulliq etemiz…, qara kisigä qul-newkär bolup…» 'became slave-servant to an ordinary person.' [44, р. 83]. However, it does not mean «newkär» is a synonym for «qul» 'slave'; it </w:t>
      </w:r>
      <w:r>
        <w:rPr>
          <w:color w:val="000000"/>
          <w:sz w:val="28"/>
          <w:szCs w:val="28"/>
        </w:rPr>
        <w:t>is more likely to emphasize its servant function. Moreover, the duties of «nökör» or «newkär» varied under different circumstances. They were company when their Khan went out hunting in peacetime, took charge of the security of the Khan at war, and also co</w:t>
      </w:r>
      <w:r>
        <w:rPr>
          <w:color w:val="000000"/>
          <w:sz w:val="28"/>
          <w:szCs w:val="28"/>
        </w:rPr>
        <w:t>mmitted other military missions, like being a military leader, for example [</w:t>
      </w:r>
      <w:r>
        <w:rPr>
          <w:sz w:val="28"/>
          <w:szCs w:val="28"/>
        </w:rPr>
        <w:t>54, p.53</w:t>
      </w:r>
      <w:r>
        <w:rPr>
          <w:color w:val="000000"/>
          <w:sz w:val="28"/>
          <w:szCs w:val="28"/>
        </w:rPr>
        <w:t>]. Generally speaking, «newkärs» work as military escorts or guards, and «newkär» can be a synonym for «yasaq» 'soldier' in Turkic [</w:t>
      </w:r>
      <w:r>
        <w:rPr>
          <w:sz w:val="28"/>
          <w:szCs w:val="28"/>
        </w:rPr>
        <w:t>55</w:t>
      </w:r>
      <w:r>
        <w:rPr>
          <w:color w:val="000000"/>
          <w:sz w:val="28"/>
          <w:szCs w:val="28"/>
        </w:rPr>
        <w:t xml:space="preserve">, </w:t>
      </w:r>
      <w:r>
        <w:rPr>
          <w:sz w:val="28"/>
          <w:szCs w:val="28"/>
        </w:rPr>
        <w:t>p.</w:t>
      </w:r>
      <w:r>
        <w:rPr>
          <w:color w:val="000000"/>
          <w:sz w:val="28"/>
          <w:szCs w:val="28"/>
        </w:rPr>
        <w:t xml:space="preserve"> 246]. In modern Kazakh, «nöker» i</w:t>
      </w:r>
      <w:r>
        <w:rPr>
          <w:color w:val="000000"/>
          <w:sz w:val="28"/>
          <w:szCs w:val="28"/>
        </w:rPr>
        <w:t>s an archaic word meaning of 'the royal guard of a Khan or a noble' [</w:t>
      </w:r>
      <w:r>
        <w:rPr>
          <w:sz w:val="28"/>
          <w:szCs w:val="28"/>
        </w:rPr>
        <w:t>45</w:t>
      </w:r>
      <w:r>
        <w:rPr>
          <w:color w:val="000000"/>
          <w:sz w:val="28"/>
          <w:szCs w:val="28"/>
        </w:rPr>
        <w:t>, р. 572].</w:t>
      </w:r>
    </w:p>
    <w:p w14:paraId="5E76D274"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«Atġučï» </w:t>
      </w:r>
    </w:p>
    <w:p w14:paraId="0F7485AF"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'archer.' This word gives the meaning of 'archer.' This word is a derivative of the Turkic verb «at-» 'shoot' with the deverbal suffix «-gU» attached with the suffi</w:t>
      </w:r>
      <w:r>
        <w:rPr>
          <w:color w:val="000000"/>
          <w:sz w:val="28"/>
          <w:szCs w:val="28"/>
        </w:rPr>
        <w:t>x «-čI». The Mongolian counterpart of «atġučï» is «märgän», and they were most of the time interchangeable. However, «märgän» does not appear in «</w:t>
      </w:r>
      <w:r>
        <w:rPr>
          <w:sz w:val="28"/>
          <w:szCs w:val="28"/>
        </w:rPr>
        <w:t>Čingiz-nama</w:t>
      </w:r>
      <w:r>
        <w:rPr>
          <w:color w:val="000000"/>
          <w:sz w:val="28"/>
          <w:szCs w:val="28"/>
        </w:rPr>
        <w:t>», and «atġučï» occurs twice in the text. «Atġučï» is «atuwšï» in Kazakh and preserves its original</w:t>
      </w:r>
      <w:r>
        <w:rPr>
          <w:color w:val="000000"/>
          <w:sz w:val="28"/>
          <w:szCs w:val="28"/>
        </w:rPr>
        <w:t xml:space="preserve"> meaning. Meanwhile, «atġučï» also designates, in some dialects of Kazakh, the people in charge of the explosion at the mine site.  </w:t>
      </w:r>
    </w:p>
    <w:p w14:paraId="04394060"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«Qowġïn»</w:t>
      </w:r>
    </w:p>
    <w:p w14:paraId="23676663" w14:textId="77777777" w:rsidR="00F74BAF" w:rsidRDefault="00737583">
      <w:pPr>
        <w:pBdr>
          <w:top w:val="nil"/>
          <w:left w:val="nil"/>
          <w:bottom w:val="nil"/>
          <w:right w:val="nil"/>
          <w:between w:val="nil"/>
        </w:pBdr>
        <w:ind w:firstLine="709"/>
        <w:jc w:val="both"/>
        <w:rPr>
          <w:b/>
          <w:bCs/>
          <w:color w:val="000000"/>
          <w:sz w:val="28"/>
          <w:szCs w:val="28"/>
        </w:rPr>
      </w:pPr>
      <w:r>
        <w:rPr>
          <w:color w:val="000000"/>
          <w:sz w:val="28"/>
          <w:szCs w:val="28"/>
        </w:rPr>
        <w:t xml:space="preserve">'pursuing force.' This word is a derivative of the Turkic verb «qov-» 'to chase' combined with the formative </w:t>
      </w:r>
      <w:r>
        <w:rPr>
          <w:color w:val="000000"/>
          <w:sz w:val="28"/>
          <w:szCs w:val="28"/>
        </w:rPr>
        <w:t>«-GXn» [</w:t>
      </w:r>
      <w:r>
        <w:rPr>
          <w:sz w:val="28"/>
          <w:szCs w:val="28"/>
        </w:rPr>
        <w:t>56, p. 327</w:t>
      </w:r>
      <w:r>
        <w:rPr>
          <w:color w:val="000000"/>
          <w:sz w:val="28"/>
          <w:szCs w:val="28"/>
        </w:rPr>
        <w:t>]. «qowǧïn» is always followed with the verb «sal-» 'to put' in the text, e.g., «…özi bu ellär soŋïn qowǧïn saldï… »’ he dispatched a pursuing force to those tribes' [</w:t>
      </w:r>
      <w:r>
        <w:rPr>
          <w:sz w:val="28"/>
          <w:szCs w:val="28"/>
        </w:rPr>
        <w:t>44</w:t>
      </w:r>
      <w:r>
        <w:rPr>
          <w:color w:val="000000"/>
          <w:sz w:val="28"/>
          <w:szCs w:val="28"/>
        </w:rPr>
        <w:t>, р. 3-62]. «Qowġïn» is preserved in Kazakh as «quwġïn» and keeps the</w:t>
      </w:r>
      <w:r>
        <w:rPr>
          <w:color w:val="000000"/>
          <w:sz w:val="28"/>
          <w:szCs w:val="28"/>
        </w:rPr>
        <w:t xml:space="preserve"> same meaning [</w:t>
      </w:r>
      <w:r>
        <w:rPr>
          <w:sz w:val="28"/>
          <w:szCs w:val="28"/>
        </w:rPr>
        <w:t>45</w:t>
      </w:r>
      <w:r>
        <w:rPr>
          <w:color w:val="000000"/>
          <w:sz w:val="28"/>
          <w:szCs w:val="28"/>
        </w:rPr>
        <w:t>, р. 191].</w:t>
      </w:r>
    </w:p>
    <w:p w14:paraId="50CFB0B1" w14:textId="77777777" w:rsidR="00F74BAF" w:rsidRDefault="00737583">
      <w:pPr>
        <w:pBdr>
          <w:top w:val="nil"/>
          <w:left w:val="nil"/>
          <w:bottom w:val="nil"/>
          <w:right w:val="nil"/>
          <w:between w:val="nil"/>
        </w:pBdr>
        <w:ind w:firstLine="709"/>
        <w:jc w:val="both"/>
        <w:rPr>
          <w:color w:val="000000"/>
          <w:sz w:val="28"/>
          <w:szCs w:val="28"/>
        </w:rPr>
      </w:pPr>
      <w:r>
        <w:rPr>
          <w:b/>
          <w:bCs/>
          <w:color w:val="000000"/>
          <w:sz w:val="28"/>
          <w:szCs w:val="28"/>
        </w:rPr>
        <w:t>«</w:t>
      </w:r>
      <w:r>
        <w:rPr>
          <w:color w:val="000000"/>
          <w:sz w:val="28"/>
          <w:szCs w:val="28"/>
        </w:rPr>
        <w:t>Beg»</w:t>
      </w:r>
    </w:p>
    <w:p w14:paraId="4ABA5024"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'chief, lord.' The word is an ancient Turkic title with a long history, and first seen in old Turkic inscriptions, e.g., «bägläri yämä bodunï yämä tüz ärmiš ärinč» (I: E 3) 'both the tribe leaders and people were loyal' [31, р. 121]. G. Clauson considers </w:t>
      </w:r>
      <w:r>
        <w:rPr>
          <w:color w:val="000000"/>
          <w:sz w:val="28"/>
          <w:szCs w:val="28"/>
        </w:rPr>
        <w:t>that this word is a loanword from the ancient Chinese word 伯 («păk»/«p’ɒk»/«po»), which is convincing if we review Bernhard Karlgren's work, «Grammata Serica Recensa». B. Karlgren denotes the Chinese word 伯 [«păk»/«p’ɒk»/«po»] as feudal lord or chief [57</w:t>
      </w:r>
      <w:r>
        <w:rPr>
          <w:color w:val="000000"/>
          <w:sz w:val="28"/>
          <w:szCs w:val="28"/>
        </w:rPr>
        <w:t>, p. 207]. Both the word form and the semantics of 伯 («păk»/«p’ɒk»/«po») is coordinated with the Old Turkic «bäg» 'the head of a clan, or tribe, a subordinate chief' [26, р. 323]. In the «Dīwān Lughāt at-Turk», M. Kashgari notes that «beg» has a metaphori</w:t>
      </w:r>
      <w:r>
        <w:rPr>
          <w:color w:val="000000"/>
          <w:sz w:val="28"/>
          <w:szCs w:val="28"/>
        </w:rPr>
        <w:t>c meaning of 'a wife's husband' because 'a husband is like a «beg» in a family' [45, р. 216]. In the Golden Horde era, a «beg» was not only a ruling lord, but also a military duty in the army. Beg was an honorary title that was both inherent and obtainable</w:t>
      </w:r>
      <w:r>
        <w:rPr>
          <w:color w:val="000000"/>
          <w:sz w:val="28"/>
          <w:szCs w:val="28"/>
        </w:rPr>
        <w:t>. There are some military officer titles related to beg which does not occur «</w:t>
      </w:r>
      <w:r>
        <w:rPr>
          <w:sz w:val="28"/>
          <w:szCs w:val="28"/>
        </w:rPr>
        <w:t>Čingiz-nama</w:t>
      </w:r>
      <w:r>
        <w:rPr>
          <w:color w:val="000000"/>
          <w:sz w:val="28"/>
          <w:szCs w:val="28"/>
        </w:rPr>
        <w:t xml:space="preserve">», e.g., «yüzbegi» 'centurion/ an officer of a hundred soldiers', «mïŋbegi» 'an officer of a thousand soldiers', etc. In those cases, beg is more of a military leader </w:t>
      </w:r>
      <w:r>
        <w:rPr>
          <w:color w:val="000000"/>
          <w:sz w:val="28"/>
          <w:szCs w:val="28"/>
        </w:rPr>
        <w:t>than a clan chief.</w:t>
      </w:r>
    </w:p>
    <w:p w14:paraId="68A146BF" w14:textId="77777777" w:rsidR="00F74BAF" w:rsidRDefault="00737583">
      <w:pPr>
        <w:pBdr>
          <w:top w:val="nil"/>
          <w:left w:val="nil"/>
          <w:bottom w:val="nil"/>
          <w:right w:val="nil"/>
          <w:between w:val="nil"/>
        </w:pBdr>
        <w:jc w:val="both"/>
        <w:rPr>
          <w:color w:val="000000"/>
          <w:sz w:val="28"/>
          <w:szCs w:val="28"/>
        </w:rPr>
      </w:pPr>
      <w:r>
        <w:rPr>
          <w:color w:val="000000"/>
          <w:sz w:val="28"/>
          <w:szCs w:val="28"/>
        </w:rPr>
        <w:t>In the later Kazakh language, the word survives as «biy» due to phonetic changes, and its semantics have also varied. In the pre-modern time of Kazakh society, a «biy» was more like an eloquent judge who thoroughly knew the customs and t</w:t>
      </w:r>
      <w:r>
        <w:rPr>
          <w:color w:val="000000"/>
          <w:sz w:val="28"/>
          <w:szCs w:val="28"/>
        </w:rPr>
        <w:t>raditions [59, p. 332].</w:t>
      </w:r>
    </w:p>
    <w:p w14:paraId="0E240D25" w14:textId="77777777" w:rsidR="00F74BAF" w:rsidRDefault="00737583">
      <w:pPr>
        <w:pBdr>
          <w:top w:val="nil"/>
          <w:left w:val="nil"/>
          <w:bottom w:val="nil"/>
          <w:right w:val="nil"/>
          <w:between w:val="nil"/>
        </w:pBdr>
        <w:ind w:firstLine="720"/>
        <w:jc w:val="both"/>
        <w:rPr>
          <w:color w:val="000000"/>
          <w:sz w:val="28"/>
          <w:szCs w:val="28"/>
        </w:rPr>
      </w:pPr>
      <w:r>
        <w:rPr>
          <w:color w:val="000000"/>
          <w:sz w:val="28"/>
          <w:szCs w:val="28"/>
        </w:rPr>
        <w:t xml:space="preserve">«At» </w:t>
      </w:r>
    </w:p>
    <w:p w14:paraId="1818EC4E"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'horse.' This is an ancient Turkic word. It was first recorded in the </w:t>
      </w:r>
      <w:r>
        <w:rPr>
          <w:sz w:val="28"/>
          <w:szCs w:val="28"/>
        </w:rPr>
        <w:t>eigh</w:t>
      </w:r>
      <w:r>
        <w:rPr>
          <w:color w:val="000000"/>
          <w:sz w:val="28"/>
          <w:szCs w:val="28"/>
        </w:rPr>
        <w:t>th century Old Turkic inscriptions, e.g., «kültigin bašgu boz binip tägdi.» 'Kültigin rode a white horse and attacked' (I: E, 37); «ädgü özlük atïn, qar</w:t>
      </w:r>
      <w:r>
        <w:rPr>
          <w:color w:val="000000"/>
          <w:sz w:val="28"/>
          <w:szCs w:val="28"/>
        </w:rPr>
        <w:t xml:space="preserve">a kišin, kök täyäŋin sansïz kälürüp qop qottï» 'They sacrifised the coutless good horses, black sables, blue mice.' (II: S, 12) The term also frequently occurs in other old Turkic documents, e.g., «atïn yolïn yaġma lumčïsi iki yorïtdï» 'He sent two armies </w:t>
      </w:r>
      <w:r>
        <w:rPr>
          <w:color w:val="000000"/>
          <w:sz w:val="28"/>
          <w:szCs w:val="28"/>
        </w:rPr>
        <w:t xml:space="preserve">to conquer yaġma lumčïsi' (IrkB: 35). At is also noticeable in the </w:t>
      </w:r>
      <w:r>
        <w:rPr>
          <w:sz w:val="28"/>
          <w:szCs w:val="28"/>
        </w:rPr>
        <w:t>«Dīwān Lughāt at-Turk»</w:t>
      </w:r>
      <w:r>
        <w:rPr>
          <w:color w:val="000000"/>
          <w:sz w:val="28"/>
          <w:szCs w:val="28"/>
        </w:rPr>
        <w:t>, e.g., «qïqrïp atïġ kämšälim, qalqan süŋün čomšalïm.» 'They rush their horses in bursts of killing and kill the enemies with shields and spears' [</w:t>
      </w:r>
      <w:r>
        <w:rPr>
          <w:sz w:val="28"/>
          <w:szCs w:val="28"/>
        </w:rPr>
        <w:t>26</w:t>
      </w:r>
      <w:r>
        <w:rPr>
          <w:color w:val="000000"/>
          <w:sz w:val="28"/>
          <w:szCs w:val="28"/>
        </w:rPr>
        <w:t>, р. 335]. In «</w:t>
      </w:r>
      <w:r>
        <w:rPr>
          <w:sz w:val="28"/>
          <w:szCs w:val="28"/>
        </w:rPr>
        <w:t>Čin</w:t>
      </w:r>
      <w:r>
        <w:rPr>
          <w:sz w:val="28"/>
          <w:szCs w:val="28"/>
        </w:rPr>
        <w:t>giz-nama</w:t>
      </w:r>
      <w:r>
        <w:rPr>
          <w:color w:val="000000"/>
          <w:sz w:val="28"/>
          <w:szCs w:val="28"/>
        </w:rPr>
        <w:t>», at more likely implies 'a riding horse' or 'war horse,' and its snonyms also occur in the text, e.g., «yïlqï» 'horse' (most collectively), «biyä»’mare,' «baytal» '2-4 years old mare,' «dönän» '3-4 years old stallion' (&lt; mong) [</w:t>
      </w:r>
      <w:r>
        <w:rPr>
          <w:sz w:val="28"/>
          <w:szCs w:val="28"/>
        </w:rPr>
        <w:t>60, p. 15</w:t>
      </w:r>
      <w:r>
        <w:rPr>
          <w:color w:val="000000"/>
          <w:sz w:val="28"/>
          <w:szCs w:val="28"/>
        </w:rPr>
        <w:t xml:space="preserve">] (abbr. </w:t>
      </w:r>
      <w:r>
        <w:rPr>
          <w:color w:val="000000"/>
          <w:sz w:val="28"/>
          <w:szCs w:val="28"/>
        </w:rPr>
        <w:t>mong. = Mongolian), etc. It is noticeable that at played an important role in Turkic societies and is always connected with the war in the text, for horses are indispensable equipment in nomadic life. Cavalries are nomadic states' most advantageous militar</w:t>
      </w:r>
      <w:r>
        <w:rPr>
          <w:color w:val="000000"/>
          <w:sz w:val="28"/>
          <w:szCs w:val="28"/>
        </w:rPr>
        <w:t>y unit compared with other neighboring political powers. In modern Kazakh, at specifically implies a gelding, i.e., a castrated horse [</w:t>
      </w:r>
      <w:r>
        <w:rPr>
          <w:sz w:val="28"/>
          <w:szCs w:val="28"/>
        </w:rPr>
        <w:t>61</w:t>
      </w:r>
      <w:r>
        <w:rPr>
          <w:color w:val="000000"/>
          <w:sz w:val="28"/>
          <w:szCs w:val="28"/>
        </w:rPr>
        <w:t xml:space="preserve">, р. 513]. Meanwhile, «jïlqï» is the general name for horses. Meanwhile, its synonyms also mostly exist, e.g., «biye», </w:t>
      </w:r>
      <w:r>
        <w:rPr>
          <w:color w:val="000000"/>
          <w:sz w:val="28"/>
          <w:szCs w:val="28"/>
        </w:rPr>
        <w:t>«baytal», «dönen» 'one-year-old horse,' etc.</w:t>
      </w:r>
    </w:p>
    <w:p w14:paraId="0F2E3817"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«Böydä» </w:t>
      </w:r>
    </w:p>
    <w:p w14:paraId="7B2A9654"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'dagger.' This word is an ancient Turkic word. «Bögdä» can be found as «bügde» in the Old Turkic documents of the</w:t>
      </w:r>
      <w:r>
        <w:rPr>
          <w:sz w:val="28"/>
          <w:szCs w:val="28"/>
        </w:rPr>
        <w:t xml:space="preserve"> eigh</w:t>
      </w:r>
      <w:r>
        <w:rPr>
          <w:color w:val="000000"/>
          <w:sz w:val="28"/>
          <w:szCs w:val="28"/>
        </w:rPr>
        <w:t>th century, and its semantics was 'iron whip,' e.g., «süŋü qïlïč bögdä» 'The saber a</w:t>
      </w:r>
      <w:r>
        <w:rPr>
          <w:color w:val="000000"/>
          <w:sz w:val="28"/>
          <w:szCs w:val="28"/>
        </w:rPr>
        <w:t>nd the iron whip' [</w:t>
      </w:r>
      <w:r>
        <w:rPr>
          <w:sz w:val="28"/>
          <w:szCs w:val="28"/>
        </w:rPr>
        <w:t>26</w:t>
      </w:r>
      <w:r>
        <w:rPr>
          <w:color w:val="000000"/>
          <w:sz w:val="28"/>
          <w:szCs w:val="28"/>
        </w:rPr>
        <w:t xml:space="preserve">, р. 325.] In the </w:t>
      </w:r>
      <w:r>
        <w:rPr>
          <w:sz w:val="28"/>
          <w:szCs w:val="28"/>
        </w:rPr>
        <w:t>eleven</w:t>
      </w:r>
      <w:r>
        <w:rPr>
          <w:color w:val="000000"/>
          <w:sz w:val="28"/>
          <w:szCs w:val="28"/>
        </w:rPr>
        <w:t>th century, M. Kashgari recorded the meaning of «bügde» as 'dagger' [</w:t>
      </w:r>
      <w:r>
        <w:rPr>
          <w:sz w:val="28"/>
          <w:szCs w:val="28"/>
        </w:rPr>
        <w:t>62</w:t>
      </w:r>
      <w:r>
        <w:rPr>
          <w:color w:val="000000"/>
          <w:sz w:val="28"/>
          <w:szCs w:val="28"/>
        </w:rPr>
        <w:t>, р. 478]. «Böydä» occurs twice in the text of «</w:t>
      </w:r>
      <w:r>
        <w:rPr>
          <w:sz w:val="28"/>
          <w:szCs w:val="28"/>
        </w:rPr>
        <w:t>Čingiz-nama</w:t>
      </w:r>
      <w:r>
        <w:rPr>
          <w:color w:val="000000"/>
          <w:sz w:val="28"/>
          <w:szCs w:val="28"/>
        </w:rPr>
        <w:t>», e.g., «Böydä birlä sančïp tašġaru alïp čïqdïlar» '(He) stabbed (the head) with</w:t>
      </w:r>
      <w:r>
        <w:rPr>
          <w:color w:val="000000"/>
          <w:sz w:val="28"/>
          <w:szCs w:val="28"/>
        </w:rPr>
        <w:t xml:space="preserve"> the dagger and went outside.' This word has been generally replaced by the Persian word «qanjar» in modern Kazakh. </w:t>
      </w:r>
    </w:p>
    <w:p w14:paraId="2BD61BC3"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«Bïčaq»</w:t>
      </w:r>
    </w:p>
    <w:p w14:paraId="4FF3DC6F"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'knife.' «Bïčaq» is an ancient Turkic word, derived from the verb «bïč-» 'to cut' attached with -AK. It was first seen in the Old T</w:t>
      </w:r>
      <w:r>
        <w:rPr>
          <w:color w:val="000000"/>
          <w:sz w:val="28"/>
          <w:szCs w:val="28"/>
        </w:rPr>
        <w:t>urkic inscriptions, e.g., «yiti bičäkin» 'his sharp knife' [</w:t>
      </w:r>
      <w:r>
        <w:rPr>
          <w:sz w:val="28"/>
          <w:szCs w:val="28"/>
        </w:rPr>
        <w:t>26</w:t>
      </w:r>
      <w:r>
        <w:rPr>
          <w:color w:val="000000"/>
          <w:sz w:val="28"/>
          <w:szCs w:val="28"/>
        </w:rPr>
        <w:t xml:space="preserve">, р. 293] The word also appears in the Hakani language of the </w:t>
      </w:r>
      <w:r>
        <w:rPr>
          <w:sz w:val="28"/>
          <w:szCs w:val="28"/>
        </w:rPr>
        <w:t>eleven</w:t>
      </w:r>
      <w:r>
        <w:rPr>
          <w:color w:val="000000"/>
          <w:sz w:val="28"/>
          <w:szCs w:val="28"/>
        </w:rPr>
        <w:t>th century. M. Kashgari recorded the word as 'knife' [</w:t>
      </w:r>
      <w:r>
        <w:rPr>
          <w:sz w:val="28"/>
          <w:szCs w:val="28"/>
        </w:rPr>
        <w:t>26</w:t>
      </w:r>
      <w:r>
        <w:rPr>
          <w:color w:val="000000"/>
          <w:sz w:val="28"/>
          <w:szCs w:val="28"/>
        </w:rPr>
        <w:t>, р. 443.] Bïčaq survives as «pïšaq» in modern Kazakh and has little s</w:t>
      </w:r>
      <w:r>
        <w:rPr>
          <w:color w:val="000000"/>
          <w:sz w:val="28"/>
          <w:szCs w:val="28"/>
        </w:rPr>
        <w:t>emantic changes [</w:t>
      </w:r>
      <w:r>
        <w:rPr>
          <w:sz w:val="28"/>
          <w:szCs w:val="28"/>
        </w:rPr>
        <w:t>45</w:t>
      </w:r>
      <w:r>
        <w:rPr>
          <w:color w:val="000000"/>
          <w:sz w:val="28"/>
          <w:szCs w:val="28"/>
        </w:rPr>
        <w:t>, р. 417].</w:t>
      </w:r>
    </w:p>
    <w:p w14:paraId="595C6AEF"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«Yaraġ» </w:t>
      </w:r>
    </w:p>
    <w:p w14:paraId="497F4025"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'weapon.' «yaraġ» is an ancient Turkic word and a derivative of the verb yara- 'to be successful, beneficial, useful.' Its original meaning was 'opportunity; suitability, opportuneness' [</w:t>
      </w:r>
      <w:r>
        <w:rPr>
          <w:sz w:val="28"/>
          <w:szCs w:val="28"/>
        </w:rPr>
        <w:t>26</w:t>
      </w:r>
      <w:r>
        <w:rPr>
          <w:color w:val="000000"/>
          <w:sz w:val="28"/>
          <w:szCs w:val="28"/>
        </w:rPr>
        <w:t xml:space="preserve">, р. 962]. «Yaraġ» kept the </w:t>
      </w:r>
      <w:r>
        <w:rPr>
          <w:color w:val="000000"/>
          <w:sz w:val="28"/>
          <w:szCs w:val="28"/>
        </w:rPr>
        <w:t xml:space="preserve">same meaning in the Xakani language of the </w:t>
      </w:r>
      <w:r>
        <w:rPr>
          <w:sz w:val="28"/>
          <w:szCs w:val="28"/>
        </w:rPr>
        <w:t>eleven</w:t>
      </w:r>
      <w:r>
        <w:rPr>
          <w:color w:val="000000"/>
          <w:sz w:val="28"/>
          <w:szCs w:val="28"/>
        </w:rPr>
        <w:t xml:space="preserve">th century. In the Chagatay language, «yaraġ» had semantic change into 'instrument, implement, weapon; worthy.' «Yaraǧ» occurs frequently in </w:t>
      </w:r>
      <w:r>
        <w:rPr>
          <w:sz w:val="28"/>
          <w:szCs w:val="28"/>
        </w:rPr>
        <w:t>«Čingiz-nama»</w:t>
      </w:r>
      <w:r>
        <w:rPr>
          <w:color w:val="000000"/>
          <w:sz w:val="28"/>
          <w:szCs w:val="28"/>
        </w:rPr>
        <w:t xml:space="preserve"> designating the meaning of 'weapon', e.g., «yaraġ qï</w:t>
      </w:r>
      <w:r>
        <w:rPr>
          <w:color w:val="000000"/>
          <w:sz w:val="28"/>
          <w:szCs w:val="28"/>
        </w:rPr>
        <w:t>l-» 'preparing weapons.' In Kazakh, «yaraġ» survives as «jaraġ» and means 'weapon; necessary items' [</w:t>
      </w:r>
      <w:r>
        <w:rPr>
          <w:sz w:val="28"/>
          <w:szCs w:val="28"/>
        </w:rPr>
        <w:t>35</w:t>
      </w:r>
      <w:r>
        <w:rPr>
          <w:color w:val="000000"/>
          <w:sz w:val="28"/>
          <w:szCs w:val="28"/>
        </w:rPr>
        <w:t>, р. 71].</w:t>
      </w:r>
    </w:p>
    <w:p w14:paraId="31CCA5CE"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«Jebä»</w:t>
      </w:r>
    </w:p>
    <w:p w14:paraId="1301ABED"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'armour.' This word is a Mongolian loanword meaning 'armour' [</w:t>
      </w:r>
      <w:r>
        <w:rPr>
          <w:sz w:val="28"/>
          <w:szCs w:val="28"/>
        </w:rPr>
        <w:t>63, p. 104</w:t>
      </w:r>
      <w:r>
        <w:rPr>
          <w:color w:val="000000"/>
          <w:sz w:val="28"/>
          <w:szCs w:val="28"/>
        </w:rPr>
        <w:t xml:space="preserve">]. This word is not seen in modern Kazakh. </w:t>
      </w:r>
    </w:p>
    <w:p w14:paraId="422D5FA4"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«Jawšan»</w:t>
      </w:r>
    </w:p>
    <w:p w14:paraId="61BAE76D"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'chainmail.' «Jawšan» is a Persian loanword designating the meaning of 'chainmail.' According to I. Vasary, «jawšan» was a kind of lamellar chainmail with large breast-scales [</w:t>
      </w:r>
      <w:r>
        <w:rPr>
          <w:sz w:val="28"/>
          <w:szCs w:val="28"/>
        </w:rPr>
        <w:t>64, p. 443</w:t>
      </w:r>
      <w:r>
        <w:rPr>
          <w:color w:val="000000"/>
          <w:sz w:val="28"/>
          <w:szCs w:val="28"/>
        </w:rPr>
        <w:t>] This word does not survive in modern Kazakh.</w:t>
      </w:r>
    </w:p>
    <w:p w14:paraId="5A4D1A10"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«Qïlïč»</w:t>
      </w:r>
    </w:p>
    <w:p w14:paraId="5AEDAD01"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'sword.' «Qïlïč</w:t>
      </w:r>
      <w:r>
        <w:rPr>
          <w:color w:val="000000"/>
          <w:sz w:val="28"/>
          <w:szCs w:val="28"/>
        </w:rPr>
        <w:t>» is an ancient Turkic word that was first seen in the Old Turkic literature, e.g., «altun quruġsaqïmïn qïlïn käspän» 'Cutting my golden stomach with a sword.' (Irk: 8) [</w:t>
      </w:r>
      <w:r>
        <w:rPr>
          <w:sz w:val="28"/>
          <w:szCs w:val="28"/>
        </w:rPr>
        <w:t>65, p. 10-11</w:t>
      </w:r>
      <w:r>
        <w:rPr>
          <w:color w:val="000000"/>
          <w:sz w:val="28"/>
          <w:szCs w:val="28"/>
        </w:rPr>
        <w:t xml:space="preserve">]. This word also occurs in the </w:t>
      </w:r>
      <w:r>
        <w:rPr>
          <w:sz w:val="28"/>
          <w:szCs w:val="28"/>
        </w:rPr>
        <w:t>«Dīwān Lughāt at-Turk»</w:t>
      </w:r>
      <w:r>
        <w:rPr>
          <w:color w:val="000000"/>
          <w:sz w:val="28"/>
          <w:szCs w:val="28"/>
        </w:rPr>
        <w:t>, e.g., «qoš qïlïč q</w:t>
      </w:r>
      <w:r>
        <w:rPr>
          <w:color w:val="000000"/>
          <w:sz w:val="28"/>
          <w:szCs w:val="28"/>
        </w:rPr>
        <w:t>ïnqa sïġïmas» 'two swords cannot fit in one sheath' [</w:t>
      </w:r>
      <w:r>
        <w:rPr>
          <w:sz w:val="28"/>
          <w:szCs w:val="28"/>
        </w:rPr>
        <w:t>62</w:t>
      </w:r>
      <w:r>
        <w:rPr>
          <w:color w:val="000000"/>
          <w:sz w:val="28"/>
          <w:szCs w:val="28"/>
        </w:rPr>
        <w:t xml:space="preserve">, </w:t>
      </w:r>
      <w:r>
        <w:rPr>
          <w:sz w:val="28"/>
          <w:szCs w:val="28"/>
        </w:rPr>
        <w:t>p</w:t>
      </w:r>
      <w:r>
        <w:rPr>
          <w:color w:val="000000"/>
          <w:sz w:val="28"/>
          <w:szCs w:val="28"/>
        </w:rPr>
        <w:t>. 415]. «Qïlïč» occurs five times in </w:t>
      </w:r>
      <w:r>
        <w:rPr>
          <w:sz w:val="28"/>
          <w:szCs w:val="28"/>
        </w:rPr>
        <w:t>«Čingiz-nama»</w:t>
      </w:r>
      <w:r>
        <w:rPr>
          <w:color w:val="000000"/>
          <w:sz w:val="28"/>
          <w:szCs w:val="28"/>
        </w:rPr>
        <w:t>, and there is an interesting phrase involved with this word written in the text, which is «qïlïčsïz ġïlaf, yaqasïz köŋläk» 'a sheath without a swor</w:t>
      </w:r>
      <w:r>
        <w:rPr>
          <w:color w:val="000000"/>
          <w:sz w:val="28"/>
          <w:szCs w:val="28"/>
        </w:rPr>
        <w:t>d and a shirt without a collar.' This phrase expresses the metaphoric meaning of 'the state has no leader, and the women have no men' [</w:t>
      </w:r>
      <w:r>
        <w:rPr>
          <w:sz w:val="28"/>
          <w:szCs w:val="28"/>
        </w:rPr>
        <w:t>44</w:t>
      </w:r>
      <w:r>
        <w:rPr>
          <w:color w:val="000000"/>
          <w:sz w:val="28"/>
          <w:szCs w:val="28"/>
        </w:rPr>
        <w:t xml:space="preserve">, р. </w:t>
      </w:r>
      <w:r>
        <w:rPr>
          <w:sz w:val="28"/>
          <w:szCs w:val="28"/>
        </w:rPr>
        <w:t>5</w:t>
      </w:r>
      <w:r>
        <w:rPr>
          <w:color w:val="000000"/>
          <w:sz w:val="28"/>
          <w:szCs w:val="28"/>
        </w:rPr>
        <w:t xml:space="preserve">2]. This word survives in modern Kazakh and has little semantic change. </w:t>
      </w:r>
    </w:p>
    <w:p w14:paraId="6B12ED5B"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«Qamčï» </w:t>
      </w:r>
    </w:p>
    <w:p w14:paraId="5028AEC6"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'whip.' «Qamčï» is an ancient Turkic word, and Clauson considers that this word is a derivative of the verb «qam-» 'to flog.' «Qamčï» was first recorded in the </w:t>
      </w:r>
      <w:r>
        <w:rPr>
          <w:sz w:val="28"/>
          <w:szCs w:val="28"/>
        </w:rPr>
        <w:t>eigh</w:t>
      </w:r>
      <w:r>
        <w:rPr>
          <w:color w:val="000000"/>
          <w:sz w:val="28"/>
          <w:szCs w:val="28"/>
        </w:rPr>
        <w:t>th century Old Turkic literature, e.g., «qamčï yep» 'having been flogged' [</w:t>
      </w:r>
      <w:r>
        <w:rPr>
          <w:sz w:val="28"/>
          <w:szCs w:val="28"/>
        </w:rPr>
        <w:t>26</w:t>
      </w:r>
      <w:r>
        <w:rPr>
          <w:color w:val="000000"/>
          <w:sz w:val="28"/>
          <w:szCs w:val="28"/>
        </w:rPr>
        <w:t>, р. 626]. Kash</w:t>
      </w:r>
      <w:r>
        <w:rPr>
          <w:color w:val="000000"/>
          <w:sz w:val="28"/>
          <w:szCs w:val="28"/>
        </w:rPr>
        <w:t xml:space="preserve">gari records the original meanings and its extended meaning as 'the penis of a horse, bovine, camel' [64, </w:t>
      </w:r>
      <w:r>
        <w:rPr>
          <w:sz w:val="28"/>
          <w:szCs w:val="28"/>
        </w:rPr>
        <w:t>p.</w:t>
      </w:r>
      <w:r>
        <w:rPr>
          <w:color w:val="000000"/>
          <w:sz w:val="28"/>
          <w:szCs w:val="28"/>
        </w:rPr>
        <w:t xml:space="preserve"> 477]. This word occurs only once in «C</w:t>
      </w:r>
      <w:r>
        <w:rPr>
          <w:sz w:val="28"/>
          <w:szCs w:val="28"/>
        </w:rPr>
        <w:t>Čingiz-nama</w:t>
      </w:r>
      <w:r>
        <w:rPr>
          <w:color w:val="000000"/>
          <w:sz w:val="28"/>
          <w:szCs w:val="28"/>
        </w:rPr>
        <w:t>» and is attached with the denominal suffix -LA being a verb «qamčïla-» 'to flog with a whip.' Thi</w:t>
      </w:r>
      <w:r>
        <w:rPr>
          <w:color w:val="000000"/>
          <w:sz w:val="28"/>
          <w:szCs w:val="28"/>
        </w:rPr>
        <w:t>s word survives in modern Kazakh and has little semantic change.</w:t>
      </w:r>
    </w:p>
    <w:p w14:paraId="43C5BF5E"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«Qalqan»</w:t>
      </w:r>
    </w:p>
    <w:p w14:paraId="144B4009"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'shield.' This word first appeared in the Xakani language, and its original meaning has mostly stayed the same since M. Kashgari recorded it in the </w:t>
      </w:r>
      <w:r>
        <w:rPr>
          <w:sz w:val="28"/>
          <w:szCs w:val="28"/>
        </w:rPr>
        <w:t>«Dīwān Lughāt at-Turk»</w:t>
      </w:r>
      <w:r>
        <w:rPr>
          <w:color w:val="000000"/>
          <w:sz w:val="28"/>
          <w:szCs w:val="28"/>
        </w:rPr>
        <w:t>, which stat</w:t>
      </w:r>
      <w:r>
        <w:rPr>
          <w:color w:val="000000"/>
          <w:sz w:val="28"/>
          <w:szCs w:val="28"/>
        </w:rPr>
        <w:t>es that «qalqan» is in one of the dialects [</w:t>
      </w:r>
      <w:r>
        <w:rPr>
          <w:sz w:val="28"/>
          <w:szCs w:val="28"/>
        </w:rPr>
        <w:t>62</w:t>
      </w:r>
      <w:r>
        <w:rPr>
          <w:color w:val="000000"/>
          <w:sz w:val="28"/>
          <w:szCs w:val="28"/>
        </w:rPr>
        <w:t xml:space="preserve">, </w:t>
      </w:r>
      <w:r>
        <w:rPr>
          <w:sz w:val="28"/>
          <w:szCs w:val="28"/>
        </w:rPr>
        <w:t>pp.</w:t>
      </w:r>
      <w:r>
        <w:rPr>
          <w:color w:val="000000"/>
          <w:sz w:val="28"/>
          <w:szCs w:val="28"/>
        </w:rPr>
        <w:t xml:space="preserve"> 499-500.] This word occurs three times in «</w:t>
      </w:r>
      <w:r>
        <w:rPr>
          <w:sz w:val="28"/>
          <w:szCs w:val="28"/>
        </w:rPr>
        <w:t>Čingiz-nama</w:t>
      </w:r>
      <w:r>
        <w:rPr>
          <w:color w:val="000000"/>
          <w:sz w:val="28"/>
          <w:szCs w:val="28"/>
        </w:rPr>
        <w:t>», e.g., «qapsïz qalqan», 'a shield without leather.' In modern Kazakh, «qalqan» preserves its original meaning and has semantically developed into 's</w:t>
      </w:r>
      <w:r>
        <w:rPr>
          <w:color w:val="000000"/>
          <w:sz w:val="28"/>
          <w:szCs w:val="28"/>
        </w:rPr>
        <w:t>helter' and the metaphorical meaning 'earlobe' [</w:t>
      </w:r>
      <w:r>
        <w:rPr>
          <w:sz w:val="28"/>
          <w:szCs w:val="28"/>
        </w:rPr>
        <w:t>61</w:t>
      </w:r>
      <w:r>
        <w:rPr>
          <w:color w:val="000000"/>
          <w:sz w:val="28"/>
          <w:szCs w:val="28"/>
        </w:rPr>
        <w:t xml:space="preserve">, </w:t>
      </w:r>
      <w:r>
        <w:rPr>
          <w:sz w:val="28"/>
          <w:szCs w:val="28"/>
        </w:rPr>
        <w:t>p.</w:t>
      </w:r>
      <w:r>
        <w:rPr>
          <w:color w:val="000000"/>
          <w:sz w:val="28"/>
          <w:szCs w:val="28"/>
        </w:rPr>
        <w:t xml:space="preserve"> 142].</w:t>
      </w:r>
    </w:p>
    <w:p w14:paraId="25E4464E"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«Tolġa» </w:t>
      </w:r>
    </w:p>
    <w:p w14:paraId="4169D82E"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'helmet.' «Tolġa» is a loanword from the Mongolian word «doġulġa». Doerfer defines it as 'an iron helmet which the soldiers put on their heads.' (eiserner Helm, den die Soldaten am Schla</w:t>
      </w:r>
      <w:r>
        <w:rPr>
          <w:color w:val="000000"/>
          <w:sz w:val="28"/>
          <w:szCs w:val="28"/>
        </w:rPr>
        <w:t>chttage aufs Haupt tun) [</w:t>
      </w:r>
      <w:r>
        <w:rPr>
          <w:sz w:val="28"/>
          <w:szCs w:val="28"/>
        </w:rPr>
        <w:t>51</w:t>
      </w:r>
      <w:r>
        <w:rPr>
          <w:color w:val="000000"/>
          <w:sz w:val="28"/>
          <w:szCs w:val="28"/>
        </w:rPr>
        <w:t xml:space="preserve">, </w:t>
      </w:r>
      <w:r>
        <w:rPr>
          <w:sz w:val="28"/>
          <w:szCs w:val="28"/>
          <w:highlight w:val="white"/>
        </w:rPr>
        <w:t>p.</w:t>
      </w:r>
      <w:r>
        <w:rPr>
          <w:color w:val="000000"/>
          <w:sz w:val="28"/>
          <w:szCs w:val="28"/>
          <w:highlight w:val="white"/>
        </w:rPr>
        <w:t xml:space="preserve"> </w:t>
      </w:r>
      <w:r>
        <w:rPr>
          <w:color w:val="000000"/>
          <w:sz w:val="28"/>
          <w:szCs w:val="28"/>
        </w:rPr>
        <w:t>285]. The old Turkic word for 'helmet' was yusuq, which has been largely replaced by «tolġa»/«dulġa». «Tolġa» survives in Kazakh as «duwïlǧa» and has the semantics are barely changed.</w:t>
      </w:r>
    </w:p>
    <w:p w14:paraId="14973F3F"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«Oq» </w:t>
      </w:r>
    </w:p>
    <w:p w14:paraId="096201E5" w14:textId="77777777" w:rsidR="00F74BAF" w:rsidRDefault="00737583">
      <w:pPr>
        <w:pBdr>
          <w:top w:val="nil"/>
          <w:left w:val="nil"/>
          <w:bottom w:val="nil"/>
          <w:right w:val="nil"/>
          <w:between w:val="nil"/>
        </w:pBdr>
        <w:ind w:firstLine="709"/>
        <w:jc w:val="both"/>
        <w:rPr>
          <w:sz w:val="28"/>
          <w:szCs w:val="28"/>
        </w:rPr>
      </w:pPr>
      <w:r>
        <w:rPr>
          <w:color w:val="000000"/>
          <w:sz w:val="28"/>
          <w:szCs w:val="28"/>
        </w:rPr>
        <w:t>'arrow.' «Oq» is an ancient Turkic</w:t>
      </w:r>
      <w:r>
        <w:rPr>
          <w:color w:val="000000"/>
          <w:sz w:val="28"/>
          <w:szCs w:val="28"/>
        </w:rPr>
        <w:t xml:space="preserve"> word that was first seen in Old Turkic inscriptions, e.g., «yüz artuq oqun urtï» [I: E, 33] [</w:t>
      </w:r>
      <w:r>
        <w:rPr>
          <w:sz w:val="28"/>
          <w:szCs w:val="28"/>
        </w:rPr>
        <w:t>31</w:t>
      </w:r>
      <w:r>
        <w:rPr>
          <w:color w:val="000000"/>
          <w:sz w:val="28"/>
          <w:szCs w:val="28"/>
        </w:rPr>
        <w:t>, р. 121]. «Oq» also designated the social organization of Turkic society, sub-tribe, in the Old Turkic period, e.g., «on oq». «Oq» occurs once in «</w:t>
      </w:r>
      <w:r>
        <w:rPr>
          <w:sz w:val="28"/>
          <w:szCs w:val="28"/>
        </w:rPr>
        <w:t>Čingiz-nama</w:t>
      </w:r>
      <w:r>
        <w:rPr>
          <w:color w:val="000000"/>
          <w:sz w:val="28"/>
          <w:szCs w:val="28"/>
        </w:rPr>
        <w:t>»</w:t>
      </w:r>
      <w:r>
        <w:rPr>
          <w:color w:val="000000"/>
          <w:sz w:val="28"/>
          <w:szCs w:val="28"/>
        </w:rPr>
        <w:t xml:space="preserve"> and appears with «sadaq». The semantics of «oq» is extended to 'bullet' in modern Kazakh.</w:t>
      </w:r>
    </w:p>
    <w:p w14:paraId="0FEF75E7"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«Sadaq» </w:t>
      </w:r>
    </w:p>
    <w:p w14:paraId="708ACBDF"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'quiver.' Doerfer considers that «Sadaq» is a loanword borrowed from the Mogolian word «saġadaq» 'quiver.' The Turkic equivalence is «oqluq», which has been</w:t>
      </w:r>
      <w:r>
        <w:rPr>
          <w:color w:val="000000"/>
          <w:sz w:val="28"/>
          <w:szCs w:val="28"/>
        </w:rPr>
        <w:t xml:space="preserve"> largely replaced by «sadaq» among the Kypchak languages. What is more, the semantics of «sadaq» varies among the Kypchak languages, e.g., Tatar: «sadaq» 'quiver for the bow and arrows'; Kazakh: «sadaq» 'bow'; Kirghiz: «saadak» 'bow', «haġïðaq» 'wasp' [</w:t>
      </w:r>
      <w:r>
        <w:rPr>
          <w:sz w:val="28"/>
          <w:szCs w:val="28"/>
        </w:rPr>
        <w:t>60</w:t>
      </w:r>
      <w:r>
        <w:rPr>
          <w:color w:val="000000"/>
          <w:sz w:val="28"/>
          <w:szCs w:val="28"/>
        </w:rPr>
        <w:t>,</w:t>
      </w:r>
      <w:r>
        <w:rPr>
          <w:color w:val="000000"/>
          <w:sz w:val="28"/>
          <w:szCs w:val="28"/>
        </w:rPr>
        <w:t xml:space="preserve"> р. 168].</w:t>
      </w:r>
    </w:p>
    <w:p w14:paraId="17BC299E" w14:textId="77777777" w:rsidR="00F74BAF" w:rsidRDefault="00737583">
      <w:pPr>
        <w:pBdr>
          <w:top w:val="nil"/>
          <w:left w:val="nil"/>
          <w:bottom w:val="nil"/>
          <w:right w:val="nil"/>
          <w:between w:val="nil"/>
        </w:pBdr>
        <w:ind w:firstLine="720"/>
        <w:jc w:val="both"/>
        <w:rPr>
          <w:color w:val="000000"/>
          <w:sz w:val="28"/>
          <w:szCs w:val="28"/>
        </w:rPr>
      </w:pPr>
      <w:r>
        <w:rPr>
          <w:b/>
          <w:bCs/>
          <w:color w:val="000000"/>
          <w:sz w:val="28"/>
          <w:szCs w:val="28"/>
        </w:rPr>
        <w:t>«</w:t>
      </w:r>
      <w:r>
        <w:rPr>
          <w:color w:val="000000"/>
          <w:sz w:val="28"/>
          <w:szCs w:val="28"/>
        </w:rPr>
        <w:t xml:space="preserve">Yüz» </w:t>
      </w:r>
    </w:p>
    <w:p w14:paraId="289552C3"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'a unit of a hundred men.' «Yüz» is an ancient Turkic numeral word; its original meaning is 'a hundred', and it is sometimes roughly used for 'a great many.' [</w:t>
      </w:r>
      <w:r>
        <w:rPr>
          <w:sz w:val="28"/>
          <w:szCs w:val="28"/>
        </w:rPr>
        <w:t>26</w:t>
      </w:r>
      <w:r>
        <w:rPr>
          <w:color w:val="000000"/>
          <w:sz w:val="28"/>
          <w:szCs w:val="28"/>
        </w:rPr>
        <w:t>, р. 884]. In «</w:t>
      </w:r>
      <w:r>
        <w:rPr>
          <w:sz w:val="28"/>
          <w:szCs w:val="28"/>
        </w:rPr>
        <w:t>Čingiz-nama</w:t>
      </w:r>
      <w:r>
        <w:rPr>
          <w:color w:val="000000"/>
          <w:sz w:val="28"/>
          <w:szCs w:val="28"/>
        </w:rPr>
        <w:t xml:space="preserve">», «yüz» is used for a military unit that consists </w:t>
      </w:r>
      <w:r>
        <w:rPr>
          <w:color w:val="000000"/>
          <w:sz w:val="28"/>
          <w:szCs w:val="28"/>
        </w:rPr>
        <w:t>of a hundred soldiers, e.g., «Hannïŋ qašïnda kiši az qaldï, iki yüz kiši köp bolsa üč yüz kiši bolġay erdi» 'There are very few people around Khan, probably only two hundred or three hundred at most' [</w:t>
      </w:r>
      <w:r>
        <w:rPr>
          <w:sz w:val="28"/>
          <w:szCs w:val="28"/>
        </w:rPr>
        <w:t>44</w:t>
      </w:r>
      <w:r>
        <w:rPr>
          <w:color w:val="000000"/>
          <w:sz w:val="28"/>
          <w:szCs w:val="28"/>
        </w:rPr>
        <w:t>, pр. 3-62]. «Yüzbašï» was the commander of a unit of</w:t>
      </w:r>
      <w:r>
        <w:rPr>
          <w:color w:val="000000"/>
          <w:sz w:val="28"/>
          <w:szCs w:val="28"/>
        </w:rPr>
        <w:t xml:space="preserve"> a hundred men, but it does not occur in «</w:t>
      </w:r>
      <w:r>
        <w:rPr>
          <w:sz w:val="28"/>
          <w:szCs w:val="28"/>
        </w:rPr>
        <w:t>Čingiz-nama</w:t>
      </w:r>
      <w:r>
        <w:rPr>
          <w:color w:val="000000"/>
          <w:sz w:val="28"/>
          <w:szCs w:val="28"/>
        </w:rPr>
        <w:t xml:space="preserve">». «Yüz» survives in modern Kazakh as «jüz» and preserves its original meaning but no longer functions as a military unit. </w:t>
      </w:r>
    </w:p>
    <w:p w14:paraId="0394DDCF"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«Miŋ» </w:t>
      </w:r>
    </w:p>
    <w:p w14:paraId="010DEEF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'a unit of a thousand men.' «Miŋ» is an ancient Turkic numeral; its orig</w:t>
      </w:r>
      <w:r>
        <w:rPr>
          <w:color w:val="000000"/>
          <w:sz w:val="28"/>
          <w:szCs w:val="28"/>
        </w:rPr>
        <w:t xml:space="preserve">inal meaning is 'a thousand.' During the Golden Horde era, «Miŋ» designated a military unit consisting of a thousand soldiers. </w:t>
      </w:r>
    </w:p>
    <w:p w14:paraId="0E947BDB"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«Tümän» </w:t>
      </w:r>
    </w:p>
    <w:p w14:paraId="71602E0A"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'a unit of ten thousand men.' This word was originally a numeral indicating 'ten thousand' and also used for 'an indefi</w:t>
      </w:r>
      <w:r>
        <w:rPr>
          <w:color w:val="000000"/>
          <w:sz w:val="28"/>
          <w:szCs w:val="28"/>
        </w:rPr>
        <w:t>nitely large number.' «Tümän» has been seen at the early stage of Turkic history. Clauson considers this word to be borrowed from Tokharian [</w:t>
      </w:r>
      <w:r>
        <w:rPr>
          <w:sz w:val="28"/>
          <w:szCs w:val="28"/>
        </w:rPr>
        <w:t>26</w:t>
      </w:r>
      <w:r>
        <w:rPr>
          <w:color w:val="000000"/>
          <w:sz w:val="28"/>
          <w:szCs w:val="28"/>
        </w:rPr>
        <w:t xml:space="preserve">, р. 508]. In the Chiggisid states, «tümän» was always a military unit for ten thousand men. Also, it functioned </w:t>
      </w:r>
      <w:r>
        <w:rPr>
          <w:color w:val="000000"/>
          <w:sz w:val="28"/>
          <w:szCs w:val="28"/>
        </w:rPr>
        <w:t>as an administrative organisation for the region, which could provide ten thousand soldiers [</w:t>
      </w:r>
      <w:r>
        <w:rPr>
          <w:sz w:val="28"/>
          <w:szCs w:val="28"/>
        </w:rPr>
        <w:t>54</w:t>
      </w:r>
      <w:r>
        <w:rPr>
          <w:color w:val="000000"/>
          <w:sz w:val="28"/>
          <w:szCs w:val="28"/>
        </w:rPr>
        <w:t>, р. 94]. «Tümän» survives in modern Kazakh but as an archaic word [</w:t>
      </w:r>
      <w:r>
        <w:rPr>
          <w:sz w:val="28"/>
          <w:szCs w:val="28"/>
        </w:rPr>
        <w:t>59</w:t>
      </w:r>
      <w:r>
        <w:rPr>
          <w:color w:val="000000"/>
          <w:sz w:val="28"/>
          <w:szCs w:val="28"/>
        </w:rPr>
        <w:t>, б. 490].</w:t>
      </w:r>
    </w:p>
    <w:p w14:paraId="11D324CB"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«Qošun» </w:t>
      </w:r>
    </w:p>
    <w:p w14:paraId="6C3731DF"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'a type of military unit.' Doerfer considers that «qošun» is of </w:t>
      </w:r>
      <w:r>
        <w:rPr>
          <w:color w:val="000000"/>
          <w:sz w:val="28"/>
          <w:szCs w:val="28"/>
        </w:rPr>
        <w:t>Mongolian origin and means 'fighting unit.' The original Mongolian form was «qosiġun», which was 'advance guard', which semantically changed to 'smaller military unit' [</w:t>
      </w:r>
      <w:r>
        <w:rPr>
          <w:sz w:val="28"/>
          <w:szCs w:val="28"/>
        </w:rPr>
        <w:t>24</w:t>
      </w:r>
      <w:r>
        <w:rPr>
          <w:color w:val="000000"/>
          <w:sz w:val="28"/>
          <w:szCs w:val="28"/>
        </w:rPr>
        <w:t xml:space="preserve">, р. 282]. It is also possible that «qošun» is </w:t>
      </w:r>
      <w:r>
        <w:rPr>
          <w:sz w:val="28"/>
          <w:szCs w:val="28"/>
        </w:rPr>
        <w:t>derived</w:t>
      </w:r>
      <w:r>
        <w:rPr>
          <w:color w:val="000000"/>
          <w:sz w:val="28"/>
          <w:szCs w:val="28"/>
        </w:rPr>
        <w:t xml:space="preserve"> from the Turkic verb «qoš-» 't</w:t>
      </w:r>
      <w:r>
        <w:rPr>
          <w:color w:val="000000"/>
          <w:sz w:val="28"/>
          <w:szCs w:val="28"/>
        </w:rPr>
        <w:t>o gather, collect' attached with «-n» [</w:t>
      </w:r>
      <w:r>
        <w:rPr>
          <w:sz w:val="28"/>
          <w:szCs w:val="28"/>
        </w:rPr>
        <w:t>66</w:t>
      </w:r>
      <w:r>
        <w:rPr>
          <w:color w:val="000000"/>
          <w:sz w:val="28"/>
          <w:szCs w:val="28"/>
        </w:rPr>
        <w:t>, р. 453]. «Qošun» survives in modern Kazakh as «qosïn», and its original meaning of a military unit has been archaic; instead, «qosïn» designates 'military camp' [</w:t>
      </w:r>
      <w:r>
        <w:rPr>
          <w:sz w:val="28"/>
          <w:szCs w:val="28"/>
        </w:rPr>
        <w:t>67</w:t>
      </w:r>
      <w:r>
        <w:rPr>
          <w:color w:val="000000"/>
          <w:sz w:val="28"/>
          <w:szCs w:val="28"/>
        </w:rPr>
        <w:t>, р. 148].</w:t>
      </w:r>
    </w:p>
    <w:p w14:paraId="1C8125B6"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«Yasal» </w:t>
      </w:r>
    </w:p>
    <w:p w14:paraId="21906799"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'phalanx.' «Yasal» is a </w:t>
      </w:r>
      <w:r>
        <w:rPr>
          <w:sz w:val="28"/>
          <w:szCs w:val="28"/>
        </w:rPr>
        <w:t>Mongo</w:t>
      </w:r>
      <w:r>
        <w:rPr>
          <w:sz w:val="28"/>
          <w:szCs w:val="28"/>
        </w:rPr>
        <w:t>lian</w:t>
      </w:r>
      <w:r>
        <w:rPr>
          <w:color w:val="000000"/>
          <w:sz w:val="28"/>
          <w:szCs w:val="28"/>
        </w:rPr>
        <w:t xml:space="preserve"> loanword that is derived from the verb jasa- 'to arrange.' Doerfer records it as 'Order of battle, phalanx' [</w:t>
      </w:r>
      <w:r>
        <w:rPr>
          <w:sz w:val="28"/>
          <w:szCs w:val="28"/>
        </w:rPr>
        <w:t>24</w:t>
      </w:r>
      <w:r>
        <w:rPr>
          <w:color w:val="000000"/>
          <w:sz w:val="28"/>
          <w:szCs w:val="28"/>
        </w:rPr>
        <w:t xml:space="preserve">, р. 82]. This word </w:t>
      </w:r>
      <w:r>
        <w:rPr>
          <w:sz w:val="28"/>
          <w:szCs w:val="28"/>
        </w:rPr>
        <w:t>appears in</w:t>
      </w:r>
      <w:r>
        <w:rPr>
          <w:color w:val="000000"/>
          <w:sz w:val="28"/>
          <w:szCs w:val="28"/>
        </w:rPr>
        <w:t xml:space="preserve"> the text. «Yasal» does not survive in modern Kazakh. </w:t>
      </w:r>
    </w:p>
    <w:p w14:paraId="3BE32010"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«Qol»</w:t>
      </w:r>
    </w:p>
    <w:p w14:paraId="1351EA98"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'a wing of an army; squad; army.' «Qol» is an anc</w:t>
      </w:r>
      <w:r>
        <w:rPr>
          <w:color w:val="000000"/>
          <w:sz w:val="28"/>
          <w:szCs w:val="28"/>
        </w:rPr>
        <w:t>ient Turkic word. Its original meaning of «qol» is 'the upper arm', and its metaphoric meaning is 'a wing of an army' [</w:t>
      </w:r>
      <w:r>
        <w:rPr>
          <w:sz w:val="28"/>
          <w:szCs w:val="28"/>
        </w:rPr>
        <w:t>68, p. 37</w:t>
      </w:r>
      <w:r>
        <w:rPr>
          <w:color w:val="000000"/>
          <w:sz w:val="28"/>
          <w:szCs w:val="28"/>
        </w:rPr>
        <w:t>]. In «Čingiz-nama», «oŋ qol» 'ring wing' and «sol qol» 'left wing' occur several times, e.g., «oŋ qolnï Qïyat Mamay alïp el-gün</w:t>
      </w:r>
      <w:r>
        <w:rPr>
          <w:color w:val="000000"/>
          <w:sz w:val="28"/>
          <w:szCs w:val="28"/>
        </w:rPr>
        <w:t xml:space="preserve"> birlä Qïrïmġa ketdi.» 'Qïyat Mamay took the right wing and went to Crimea with his tribes' [</w:t>
      </w:r>
      <w:r>
        <w:rPr>
          <w:sz w:val="28"/>
          <w:szCs w:val="28"/>
        </w:rPr>
        <w:t>44</w:t>
      </w:r>
      <w:r>
        <w:rPr>
          <w:color w:val="000000"/>
          <w:sz w:val="28"/>
          <w:szCs w:val="28"/>
        </w:rPr>
        <w:t>, pр. 3-62]. The Mongolian synonyms are «baranġar» 'right-wing' and «javanġar» 'left-wing.' Apart from that, «qol» also means 'squds' or simply 'army', e.g., «qo</w:t>
      </w:r>
      <w:r>
        <w:rPr>
          <w:color w:val="000000"/>
          <w:sz w:val="28"/>
          <w:szCs w:val="28"/>
        </w:rPr>
        <w:t>l qol bolïp kelür erdilär» 'they came with a big army.' «Qol» preserves both its original meaning and metaphorical meanings in modern Kazakh [</w:t>
      </w:r>
      <w:r>
        <w:rPr>
          <w:sz w:val="28"/>
          <w:szCs w:val="28"/>
        </w:rPr>
        <w:t>67</w:t>
      </w:r>
      <w:r>
        <w:rPr>
          <w:color w:val="000000"/>
          <w:sz w:val="28"/>
          <w:szCs w:val="28"/>
        </w:rPr>
        <w:t>, р. 718.]</w:t>
      </w:r>
    </w:p>
    <w:p w14:paraId="48A18875"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«Čerig» </w:t>
      </w:r>
    </w:p>
    <w:p w14:paraId="77FCD607"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'army.' This is an ancient Turkic word, and Kashgari considers «čerig» is </w:t>
      </w:r>
      <w:r>
        <w:rPr>
          <w:sz w:val="28"/>
          <w:szCs w:val="28"/>
        </w:rPr>
        <w:t>derived</w:t>
      </w:r>
      <w:r>
        <w:rPr>
          <w:color w:val="000000"/>
          <w:sz w:val="28"/>
          <w:szCs w:val="28"/>
        </w:rPr>
        <w:t xml:space="preserve"> from «čär»</w:t>
      </w:r>
      <w:r>
        <w:rPr>
          <w:color w:val="000000"/>
          <w:sz w:val="28"/>
          <w:szCs w:val="28"/>
        </w:rPr>
        <w:t xml:space="preserve"> 'opposite'. However, Clauson denies this speculation in terms of morphology [</w:t>
      </w:r>
      <w:r>
        <w:rPr>
          <w:sz w:val="28"/>
          <w:szCs w:val="28"/>
        </w:rPr>
        <w:t>26</w:t>
      </w:r>
      <w:r>
        <w:rPr>
          <w:color w:val="000000"/>
          <w:sz w:val="28"/>
          <w:szCs w:val="28"/>
        </w:rPr>
        <w:t xml:space="preserve">, р. 428]. «Čerig» was first seen in the Old Turkic inscriptions, e.g., «šüŋüš bolsar, čärig ätär ärti». 'he was leading an army at a battle.' In the </w:t>
      </w:r>
      <w:r>
        <w:rPr>
          <w:sz w:val="28"/>
          <w:szCs w:val="28"/>
        </w:rPr>
        <w:t>eleven</w:t>
      </w:r>
      <w:r>
        <w:rPr>
          <w:color w:val="000000"/>
          <w:sz w:val="28"/>
          <w:szCs w:val="28"/>
        </w:rPr>
        <w:t>th century Xakani la</w:t>
      </w:r>
      <w:r>
        <w:rPr>
          <w:color w:val="000000"/>
          <w:sz w:val="28"/>
          <w:szCs w:val="28"/>
        </w:rPr>
        <w:t>nguage, the semantics of «čerig» was extended to designate 'battle line, battlefield', e.g., «alp čärigdä bilgä tärigda». 'The hero is tested on the battlefield' [</w:t>
      </w:r>
      <w:r>
        <w:rPr>
          <w:sz w:val="28"/>
          <w:szCs w:val="28"/>
        </w:rPr>
        <w:t>62, p.</w:t>
      </w:r>
      <w:r>
        <w:rPr>
          <w:color w:val="000000"/>
          <w:sz w:val="28"/>
          <w:szCs w:val="28"/>
        </w:rPr>
        <w:t xml:space="preserve"> 446]. «Čerig» appears six times in «</w:t>
      </w:r>
      <w:r>
        <w:rPr>
          <w:sz w:val="28"/>
          <w:szCs w:val="28"/>
        </w:rPr>
        <w:t>Čingiz-nama</w:t>
      </w:r>
      <w:r>
        <w:rPr>
          <w:color w:val="000000"/>
          <w:sz w:val="28"/>
          <w:szCs w:val="28"/>
        </w:rPr>
        <w:t xml:space="preserve">», and sometimes appears together with </w:t>
      </w:r>
      <w:r>
        <w:rPr>
          <w:color w:val="000000"/>
          <w:sz w:val="28"/>
          <w:szCs w:val="28"/>
        </w:rPr>
        <w:t>«yaraġ», i.e., «čerig yaraġ» 'army and weapon.' «Čerig» survives in modern Kazakh as «šerik»; «šerik» generally means 'crowd', and the meaning of 'army' has become archaic [</w:t>
      </w:r>
      <w:r>
        <w:rPr>
          <w:sz w:val="28"/>
          <w:szCs w:val="28"/>
        </w:rPr>
        <w:t>32</w:t>
      </w:r>
      <w:r>
        <w:rPr>
          <w:color w:val="000000"/>
          <w:sz w:val="28"/>
          <w:szCs w:val="28"/>
        </w:rPr>
        <w:t xml:space="preserve">, </w:t>
      </w:r>
      <w:r>
        <w:rPr>
          <w:sz w:val="28"/>
          <w:szCs w:val="28"/>
        </w:rPr>
        <w:t>p.</w:t>
      </w:r>
      <w:r>
        <w:rPr>
          <w:color w:val="000000"/>
          <w:sz w:val="28"/>
          <w:szCs w:val="28"/>
        </w:rPr>
        <w:t xml:space="preserve"> 346].</w:t>
      </w:r>
    </w:p>
    <w:p w14:paraId="39ABCF77"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«Laškar»</w:t>
      </w:r>
    </w:p>
    <w:p w14:paraId="0F42EB10"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'army.' «Laškar» is an Arabic loanword meaning 'army', and it</w:t>
      </w:r>
      <w:r>
        <w:rPr>
          <w:color w:val="000000"/>
          <w:sz w:val="28"/>
          <w:szCs w:val="28"/>
        </w:rPr>
        <w:t xml:space="preserve"> is the most frequently used military term in «</w:t>
      </w:r>
      <w:r>
        <w:rPr>
          <w:sz w:val="28"/>
          <w:szCs w:val="28"/>
        </w:rPr>
        <w:t>Čingiz-nama</w:t>
      </w:r>
      <w:r>
        <w:rPr>
          <w:color w:val="000000"/>
          <w:sz w:val="28"/>
          <w:szCs w:val="28"/>
        </w:rPr>
        <w:t xml:space="preserve">». </w:t>
      </w:r>
    </w:p>
    <w:p w14:paraId="15408EB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«Uruš» </w:t>
      </w:r>
    </w:p>
    <w:p w14:paraId="68AEF9E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'war, battle.' This word is an ancient Turkic word derived from the verb ur- 'to hit' attached with the deverbal «-Xš». «Uruš» first appeared in the Old Turkic inscriptions of the </w:t>
      </w:r>
      <w:r>
        <w:rPr>
          <w:sz w:val="28"/>
          <w:szCs w:val="28"/>
        </w:rPr>
        <w:t>eigh</w:t>
      </w:r>
      <w:r>
        <w:rPr>
          <w:color w:val="000000"/>
          <w:sz w:val="28"/>
          <w:szCs w:val="28"/>
        </w:rPr>
        <w:t>th</w:t>
      </w:r>
      <w:r>
        <w:rPr>
          <w:color w:val="000000"/>
          <w:sz w:val="28"/>
          <w:szCs w:val="28"/>
        </w:rPr>
        <w:t xml:space="preserve"> century, e.g., «äbkä tägdüküm, uruš qïlïp» 'I came back home after the battle'(Ongin, 11) [</w:t>
      </w:r>
      <w:r>
        <w:rPr>
          <w:sz w:val="28"/>
          <w:szCs w:val="28"/>
        </w:rPr>
        <w:t>31</w:t>
      </w:r>
      <w:r>
        <w:rPr>
          <w:color w:val="000000"/>
          <w:sz w:val="28"/>
          <w:szCs w:val="28"/>
        </w:rPr>
        <w:t xml:space="preserve">, р. 121]. It also occurs in the Xakani language of the </w:t>
      </w:r>
      <w:r>
        <w:rPr>
          <w:sz w:val="28"/>
          <w:szCs w:val="28"/>
        </w:rPr>
        <w:t>eleven</w:t>
      </w:r>
      <w:r>
        <w:rPr>
          <w:color w:val="000000"/>
          <w:sz w:val="28"/>
          <w:szCs w:val="28"/>
        </w:rPr>
        <w:t>th century, M. Kashgari defines «uruš» as 'fight; quarrel' [</w:t>
      </w:r>
      <w:r>
        <w:rPr>
          <w:sz w:val="28"/>
          <w:szCs w:val="28"/>
        </w:rPr>
        <w:t>62</w:t>
      </w:r>
      <w:r>
        <w:rPr>
          <w:color w:val="000000"/>
          <w:sz w:val="28"/>
          <w:szCs w:val="28"/>
        </w:rPr>
        <w:t xml:space="preserve">, </w:t>
      </w:r>
      <w:r>
        <w:rPr>
          <w:sz w:val="28"/>
          <w:szCs w:val="28"/>
        </w:rPr>
        <w:t>p.</w:t>
      </w:r>
      <w:r>
        <w:rPr>
          <w:color w:val="000000"/>
          <w:sz w:val="28"/>
          <w:szCs w:val="28"/>
        </w:rPr>
        <w:t xml:space="preserve"> 89]. In «</w:t>
      </w:r>
      <w:r>
        <w:rPr>
          <w:sz w:val="28"/>
          <w:szCs w:val="28"/>
        </w:rPr>
        <w:t>Čingiz-nama</w:t>
      </w:r>
      <w:r>
        <w:rPr>
          <w:color w:val="000000"/>
          <w:sz w:val="28"/>
          <w:szCs w:val="28"/>
        </w:rPr>
        <w:t>», «uruš» app</w:t>
      </w:r>
      <w:r>
        <w:rPr>
          <w:color w:val="000000"/>
          <w:sz w:val="28"/>
          <w:szCs w:val="28"/>
        </w:rPr>
        <w:t>ears after «qabap», meaning 'besiege' [</w:t>
      </w:r>
      <w:r>
        <w:rPr>
          <w:sz w:val="28"/>
          <w:szCs w:val="28"/>
        </w:rPr>
        <w:t>44</w:t>
      </w:r>
      <w:r>
        <w:rPr>
          <w:color w:val="000000"/>
          <w:sz w:val="28"/>
          <w:szCs w:val="28"/>
        </w:rPr>
        <w:t xml:space="preserve">, р. </w:t>
      </w:r>
      <w:r>
        <w:rPr>
          <w:sz w:val="28"/>
          <w:szCs w:val="28"/>
        </w:rPr>
        <w:t>7</w:t>
      </w:r>
      <w:r>
        <w:rPr>
          <w:color w:val="000000"/>
          <w:sz w:val="28"/>
          <w:szCs w:val="28"/>
        </w:rPr>
        <w:t xml:space="preserve">2]. «Uruš» is always followed with the verb «sal-» 'to put'; «uruš sal-» means 'to wage a war, to start a battle.' «Uruš» survives as «urïs» in Kazakh and has little semantic change. </w:t>
      </w:r>
    </w:p>
    <w:p w14:paraId="1BB54E49"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«Yürüš» </w:t>
      </w:r>
    </w:p>
    <w:p w14:paraId="158911AD"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'conquest.' «Yür</w:t>
      </w:r>
      <w:r>
        <w:rPr>
          <w:color w:val="000000"/>
          <w:sz w:val="28"/>
          <w:szCs w:val="28"/>
        </w:rPr>
        <w:t>üš» is derived from the Old Turkic verb «yori-» whose semantics are 'to walk, march' [</w:t>
      </w:r>
      <w:r>
        <w:rPr>
          <w:sz w:val="28"/>
          <w:szCs w:val="28"/>
        </w:rPr>
        <w:t>26</w:t>
      </w:r>
      <w:r>
        <w:rPr>
          <w:color w:val="000000"/>
          <w:sz w:val="28"/>
          <w:szCs w:val="28"/>
        </w:rPr>
        <w:t>, р. 957] and attached with the deverbal suffix «-Xš». However, the occurrence of «yürüš» is relatively late. «Yürüš» occurs only once in «</w:t>
      </w:r>
      <w:r>
        <w:rPr>
          <w:sz w:val="28"/>
          <w:szCs w:val="28"/>
        </w:rPr>
        <w:t>Čingiz-nama</w:t>
      </w:r>
      <w:r>
        <w:rPr>
          <w:color w:val="000000"/>
          <w:sz w:val="28"/>
          <w:szCs w:val="28"/>
        </w:rPr>
        <w:t>». The modern Kaza</w:t>
      </w:r>
      <w:r>
        <w:rPr>
          <w:color w:val="000000"/>
          <w:sz w:val="28"/>
          <w:szCs w:val="28"/>
        </w:rPr>
        <w:t>kh equivalence of «yürüš» is «jorïġ».</w:t>
      </w:r>
    </w:p>
    <w:p w14:paraId="4677D471"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«Turuš» </w:t>
      </w:r>
    </w:p>
    <w:p w14:paraId="7E1DCE89"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'confrontation.' This word is an ancient Turkic word that is derivative of the verb «tur-» 'remain, stay' with the deverbal suffix «-Xš». «Turuš» first appeared in Old Turkic inscriptions in the </w:t>
      </w:r>
      <w:r>
        <w:rPr>
          <w:sz w:val="28"/>
          <w:szCs w:val="28"/>
        </w:rPr>
        <w:t>eigh</w:t>
      </w:r>
      <w:r>
        <w:rPr>
          <w:color w:val="000000"/>
          <w:sz w:val="28"/>
          <w:szCs w:val="28"/>
        </w:rPr>
        <w:t>th century, e.g., «turuška barma» 'do not enter into confrontations' TT. This word occurs only once in «</w:t>
      </w:r>
      <w:r>
        <w:rPr>
          <w:sz w:val="28"/>
          <w:szCs w:val="28"/>
        </w:rPr>
        <w:t>Čingiz-nama</w:t>
      </w:r>
      <w:r>
        <w:rPr>
          <w:color w:val="000000"/>
          <w:sz w:val="28"/>
          <w:szCs w:val="28"/>
        </w:rPr>
        <w:t>», i .e., «Bular ham turuš bermäy uluġlarï qačtï». 'They also could not confront, and the seniors fled.' «Turuš» survives as «turïs» in moder</w:t>
      </w:r>
      <w:r>
        <w:rPr>
          <w:color w:val="000000"/>
          <w:sz w:val="28"/>
          <w:szCs w:val="28"/>
        </w:rPr>
        <w:t>n Kazakh, but the semantics are utterly different. «Turïs» describes the state that remains at one spot [</w:t>
      </w:r>
      <w:r>
        <w:rPr>
          <w:sz w:val="28"/>
          <w:szCs w:val="28"/>
        </w:rPr>
        <w:t>45</w:t>
      </w:r>
      <w:r>
        <w:rPr>
          <w:color w:val="000000"/>
          <w:sz w:val="28"/>
          <w:szCs w:val="28"/>
        </w:rPr>
        <w:t>, б. 439].</w:t>
      </w:r>
    </w:p>
    <w:p w14:paraId="588955A7"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«Fath» </w:t>
      </w:r>
    </w:p>
    <w:p w14:paraId="27A7D97C"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'conquest.' «Fath» is an Arabic loanword whose original semantics were 'conqueror.' However, «fath» in «</w:t>
      </w:r>
      <w:r>
        <w:rPr>
          <w:sz w:val="28"/>
          <w:szCs w:val="28"/>
        </w:rPr>
        <w:t>Čingiz-nama</w:t>
      </w:r>
      <w:r>
        <w:rPr>
          <w:color w:val="000000"/>
          <w:sz w:val="28"/>
          <w:szCs w:val="28"/>
        </w:rPr>
        <w:t>» means 'conque</w:t>
      </w:r>
      <w:r>
        <w:rPr>
          <w:color w:val="000000"/>
          <w:sz w:val="28"/>
          <w:szCs w:val="28"/>
        </w:rPr>
        <w:t>st' according to the context, e.g., «anï fath qïldï» '(he) conquered it' [</w:t>
      </w:r>
      <w:r>
        <w:rPr>
          <w:sz w:val="28"/>
          <w:szCs w:val="28"/>
        </w:rPr>
        <w:t>44</w:t>
      </w:r>
      <w:r>
        <w:rPr>
          <w:color w:val="000000"/>
          <w:sz w:val="28"/>
          <w:szCs w:val="28"/>
        </w:rPr>
        <w:t xml:space="preserve">, р. </w:t>
      </w:r>
      <w:r>
        <w:rPr>
          <w:sz w:val="28"/>
          <w:szCs w:val="28"/>
        </w:rPr>
        <w:t>73</w:t>
      </w:r>
      <w:r>
        <w:rPr>
          <w:color w:val="000000"/>
          <w:sz w:val="28"/>
          <w:szCs w:val="28"/>
        </w:rPr>
        <w:t>].</w:t>
      </w:r>
    </w:p>
    <w:p w14:paraId="6D4F4083"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«Ïlġar» </w:t>
      </w:r>
    </w:p>
    <w:p w14:paraId="146AD2F6"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'attack.' This word is a loanword of Mongolian origin. Doerfer records «ïlġar» as 'an attack on the enemy with the mounted elite' («ein Überfall auf den Feind </w:t>
      </w:r>
      <w:r>
        <w:rPr>
          <w:color w:val="000000"/>
          <w:sz w:val="28"/>
          <w:szCs w:val="28"/>
        </w:rPr>
        <w:t>[meist auf eine Stadt] mit berittene Elite») [</w:t>
      </w:r>
      <w:r>
        <w:rPr>
          <w:sz w:val="28"/>
          <w:szCs w:val="28"/>
        </w:rPr>
        <w:t>26</w:t>
      </w:r>
      <w:r>
        <w:rPr>
          <w:color w:val="000000"/>
          <w:sz w:val="28"/>
          <w:szCs w:val="28"/>
        </w:rPr>
        <w:t xml:space="preserve">, р. 193]. This word does not survives in modern Kazakh. </w:t>
      </w:r>
    </w:p>
    <w:p w14:paraId="612BD419" w14:textId="77777777" w:rsidR="00F74BAF" w:rsidRDefault="00737583">
      <w:pPr>
        <w:pBdr>
          <w:top w:val="nil"/>
          <w:left w:val="nil"/>
          <w:bottom w:val="nil"/>
          <w:right w:val="nil"/>
          <w:between w:val="nil"/>
        </w:pBdr>
        <w:ind w:firstLine="720"/>
        <w:jc w:val="both"/>
        <w:rPr>
          <w:color w:val="000000"/>
          <w:sz w:val="28"/>
          <w:szCs w:val="28"/>
        </w:rPr>
      </w:pPr>
      <w:r>
        <w:rPr>
          <w:b/>
          <w:bCs/>
          <w:color w:val="000000"/>
          <w:sz w:val="28"/>
          <w:szCs w:val="28"/>
        </w:rPr>
        <w:t>«</w:t>
      </w:r>
      <w:r>
        <w:rPr>
          <w:color w:val="000000"/>
          <w:sz w:val="28"/>
          <w:szCs w:val="28"/>
        </w:rPr>
        <w:t xml:space="preserve">Qal’a» </w:t>
      </w:r>
    </w:p>
    <w:p w14:paraId="6974ADC7"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'fortress; castle.' «Qal’a» is an Arabic loanword meaning 'fortress, castle.' «Qal’a» survives as «qala» in modern Kazakh, meaning 'city.'</w:t>
      </w:r>
    </w:p>
    <w:p w14:paraId="3C3B9E4F"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«Q</w:t>
      </w:r>
      <w:r>
        <w:rPr>
          <w:color w:val="000000"/>
          <w:sz w:val="28"/>
          <w:szCs w:val="28"/>
        </w:rPr>
        <w:t xml:space="preserve">alqa» </w:t>
      </w:r>
    </w:p>
    <w:p w14:paraId="56350F9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'fortress; castle.' Another variant of the above mentioned «qal’a».</w:t>
      </w:r>
    </w:p>
    <w:p w14:paraId="4CA329D5" w14:textId="77777777" w:rsidR="00F74BAF" w:rsidRDefault="00737583">
      <w:pPr>
        <w:pBdr>
          <w:top w:val="nil"/>
          <w:left w:val="nil"/>
          <w:bottom w:val="nil"/>
          <w:right w:val="nil"/>
          <w:between w:val="nil"/>
        </w:pBdr>
        <w:ind w:firstLine="720"/>
        <w:jc w:val="both"/>
        <w:rPr>
          <w:color w:val="000000"/>
          <w:sz w:val="28"/>
          <w:szCs w:val="28"/>
        </w:rPr>
      </w:pPr>
      <w:r>
        <w:rPr>
          <w:color w:val="000000"/>
          <w:sz w:val="28"/>
          <w:szCs w:val="28"/>
        </w:rPr>
        <w:t xml:space="preserve">«Tutqun» </w:t>
      </w:r>
    </w:p>
    <w:p w14:paraId="2A88A965"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'captive.' This word is a derivative of the Old Turkic verb «tut-» 'seize, hold' attached with the deverbal suffix «-GXn». «Tutqun» was first seen in the </w:t>
      </w:r>
      <w:r>
        <w:rPr>
          <w:sz w:val="28"/>
          <w:szCs w:val="28"/>
        </w:rPr>
        <w:t>eleven</w:t>
      </w:r>
      <w:r>
        <w:rPr>
          <w:color w:val="000000"/>
          <w:sz w:val="28"/>
          <w:szCs w:val="28"/>
        </w:rPr>
        <w:t xml:space="preserve">th century </w:t>
      </w:r>
      <w:r>
        <w:rPr>
          <w:color w:val="000000"/>
          <w:sz w:val="28"/>
          <w:szCs w:val="28"/>
        </w:rPr>
        <w:t>Xakani language, Kashgari record</w:t>
      </w:r>
      <w:r>
        <w:rPr>
          <w:sz w:val="28"/>
          <w:szCs w:val="28"/>
        </w:rPr>
        <w:t>s</w:t>
      </w:r>
      <w:r>
        <w:rPr>
          <w:color w:val="000000"/>
          <w:sz w:val="28"/>
          <w:szCs w:val="28"/>
        </w:rPr>
        <w:t xml:space="preserve"> this word into the </w:t>
      </w:r>
      <w:r>
        <w:rPr>
          <w:sz w:val="28"/>
          <w:szCs w:val="28"/>
        </w:rPr>
        <w:t>«Dīwān Lughāt at-Turk»</w:t>
      </w:r>
      <w:r>
        <w:rPr>
          <w:color w:val="000000"/>
          <w:sz w:val="28"/>
          <w:szCs w:val="28"/>
        </w:rPr>
        <w:t xml:space="preserve"> and gave the definition of 'captive' [</w:t>
      </w:r>
      <w:r>
        <w:rPr>
          <w:sz w:val="28"/>
          <w:szCs w:val="28"/>
        </w:rPr>
        <w:t>62</w:t>
      </w:r>
      <w:r>
        <w:rPr>
          <w:color w:val="000000"/>
          <w:sz w:val="28"/>
          <w:szCs w:val="28"/>
        </w:rPr>
        <w:t xml:space="preserve">, </w:t>
      </w:r>
      <w:r>
        <w:rPr>
          <w:sz w:val="28"/>
          <w:szCs w:val="28"/>
        </w:rPr>
        <w:t>p.</w:t>
      </w:r>
      <w:r>
        <w:rPr>
          <w:color w:val="000000"/>
          <w:sz w:val="28"/>
          <w:szCs w:val="28"/>
        </w:rPr>
        <w:t xml:space="preserve"> 496] «Tutqun» appears only once in «</w:t>
      </w:r>
      <w:r>
        <w:rPr>
          <w:sz w:val="28"/>
          <w:szCs w:val="28"/>
        </w:rPr>
        <w:t>Čingiz-nama</w:t>
      </w:r>
      <w:r>
        <w:rPr>
          <w:color w:val="000000"/>
          <w:sz w:val="28"/>
          <w:szCs w:val="28"/>
        </w:rPr>
        <w:t>». This word exists in all modern Turkic languages, [</w:t>
      </w:r>
      <w:r>
        <w:rPr>
          <w:sz w:val="28"/>
          <w:szCs w:val="28"/>
        </w:rPr>
        <w:t>26</w:t>
      </w:r>
      <w:r>
        <w:rPr>
          <w:color w:val="000000"/>
          <w:sz w:val="28"/>
          <w:szCs w:val="28"/>
        </w:rPr>
        <w:t>, р. 454] and its synonyms are «a</w:t>
      </w:r>
      <w:r>
        <w:rPr>
          <w:color w:val="000000"/>
          <w:sz w:val="28"/>
          <w:szCs w:val="28"/>
        </w:rPr>
        <w:t>sïr» and «yesir» in the text. «asïr» is a loanword from the Arabic «</w:t>
      </w:r>
      <w:r>
        <w:rPr>
          <w:color w:val="000000"/>
          <w:sz w:val="28"/>
          <w:szCs w:val="28"/>
          <w:rtl/>
        </w:rPr>
        <w:t>أسير</w:t>
      </w:r>
      <w:r>
        <w:rPr>
          <w:color w:val="000000"/>
          <w:sz w:val="28"/>
          <w:szCs w:val="28"/>
        </w:rPr>
        <w:t xml:space="preserve"> »[ʔasīr], and «yesir» is another variation of «asïr». «Tutqun» survives in modern Kazakh and preserves the same semantics.</w:t>
      </w:r>
    </w:p>
    <w:p w14:paraId="57D75970"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«Tüšken kiši» </w:t>
      </w:r>
    </w:p>
    <w:p w14:paraId="7B8EFE0B"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'captive.' This phrase comprises the deverbal</w:t>
      </w:r>
      <w:r>
        <w:rPr>
          <w:color w:val="000000"/>
          <w:sz w:val="28"/>
          <w:szCs w:val="28"/>
        </w:rPr>
        <w:t xml:space="preserve"> adjective «tüšken» 'fallen' and the noun «kiši» 'person', which conveys the meaning of 'captive.' This phrase occurs once in the text, and such an expression does not exist in modern Kazakh.</w:t>
      </w:r>
    </w:p>
    <w:p w14:paraId="37B4DC77"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«Yaġï» </w:t>
      </w:r>
    </w:p>
    <w:p w14:paraId="307A8D6F"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'enemy, hostile.' This word is an ancient Turkic word an</w:t>
      </w:r>
      <w:r>
        <w:rPr>
          <w:color w:val="000000"/>
          <w:sz w:val="28"/>
          <w:szCs w:val="28"/>
        </w:rPr>
        <w:t xml:space="preserve">d first occurred in the Old Turkic inscriptions of the eighth century, e.g., «tört buluŋ qop yaġï armïš» 'all four quarters of the world were hostile.' (II: E, 3). In the eleventh century, «yaġï» preserved its original meaning as recorded in the </w:t>
      </w:r>
      <w:r>
        <w:rPr>
          <w:sz w:val="28"/>
          <w:szCs w:val="28"/>
        </w:rPr>
        <w:t>«Dīwān Lug</w:t>
      </w:r>
      <w:r>
        <w:rPr>
          <w:sz w:val="28"/>
          <w:szCs w:val="28"/>
        </w:rPr>
        <w:t>hāt at-Turk»</w:t>
      </w:r>
      <w:r>
        <w:rPr>
          <w:color w:val="000000"/>
          <w:sz w:val="28"/>
          <w:szCs w:val="28"/>
        </w:rPr>
        <w:t xml:space="preserve"> [74, p. 124]. There is a Persian loanword, «dušman», equally used as «yaġï», but relatively less frequent. «yaġï» appears ten times in the text, and «dušman» occurs three times.</w:t>
      </w:r>
    </w:p>
    <w:p w14:paraId="6890AABF"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In modern Kazakh, «yaġï» turns into «jaw» due to the sound change</w:t>
      </w:r>
      <w:r>
        <w:rPr>
          <w:color w:val="000000"/>
          <w:sz w:val="28"/>
          <w:szCs w:val="28"/>
        </w:rPr>
        <w:t>s. «Jaw» preserves the meaning of 'enemy' and actively appears in various phrases and proverbs, e.g., «ata jaw» 'blood feud'; «jaw jetti, el köšti» 'the enemies came, the tribe moved,' this proverb is an expression of an unrest state [</w:t>
      </w:r>
      <w:r>
        <w:rPr>
          <w:sz w:val="28"/>
          <w:szCs w:val="28"/>
        </w:rPr>
        <w:t>69</w:t>
      </w:r>
      <w:r>
        <w:rPr>
          <w:color w:val="000000"/>
          <w:sz w:val="28"/>
          <w:szCs w:val="28"/>
        </w:rPr>
        <w:t>, р. 198].</w:t>
      </w:r>
    </w:p>
    <w:p w14:paraId="10F34FE9"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«Dušman»</w:t>
      </w:r>
      <w:r>
        <w:rPr>
          <w:color w:val="000000"/>
          <w:sz w:val="28"/>
          <w:szCs w:val="28"/>
        </w:rPr>
        <w:t xml:space="preserve"> </w:t>
      </w:r>
    </w:p>
    <w:p w14:paraId="614D4E0C"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'enemy.' This word is a Persian loanword and a synonym for «yaġï». Clauson points out that in the modern south-eastern and south-western branches of the Turkic language family, «dušman» has generally replaced «yaġï». However, «yaġï» occurs more frequentl</w:t>
      </w:r>
      <w:r>
        <w:rPr>
          <w:color w:val="000000"/>
          <w:sz w:val="28"/>
          <w:szCs w:val="28"/>
        </w:rPr>
        <w:t>y than «dušman» in «</w:t>
      </w:r>
      <w:r>
        <w:rPr>
          <w:sz w:val="28"/>
          <w:szCs w:val="28"/>
        </w:rPr>
        <w:t>Čingiz-nama</w:t>
      </w:r>
      <w:r>
        <w:rPr>
          <w:color w:val="000000"/>
          <w:sz w:val="28"/>
          <w:szCs w:val="28"/>
        </w:rPr>
        <w:t xml:space="preserve">». «Dušman» survives in modern Kazakh as «dušpan» and has little semantic change. </w:t>
      </w:r>
    </w:p>
    <w:p w14:paraId="6DB8093C" w14:textId="77777777" w:rsidR="00F74BAF" w:rsidRDefault="00737583">
      <w:pPr>
        <w:pBdr>
          <w:top w:val="nil"/>
          <w:left w:val="nil"/>
          <w:bottom w:val="nil"/>
          <w:right w:val="nil"/>
          <w:between w:val="nil"/>
        </w:pBdr>
        <w:ind w:firstLine="720"/>
        <w:jc w:val="both"/>
        <w:rPr>
          <w:color w:val="000000"/>
          <w:sz w:val="28"/>
          <w:szCs w:val="28"/>
        </w:rPr>
      </w:pPr>
      <w:r>
        <w:rPr>
          <w:color w:val="000000"/>
          <w:sz w:val="28"/>
          <w:szCs w:val="28"/>
        </w:rPr>
        <w:t>«</w:t>
      </w:r>
      <w:r>
        <w:rPr>
          <w:sz w:val="28"/>
          <w:szCs w:val="28"/>
        </w:rPr>
        <w:t>Čingiz-nama</w:t>
      </w:r>
      <w:r>
        <w:rPr>
          <w:color w:val="000000"/>
          <w:sz w:val="28"/>
          <w:szCs w:val="28"/>
        </w:rPr>
        <w:t xml:space="preserve">», a </w:t>
      </w:r>
      <w:r>
        <w:rPr>
          <w:sz w:val="28"/>
          <w:szCs w:val="28"/>
        </w:rPr>
        <w:t>sixteen</w:t>
      </w:r>
      <w:r>
        <w:rPr>
          <w:color w:val="000000"/>
          <w:sz w:val="28"/>
          <w:szCs w:val="28"/>
        </w:rPr>
        <w:t>th-century Turkic chronicle written in Chagatay, records historical events and presents detailed military affairs with</w:t>
      </w:r>
      <w:r>
        <w:rPr>
          <w:color w:val="000000"/>
          <w:sz w:val="28"/>
          <w:szCs w:val="28"/>
        </w:rPr>
        <w:t xml:space="preserve"> high research value. In this research, through statistics and semantic analysis, we divide the military terms into various groups and describe the collected military terms from semantics in detail. Therefore, we can observe some distinctive characteristic</w:t>
      </w:r>
      <w:r>
        <w:rPr>
          <w:color w:val="000000"/>
          <w:sz w:val="28"/>
          <w:szCs w:val="28"/>
        </w:rPr>
        <w:t>s and obtain the following results.</w:t>
      </w:r>
    </w:p>
    <w:p w14:paraId="48472BB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In sum, we collected 42 military terms; 25 words are of Turkic origin, nine are of </w:t>
      </w:r>
      <w:r>
        <w:rPr>
          <w:sz w:val="28"/>
          <w:szCs w:val="28"/>
        </w:rPr>
        <w:t>Mongolian</w:t>
      </w:r>
      <w:r>
        <w:rPr>
          <w:color w:val="000000"/>
          <w:sz w:val="28"/>
          <w:szCs w:val="28"/>
        </w:rPr>
        <w:t xml:space="preserve"> origin, and eight are of </w:t>
      </w:r>
      <w:r>
        <w:rPr>
          <w:sz w:val="28"/>
          <w:szCs w:val="28"/>
        </w:rPr>
        <w:t>Arabic-Persian</w:t>
      </w:r>
      <w:r>
        <w:rPr>
          <w:color w:val="000000"/>
          <w:sz w:val="28"/>
          <w:szCs w:val="28"/>
        </w:rPr>
        <w:t xml:space="preserve"> origin. Therefore, we can observe that in the </w:t>
      </w:r>
      <w:r>
        <w:rPr>
          <w:sz w:val="28"/>
          <w:szCs w:val="28"/>
        </w:rPr>
        <w:t>sixteen</w:t>
      </w:r>
      <w:r>
        <w:rPr>
          <w:color w:val="000000"/>
          <w:sz w:val="28"/>
          <w:szCs w:val="28"/>
        </w:rPr>
        <w:t xml:space="preserve">th century, Turkic words still occupied a predominant position in military terms (60%). Most Turkic military terms are rooted in Old Turkic, which reflects that the ancient Turkic military culture significantly contributed to the </w:t>
      </w:r>
      <w:r>
        <w:rPr>
          <w:sz w:val="28"/>
          <w:szCs w:val="28"/>
        </w:rPr>
        <w:t>sixteen</w:t>
      </w:r>
      <w:r>
        <w:rPr>
          <w:color w:val="000000"/>
          <w:sz w:val="28"/>
          <w:szCs w:val="28"/>
        </w:rPr>
        <w:t xml:space="preserve">th-century Central </w:t>
      </w:r>
      <w:r>
        <w:rPr>
          <w:color w:val="000000"/>
          <w:sz w:val="28"/>
          <w:szCs w:val="28"/>
        </w:rPr>
        <w:t>Asian Turkic society. A large number of Turkic military words are still preserved in modern Kazakh, with small semantic changes in most cases. Meanwhile, Mongolian loanwords take a large portion in military terms (21%). That indicates the profound impact o</w:t>
      </w:r>
      <w:r>
        <w:rPr>
          <w:color w:val="000000"/>
          <w:sz w:val="28"/>
          <w:szCs w:val="28"/>
        </w:rPr>
        <w:t>f the Mongol Empire's military system and culture on Central Asian society. Some Mongolian-origin military words survive in modern Kazakh and other Kypchak languages. Nevertheless, the military terms of Arabic-Persian origins are not negligible (19%). That</w:t>
      </w:r>
      <w:r>
        <w:rPr>
          <w:color w:val="000000"/>
          <w:sz w:val="28"/>
          <w:szCs w:val="28"/>
        </w:rPr>
        <w:t xml:space="preserve"> reflects that since the initiation of the Islamization of the Golden Horde, Arabic-Persian culture and languages have continuously influenced Central Asian Turkic-speaking people.</w:t>
      </w:r>
    </w:p>
    <w:p w14:paraId="6D6430E4"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Military terms in «</w:t>
      </w:r>
      <w:r>
        <w:rPr>
          <w:sz w:val="28"/>
          <w:szCs w:val="28"/>
        </w:rPr>
        <w:t>Čingiz-nama</w:t>
      </w:r>
      <w:r>
        <w:rPr>
          <w:color w:val="000000"/>
          <w:sz w:val="28"/>
          <w:szCs w:val="28"/>
        </w:rPr>
        <w:t>» have quite many synonyms. On the one hand, some synonyms due to language contact come from different languages. For example, «čerig» and «laškar» are synonyms for the meaning of 'army,' but the former is of Turkic origin, and the latter is of Arabic-Pers</w:t>
      </w:r>
      <w:r>
        <w:rPr>
          <w:color w:val="000000"/>
          <w:sz w:val="28"/>
          <w:szCs w:val="28"/>
        </w:rPr>
        <w:t>ian. On the other hand, the richness of synonyms is also the result of the development of the military culture of the Turkic people. Using a large number of synonyms increases the richness of expression, conveys the different senses more accurately, and en</w:t>
      </w:r>
      <w:r>
        <w:rPr>
          <w:color w:val="000000"/>
          <w:sz w:val="28"/>
          <w:szCs w:val="28"/>
        </w:rPr>
        <w:t xml:space="preserve">hances the vividness of the narrative. For instance, both «qarawïl» and «newkär» signify 'guard,' yet the former is a guard within a camp or a fortress, while the latter refers to the personal guards of a khan or nobles. And «är», «alp», and «bahadïr» all </w:t>
      </w:r>
      <w:r>
        <w:rPr>
          <w:color w:val="000000"/>
          <w:sz w:val="28"/>
          <w:szCs w:val="28"/>
        </w:rPr>
        <w:t>possess the meaning of 'warrior,' yet they exhibit subtle semantic differences in various contexts. The use of military synonyms in different situations shows that the Golden Horde had a detailed classification of the scale of war and tactics. For example,</w:t>
      </w:r>
      <w:r>
        <w:rPr>
          <w:color w:val="000000"/>
          <w:sz w:val="28"/>
          <w:szCs w:val="28"/>
        </w:rPr>
        <w:t xml:space="preserve"> when describing warfare, there are distinct terms like «uruš», «yurus», and «turuš» used in different contexts. </w:t>
      </w:r>
    </w:p>
    <w:p w14:paraId="37B483E1"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By analyzing military equipment words in «</w:t>
      </w:r>
      <w:r>
        <w:rPr>
          <w:sz w:val="28"/>
          <w:szCs w:val="28"/>
        </w:rPr>
        <w:t>Čingiz-nama</w:t>
      </w:r>
      <w:r>
        <w:rPr>
          <w:color w:val="000000"/>
          <w:sz w:val="28"/>
          <w:szCs w:val="28"/>
        </w:rPr>
        <w:t xml:space="preserve">», we can have a better understanding of the armament traditions of the Golden Horde and </w:t>
      </w:r>
      <w:r>
        <w:rPr>
          <w:color w:val="000000"/>
          <w:sz w:val="28"/>
          <w:szCs w:val="28"/>
        </w:rPr>
        <w:t>its successor khanates. In «</w:t>
      </w:r>
      <w:r>
        <w:rPr>
          <w:sz w:val="28"/>
          <w:szCs w:val="28"/>
        </w:rPr>
        <w:t>Čingiz-nama</w:t>
      </w:r>
      <w:r>
        <w:rPr>
          <w:color w:val="000000"/>
          <w:sz w:val="28"/>
          <w:szCs w:val="28"/>
        </w:rPr>
        <w:t>», weapons are collectively referred to as «yaraġ». The main attacking weapons include «böydä» 'dagger,' «bïčaq» 'knife,' «qïlïč» 'sword,' «qamčï» 'whip,' «oq» 'arrow,' «sadaq» 'quiver,' etc. Defensive equipment inclu</w:t>
      </w:r>
      <w:r>
        <w:rPr>
          <w:color w:val="000000"/>
          <w:sz w:val="28"/>
          <w:szCs w:val="28"/>
        </w:rPr>
        <w:t xml:space="preserve">des «qalqan» 'shields,' «tolġa» 'helmets,' «jebä» 'armor,' etc. At the same time, we can also observe </w:t>
      </w:r>
      <w:r>
        <w:rPr>
          <w:sz w:val="28"/>
          <w:szCs w:val="28"/>
        </w:rPr>
        <w:t>that</w:t>
      </w:r>
      <w:r>
        <w:rPr>
          <w:color w:val="000000"/>
          <w:sz w:val="28"/>
          <w:szCs w:val="28"/>
        </w:rPr>
        <w:t xml:space="preserve"> 'horse' is the most frequently appearing military equipment term in the text, reflecting the cavalry's significant position in the Golden Horde.</w:t>
      </w:r>
    </w:p>
    <w:p w14:paraId="23341BB1" w14:textId="77777777" w:rsidR="00F74BAF" w:rsidRDefault="00737583">
      <w:pPr>
        <w:pBdr>
          <w:top w:val="nil"/>
          <w:left w:val="nil"/>
          <w:bottom w:val="nil"/>
          <w:right w:val="nil"/>
          <w:between w:val="nil"/>
        </w:pBdr>
        <w:ind w:firstLine="709"/>
        <w:jc w:val="both"/>
        <w:rPr>
          <w:sz w:val="28"/>
          <w:szCs w:val="28"/>
        </w:rPr>
      </w:pPr>
      <w:r>
        <w:rPr>
          <w:color w:val="000000"/>
          <w:sz w:val="28"/>
          <w:szCs w:val="28"/>
        </w:rPr>
        <w:t>From</w:t>
      </w:r>
      <w:r>
        <w:rPr>
          <w:color w:val="000000"/>
          <w:sz w:val="28"/>
          <w:szCs w:val="28"/>
        </w:rPr>
        <w:t xml:space="preserve"> the analysis of military terms of «</w:t>
      </w:r>
      <w:r>
        <w:rPr>
          <w:sz w:val="28"/>
          <w:szCs w:val="28"/>
        </w:rPr>
        <w:t>Čingiz-nama</w:t>
      </w:r>
      <w:r>
        <w:rPr>
          <w:color w:val="000000"/>
          <w:sz w:val="28"/>
          <w:szCs w:val="28"/>
        </w:rPr>
        <w:t xml:space="preserve">», we can also learn about the military system and culture of the Golden Horde and the subsequent Turkic people in the </w:t>
      </w:r>
      <w:r>
        <w:rPr>
          <w:sz w:val="28"/>
          <w:szCs w:val="28"/>
        </w:rPr>
        <w:t>sixteen</w:t>
      </w:r>
      <w:r>
        <w:rPr>
          <w:color w:val="000000"/>
          <w:sz w:val="28"/>
          <w:szCs w:val="28"/>
        </w:rPr>
        <w:t>th century. The military affairs and political power in the Golden Horde were close</w:t>
      </w:r>
      <w:r>
        <w:rPr>
          <w:color w:val="000000"/>
          <w:sz w:val="28"/>
          <w:szCs w:val="28"/>
        </w:rPr>
        <w:t>ly linked, reflected in the integration of military, political, and economic affairs. For example, beg was not only a tribal leader but also was responsible for being as military leader. The military system of the Golden Horde was a decimal system construc</w:t>
      </w:r>
      <w:r>
        <w:rPr>
          <w:color w:val="000000"/>
          <w:sz w:val="28"/>
          <w:szCs w:val="28"/>
        </w:rPr>
        <w:t>ted from «yüz», «miŋ», and «tüman». «</w:t>
      </w:r>
      <w:r>
        <w:rPr>
          <w:sz w:val="28"/>
          <w:szCs w:val="28"/>
        </w:rPr>
        <w:t>n</w:t>
      </w:r>
      <w:r>
        <w:rPr>
          <w:color w:val="000000"/>
          <w:sz w:val="28"/>
          <w:szCs w:val="28"/>
        </w:rPr>
        <w:t>ewkär» is the personal guard around the Khans and a vital part of the Golden Horde system. They protect the security of the Khans in peacetime and accompany the army in wartime. In some cases, they are also military co</w:t>
      </w:r>
      <w:r>
        <w:rPr>
          <w:color w:val="000000"/>
          <w:sz w:val="28"/>
          <w:szCs w:val="28"/>
        </w:rPr>
        <w:t>mmanders.</w:t>
      </w:r>
    </w:p>
    <w:p w14:paraId="21171DAF" w14:textId="77777777" w:rsidR="00F74BAF" w:rsidRDefault="00F74BAF">
      <w:pPr>
        <w:pBdr>
          <w:top w:val="nil"/>
          <w:left w:val="nil"/>
          <w:bottom w:val="nil"/>
          <w:right w:val="nil"/>
          <w:between w:val="nil"/>
        </w:pBdr>
        <w:ind w:firstLine="709"/>
        <w:jc w:val="both"/>
        <w:rPr>
          <w:sz w:val="28"/>
          <w:szCs w:val="28"/>
        </w:rPr>
      </w:pPr>
    </w:p>
    <w:p w14:paraId="0EDA87E3" w14:textId="77777777" w:rsidR="00F74BAF" w:rsidRDefault="00737583">
      <w:pPr>
        <w:pBdr>
          <w:top w:val="nil"/>
          <w:left w:val="nil"/>
          <w:bottom w:val="nil"/>
          <w:right w:val="nil"/>
          <w:between w:val="nil"/>
        </w:pBdr>
        <w:ind w:firstLine="709"/>
        <w:jc w:val="both"/>
        <w:rPr>
          <w:b/>
          <w:bCs/>
          <w:color w:val="000000"/>
          <w:sz w:val="28"/>
          <w:szCs w:val="28"/>
        </w:rPr>
      </w:pPr>
      <w:r>
        <w:rPr>
          <w:b/>
          <w:bCs/>
          <w:color w:val="000000"/>
          <w:sz w:val="28"/>
          <w:szCs w:val="28"/>
        </w:rPr>
        <w:t>3.2. Socio-Political Terms</w:t>
      </w:r>
    </w:p>
    <w:p w14:paraId="709BC39D" w14:textId="77777777" w:rsidR="00F74BAF" w:rsidRDefault="00F74BAF">
      <w:pPr>
        <w:pBdr>
          <w:top w:val="nil"/>
          <w:left w:val="nil"/>
          <w:bottom w:val="nil"/>
          <w:right w:val="nil"/>
          <w:between w:val="nil"/>
        </w:pBdr>
        <w:ind w:firstLine="720"/>
        <w:jc w:val="both"/>
        <w:rPr>
          <w:b/>
          <w:bCs/>
          <w:sz w:val="16"/>
          <w:szCs w:val="16"/>
        </w:rPr>
      </w:pPr>
    </w:p>
    <w:p w14:paraId="22AC4810" w14:textId="77777777" w:rsidR="00F74BAF" w:rsidRDefault="00737583">
      <w:pPr>
        <w:pBdr>
          <w:top w:val="nil"/>
          <w:left w:val="nil"/>
          <w:bottom w:val="nil"/>
          <w:right w:val="nil"/>
          <w:between w:val="nil"/>
        </w:pBdr>
        <w:ind w:firstLine="720"/>
        <w:jc w:val="both"/>
        <w:rPr>
          <w:color w:val="000000"/>
          <w:sz w:val="28"/>
          <w:szCs w:val="28"/>
        </w:rPr>
      </w:pPr>
      <w:r>
        <w:rPr>
          <w:color w:val="000000"/>
          <w:sz w:val="28"/>
          <w:szCs w:val="28"/>
        </w:rPr>
        <w:t>In the following part, the study will describe and analyze the noble titles collected from the text of «</w:t>
      </w:r>
      <w:r>
        <w:rPr>
          <w:sz w:val="28"/>
          <w:szCs w:val="28"/>
        </w:rPr>
        <w:t>Čingiz-nama</w:t>
      </w:r>
      <w:r>
        <w:rPr>
          <w:color w:val="000000"/>
          <w:sz w:val="28"/>
          <w:szCs w:val="28"/>
        </w:rPr>
        <w:t xml:space="preserve">». The text is quoted from the work of Akushi Kawaguchi &amp; Hiroyuki Nagamine. </w:t>
      </w:r>
    </w:p>
    <w:p w14:paraId="46554230"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«Han» </w:t>
      </w:r>
    </w:p>
    <w:p w14:paraId="4FD90401"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'king, emperor.' </w:t>
      </w:r>
      <w:r>
        <w:rPr>
          <w:color w:val="000000"/>
          <w:sz w:val="28"/>
          <w:szCs w:val="28"/>
        </w:rPr>
        <w:t>«Han» is the synonym with «qaġan», which was an ancient title of the Eurasian nomadic society. Scholars have various opinions regarding the connection between «Han» and «Qaġan». Clauson believes that «han» is a re-borrowed word from Mongolian «qaġan»-«qa’a</w:t>
      </w:r>
      <w:r>
        <w:rPr>
          <w:color w:val="000000"/>
          <w:sz w:val="28"/>
          <w:szCs w:val="28"/>
        </w:rPr>
        <w:t>n», which was rooted in Old Turkic «qaġan» [</w:t>
      </w:r>
      <w:r>
        <w:rPr>
          <w:sz w:val="28"/>
          <w:szCs w:val="28"/>
        </w:rPr>
        <w:t>26</w:t>
      </w:r>
      <w:r>
        <w:rPr>
          <w:color w:val="000000"/>
          <w:sz w:val="28"/>
          <w:szCs w:val="28"/>
        </w:rPr>
        <w:t xml:space="preserve">, р. 611]. «Qaġan» was first officially recorded in the Chinese historical source «Wei-Shu», compiled in the middle of the </w:t>
      </w:r>
      <w:r>
        <w:rPr>
          <w:sz w:val="28"/>
          <w:szCs w:val="28"/>
        </w:rPr>
        <w:t>six</w:t>
      </w:r>
      <w:r>
        <w:rPr>
          <w:color w:val="000000"/>
          <w:sz w:val="28"/>
          <w:szCs w:val="28"/>
        </w:rPr>
        <w:t>th century. In it, «qaġan» was the title of the supreme leader of the Rouran Khagana</w:t>
      </w:r>
      <w:r>
        <w:rPr>
          <w:color w:val="000000"/>
          <w:sz w:val="28"/>
          <w:szCs w:val="28"/>
        </w:rPr>
        <w:t>te and the Tuyuhun [</w:t>
      </w:r>
      <w:r>
        <w:rPr>
          <w:sz w:val="28"/>
          <w:szCs w:val="28"/>
        </w:rPr>
        <w:t>70, p. 106</w:t>
      </w:r>
      <w:r>
        <w:rPr>
          <w:color w:val="000000"/>
          <w:sz w:val="28"/>
          <w:szCs w:val="28"/>
        </w:rPr>
        <w:t>]. However, Pulleyblank thinks that «qaġan» can be traced back as early as the period of the Xiongnu [</w:t>
      </w:r>
      <w:r>
        <w:rPr>
          <w:sz w:val="28"/>
          <w:szCs w:val="28"/>
        </w:rPr>
        <w:t>26</w:t>
      </w:r>
      <w:r>
        <w:rPr>
          <w:color w:val="000000"/>
          <w:sz w:val="28"/>
          <w:szCs w:val="28"/>
        </w:rPr>
        <w:t>, р. 611]. Doerfer considers «qaġan» was referred to as the greater Khan, the supreme leader of the nomadic tribal confede</w:t>
      </w:r>
      <w:r>
        <w:rPr>
          <w:color w:val="000000"/>
          <w:sz w:val="28"/>
          <w:szCs w:val="28"/>
        </w:rPr>
        <w:t>ration, and «qan» was somewhat inferior and the leader of sub-tribes who submitted to the great Khan [</w:t>
      </w:r>
      <w:r>
        <w:rPr>
          <w:sz w:val="28"/>
          <w:szCs w:val="28"/>
        </w:rPr>
        <w:t>71, p. 141</w:t>
      </w:r>
      <w:r>
        <w:rPr>
          <w:color w:val="000000"/>
          <w:sz w:val="28"/>
          <w:szCs w:val="28"/>
        </w:rPr>
        <w:t>]. Nevertheless, after the Mongol invasion, the title «han» became more popular than «qaġan» in the Central Asian nomadic society.</w:t>
      </w:r>
    </w:p>
    <w:p w14:paraId="537B68AA"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Meanwhile, si</w:t>
      </w:r>
      <w:r>
        <w:rPr>
          <w:color w:val="0E101A"/>
          <w:sz w:val="28"/>
          <w:szCs w:val="28"/>
        </w:rPr>
        <w:t>nce Genghis Khan's conquests, the entitlement of «han» in the Eurasian plain was exclusively combined with the lineage of the Genghisid family, as is shown in the record of «Čingiz-nama». The book records a power struggle in which a non-Genghisid contender</w:t>
      </w:r>
      <w:r>
        <w:rPr>
          <w:color w:val="0E101A"/>
          <w:sz w:val="28"/>
          <w:szCs w:val="28"/>
        </w:rPr>
        <w:t>, so-called «Bājïr Toq Buġa», claimed himself as «han» (Khan), but soon later, he was toppled and deadly punished for his attempted arrogation. In «Čingiz-nama», the Golden Horde's power transition had several means. Apart from the requirement mentioned ea</w:t>
      </w:r>
      <w:r>
        <w:rPr>
          <w:color w:val="0E101A"/>
          <w:sz w:val="28"/>
          <w:szCs w:val="28"/>
        </w:rPr>
        <w:t>rlier that Genghis Khan's descendants must inherit the Khan of the Golden Horde, the previous Khan's direct male descendants have priority in inheritance. However, during power struggles within the royal family, male heirs from other Genghisid lineages may</w:t>
      </w:r>
      <w:r>
        <w:rPr>
          <w:color w:val="0E101A"/>
          <w:sz w:val="28"/>
          <w:szCs w:val="28"/>
        </w:rPr>
        <w:t xml:space="preserve"> also be elected as Khan with the support of the «Begs», the military aristocrats. When «han» is attached with the formative suffix «-lïġ» [56, р. 139], «hanlïġ» gives the meaning of the sovereignty of the Khan, which can be translated as kingdom or realm.</w:t>
      </w:r>
      <w:r>
        <w:rPr>
          <w:color w:val="0E101A"/>
          <w:sz w:val="28"/>
          <w:szCs w:val="28"/>
        </w:rPr>
        <w:t xml:space="preserve"> </w:t>
      </w:r>
    </w:p>
    <w:p w14:paraId="406B147B"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«Oġlan» </w:t>
      </w:r>
    </w:p>
    <w:p w14:paraId="66FD7A8A"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'prince.' Originally, oġlan was the plural form of «oġul» 'son' attached with «-n», the ancient plural suffix. In old Turkic, the word oġul more likely implied 'offspring, child' and applied to both genders, e.g. «……urï oġlïn qul boltï, silik og</w:t>
      </w:r>
      <w:r>
        <w:rPr>
          <w:color w:val="0E101A"/>
          <w:sz w:val="28"/>
          <w:szCs w:val="28"/>
        </w:rPr>
        <w:t>̆lïn küŋ boltï» (I: E 7) '......the noble sons became slaves, the innocent girls became slave girls......' [31, р. 122]. In old Turkic, the meaning of 'prince' was represented by the word, «tigin», e.g. «Kül Tigin». As time passed, «oġlan» lost its plurali</w:t>
      </w:r>
      <w:r>
        <w:rPr>
          <w:color w:val="0E101A"/>
          <w:sz w:val="28"/>
          <w:szCs w:val="28"/>
        </w:rPr>
        <w:t xml:space="preserve">ty in the later centuries and functioned as singular. For example, in the </w:t>
      </w:r>
      <w:r>
        <w:rPr>
          <w:sz w:val="28"/>
          <w:szCs w:val="28"/>
        </w:rPr>
        <w:t>«Dīwān Lughāt at-Turk»</w:t>
      </w:r>
      <w:r>
        <w:rPr>
          <w:color w:val="0E101A"/>
          <w:sz w:val="28"/>
          <w:szCs w:val="28"/>
        </w:rPr>
        <w:t>, the word is noted simply as 'son' or 'male child' [26, р. 53]. Further, during the Golden Horde era, the semantic of «oġlan» changed to 'prince' and replaced </w:t>
      </w:r>
      <w:r>
        <w:rPr>
          <w:color w:val="0E101A"/>
          <w:sz w:val="28"/>
          <w:szCs w:val="28"/>
        </w:rPr>
        <w:t>«tigin», which referred to the sons of Khan or young male generations of the royal family. Also, oġlan as a royal title always appeared with names, e.g. «Tohtamish Oġlan» 'Prince Tokhtamysh', «Hizr Oġlan» 'Prince Hizr,' etc.</w:t>
      </w:r>
    </w:p>
    <w:p w14:paraId="2552E164"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xml:space="preserve">«Beg»/ «biy». </w:t>
      </w:r>
    </w:p>
    <w:p w14:paraId="779D8A53"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xml:space="preserve">'tribal leader; </w:t>
      </w:r>
      <w:r>
        <w:rPr>
          <w:color w:val="0E101A"/>
          <w:sz w:val="28"/>
          <w:szCs w:val="28"/>
        </w:rPr>
        <w:t>military leader'. The word is an ancient Turkic title with a long history and first seen in the old Turkic inscriptions, e.g., «bägläri yämä bodunï yämä tüz ärmiš ärinč» (I: E 3) 'both the tribe leaders and people were loyal' [31, р. 121]. Clauson conside</w:t>
      </w:r>
      <w:r>
        <w:rPr>
          <w:color w:val="0E101A"/>
          <w:sz w:val="28"/>
          <w:szCs w:val="28"/>
        </w:rPr>
        <w:t>rs that this word is a loanword from the ancient Chinese word «伯» 'păk/pok/po' [26, p. 322]. In the Golden Horde era, a beg was not only a noble title, but he also fulfilled military duty in the army. There were a lot of events recorded in «Čingiz-nama» i</w:t>
      </w:r>
      <w:r>
        <w:rPr>
          <w:color w:val="0E101A"/>
          <w:sz w:val="28"/>
          <w:szCs w:val="28"/>
        </w:rPr>
        <w:t xml:space="preserve">n which «begs» also fought at war as military leaders. «Beg» was an honorary title that was both inherent and obtainable, and also appeared as a part of a name, e.g., «Öz Beg Han», «Jän Beg Han», etc,. </w:t>
      </w:r>
    </w:p>
    <w:p w14:paraId="71D0798D"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xml:space="preserve">Due to the phonetic evolution, there is also another </w:t>
      </w:r>
      <w:r>
        <w:rPr>
          <w:color w:val="0E101A"/>
          <w:sz w:val="28"/>
          <w:szCs w:val="28"/>
        </w:rPr>
        <w:t>variant of «beg» which is «biy»/«bey»/«bi». The title «Biy» occurs twice in  «Čingiz-nama», which are «Edigü Biy» [44, р. 77] and «’Alī Biy» [44, р. 95]. As a noble title, «biy» exists in many Turkic societies, like Golden Horde, Ottoman Empire, Kazakh Kha</w:t>
      </w:r>
      <w:r>
        <w:rPr>
          <w:color w:val="0E101A"/>
          <w:sz w:val="28"/>
          <w:szCs w:val="28"/>
        </w:rPr>
        <w:t xml:space="preserve">nate, etc. The function of «biy» varies in different regions. </w:t>
      </w:r>
    </w:p>
    <w:p w14:paraId="65D40989"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In the Golden Horde, «Biy» held significance within the administrative and military structure of the khanate. It denoted individuals who were often appointed as regional governors, military com</w:t>
      </w:r>
      <w:r>
        <w:rPr>
          <w:color w:val="0E101A"/>
          <w:sz w:val="28"/>
          <w:szCs w:val="28"/>
        </w:rPr>
        <w:t>manders, or leaders of tribal groups within the Golden Horde's territories. «Biy» in Kazakh means an eloquent judge who thoroughly knows the conventional law and traditions of Kazakh society, and a «biy» was always responsible for solving the conflicts wit</w:t>
      </w:r>
      <w:r>
        <w:rPr>
          <w:color w:val="0E101A"/>
          <w:sz w:val="28"/>
          <w:szCs w:val="28"/>
        </w:rPr>
        <w:t xml:space="preserve">hin a clan or a tribe [59, p. 332]. </w:t>
      </w:r>
    </w:p>
    <w:p w14:paraId="127EBB97"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xml:space="preserve">«Begim» </w:t>
      </w:r>
    </w:p>
    <w:p w14:paraId="22EF5C22"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xml:space="preserve">'Princess, noble lady.' «Begim» is a derivative of the word «beg»; the title «begim» (sometimes spelled «Begüm», «Begom», «Begam», or «Begüm») is a title used in Turkic and Persian societies to denote a lady of high rank, often equivalent to a princess or </w:t>
      </w:r>
      <w:r>
        <w:rPr>
          <w:color w:val="0E101A"/>
          <w:sz w:val="28"/>
          <w:szCs w:val="28"/>
        </w:rPr>
        <w:t xml:space="preserve">a noblewoman [33, </w:t>
      </w:r>
      <w:r>
        <w:rPr>
          <w:sz w:val="28"/>
          <w:szCs w:val="28"/>
          <w:highlight w:val="white"/>
        </w:rPr>
        <w:t>p</w:t>
      </w:r>
      <w:r>
        <w:rPr>
          <w:color w:val="000000"/>
          <w:sz w:val="28"/>
          <w:szCs w:val="28"/>
          <w:highlight w:val="white"/>
        </w:rPr>
        <w:t xml:space="preserve">. </w:t>
      </w:r>
      <w:r>
        <w:rPr>
          <w:color w:val="0E101A"/>
          <w:sz w:val="28"/>
          <w:szCs w:val="28"/>
        </w:rPr>
        <w:t>412]. «Begim» is the feminine form of «Beg» or «Bey», a title used for chieftains, lords, or noblemen in Turkic cultures. The suffix «-m» also applies to other ranks, such as «qan» or «tarqan», and they become «qanïm» 'the wife of Khan</w:t>
      </w:r>
      <w:r>
        <w:rPr>
          <w:color w:val="0E101A"/>
          <w:sz w:val="28"/>
          <w:szCs w:val="28"/>
        </w:rPr>
        <w:t>', «tarïm» 'the wife of Khan  [72, p. 100].</w:t>
      </w:r>
    </w:p>
    <w:p w14:paraId="53AE5ABE"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During the examination of «Čingiz-nama», it is evident that the noblewomen of the Golden Horde played an essential role in politics. Even though direct political power was generally in the hands of men, noble wom</w:t>
      </w:r>
      <w:r>
        <w:rPr>
          <w:color w:val="0E101A"/>
          <w:sz w:val="28"/>
          <w:szCs w:val="28"/>
        </w:rPr>
        <w:t>en, the «Begims», could wield significant influence within the court. They could act as intermediaries and negotiators between different factions within the empire or in foreign affairs, leveraging their family connections and political acumen. For example</w:t>
      </w:r>
      <w:r>
        <w:rPr>
          <w:color w:val="0E101A"/>
          <w:sz w:val="28"/>
          <w:szCs w:val="28"/>
        </w:rPr>
        <w:t>, there is a historical figure depicted in «Čingiz-nama», who is «Tay Dualï Begim» [44, р. 3-62]. She actively participated in the power struggles within the Golden Horde. She was even able to appoint a new Khan after the demise of the old Khan. «Tay Dualï</w:t>
      </w:r>
      <w:r>
        <w:rPr>
          <w:color w:val="0E101A"/>
          <w:sz w:val="28"/>
          <w:szCs w:val="28"/>
        </w:rPr>
        <w:t xml:space="preserve"> Begim» became a substantial regent at the court of the Golden Horde for a short period, and soon after, she lost in the power succession and was exiled by «Hizr Han» in the end [44, р. 9-60]. </w:t>
      </w:r>
    </w:p>
    <w:p w14:paraId="62DC156B"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«Pādišāh»</w:t>
      </w:r>
    </w:p>
    <w:p w14:paraId="302EA761" w14:textId="77777777" w:rsidR="00F74BAF" w:rsidRDefault="00737583">
      <w:pPr>
        <w:pBdr>
          <w:top w:val="nil"/>
          <w:left w:val="nil"/>
          <w:bottom w:val="nil"/>
          <w:right w:val="nil"/>
          <w:between w:val="nil"/>
        </w:pBdr>
        <w:ind w:firstLine="709"/>
        <w:jc w:val="both"/>
        <w:rPr>
          <w:b/>
          <w:bCs/>
          <w:color w:val="0E101A"/>
          <w:sz w:val="28"/>
          <w:szCs w:val="28"/>
        </w:rPr>
      </w:pPr>
      <w:r>
        <w:rPr>
          <w:color w:val="0E101A"/>
          <w:sz w:val="28"/>
          <w:szCs w:val="28"/>
        </w:rPr>
        <w:t>'king.' The title «pādišāh» is a Persian term adopte</w:t>
      </w:r>
      <w:r>
        <w:rPr>
          <w:color w:val="0E101A"/>
          <w:sz w:val="28"/>
          <w:szCs w:val="28"/>
        </w:rPr>
        <w:t>d by Turkic-speaking empires like the Golden Horde, Timur Empire, Ottoman Empire, etc. The word combines pād 'master, lord' and shāh 'king,' translating roughly to 'master king' or 'supreme ruler' [73]. In a broader sense, it signifies the king of kings, e</w:t>
      </w:r>
      <w:r>
        <w:rPr>
          <w:color w:val="0E101A"/>
          <w:sz w:val="28"/>
          <w:szCs w:val="28"/>
        </w:rPr>
        <w:t>mphasizing the ruler's supreme status over other monarchs. In «Čingiz-nama», «pādišāh» and «qan» are semantically interchangeable, for those Golden Horde Khans and their realms are also described as «pādišāh» and «pādišāhlïq».</w:t>
      </w:r>
    </w:p>
    <w:p w14:paraId="08D7F13C" w14:textId="77777777" w:rsidR="00F74BAF" w:rsidRDefault="00737583">
      <w:pPr>
        <w:pBdr>
          <w:top w:val="nil"/>
          <w:left w:val="nil"/>
          <w:bottom w:val="nil"/>
          <w:right w:val="nil"/>
          <w:between w:val="nil"/>
        </w:pBdr>
        <w:ind w:firstLine="709"/>
        <w:jc w:val="both"/>
        <w:rPr>
          <w:color w:val="0E101A"/>
          <w:sz w:val="28"/>
          <w:szCs w:val="28"/>
        </w:rPr>
      </w:pPr>
      <w:r>
        <w:rPr>
          <w:b/>
          <w:bCs/>
          <w:color w:val="0E101A"/>
          <w:sz w:val="28"/>
          <w:szCs w:val="28"/>
        </w:rPr>
        <w:t>«</w:t>
      </w:r>
      <w:r>
        <w:rPr>
          <w:color w:val="0E101A"/>
          <w:sz w:val="28"/>
          <w:szCs w:val="28"/>
        </w:rPr>
        <w:t xml:space="preserve">Sultan» </w:t>
      </w:r>
    </w:p>
    <w:p w14:paraId="5F4E38BA"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xml:space="preserve">The title «sultan» </w:t>
      </w:r>
      <w:r>
        <w:rPr>
          <w:color w:val="0E101A"/>
          <w:sz w:val="28"/>
          <w:szCs w:val="28"/>
        </w:rPr>
        <w:t>is a common title that denotes a ruler, monarch, or sovereign in various Islamic and Turkic-speaking societies. «Sultan» is of Arabic origin, and it has been used throughout history by various Muslim empires and states, including the Ottoman Empire, the Se</w:t>
      </w:r>
      <w:r>
        <w:rPr>
          <w:color w:val="0E101A"/>
          <w:sz w:val="28"/>
          <w:szCs w:val="28"/>
        </w:rPr>
        <w:t>ljuk Empire, and others. In regions where the Genghisid Khanates had embraced Islam, royal family members who didn't become the supreme rulers (yet still had the chance to do so) were commonly referred to as «sultans» [74, p. 134].</w:t>
      </w:r>
    </w:p>
    <w:p w14:paraId="56E31EAC"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xml:space="preserve">Such usage of the title </w:t>
      </w:r>
      <w:r>
        <w:rPr>
          <w:color w:val="0E101A"/>
          <w:sz w:val="28"/>
          <w:szCs w:val="28"/>
        </w:rPr>
        <w:t>«sultan» was also practiced in the latter Genghisid states like the Kazakh Khanate. The fact that it developed as an offshoot of the Mongol Empire is one of the major characteristics of the Kazakh Khanate. This is most clearly manifested by the Kazakh mona</w:t>
      </w:r>
      <w:r>
        <w:rPr>
          <w:color w:val="0E101A"/>
          <w:sz w:val="28"/>
          <w:szCs w:val="28"/>
        </w:rPr>
        <w:t>rchy's particular blood link to Genghisid Khan and the symbolic meaning inherent in using the term «han». The Khan lineage traditionally asserted their authority with the title «sultan» or «tore» [75, p. 3]. </w:t>
      </w:r>
    </w:p>
    <w:p w14:paraId="621C83ED" w14:textId="77777777" w:rsidR="00F74BAF" w:rsidRDefault="00737583">
      <w:pPr>
        <w:pBdr>
          <w:top w:val="nil"/>
          <w:left w:val="nil"/>
          <w:bottom w:val="nil"/>
          <w:right w:val="nil"/>
          <w:between w:val="nil"/>
        </w:pBdr>
        <w:ind w:firstLine="709"/>
        <w:jc w:val="both"/>
        <w:rPr>
          <w:i/>
          <w:iCs/>
          <w:color w:val="0E101A"/>
          <w:sz w:val="28"/>
          <w:szCs w:val="28"/>
        </w:rPr>
      </w:pPr>
      <w:r>
        <w:rPr>
          <w:color w:val="0E101A"/>
          <w:sz w:val="28"/>
          <w:szCs w:val="28"/>
        </w:rPr>
        <w:t>«Atalïġ»</w:t>
      </w:r>
      <w:r>
        <w:rPr>
          <w:i/>
          <w:iCs/>
          <w:color w:val="0E101A"/>
          <w:sz w:val="28"/>
          <w:szCs w:val="28"/>
        </w:rPr>
        <w:t> </w:t>
      </w:r>
    </w:p>
    <w:p w14:paraId="7AFDF3F6" w14:textId="77777777" w:rsidR="00F74BAF" w:rsidRDefault="00737583">
      <w:pPr>
        <w:pBdr>
          <w:top w:val="nil"/>
          <w:left w:val="nil"/>
          <w:bottom w:val="nil"/>
          <w:right w:val="nil"/>
          <w:between w:val="nil"/>
        </w:pBdr>
        <w:ind w:firstLine="709"/>
        <w:jc w:val="both"/>
        <w:rPr>
          <w:b/>
          <w:bCs/>
          <w:i/>
          <w:iCs/>
          <w:color w:val="0E101A"/>
          <w:sz w:val="28"/>
          <w:szCs w:val="28"/>
        </w:rPr>
      </w:pPr>
      <w:r>
        <w:rPr>
          <w:i/>
          <w:iCs/>
          <w:color w:val="0E101A"/>
          <w:sz w:val="28"/>
          <w:szCs w:val="28"/>
        </w:rPr>
        <w:t>«</w:t>
      </w:r>
      <w:r>
        <w:rPr>
          <w:color w:val="0E101A"/>
          <w:sz w:val="28"/>
          <w:szCs w:val="28"/>
        </w:rPr>
        <w:t>Atalïġ» is a high-ranking royal titl</w:t>
      </w:r>
      <w:r>
        <w:rPr>
          <w:color w:val="0E101A"/>
          <w:sz w:val="28"/>
          <w:szCs w:val="28"/>
        </w:rPr>
        <w:t>e in the Central Asian Turkic societies. The title is a derivative of the root «ata» 'father' attached with the formative suffix «-lïġ», meaning 'fatherhood.' The meaning initially indicated 'foster fatherhood' and then developed to 'foster father for prin</w:t>
      </w:r>
      <w:r>
        <w:rPr>
          <w:color w:val="0E101A"/>
          <w:sz w:val="28"/>
          <w:szCs w:val="28"/>
        </w:rPr>
        <w:t>ces.' [24, р. 69-70]. Then, the title «atalïġ» became one of the highest office ranks. It seems that «atalïġ» has served as a military-administrative counselor and a liaison between the Khan and the sultans [74, р. 113] In traditional Kazakh nomadic societ</w:t>
      </w:r>
      <w:r>
        <w:rPr>
          <w:color w:val="0E101A"/>
          <w:sz w:val="28"/>
          <w:szCs w:val="28"/>
        </w:rPr>
        <w:t>y, «atalïq» (a variant of «atalïġ») is a high-ranking person in the Khan's court who gives military education and training to the heir to the throne. The prince, whom the «atalïq» brought up, would serve as his adviser if he came to power [61, p. 92].</w:t>
      </w:r>
    </w:p>
    <w:p w14:paraId="7B850E8A" w14:textId="77777777" w:rsidR="00F74BAF" w:rsidRDefault="00737583">
      <w:pPr>
        <w:pBdr>
          <w:top w:val="nil"/>
          <w:left w:val="nil"/>
          <w:bottom w:val="nil"/>
          <w:right w:val="nil"/>
          <w:between w:val="nil"/>
        </w:pBdr>
        <w:ind w:firstLine="709"/>
        <w:jc w:val="both"/>
        <w:rPr>
          <w:color w:val="0E101A"/>
          <w:sz w:val="28"/>
          <w:szCs w:val="28"/>
        </w:rPr>
      </w:pPr>
      <w:r>
        <w:rPr>
          <w:b/>
          <w:bCs/>
          <w:color w:val="0E101A"/>
          <w:sz w:val="28"/>
          <w:szCs w:val="28"/>
        </w:rPr>
        <w:t>«</w:t>
      </w:r>
      <w:r>
        <w:rPr>
          <w:color w:val="0E101A"/>
          <w:sz w:val="28"/>
          <w:szCs w:val="28"/>
        </w:rPr>
        <w:t>Tar</w:t>
      </w:r>
      <w:r>
        <w:rPr>
          <w:color w:val="0E101A"/>
          <w:sz w:val="28"/>
          <w:szCs w:val="28"/>
        </w:rPr>
        <w:t>han»</w:t>
      </w:r>
    </w:p>
    <w:p w14:paraId="3A8BACCF"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«Tarhan» is an ancient Turkic title that has been a high-ranking title since the Xiongnu period [26, р. 539]. In the Turk Khaganate era, it was not only referred to as a member of the royal family but also an administrative position. The earliest writ</w:t>
      </w:r>
      <w:r>
        <w:rPr>
          <w:color w:val="0E101A"/>
          <w:sz w:val="28"/>
          <w:szCs w:val="28"/>
        </w:rPr>
        <w:t>ten record of «tarhan» can be found in the eighth century old Turkic inscriptions, for example: «inänču apa yarγan tarqan ātïγ (b)ertim» I gave him the title of inänču apa yarγan tarhan' (I, W: 2) [31, р. 122].</w:t>
      </w:r>
    </w:p>
    <w:p w14:paraId="1B71519A"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During the Genghsid era, «Tarhan» indicated p</w:t>
      </w:r>
      <w:r>
        <w:rPr>
          <w:color w:val="0E101A"/>
          <w:sz w:val="28"/>
          <w:szCs w:val="28"/>
        </w:rPr>
        <w:t>ersonal status, not just an honorific. Instead, it granted privileges like tax immunity and access to rulers. «Tarhanlïq» didn't confer direct authority or property rights. For example, Temür-Qutluq's «yarlïġ» clarified late-fourteenth-century Tarhan’s sta</w:t>
      </w:r>
      <w:r>
        <w:rPr>
          <w:color w:val="0E101A"/>
          <w:sz w:val="28"/>
          <w:szCs w:val="28"/>
        </w:rPr>
        <w:t>tus: protection, ruler access, tax exemption, travel freedom, inheritability, and non-transferable usage rights. These aspects connected Tarhan's status to social and economic factors like property and tax rights. Contractual relationships between Khan, de</w:t>
      </w:r>
      <w:r>
        <w:rPr>
          <w:color w:val="0E101A"/>
          <w:sz w:val="28"/>
          <w:szCs w:val="28"/>
        </w:rPr>
        <w:t>puties, and Tarhans governed the Golden Horde's administration, fostering local cooperation and curbing desires for independence [76].</w:t>
      </w:r>
    </w:p>
    <w:p w14:paraId="65543099"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«Mirza»</w:t>
      </w:r>
    </w:p>
    <w:p w14:paraId="69D94B80" w14:textId="77777777" w:rsidR="00F74BAF" w:rsidRDefault="00737583">
      <w:pPr>
        <w:pBdr>
          <w:top w:val="nil"/>
          <w:left w:val="nil"/>
          <w:bottom w:val="nil"/>
          <w:right w:val="nil"/>
          <w:between w:val="nil"/>
        </w:pBdr>
        <w:ind w:firstLine="709"/>
        <w:jc w:val="both"/>
        <w:rPr>
          <w:b/>
          <w:bCs/>
          <w:i/>
          <w:iCs/>
          <w:color w:val="0E101A"/>
          <w:sz w:val="28"/>
          <w:szCs w:val="28"/>
        </w:rPr>
      </w:pPr>
      <w:r>
        <w:rPr>
          <w:i/>
          <w:iCs/>
          <w:color w:val="0E101A"/>
          <w:sz w:val="28"/>
          <w:szCs w:val="28"/>
        </w:rPr>
        <w:t>«</w:t>
      </w:r>
      <w:r>
        <w:rPr>
          <w:color w:val="0E101A"/>
          <w:sz w:val="28"/>
          <w:szCs w:val="28"/>
        </w:rPr>
        <w:t>Mirza» is a Persian-origin title; it usually means 'prince' when it is put after a proper name [73, p. 1214]. Th</w:t>
      </w:r>
      <w:r>
        <w:rPr>
          <w:color w:val="0E101A"/>
          <w:sz w:val="28"/>
          <w:szCs w:val="28"/>
        </w:rPr>
        <w:t>e word is a compound of «amīr» («</w:t>
      </w:r>
      <w:r>
        <w:rPr>
          <w:color w:val="0E101A"/>
          <w:sz w:val="28"/>
          <w:szCs w:val="28"/>
          <w:rtl/>
        </w:rPr>
        <w:t>امیر</w:t>
      </w:r>
      <w:r>
        <w:rPr>
          <w:color w:val="0E101A"/>
          <w:sz w:val="28"/>
          <w:szCs w:val="28"/>
        </w:rPr>
        <w:t>»), meaning 'commander' or 'prince', and «zāde» («</w:t>
      </w:r>
      <w:r>
        <w:rPr>
          <w:color w:val="0E101A"/>
          <w:sz w:val="28"/>
          <w:szCs w:val="28"/>
          <w:rtl/>
        </w:rPr>
        <w:t>زاده</w:t>
      </w:r>
      <w:r>
        <w:rPr>
          <w:color w:val="0E101A"/>
          <w:sz w:val="28"/>
          <w:szCs w:val="28"/>
        </w:rPr>
        <w:t>»), meaning 'descendant' [77, p. 129]. «Mirza» historically denoted a noble or aristocratic lineage in Central Asia, particularly among the Turkic-speaking peoples. </w:t>
      </w:r>
    </w:p>
    <w:p w14:paraId="5032593F" w14:textId="77777777" w:rsidR="00F74BAF" w:rsidRDefault="00737583">
      <w:pPr>
        <w:pBdr>
          <w:top w:val="nil"/>
          <w:left w:val="nil"/>
          <w:bottom w:val="nil"/>
          <w:right w:val="nil"/>
          <w:between w:val="nil"/>
        </w:pBdr>
        <w:ind w:firstLine="709"/>
        <w:jc w:val="both"/>
        <w:rPr>
          <w:color w:val="0E101A"/>
          <w:sz w:val="28"/>
          <w:szCs w:val="28"/>
        </w:rPr>
      </w:pPr>
      <w:r>
        <w:rPr>
          <w:b/>
          <w:bCs/>
          <w:color w:val="0E101A"/>
          <w:sz w:val="28"/>
          <w:szCs w:val="28"/>
        </w:rPr>
        <w:t>«</w:t>
      </w:r>
      <w:r>
        <w:rPr>
          <w:color w:val="0E101A"/>
          <w:sz w:val="28"/>
          <w:szCs w:val="28"/>
        </w:rPr>
        <w:t xml:space="preserve">Hwaja» </w:t>
      </w:r>
    </w:p>
    <w:p w14:paraId="3696A75F"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The Turkic title «hwaja»/«khoja»/«khodja»/«hoca» is borrowed from the Persian word «hojai», which means 'household' and 'owner' [78, p. 123]. Traditionally, «hwajas» were referred to as those who were equipped with Islamic knowledge and functione</w:t>
      </w:r>
      <w:r>
        <w:rPr>
          <w:color w:val="0E101A"/>
          <w:sz w:val="28"/>
          <w:szCs w:val="28"/>
        </w:rPr>
        <w:t>d as teachers, scholars, or religious leaders in Turkic communities. Historically, Hwajas exerted enormous influence in Central Asia regarding religion and politics. As spiritual leaders, the «hwajas» were revered as spiritual leaders and teachers in the N</w:t>
      </w:r>
      <w:r>
        <w:rPr>
          <w:color w:val="0E101A"/>
          <w:sz w:val="28"/>
          <w:szCs w:val="28"/>
        </w:rPr>
        <w:t>aqshbandi and other Sufi orders. They were considered descendants of the Prophet Muhammad or other saints, adding to their religious authority and veneration among local populations [79, p. 289]. In some Central Asian regions, «hwajas» also emerged as loca</w:t>
      </w:r>
      <w:r>
        <w:rPr>
          <w:color w:val="0E101A"/>
          <w:sz w:val="28"/>
          <w:szCs w:val="28"/>
        </w:rPr>
        <w:t>l rulers or influential figures in the political landscape. Their religious authority often translated into political power, allowing them to lead or significantly influence social and political reforms [80, pp. 199-200].</w:t>
      </w:r>
    </w:p>
    <w:p w14:paraId="4C9FA70D"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xml:space="preserve">«Bay» </w:t>
      </w:r>
    </w:p>
    <w:p w14:paraId="23D878C3"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The Turkic word «bay» is fr</w:t>
      </w:r>
      <w:r>
        <w:rPr>
          <w:color w:val="0E101A"/>
          <w:sz w:val="28"/>
          <w:szCs w:val="28"/>
        </w:rPr>
        <w:t>equently used in a wide geography extending roughly from the Near East to Central Asia, the Caucasus, Mongolia, and South and East Siberia in isolated or component words. It is also seen in Slavic, Caucasian, and Persian languages, besides Mongol and Manch</w:t>
      </w:r>
      <w:r>
        <w:rPr>
          <w:color w:val="0E101A"/>
          <w:sz w:val="28"/>
          <w:szCs w:val="28"/>
        </w:rPr>
        <w:t xml:space="preserve">u-Tungus [33, </w:t>
      </w:r>
      <w:r>
        <w:rPr>
          <w:sz w:val="28"/>
          <w:szCs w:val="28"/>
          <w:highlight w:val="white"/>
        </w:rPr>
        <w:t>p</w:t>
      </w:r>
      <w:r>
        <w:rPr>
          <w:color w:val="000000"/>
          <w:sz w:val="28"/>
          <w:szCs w:val="28"/>
          <w:highlight w:val="white"/>
        </w:rPr>
        <w:t xml:space="preserve">. </w:t>
      </w:r>
      <w:r>
        <w:rPr>
          <w:color w:val="0E101A"/>
          <w:sz w:val="28"/>
          <w:szCs w:val="28"/>
        </w:rPr>
        <w:t xml:space="preserve">25]. Clauson believes that in Old Turkic texts, the word bay means 'rich, rich man' and that meanings like 'upper class, aristocratic' and 'old man, male' were gained concerning the original meaning 'rich' [26, р. 384]. Bay has different </w:t>
      </w:r>
      <w:r>
        <w:rPr>
          <w:color w:val="0E101A"/>
          <w:sz w:val="28"/>
          <w:szCs w:val="28"/>
        </w:rPr>
        <w:t>meanings in different periods and historical texts. Under the historical context of «Čingiz-nama», we see that bay implies the meaning 'noble, great, respected, holy.' </w:t>
      </w:r>
    </w:p>
    <w:p w14:paraId="429D9EEA" w14:textId="77777777" w:rsidR="00F74BAF" w:rsidRDefault="00F74BAF">
      <w:pPr>
        <w:pBdr>
          <w:top w:val="nil"/>
          <w:left w:val="nil"/>
          <w:bottom w:val="nil"/>
          <w:right w:val="nil"/>
          <w:between w:val="nil"/>
        </w:pBdr>
        <w:ind w:firstLine="709"/>
        <w:jc w:val="both"/>
        <w:rPr>
          <w:color w:val="0E101A"/>
          <w:sz w:val="28"/>
          <w:szCs w:val="28"/>
        </w:rPr>
      </w:pPr>
    </w:p>
    <w:p w14:paraId="33E65B30"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 Socio-political Structure of Nomadic Society</w:t>
      </w:r>
    </w:p>
    <w:p w14:paraId="274514A9"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 nomadic societies which can be tr</w:t>
      </w:r>
      <w:r>
        <w:rPr>
          <w:color w:val="000000"/>
          <w:sz w:val="28"/>
          <w:szCs w:val="28"/>
        </w:rPr>
        <w:t xml:space="preserve">aced back to the Scythians, and </w:t>
      </w:r>
      <w:r>
        <w:rPr>
          <w:sz w:val="28"/>
          <w:szCs w:val="28"/>
        </w:rPr>
        <w:t>then developed</w:t>
      </w:r>
      <w:r>
        <w:rPr>
          <w:color w:val="000000"/>
          <w:sz w:val="28"/>
          <w:szCs w:val="28"/>
        </w:rPr>
        <w:t xml:space="preserve"> through Xiongnu to the Turks and the Mongols. The traditional social-political structure of the Eurasian nomadic society has always been intriguing for the historians, for nomadic society was fluid and flexibl</w:t>
      </w:r>
      <w:r>
        <w:rPr>
          <w:color w:val="000000"/>
          <w:sz w:val="28"/>
          <w:szCs w:val="28"/>
        </w:rPr>
        <w:t xml:space="preserve">e in nature compared with the sedentary civilizations. </w:t>
      </w:r>
      <w:r>
        <w:rPr>
          <w:sz w:val="28"/>
          <w:szCs w:val="28"/>
        </w:rPr>
        <w:t>Therefore</w:t>
      </w:r>
      <w:r>
        <w:rPr>
          <w:color w:val="000000"/>
          <w:sz w:val="28"/>
          <w:szCs w:val="28"/>
        </w:rPr>
        <w:t xml:space="preserve">, </w:t>
      </w:r>
      <w:r>
        <w:rPr>
          <w:sz w:val="28"/>
          <w:szCs w:val="28"/>
        </w:rPr>
        <w:t>historians</w:t>
      </w:r>
      <w:r>
        <w:rPr>
          <w:color w:val="000000"/>
          <w:sz w:val="28"/>
          <w:szCs w:val="28"/>
        </w:rPr>
        <w:t xml:space="preserve"> have done much research on the nomadic society so far. J. Flecher points out that the lifestyle of migrating where there is water and grass gives nomadic society unique cultural a</w:t>
      </w:r>
      <w:r>
        <w:rPr>
          <w:color w:val="000000"/>
          <w:sz w:val="28"/>
          <w:szCs w:val="28"/>
        </w:rPr>
        <w:t>nd social dynamics. Their superior mobility, organizational capabilities, and adaptability make them even more advantageous in military operations [</w:t>
      </w:r>
      <w:r>
        <w:rPr>
          <w:sz w:val="28"/>
          <w:szCs w:val="28"/>
        </w:rPr>
        <w:t>81, p. 520-523</w:t>
      </w:r>
      <w:r>
        <w:rPr>
          <w:color w:val="000000"/>
          <w:sz w:val="28"/>
          <w:szCs w:val="28"/>
        </w:rPr>
        <w:t xml:space="preserve">]. Thomas Barfield </w:t>
      </w:r>
      <w:r>
        <w:rPr>
          <w:sz w:val="28"/>
          <w:szCs w:val="28"/>
        </w:rPr>
        <w:t>discusses the</w:t>
      </w:r>
      <w:r>
        <w:rPr>
          <w:color w:val="000000"/>
          <w:sz w:val="28"/>
          <w:szCs w:val="28"/>
        </w:rPr>
        <w:t xml:space="preserve"> political organization of Eurasian nomads and proposes the co</w:t>
      </w:r>
      <w:r>
        <w:rPr>
          <w:color w:val="000000"/>
          <w:sz w:val="28"/>
          <w:szCs w:val="28"/>
        </w:rPr>
        <w:t>ncept of 'imperial confederacy,' and the rise and fall of the nomadic powers were always in consonance with their sedentary neighbors. Hence he terms it as 'mirror empires' [</w:t>
      </w:r>
      <w:r>
        <w:rPr>
          <w:sz w:val="28"/>
          <w:szCs w:val="28"/>
        </w:rPr>
        <w:t>82, p. 293</w:t>
      </w:r>
      <w:r>
        <w:rPr>
          <w:color w:val="000000"/>
          <w:sz w:val="28"/>
          <w:szCs w:val="28"/>
        </w:rPr>
        <w:t>], but he also points out that the indigenous socio-political terminolog</w:t>
      </w:r>
      <w:r>
        <w:rPr>
          <w:color w:val="000000"/>
          <w:sz w:val="28"/>
          <w:szCs w:val="28"/>
        </w:rPr>
        <w:t>y for the entity like 'clan,' 'tribe,' is fluid and unstable [</w:t>
      </w:r>
      <w:r>
        <w:rPr>
          <w:sz w:val="28"/>
          <w:szCs w:val="28"/>
        </w:rPr>
        <w:t>54</w:t>
      </w:r>
      <w:r>
        <w:rPr>
          <w:color w:val="000000"/>
          <w:sz w:val="28"/>
          <w:szCs w:val="28"/>
        </w:rPr>
        <w:t xml:space="preserve">, р. 109]. Therefore, we would like to apply a rather novel means to seek the solution for the question. </w:t>
      </w:r>
    </w:p>
    <w:p w14:paraId="2036512B"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ab/>
        <w:t xml:space="preserve">Meanwhile, for nomadic </w:t>
      </w:r>
      <w:r>
        <w:rPr>
          <w:sz w:val="28"/>
          <w:szCs w:val="28"/>
        </w:rPr>
        <w:t>people who always</w:t>
      </w:r>
      <w:r>
        <w:rPr>
          <w:color w:val="000000"/>
          <w:sz w:val="28"/>
          <w:szCs w:val="28"/>
        </w:rPr>
        <w:t xml:space="preserve"> left behind scarce written sources of their </w:t>
      </w:r>
      <w:r>
        <w:rPr>
          <w:color w:val="000000"/>
          <w:sz w:val="28"/>
          <w:szCs w:val="28"/>
        </w:rPr>
        <w:t xml:space="preserve">own, most of the historical records were done by those who lived outside of nomadic society. Those records influenced by the stereotype from the sedentary perspective were generally biased. Likewise, those records make understanding nomadic societies even </w:t>
      </w:r>
      <w:r>
        <w:rPr>
          <w:color w:val="000000"/>
          <w:sz w:val="28"/>
          <w:szCs w:val="28"/>
        </w:rPr>
        <w:t xml:space="preserve">more </w:t>
      </w:r>
      <w:r>
        <w:rPr>
          <w:sz w:val="28"/>
          <w:szCs w:val="28"/>
        </w:rPr>
        <w:t>challenging</w:t>
      </w:r>
      <w:r>
        <w:rPr>
          <w:color w:val="000000"/>
          <w:sz w:val="28"/>
          <w:szCs w:val="28"/>
        </w:rPr>
        <w:t xml:space="preserve"> for historians. Therefore, the authors believe that a perspective from the nomads is needed in the study of nomadic society. Such a situation is more obvious for the case of the Golden Horde because the majority of its land was on the step</w:t>
      </w:r>
      <w:r>
        <w:rPr>
          <w:color w:val="000000"/>
          <w:sz w:val="28"/>
          <w:szCs w:val="28"/>
        </w:rPr>
        <w:t>pe, and it preserves the most Eurasian nomadic traditions compared with its contemporary Chinggisid states like the Yuan dynasty or Ilkan Khanate. Similarly, the Golden Horde only left a few written sources except for some fragmented descriptions by contem</w:t>
      </w:r>
      <w:r>
        <w:rPr>
          <w:color w:val="000000"/>
          <w:sz w:val="28"/>
          <w:szCs w:val="28"/>
        </w:rPr>
        <w:t xml:space="preserve">porary outside sources. Therefore, </w:t>
      </w:r>
      <w:r>
        <w:rPr>
          <w:sz w:val="28"/>
          <w:szCs w:val="28"/>
        </w:rPr>
        <w:t>using</w:t>
      </w:r>
      <w:r>
        <w:rPr>
          <w:color w:val="000000"/>
          <w:sz w:val="28"/>
          <w:szCs w:val="28"/>
        </w:rPr>
        <w:t xml:space="preserve"> linguistic methods like semantic analysis to examine the words denoting socio-political organizations may offer an alternative way to </w:t>
      </w:r>
      <w:r>
        <w:rPr>
          <w:sz w:val="28"/>
          <w:szCs w:val="28"/>
        </w:rPr>
        <w:t>understand the</w:t>
      </w:r>
      <w:r>
        <w:rPr>
          <w:color w:val="000000"/>
          <w:sz w:val="28"/>
          <w:szCs w:val="28"/>
        </w:rPr>
        <w:t xml:space="preserve"> nomadic society of the Golden Horde.</w:t>
      </w:r>
    </w:p>
    <w:p w14:paraId="5ED493D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Lexemes Denoting 'state'</w:t>
      </w:r>
    </w:p>
    <w:p w14:paraId="1C37B7C8"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«El». «El» is an ancient Turkic word originally denoting the notion of 'land,' 'state,' 'realm,' or 'an independent political unit'; the word was recorded as early as in the Orkhon Turkic inscriptions of the </w:t>
      </w:r>
      <w:r>
        <w:rPr>
          <w:sz w:val="28"/>
          <w:szCs w:val="28"/>
        </w:rPr>
        <w:t>eigh</w:t>
      </w:r>
      <w:r>
        <w:rPr>
          <w:color w:val="000000"/>
          <w:sz w:val="28"/>
          <w:szCs w:val="28"/>
        </w:rPr>
        <w:t xml:space="preserve">th century, e.g., «ötükän yiš olursar, bäŋü </w:t>
      </w:r>
      <w:r>
        <w:rPr>
          <w:color w:val="000000"/>
          <w:sz w:val="28"/>
          <w:szCs w:val="28"/>
        </w:rPr>
        <w:t>il tuta olurtačï sän» 'if you sit in the Ötükän forest mountain, you can control the country forever.', «türk bodun in tä yer tälinmäsär, türk bodun, eli ï uda ï ärti?» (I E22) 'As long as the sky did not press down (upon you and) the earth did not open (b</w:t>
      </w:r>
      <w:r>
        <w:rPr>
          <w:color w:val="000000"/>
          <w:sz w:val="28"/>
          <w:szCs w:val="28"/>
        </w:rPr>
        <w:t>eneath you), oh Turk nation, who could have been able to destroy your land and your government?' [</w:t>
      </w:r>
      <w:r>
        <w:rPr>
          <w:sz w:val="28"/>
          <w:szCs w:val="28"/>
        </w:rPr>
        <w:t>83</w:t>
      </w:r>
      <w:r>
        <w:rPr>
          <w:color w:val="000000"/>
          <w:sz w:val="28"/>
          <w:szCs w:val="28"/>
        </w:rPr>
        <w:t>, р. 361] In those inscriptions, «il»/«el» is always associated with other political terms in the formation of 'statehood,' such as «qaġan» 'the ruler,' «bo</w:t>
      </w:r>
      <w:r>
        <w:rPr>
          <w:color w:val="000000"/>
          <w:sz w:val="28"/>
          <w:szCs w:val="28"/>
        </w:rPr>
        <w:t>dun» 'the people,' «ulus» 'the land of the realm,' «törü» 'the customary law,' «tuġ» 'the banner,' etc., [</w:t>
      </w:r>
      <w:r>
        <w:rPr>
          <w:sz w:val="28"/>
          <w:szCs w:val="28"/>
        </w:rPr>
        <w:t>26</w:t>
      </w:r>
      <w:r>
        <w:rPr>
          <w:color w:val="000000"/>
          <w:sz w:val="28"/>
          <w:szCs w:val="28"/>
        </w:rPr>
        <w:t xml:space="preserve">, р. 121]. «El» underwent a semantic widening in Xakanian of the </w:t>
      </w:r>
      <w:r>
        <w:rPr>
          <w:sz w:val="28"/>
          <w:szCs w:val="28"/>
        </w:rPr>
        <w:t>twelf</w:t>
      </w:r>
      <w:r>
        <w:rPr>
          <w:color w:val="000000"/>
          <w:sz w:val="28"/>
          <w:szCs w:val="28"/>
        </w:rPr>
        <w:t>th century. In «Dīwān Lughāt al-Turk », el denoted not only the meaning of 'co</w:t>
      </w:r>
      <w:r>
        <w:rPr>
          <w:color w:val="000000"/>
          <w:sz w:val="28"/>
          <w:szCs w:val="28"/>
        </w:rPr>
        <w:t>untry, state, province' but also 'the people of the state,' which substituted «bodun» in this sense, 'peace between kings,' a type of horse,' and 'country yard' [</w:t>
      </w:r>
      <w:r>
        <w:rPr>
          <w:sz w:val="28"/>
          <w:szCs w:val="28"/>
        </w:rPr>
        <w:t>27</w:t>
      </w:r>
      <w:r>
        <w:rPr>
          <w:color w:val="000000"/>
          <w:sz w:val="28"/>
          <w:szCs w:val="28"/>
        </w:rPr>
        <w:t>, р. 96-97] «El» in the sense of 'peace' has an extended meaning in modern Kazakh as 'friend</w:t>
      </w:r>
      <w:r>
        <w:rPr>
          <w:color w:val="000000"/>
          <w:sz w:val="28"/>
          <w:szCs w:val="28"/>
        </w:rPr>
        <w:t>, ally,' [</w:t>
      </w:r>
      <w:r>
        <w:rPr>
          <w:sz w:val="28"/>
          <w:szCs w:val="28"/>
        </w:rPr>
        <w:t>49</w:t>
      </w:r>
      <w:r>
        <w:rPr>
          <w:color w:val="000000"/>
          <w:sz w:val="28"/>
          <w:szCs w:val="28"/>
        </w:rPr>
        <w:t>, р. 20</w:t>
      </w:r>
      <w:r>
        <w:rPr>
          <w:sz w:val="28"/>
          <w:szCs w:val="28"/>
        </w:rPr>
        <w:t>5</w:t>
      </w:r>
      <w:r>
        <w:rPr>
          <w:color w:val="000000"/>
          <w:sz w:val="28"/>
          <w:szCs w:val="28"/>
        </w:rPr>
        <w:t xml:space="preserve">], but the other two meanings could not be found in either Kazakh or other modern Turkic languages. Moreover, «El» denotes different meaning in In modern Turkic languages. It denotes 'country' in </w:t>
      </w:r>
      <w:r>
        <w:rPr>
          <w:sz w:val="28"/>
          <w:szCs w:val="28"/>
        </w:rPr>
        <w:t>Turkmani</w:t>
      </w:r>
      <w:r>
        <w:rPr>
          <w:color w:val="000000"/>
          <w:sz w:val="28"/>
          <w:szCs w:val="28"/>
        </w:rPr>
        <w:t xml:space="preserve">, </w:t>
      </w:r>
      <w:r>
        <w:rPr>
          <w:sz w:val="28"/>
          <w:szCs w:val="28"/>
        </w:rPr>
        <w:t>Turkish</w:t>
      </w:r>
      <w:r>
        <w:rPr>
          <w:color w:val="000000"/>
          <w:sz w:val="28"/>
          <w:szCs w:val="28"/>
        </w:rPr>
        <w:t xml:space="preserve">, </w:t>
      </w:r>
      <w:r>
        <w:rPr>
          <w:sz w:val="28"/>
          <w:szCs w:val="28"/>
        </w:rPr>
        <w:t>Azeri</w:t>
      </w:r>
      <w:r>
        <w:rPr>
          <w:color w:val="000000"/>
          <w:sz w:val="28"/>
          <w:szCs w:val="28"/>
        </w:rPr>
        <w:t>, Karakalpak, Ki</w:t>
      </w:r>
      <w:r>
        <w:rPr>
          <w:color w:val="000000"/>
          <w:sz w:val="28"/>
          <w:szCs w:val="28"/>
        </w:rPr>
        <w:t>r</w:t>
      </w:r>
      <w:r>
        <w:rPr>
          <w:sz w:val="28"/>
          <w:szCs w:val="28"/>
        </w:rPr>
        <w:t>ghiz</w:t>
      </w:r>
      <w:r>
        <w:rPr>
          <w:color w:val="000000"/>
          <w:sz w:val="28"/>
          <w:szCs w:val="28"/>
        </w:rPr>
        <w:t xml:space="preserve">, </w:t>
      </w:r>
      <w:r>
        <w:rPr>
          <w:sz w:val="28"/>
          <w:szCs w:val="28"/>
        </w:rPr>
        <w:t>Uyghur</w:t>
      </w:r>
      <w:r>
        <w:rPr>
          <w:color w:val="000000"/>
          <w:sz w:val="28"/>
          <w:szCs w:val="28"/>
        </w:rPr>
        <w:t xml:space="preserve">, </w:t>
      </w:r>
      <w:r>
        <w:rPr>
          <w:sz w:val="28"/>
          <w:szCs w:val="28"/>
        </w:rPr>
        <w:t>Altai</w:t>
      </w:r>
      <w:r>
        <w:rPr>
          <w:color w:val="000000"/>
          <w:sz w:val="28"/>
          <w:szCs w:val="28"/>
        </w:rPr>
        <w:t>, denotes 'people' in Trk, Kar, Uz, and denotes 'tribal union' in Kir, Alt [</w:t>
      </w:r>
      <w:r>
        <w:rPr>
          <w:sz w:val="28"/>
          <w:szCs w:val="28"/>
        </w:rPr>
        <w:t>26</w:t>
      </w:r>
      <w:r>
        <w:rPr>
          <w:color w:val="000000"/>
          <w:sz w:val="28"/>
          <w:szCs w:val="28"/>
        </w:rPr>
        <w:t>, р. 340].</w:t>
      </w:r>
    </w:p>
    <w:p w14:paraId="20923AFD"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ab/>
        <w:t xml:space="preserve">«El» is also polysemous in the text of </w:t>
      </w:r>
      <w:r>
        <w:rPr>
          <w:sz w:val="28"/>
          <w:szCs w:val="28"/>
        </w:rPr>
        <w:t>«Čingiz-nama»</w:t>
      </w:r>
      <w:r>
        <w:rPr>
          <w:color w:val="000000"/>
          <w:sz w:val="28"/>
          <w:szCs w:val="28"/>
        </w:rPr>
        <w:t>, and those meanings are as follows:</w:t>
      </w:r>
    </w:p>
    <w:p w14:paraId="24EDD2C1" w14:textId="77777777" w:rsidR="00F74BAF" w:rsidRDefault="00737583">
      <w:pPr>
        <w:pBdr>
          <w:top w:val="nil"/>
          <w:left w:val="nil"/>
          <w:bottom w:val="nil"/>
          <w:right w:val="nil"/>
          <w:between w:val="nil"/>
        </w:pBdr>
        <w:tabs>
          <w:tab w:val="left" w:pos="993"/>
        </w:tabs>
        <w:ind w:firstLine="709"/>
        <w:jc w:val="both"/>
        <w:rPr>
          <w:color w:val="0E101A"/>
          <w:sz w:val="28"/>
          <w:szCs w:val="28"/>
        </w:rPr>
      </w:pPr>
      <w:r>
        <w:rPr>
          <w:color w:val="000000"/>
          <w:sz w:val="28"/>
          <w:szCs w:val="28"/>
        </w:rPr>
        <w:t xml:space="preserve">‒ 'tribe' </w:t>
      </w:r>
      <w:r>
        <w:rPr>
          <w:color w:val="0E101A"/>
          <w:sz w:val="28"/>
          <w:szCs w:val="28"/>
        </w:rPr>
        <w:t>«iki baġlï elni bizgä berdi»</w:t>
      </w:r>
    </w:p>
    <w:p w14:paraId="52BAFD98" w14:textId="77777777" w:rsidR="00F74BAF" w:rsidRDefault="00737583">
      <w:pPr>
        <w:pBdr>
          <w:top w:val="nil"/>
          <w:left w:val="nil"/>
          <w:bottom w:val="nil"/>
          <w:right w:val="nil"/>
          <w:between w:val="nil"/>
        </w:pBdr>
        <w:tabs>
          <w:tab w:val="left" w:pos="993"/>
        </w:tabs>
        <w:ind w:firstLine="709"/>
        <w:jc w:val="both"/>
        <w:rPr>
          <w:color w:val="0E101A"/>
          <w:sz w:val="28"/>
          <w:szCs w:val="28"/>
        </w:rPr>
      </w:pPr>
      <w:r>
        <w:rPr>
          <w:color w:val="0E101A"/>
          <w:sz w:val="28"/>
          <w:szCs w:val="28"/>
        </w:rPr>
        <w:t>'He gave us two tr</w:t>
      </w:r>
      <w:r>
        <w:rPr>
          <w:color w:val="0E101A"/>
          <w:sz w:val="28"/>
          <w:szCs w:val="28"/>
        </w:rPr>
        <w:t>ibes.'</w:t>
      </w:r>
      <w:r>
        <w:rPr>
          <w:color w:val="0E101A"/>
          <w:sz w:val="28"/>
          <w:szCs w:val="28"/>
          <w:vertAlign w:val="superscript"/>
        </w:rPr>
        <w:footnoteReference w:id="1"/>
      </w:r>
    </w:p>
    <w:p w14:paraId="6A9F94FF" w14:textId="77777777" w:rsidR="00F74BAF" w:rsidRDefault="00737583">
      <w:pPr>
        <w:pBdr>
          <w:top w:val="nil"/>
          <w:left w:val="nil"/>
          <w:bottom w:val="nil"/>
          <w:right w:val="nil"/>
          <w:between w:val="nil"/>
        </w:pBdr>
        <w:tabs>
          <w:tab w:val="left" w:pos="993"/>
        </w:tabs>
        <w:ind w:firstLine="709"/>
        <w:jc w:val="both"/>
        <w:rPr>
          <w:color w:val="0E101A"/>
          <w:sz w:val="28"/>
          <w:szCs w:val="28"/>
        </w:rPr>
      </w:pPr>
      <w:r>
        <w:rPr>
          <w:color w:val="0E101A"/>
          <w:sz w:val="28"/>
          <w:szCs w:val="28"/>
        </w:rPr>
        <w:t>The term 'el' in the text of «</w:t>
      </w:r>
      <w:r>
        <w:rPr>
          <w:sz w:val="28"/>
          <w:szCs w:val="28"/>
        </w:rPr>
        <w:t>Čingiz-nama</w:t>
      </w:r>
      <w:r>
        <w:rPr>
          <w:color w:val="000000"/>
          <w:sz w:val="28"/>
          <w:szCs w:val="28"/>
        </w:rPr>
        <w:t>»</w:t>
      </w:r>
      <w:r>
        <w:rPr>
          <w:color w:val="0E101A"/>
          <w:sz w:val="28"/>
          <w:szCs w:val="28"/>
        </w:rPr>
        <w:t xml:space="preserve"> holds significant polysemous meanings, including 'tribe,' 'the confederation of tribes,' 'people,' 'country,' etc. [55, p. 244]. However, the context suggests that the interpretation of 'tribe' is more fitting, as evidenced by the subsequent part: «biri q</w:t>
      </w:r>
      <w:r>
        <w:rPr>
          <w:color w:val="0E101A"/>
          <w:sz w:val="28"/>
          <w:szCs w:val="28"/>
        </w:rPr>
        <w:t>arlïq, biri böyräk turur» 'one is qarlïq, the other is böyrak.' Given the presence of tribal names in the text, it is more plausible that 'el' here refers to 'tribe' rather than the broader meaning of 'state.'</w:t>
      </w:r>
    </w:p>
    <w:p w14:paraId="0723E03E" w14:textId="77777777" w:rsidR="00F74BAF" w:rsidRDefault="00737583">
      <w:pPr>
        <w:pBdr>
          <w:top w:val="nil"/>
          <w:left w:val="nil"/>
          <w:bottom w:val="nil"/>
          <w:right w:val="nil"/>
          <w:between w:val="nil"/>
        </w:pBdr>
        <w:tabs>
          <w:tab w:val="left" w:pos="993"/>
        </w:tabs>
        <w:ind w:firstLine="709"/>
        <w:jc w:val="both"/>
        <w:rPr>
          <w:color w:val="0E101A"/>
          <w:sz w:val="28"/>
          <w:szCs w:val="28"/>
        </w:rPr>
      </w:pPr>
      <w:r>
        <w:rPr>
          <w:color w:val="0E101A"/>
          <w:sz w:val="28"/>
          <w:szCs w:val="28"/>
        </w:rPr>
        <w:t>‒ 'realm, state'</w:t>
      </w:r>
    </w:p>
    <w:p w14:paraId="065E69B1" w14:textId="77777777" w:rsidR="00F74BAF" w:rsidRDefault="00737583">
      <w:pPr>
        <w:pBdr>
          <w:top w:val="nil"/>
          <w:left w:val="nil"/>
          <w:bottom w:val="nil"/>
          <w:right w:val="nil"/>
          <w:between w:val="nil"/>
        </w:pBdr>
        <w:tabs>
          <w:tab w:val="left" w:pos="993"/>
        </w:tabs>
        <w:ind w:firstLine="709"/>
        <w:jc w:val="both"/>
        <w:rPr>
          <w:color w:val="0E101A"/>
          <w:sz w:val="28"/>
          <w:szCs w:val="28"/>
        </w:rPr>
      </w:pPr>
      <w:r>
        <w:rPr>
          <w:color w:val="000000"/>
          <w:sz w:val="28"/>
          <w:szCs w:val="28"/>
        </w:rPr>
        <w:t>«</w:t>
      </w:r>
      <w:r>
        <w:rPr>
          <w:color w:val="0E101A"/>
          <w:sz w:val="28"/>
          <w:szCs w:val="28"/>
        </w:rPr>
        <w:t>Sizning eldä sïčqan köp bolu</w:t>
      </w:r>
      <w:r>
        <w:rPr>
          <w:color w:val="0E101A"/>
          <w:sz w:val="28"/>
          <w:szCs w:val="28"/>
        </w:rPr>
        <w:t xml:space="preserve">r mu?» (78) 'Are there many mice in your country?' In this example, el denotes 'country' or 'state.' Another example is: «Qan Bay öz elining ičindä han bolup Kokadaynï yaylap erdi» (99) 'Qan Bay proclaimed himself in his state/realm and settled in Kokaday </w:t>
      </w:r>
      <w:r>
        <w:rPr>
          <w:color w:val="0E101A"/>
          <w:sz w:val="28"/>
          <w:szCs w:val="28"/>
        </w:rPr>
        <w:t>for the summer.' </w:t>
      </w:r>
    </w:p>
    <w:p w14:paraId="6F09637F" w14:textId="77777777" w:rsidR="00F74BAF" w:rsidRDefault="00737583">
      <w:pPr>
        <w:pBdr>
          <w:top w:val="nil"/>
          <w:left w:val="nil"/>
          <w:bottom w:val="nil"/>
          <w:right w:val="nil"/>
          <w:between w:val="nil"/>
        </w:pBdr>
        <w:tabs>
          <w:tab w:val="left" w:pos="993"/>
        </w:tabs>
        <w:ind w:firstLine="709"/>
        <w:jc w:val="both"/>
        <w:rPr>
          <w:color w:val="0E101A"/>
          <w:sz w:val="28"/>
          <w:szCs w:val="28"/>
        </w:rPr>
      </w:pPr>
      <w:r>
        <w:rPr>
          <w:color w:val="0E101A"/>
          <w:sz w:val="28"/>
          <w:szCs w:val="28"/>
        </w:rPr>
        <w:t>‒ 'people'</w:t>
      </w:r>
    </w:p>
    <w:p w14:paraId="563AE1D1"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«Elning köpi Qïrïm wilāyatigä Qïyat Mamay qašïġa ketdi»’ Most of the people fled to the Crimean region, and to Qïyat Mamay.'</w:t>
      </w:r>
    </w:p>
    <w:p w14:paraId="2BF5F14F"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The syntagmatic relations of el: the word is collocated with certain verbs in the text of the «Čingiz-</w:t>
      </w:r>
      <w:r>
        <w:rPr>
          <w:color w:val="0E101A"/>
          <w:sz w:val="28"/>
          <w:szCs w:val="28"/>
        </w:rPr>
        <w:t>nama». We observe that «el» appears together with «ber-» 'to give,' «qoš-» 'to add,' al- 'to take,' «ayïr-» 'to distribute' and always functions as the object of the verbs, e.g., «iki baġlïġ elni bizgä berdi» (p. 69, 38b) 'he granted/gave us two tribes', «</w:t>
      </w:r>
      <w:r>
        <w:rPr>
          <w:color w:val="0E101A"/>
          <w:sz w:val="28"/>
          <w:szCs w:val="28"/>
        </w:rPr>
        <w:t>Özgä el-günning barčasïn köčürüp alïp kelip öz eligä qošdï.» (p. 71, 40a) 'he took all the other people and migrated them then put them into his tribe.', or «Wa taqï Alaṭayġa Miŋ baġlï el ayïrdï» (p. 84, 48a) 'he granted Alatay a thousand of tribes.' In th</w:t>
      </w:r>
      <w:r>
        <w:rPr>
          <w:color w:val="0E101A"/>
          <w:sz w:val="28"/>
          <w:szCs w:val="28"/>
        </w:rPr>
        <w:t>ose cases, we see «el» is tightly associated with the verbs denoting the allocation of objects and sources. This N+V collocation pattern shows that the Golden Horde Khan has the authority to distribute his subject tribes as his will. The tribes are affilia</w:t>
      </w:r>
      <w:r>
        <w:rPr>
          <w:color w:val="0E101A"/>
          <w:sz w:val="28"/>
          <w:szCs w:val="28"/>
        </w:rPr>
        <w:t xml:space="preserve">ted with the Khans as objects, and only «el» occurs in such an expression among the words in the corpus. Therefore, we can consider that «el» possesses the concept of the feud, which the Khan can distribute. However, unlike feudalism in the medieval West, </w:t>
      </w:r>
      <w:r>
        <w:rPr>
          <w:color w:val="0E101A"/>
          <w:sz w:val="28"/>
          <w:szCs w:val="28"/>
        </w:rPr>
        <w:t>steppe feudalism was not based on the ownership of the pasture or the land but the ownership of the people or the tribes. Such type of ownership can be noticed in the expression that occurs in the text, i.e., «Wa har qayda hwajasïdïn qačġan qul wa yasaġdïn</w:t>
      </w:r>
      <w:r>
        <w:rPr>
          <w:color w:val="0E101A"/>
          <w:sz w:val="28"/>
          <w:szCs w:val="28"/>
        </w:rPr>
        <w:t xml:space="preserve"> qačġan el bolsa» 'if there is a slave who fled from his owner or a tribe which fled from the great law.' In this example, the relationship between the tribe and the ruler is equal to that between a slave and his owner. Moreover, the possessive constructio</w:t>
      </w:r>
      <w:r>
        <w:rPr>
          <w:color w:val="0E101A"/>
          <w:sz w:val="28"/>
          <w:szCs w:val="28"/>
        </w:rPr>
        <w:t>n between «han» and «el» can also reflect such an ownership, e.g., «hannïng ellär yaylaġġa tarqap erdi». 'The Khan's tribes are coming to the summer pasture.' </w:t>
      </w:r>
    </w:p>
    <w:p w14:paraId="15372A22"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In the text of «</w:t>
      </w:r>
      <w:r>
        <w:rPr>
          <w:sz w:val="28"/>
          <w:szCs w:val="28"/>
        </w:rPr>
        <w:t>Čingiz-nama</w:t>
      </w:r>
      <w:r>
        <w:rPr>
          <w:color w:val="000000"/>
          <w:sz w:val="28"/>
          <w:szCs w:val="28"/>
        </w:rPr>
        <w:t>»</w:t>
      </w:r>
      <w:r>
        <w:rPr>
          <w:color w:val="0E101A"/>
          <w:sz w:val="28"/>
          <w:szCs w:val="28"/>
        </w:rPr>
        <w:t>, «el» is not limited to denoting a tribe but extends to a supra-tri</w:t>
      </w:r>
      <w:r>
        <w:rPr>
          <w:color w:val="0E101A"/>
          <w:sz w:val="28"/>
          <w:szCs w:val="28"/>
        </w:rPr>
        <w:t xml:space="preserve">bal union encompassing numerous sub-tribes or clans. For instance, we can interpret «Miŋ baġlï el» as a tribe that includes thousands of sub-tribes or 'a tribe with numerous clans,' «omaqlï el» as 'A tribe with many clans.' In a few sentences, «el» in the </w:t>
      </w:r>
      <w:r>
        <w:rPr>
          <w:color w:val="0E101A"/>
          <w:sz w:val="28"/>
          <w:szCs w:val="28"/>
        </w:rPr>
        <w:t>text of «</w:t>
      </w:r>
      <w:r>
        <w:rPr>
          <w:sz w:val="28"/>
          <w:szCs w:val="28"/>
        </w:rPr>
        <w:t>Čingiz-nama</w:t>
      </w:r>
      <w:r>
        <w:rPr>
          <w:color w:val="000000"/>
          <w:sz w:val="28"/>
          <w:szCs w:val="28"/>
        </w:rPr>
        <w:t>»</w:t>
      </w:r>
      <w:r>
        <w:rPr>
          <w:color w:val="0E101A"/>
          <w:sz w:val="28"/>
          <w:szCs w:val="28"/>
        </w:rPr>
        <w:t xml:space="preserve"> also signifies the meaning of 'state, realm,' e.g., «Sizning eldä sïčqan köp bolur mu?» 'Are there mice in your state/ realm?' In this case, «el» is attached by the locative case «-dA», indicating the spatial character of the word. Fr</w:t>
      </w:r>
      <w:r>
        <w:rPr>
          <w:color w:val="0E101A"/>
          <w:sz w:val="28"/>
          <w:szCs w:val="28"/>
        </w:rPr>
        <w:t>om this, we can speculate that «el» denotes 'state' under the condition that its territorial character, just as its original meaning is 'land,' has been emphasized morphologically or implicitly in the context. </w:t>
      </w:r>
    </w:p>
    <w:p w14:paraId="00582A4E"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«Yurt» </w:t>
      </w:r>
    </w:p>
    <w:p w14:paraId="515B9E8B"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It is also written as «yurït»/ «yurut</w:t>
      </w:r>
      <w:r>
        <w:rPr>
          <w:color w:val="000000"/>
          <w:sz w:val="28"/>
          <w:szCs w:val="28"/>
        </w:rPr>
        <w:t>» in the text. This is an ancient Turkic word and was first seen in the Orkhon Turkic inscriptions. Its original meaning is 'the abandoned camp,' e.g., «ölügi yurtda yolta yatu qaltačï ärtigiz!» 'the dead among you would be left lying in deserted camps and</w:t>
      </w:r>
      <w:r>
        <w:rPr>
          <w:color w:val="000000"/>
          <w:sz w:val="28"/>
          <w:szCs w:val="28"/>
        </w:rPr>
        <w:t xml:space="preserve"> on the road.' [</w:t>
      </w:r>
      <w:r>
        <w:rPr>
          <w:sz w:val="28"/>
          <w:szCs w:val="28"/>
        </w:rPr>
        <w:t>83</w:t>
      </w:r>
      <w:r>
        <w:rPr>
          <w:color w:val="000000"/>
          <w:sz w:val="28"/>
          <w:szCs w:val="28"/>
        </w:rPr>
        <w:t>, p. 270] M. Kashgari defines «yurt» as ' a ruined dwelling.' [</w:t>
      </w:r>
      <w:r>
        <w:rPr>
          <w:sz w:val="28"/>
          <w:szCs w:val="28"/>
        </w:rPr>
        <w:t>27</w:t>
      </w:r>
      <w:r>
        <w:rPr>
          <w:color w:val="000000"/>
          <w:sz w:val="28"/>
          <w:szCs w:val="28"/>
        </w:rPr>
        <w:t>, p. 149] «Yurt» exists in all modern Turkic languages, but its meanings are various. «Yurt» denotes 'herding area' in Yak., 'deserted place' in Kaz., 'stable' in Tuv., 'hom</w:t>
      </w:r>
      <w:r>
        <w:rPr>
          <w:color w:val="000000"/>
          <w:sz w:val="28"/>
          <w:szCs w:val="28"/>
        </w:rPr>
        <w:t>eland, state' in Trkm., Kir., Nog., etc., 'village' in Kum., and 'tent' in Az [26, p. 89]. Meanwhile, the original meaning of 'the abandoned camp' is also preserved in modern Kazakh, e.g., in «</w:t>
      </w:r>
      <w:r>
        <w:rPr>
          <w:sz w:val="28"/>
          <w:szCs w:val="28"/>
        </w:rPr>
        <w:t>Čingiz-nama</w:t>
      </w:r>
      <w:r>
        <w:rPr>
          <w:color w:val="000000"/>
          <w:sz w:val="28"/>
          <w:szCs w:val="28"/>
        </w:rPr>
        <w:t xml:space="preserve">», «yurt» is polysemous under different contexts in </w:t>
      </w:r>
      <w:r>
        <w:rPr>
          <w:color w:val="000000"/>
          <w:sz w:val="28"/>
          <w:szCs w:val="28"/>
        </w:rPr>
        <w:t>«</w:t>
      </w:r>
      <w:r>
        <w:rPr>
          <w:sz w:val="28"/>
          <w:szCs w:val="28"/>
        </w:rPr>
        <w:t>Čingiz-nama</w:t>
      </w:r>
      <w:r>
        <w:rPr>
          <w:color w:val="000000"/>
          <w:sz w:val="28"/>
          <w:szCs w:val="28"/>
        </w:rPr>
        <w:t>»: </w:t>
      </w:r>
    </w:p>
    <w:p w14:paraId="42DE1AC8" w14:textId="77777777" w:rsidR="00F74BAF" w:rsidRDefault="00737583">
      <w:pPr>
        <w:pBdr>
          <w:top w:val="nil"/>
          <w:left w:val="nil"/>
          <w:bottom w:val="nil"/>
          <w:right w:val="nil"/>
          <w:between w:val="nil"/>
        </w:pBdr>
        <w:tabs>
          <w:tab w:val="left" w:pos="851"/>
        </w:tabs>
        <w:ind w:left="709"/>
        <w:jc w:val="both"/>
        <w:rPr>
          <w:color w:val="000000"/>
          <w:sz w:val="28"/>
          <w:szCs w:val="28"/>
        </w:rPr>
      </w:pPr>
      <w:r>
        <w:rPr>
          <w:sz w:val="28"/>
          <w:szCs w:val="28"/>
        </w:rPr>
        <w:t xml:space="preserve">- </w:t>
      </w:r>
      <w:r>
        <w:rPr>
          <w:color w:val="000000"/>
          <w:sz w:val="28"/>
          <w:szCs w:val="28"/>
        </w:rPr>
        <w:t>'Camp':</w:t>
      </w:r>
    </w:p>
    <w:p w14:paraId="5DB63C2D" w14:textId="77777777" w:rsidR="00F74BAF" w:rsidRDefault="00737583">
      <w:pPr>
        <w:pBdr>
          <w:top w:val="nil"/>
          <w:left w:val="nil"/>
          <w:bottom w:val="nil"/>
          <w:right w:val="nil"/>
          <w:between w:val="nil"/>
        </w:pBdr>
        <w:tabs>
          <w:tab w:val="left" w:pos="851"/>
        </w:tabs>
        <w:ind w:firstLine="709"/>
        <w:jc w:val="both"/>
        <w:rPr>
          <w:color w:val="0E101A"/>
          <w:sz w:val="28"/>
          <w:szCs w:val="28"/>
        </w:rPr>
      </w:pPr>
      <w:r>
        <w:rPr>
          <w:color w:val="000000"/>
          <w:sz w:val="28"/>
          <w:szCs w:val="28"/>
        </w:rPr>
        <w:t>«</w:t>
      </w:r>
      <w:r>
        <w:rPr>
          <w:color w:val="0E101A"/>
          <w:sz w:val="28"/>
          <w:szCs w:val="28"/>
        </w:rPr>
        <w:t>Andïn song barča qarïndašlarïnġa el-gün yer yurïtlar a'yin qïldï» (71).</w:t>
      </w:r>
    </w:p>
    <w:p w14:paraId="332F7C2A" w14:textId="77777777" w:rsidR="00F74BAF" w:rsidRDefault="00737583">
      <w:pPr>
        <w:pBdr>
          <w:top w:val="nil"/>
          <w:left w:val="nil"/>
          <w:bottom w:val="nil"/>
          <w:right w:val="nil"/>
          <w:between w:val="nil"/>
        </w:pBdr>
        <w:tabs>
          <w:tab w:val="left" w:pos="851"/>
        </w:tabs>
        <w:ind w:firstLine="709"/>
        <w:jc w:val="both"/>
        <w:rPr>
          <w:color w:val="0E101A"/>
          <w:sz w:val="28"/>
          <w:szCs w:val="28"/>
        </w:rPr>
      </w:pPr>
      <w:r>
        <w:rPr>
          <w:color w:val="0E101A"/>
          <w:sz w:val="28"/>
          <w:szCs w:val="28"/>
        </w:rPr>
        <w:t>After that, he distributed the people to all his kin and demarcated their camp.</w:t>
      </w:r>
    </w:p>
    <w:p w14:paraId="3FBB2DBA" w14:textId="77777777" w:rsidR="00F74BAF" w:rsidRDefault="00737583">
      <w:pPr>
        <w:pBdr>
          <w:top w:val="nil"/>
          <w:left w:val="nil"/>
          <w:bottom w:val="nil"/>
          <w:right w:val="nil"/>
          <w:between w:val="nil"/>
        </w:pBdr>
        <w:tabs>
          <w:tab w:val="left" w:pos="851"/>
        </w:tabs>
        <w:ind w:left="709"/>
        <w:jc w:val="both"/>
        <w:rPr>
          <w:color w:val="0E101A"/>
          <w:sz w:val="28"/>
          <w:szCs w:val="28"/>
        </w:rPr>
      </w:pPr>
      <w:r>
        <w:rPr>
          <w:color w:val="0E101A"/>
          <w:sz w:val="28"/>
          <w:szCs w:val="28"/>
        </w:rPr>
        <w:t>- 'Country':</w:t>
      </w:r>
    </w:p>
    <w:p w14:paraId="0AD60394" w14:textId="77777777" w:rsidR="00F74BAF" w:rsidRDefault="00737583">
      <w:pPr>
        <w:pBdr>
          <w:top w:val="nil"/>
          <w:left w:val="nil"/>
          <w:bottom w:val="nil"/>
          <w:right w:val="nil"/>
          <w:between w:val="nil"/>
        </w:pBdr>
        <w:tabs>
          <w:tab w:val="left" w:pos="851"/>
        </w:tabs>
        <w:ind w:firstLine="709"/>
        <w:jc w:val="both"/>
        <w:rPr>
          <w:color w:val="0E101A"/>
          <w:sz w:val="28"/>
          <w:szCs w:val="28"/>
        </w:rPr>
      </w:pPr>
      <w:r>
        <w:rPr>
          <w:color w:val="000000"/>
          <w:sz w:val="28"/>
          <w:szCs w:val="28"/>
        </w:rPr>
        <w:t>«</w:t>
      </w:r>
      <w:r>
        <w:rPr>
          <w:color w:val="0E101A"/>
          <w:sz w:val="28"/>
          <w:szCs w:val="28"/>
        </w:rPr>
        <w:t xml:space="preserve">Yat yurutġa bara turur biz.» 'We are going to an unknown </w:t>
      </w:r>
      <w:r>
        <w:rPr>
          <w:color w:val="0E101A"/>
          <w:sz w:val="28"/>
          <w:szCs w:val="28"/>
        </w:rPr>
        <w:t>country.' (68)</w:t>
      </w:r>
    </w:p>
    <w:p w14:paraId="4F53F16C" w14:textId="77777777" w:rsidR="00F74BAF" w:rsidRDefault="00737583">
      <w:pPr>
        <w:pBdr>
          <w:top w:val="nil"/>
          <w:left w:val="nil"/>
          <w:bottom w:val="nil"/>
          <w:right w:val="nil"/>
          <w:between w:val="nil"/>
        </w:pBdr>
        <w:tabs>
          <w:tab w:val="left" w:pos="851"/>
        </w:tabs>
        <w:ind w:firstLine="709"/>
        <w:jc w:val="both"/>
        <w:rPr>
          <w:color w:val="0E101A"/>
          <w:sz w:val="28"/>
          <w:szCs w:val="28"/>
        </w:rPr>
      </w:pPr>
      <w:r>
        <w:rPr>
          <w:color w:val="0E101A"/>
          <w:sz w:val="28"/>
          <w:szCs w:val="28"/>
        </w:rPr>
        <w:t>«Yurutum yat kišigä tüšär» (p. 80, 46a) 'My country will fall to the stranger's hand'</w:t>
      </w:r>
    </w:p>
    <w:p w14:paraId="62619FF6" w14:textId="77777777" w:rsidR="00F74BAF" w:rsidRDefault="00737583">
      <w:pPr>
        <w:pBdr>
          <w:top w:val="nil"/>
          <w:left w:val="nil"/>
          <w:bottom w:val="nil"/>
          <w:right w:val="nil"/>
          <w:between w:val="nil"/>
        </w:pBdr>
        <w:tabs>
          <w:tab w:val="left" w:pos="851"/>
        </w:tabs>
        <w:ind w:left="709"/>
        <w:jc w:val="both"/>
        <w:rPr>
          <w:color w:val="0E101A"/>
          <w:sz w:val="28"/>
          <w:szCs w:val="28"/>
        </w:rPr>
      </w:pPr>
      <w:r>
        <w:rPr>
          <w:color w:val="0E101A"/>
          <w:sz w:val="28"/>
          <w:szCs w:val="28"/>
        </w:rPr>
        <w:t>- 'Dwelling place':</w:t>
      </w:r>
    </w:p>
    <w:p w14:paraId="56429781"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«Sen barïp atalarning yurtinda padshalïgïn qïlġïl» (74) 'You go to your ancestors' place and establish the sovereignty.'</w:t>
      </w:r>
    </w:p>
    <w:p w14:paraId="53BB025C"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«Ṣayïn Ḫān sal</w:t>
      </w:r>
      <w:r>
        <w:rPr>
          <w:color w:val="0E101A"/>
          <w:sz w:val="28"/>
          <w:szCs w:val="28"/>
        </w:rPr>
        <w:t>ġaġan Mangġutaynïng yurtï Aq Köl tegändä bolur edi» (p. 88, 50b) ''</w:t>
      </w:r>
    </w:p>
    <w:p w14:paraId="48565CBC"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The paradigmatic relation of yurt: yurt is synonymy with wilāyat, and both denote the meaning of 'country.' Their synonymy relation can be observed in the text of ChinN, e.g., «Qïlïč čapġa</w:t>
      </w:r>
      <w:r>
        <w:rPr>
          <w:color w:val="0E101A"/>
          <w:sz w:val="28"/>
          <w:szCs w:val="28"/>
        </w:rPr>
        <w:t xml:space="preserve">n yurt ačġan är Šibannïng oġlanlarï dur.» (p. 69, 38b) 'They are the princes of är Šiban who wielded the sword and expanded the country.' «Čun Šïban Ḫān qïlïčlar čapïp yaġïlar wilāyat ačïp erdi» (p. 84, 47b-48a) 'The great Šïban Ḫān once wielded the sword </w:t>
      </w:r>
      <w:r>
        <w:rPr>
          <w:color w:val="0E101A"/>
          <w:sz w:val="28"/>
          <w:szCs w:val="28"/>
        </w:rPr>
        <w:t>and expended the country.' The verbal phrases «yurt ačġan and wilāyat ačïp» are semantically interchangeable under the same context. «Ḫān körünüšindin qaytïp ḫān salġaġan wilāyatlarïnġa ki keldilär» (p. 70, 39b) «Ṣayïn Ḫān salġaġan Mangġutaynïng yurtï Aq K</w:t>
      </w:r>
      <w:r>
        <w:rPr>
          <w:color w:val="0E101A"/>
          <w:sz w:val="28"/>
          <w:szCs w:val="28"/>
        </w:rPr>
        <w:t>öl tegändä bolur edi» (p.88, 50b) Thus, the two words are proven be synonymy. In terms of the syntagmatic relations, «yurt» repeatedly appears together with «ḫānlïq», «pādšāhlïġ» in the text, e.g., «Emdi yurït taqï ḫānlïq Šïban Ḫān oġlanlarïġa tegär» (p. 6</w:t>
      </w:r>
      <w:r>
        <w:rPr>
          <w:color w:val="0E101A"/>
          <w:sz w:val="28"/>
          <w:szCs w:val="28"/>
        </w:rPr>
        <w:t xml:space="preserve">9, 38b) «atalarnïng yurtïnda pādšāhlïġïnï [qïlġïl' tedi]» (p. 74, 41b). We can observe that «yurt» and «ḫānlïq»/«pādšāhlïġ» are coordinated; the former denotes territory or land, and the latter denotes political power (supreme power). Thus, it may reflect </w:t>
      </w:r>
      <w:r>
        <w:rPr>
          <w:color w:val="0E101A"/>
          <w:sz w:val="28"/>
          <w:szCs w:val="28"/>
        </w:rPr>
        <w:t>that the combination of territory and political power constructed the concept of the contemporary people towards the sovereignty of the Golden Horde or the later nomadic states. «Yurt» is juxtaposed with «yer» 'land' as well, forming the compound word «yer</w:t>
      </w:r>
      <w:r>
        <w:rPr>
          <w:color w:val="0E101A"/>
          <w:sz w:val="28"/>
          <w:szCs w:val="28"/>
        </w:rPr>
        <w:t xml:space="preserve"> yurt», 'the home.' The coordination of parallel syntactic structures can indicate that they share elements [83, p. 509]. In the case of «yer yurt», they both possess the semantic element of 'land, territory.', and the possible interpretation can be as 'ho</w:t>
      </w:r>
      <w:r>
        <w:rPr>
          <w:color w:val="0E101A"/>
          <w:sz w:val="28"/>
          <w:szCs w:val="28"/>
        </w:rPr>
        <w:t>meland.' This phrase also occurs in other historical texts, e.g., «yerini yurtïnï koyup» 'abandoning their homes' [26, p. 958].</w:t>
      </w:r>
    </w:p>
    <w:p w14:paraId="343085EB"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«Wilāyat»</w:t>
      </w:r>
    </w:p>
    <w:p w14:paraId="448E583F"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The word «wilāyat» is of Arabic origin and has a rich etymological history. In Arabic, «wilāyat» means 'country,' </w:t>
      </w:r>
      <w:r>
        <w:rPr>
          <w:color w:val="000000"/>
          <w:sz w:val="28"/>
          <w:szCs w:val="28"/>
        </w:rPr>
        <w:t>'province,' 'town,' or the like and is often used to refer to an administrative division [</w:t>
      </w:r>
      <w:r>
        <w:rPr>
          <w:sz w:val="28"/>
          <w:szCs w:val="28"/>
        </w:rPr>
        <w:t>84, p.3060</w:t>
      </w:r>
      <w:r>
        <w:rPr>
          <w:color w:val="000000"/>
          <w:sz w:val="28"/>
          <w:szCs w:val="28"/>
        </w:rPr>
        <w:t>]. The term was then borrowed into the Turkic and denotes similar meanings. In Ottoman Turkish, «wilāyat» has versatile meanings like 'sovereignty,' 'rule,'</w:t>
      </w:r>
      <w:r>
        <w:rPr>
          <w:color w:val="000000"/>
          <w:sz w:val="28"/>
          <w:szCs w:val="28"/>
        </w:rPr>
        <w:t xml:space="preserve"> 'principality or province' and so on [</w:t>
      </w:r>
      <w:r>
        <w:rPr>
          <w:sz w:val="28"/>
          <w:szCs w:val="28"/>
        </w:rPr>
        <w:t>53, p. 148</w:t>
      </w:r>
      <w:r>
        <w:rPr>
          <w:color w:val="000000"/>
          <w:sz w:val="28"/>
          <w:szCs w:val="28"/>
        </w:rPr>
        <w:t>]. This word is still largely used by modern Turkic, especially in Central Asia, functioning as the official term for the province. </w:t>
      </w:r>
    </w:p>
    <w:p w14:paraId="23DC347E"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«Wilāyat» is synonymy with «yurt», «ulus», «el» in the sense of 'state.' H</w:t>
      </w:r>
      <w:r>
        <w:rPr>
          <w:color w:val="0E101A"/>
          <w:sz w:val="28"/>
          <w:szCs w:val="28"/>
        </w:rPr>
        <w:t>owever, compared with other synonymy words, «wilāyat» is frequently used for place names in the text, indicating regions or states, e.g., «Oros wilāyatï» 'the state of Russia,' «Maskaw wilāyatï» 'the region of Moscow', «Awlaq wilāyatï», «Kural wilāyatï», e</w:t>
      </w:r>
      <w:r>
        <w:rPr>
          <w:color w:val="0E101A"/>
          <w:sz w:val="28"/>
          <w:szCs w:val="28"/>
        </w:rPr>
        <w:t>tc. </w:t>
      </w:r>
    </w:p>
    <w:p w14:paraId="51D683D0"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«Aimaġ»</w:t>
      </w:r>
    </w:p>
    <w:p w14:paraId="2D8BABB0"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«Aimaġ» is a Mongolian loan-word, which denotes tribe or tribal confederation. In ancient times clans were called «aimag» </w:t>
      </w:r>
      <w:r>
        <w:rPr>
          <w:color w:val="0E101A"/>
          <w:sz w:val="28"/>
          <w:szCs w:val="28"/>
        </w:rPr>
        <w:t>'</w:t>
      </w:r>
      <w:r>
        <w:rPr>
          <w:color w:val="000000"/>
          <w:sz w:val="28"/>
          <w:szCs w:val="28"/>
        </w:rPr>
        <w:t>tribes</w:t>
      </w:r>
      <w:r>
        <w:rPr>
          <w:color w:val="0E101A"/>
          <w:sz w:val="28"/>
          <w:szCs w:val="28"/>
        </w:rPr>
        <w:t>'</w:t>
      </w:r>
      <w:r>
        <w:rPr>
          <w:color w:val="000000"/>
          <w:sz w:val="28"/>
          <w:szCs w:val="28"/>
        </w:rPr>
        <w:t xml:space="preserve">. In the initial stage of the </w:t>
      </w:r>
      <w:r>
        <w:rPr>
          <w:sz w:val="28"/>
          <w:szCs w:val="28"/>
        </w:rPr>
        <w:t>breakdown</w:t>
      </w:r>
      <w:r>
        <w:rPr>
          <w:color w:val="000000"/>
          <w:sz w:val="28"/>
          <w:szCs w:val="28"/>
        </w:rPr>
        <w:t xml:space="preserve"> of primitive communal structures tribal confederations («aimgiin xolboo») were formed. The «aimag» </w:t>
      </w:r>
      <w:r>
        <w:rPr>
          <w:color w:val="0E101A"/>
          <w:sz w:val="28"/>
          <w:szCs w:val="28"/>
        </w:rPr>
        <w:t>'</w:t>
      </w:r>
      <w:r>
        <w:rPr>
          <w:color w:val="000000"/>
          <w:sz w:val="28"/>
          <w:szCs w:val="28"/>
        </w:rPr>
        <w:t>tribe</w:t>
      </w:r>
      <w:r>
        <w:rPr>
          <w:color w:val="0E101A"/>
          <w:sz w:val="28"/>
          <w:szCs w:val="28"/>
        </w:rPr>
        <w:t>'</w:t>
      </w:r>
      <w:r>
        <w:rPr>
          <w:color w:val="000000"/>
          <w:sz w:val="28"/>
          <w:szCs w:val="28"/>
        </w:rPr>
        <w:t xml:space="preserve"> had its own distinct name and territory it occupied. It had a unified dialect and customs. It depended on territorial affiliation. Whichever was the</w:t>
      </w:r>
      <w:r>
        <w:rPr>
          <w:color w:val="000000"/>
          <w:sz w:val="28"/>
          <w:szCs w:val="28"/>
        </w:rPr>
        <w:t xml:space="preserve"> leading one of the various clans and lineages («owog ugsaatan») within the composition of the tribe gave its name to the tribe (s.v. «aimag») [</w:t>
      </w:r>
      <w:r>
        <w:rPr>
          <w:sz w:val="28"/>
          <w:szCs w:val="28"/>
        </w:rPr>
        <w:t>85, p. 9</w:t>
      </w:r>
      <w:r>
        <w:rPr>
          <w:color w:val="000000"/>
          <w:sz w:val="28"/>
          <w:szCs w:val="28"/>
        </w:rPr>
        <w:t>].</w:t>
      </w:r>
    </w:p>
    <w:p w14:paraId="624652B5"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«Aimaġ» occurs only once in «</w:t>
      </w:r>
      <w:r>
        <w:rPr>
          <w:sz w:val="28"/>
          <w:szCs w:val="28"/>
        </w:rPr>
        <w:t>Čingiz-nama</w:t>
      </w:r>
      <w:r>
        <w:rPr>
          <w:color w:val="000000"/>
          <w:sz w:val="28"/>
          <w:szCs w:val="28"/>
        </w:rPr>
        <w:t>». «Wa taqï har aymaġnï bir beggä qošun berdi» (p. 71, 40a) '</w:t>
      </w:r>
      <w:r>
        <w:rPr>
          <w:color w:val="000000"/>
          <w:sz w:val="28"/>
          <w:szCs w:val="28"/>
        </w:rPr>
        <w:t>And then he granted each tribe to a «bäg» as a «qošun».’</w:t>
      </w:r>
    </w:p>
    <w:p w14:paraId="3EDFC671"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Lexemes </w:t>
      </w:r>
      <w:r>
        <w:rPr>
          <w:sz w:val="28"/>
          <w:szCs w:val="28"/>
        </w:rPr>
        <w:t>d</w:t>
      </w:r>
      <w:r>
        <w:rPr>
          <w:color w:val="000000"/>
          <w:sz w:val="28"/>
          <w:szCs w:val="28"/>
        </w:rPr>
        <w:t>enoting 'Clan'</w:t>
      </w:r>
    </w:p>
    <w:p w14:paraId="29CCAAFA"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«Uruġ» </w:t>
      </w:r>
    </w:p>
    <w:p w14:paraId="2BC80F10"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This is an ancient Turkic word, originally meaning 'seed,' also 'decedents,' 'progeny.' [26, p. 214] «Uruġ» is the synonym of «tamur», «tuqum» in the sense of 'blood l</w:t>
      </w:r>
      <w:r>
        <w:rPr>
          <w:color w:val="0E101A"/>
          <w:sz w:val="28"/>
          <w:szCs w:val="28"/>
        </w:rPr>
        <w:t>inage.' It has different forms in modern Turkic languages, such as «uruġ»/ «urïq»/ «uru», etc. Its extended meaning denotes the concept of 'clan,' which is the community bonded by the lineage of the claimed common ancestor. In modern Kazakh, «ruw», as a va</w:t>
      </w:r>
      <w:r>
        <w:rPr>
          <w:color w:val="0E101A"/>
          <w:sz w:val="28"/>
          <w:szCs w:val="28"/>
        </w:rPr>
        <w:t>riant of «uruġ», denoting' clan' [86, p. 490], and «uruġ» also preserve the original meaning of 'seed.' In «</w:t>
      </w:r>
      <w:r>
        <w:rPr>
          <w:sz w:val="28"/>
          <w:szCs w:val="28"/>
        </w:rPr>
        <w:t>Čingiz-nama</w:t>
      </w:r>
      <w:r>
        <w:rPr>
          <w:color w:val="000000"/>
          <w:sz w:val="28"/>
          <w:szCs w:val="28"/>
        </w:rPr>
        <w:t>»</w:t>
      </w:r>
      <w:r>
        <w:rPr>
          <w:color w:val="0E101A"/>
          <w:sz w:val="28"/>
          <w:szCs w:val="28"/>
        </w:rPr>
        <w:t>, «uruġ» several times, and it only denotes the meaning of 'clan,' e.g., «öz uruġumdï tamam qïrdïm», 'I have slaughtered all my clan (in</w:t>
      </w:r>
      <w:r>
        <w:rPr>
          <w:color w:val="0E101A"/>
          <w:sz w:val="28"/>
          <w:szCs w:val="28"/>
        </w:rPr>
        <w:t xml:space="preserve"> case they contend for political power).' «Uruġ» is broadly preserved in modern Turkic languages, and it denotes different meanings. «Uruġ» denotes 'kindred' in Tkm., Az. Dial., Kar., Kir., Kax., Nog., Kkal., Tat., Baš., Uz., Ug., 'seed' in Kir., Kzx., Kka</w:t>
      </w:r>
      <w:r>
        <w:rPr>
          <w:color w:val="0E101A"/>
          <w:sz w:val="28"/>
          <w:szCs w:val="28"/>
        </w:rPr>
        <w:t>l., Uz., Ug., Chv., 'generation' in Az. Dia., Kar [25, p. 605].</w:t>
      </w:r>
    </w:p>
    <w:p w14:paraId="34F6B546" w14:textId="77777777" w:rsidR="00F74BAF" w:rsidRDefault="00737583">
      <w:pPr>
        <w:pBdr>
          <w:top w:val="nil"/>
          <w:left w:val="nil"/>
          <w:bottom w:val="nil"/>
          <w:right w:val="nil"/>
          <w:between w:val="nil"/>
        </w:pBdr>
        <w:ind w:firstLine="709"/>
        <w:jc w:val="both"/>
        <w:rPr>
          <w:color w:val="000000"/>
          <w:sz w:val="28"/>
          <w:szCs w:val="28"/>
        </w:rPr>
      </w:pPr>
      <w:r>
        <w:rPr>
          <w:color w:val="0E101A"/>
          <w:sz w:val="28"/>
          <w:szCs w:val="28"/>
        </w:rPr>
        <w:t>«Uruġ» is synonymous with «omaq», «aimaq». They are the Mongolian counterparts of uruġ in the sense of 'clan.' Meanwhile, «uruġ» is merronymy with «qarïndaš» and «nasl», which means the concep</w:t>
      </w:r>
      <w:r>
        <w:rPr>
          <w:color w:val="0E101A"/>
          <w:sz w:val="28"/>
          <w:szCs w:val="28"/>
        </w:rPr>
        <w:t>t of «uruġ» is composed of the latter.  It is can be seen in the two semantically identical sentences, i.e., «men ölgändin song anga hanlïq talašur' tep, öz qarïndašlarïn taqï öz naslïn barčasïn qïrdï» 'He slaughtered all his own brothers and sisters and k</w:t>
      </w:r>
      <w:r>
        <w:rPr>
          <w:color w:val="0E101A"/>
          <w:sz w:val="28"/>
          <w:szCs w:val="28"/>
        </w:rPr>
        <w:t>ins just in case they would struggle for the power after he died.', «men ölgändin song anga hanlïq talašur' tep, öz uruġïn tamam qïrġan bolġay» 'He thoroughly slaughtered his own clan just in case they would struggle for the power after he died.' In this c</w:t>
      </w:r>
      <w:r>
        <w:rPr>
          <w:color w:val="0E101A"/>
          <w:sz w:val="28"/>
          <w:szCs w:val="28"/>
        </w:rPr>
        <w:t>ase, uruġ is semantically identical to the combination of «qarïndaš» and «nasl». </w:t>
      </w:r>
    </w:p>
    <w:p w14:paraId="77951DCF"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«Omaq» </w:t>
      </w:r>
    </w:p>
    <w:p w14:paraId="2EA5972B"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«Omaq» is a Mongolian loanword, denoting 'clan.' Due to the phonetic changes, it has variants of «oboq» and «owog». Doerfer considers that «omaq» is derivative of the</w:t>
      </w:r>
      <w:r>
        <w:rPr>
          <w:color w:val="000000"/>
          <w:sz w:val="28"/>
          <w:szCs w:val="28"/>
        </w:rPr>
        <w:t xml:space="preserve"> Tukic word, «oba», which also denotes 'clan.' «Omaq» as a nomadic community stands between «uruġ» and «irgän». «Omaq» is the community of descendants of the common mythical ancestor, and between them intermarriage is forbidden [</w:t>
      </w:r>
      <w:r>
        <w:rPr>
          <w:sz w:val="28"/>
          <w:szCs w:val="28"/>
        </w:rPr>
        <w:t>24</w:t>
      </w:r>
      <w:r>
        <w:rPr>
          <w:color w:val="000000"/>
          <w:sz w:val="28"/>
          <w:szCs w:val="28"/>
        </w:rPr>
        <w:t>, р. 182-183] «Owog» desi</w:t>
      </w:r>
      <w:r>
        <w:rPr>
          <w:color w:val="000000"/>
          <w:sz w:val="28"/>
          <w:szCs w:val="28"/>
        </w:rPr>
        <w:t xml:space="preserve">gnates an ancient Mongolian </w:t>
      </w:r>
      <w:r>
        <w:rPr>
          <w:sz w:val="28"/>
          <w:szCs w:val="28"/>
        </w:rPr>
        <w:t>group of</w:t>
      </w:r>
      <w:r>
        <w:rPr>
          <w:color w:val="000000"/>
          <w:sz w:val="28"/>
          <w:szCs w:val="28"/>
        </w:rPr>
        <w:t xml:space="preserve"> people with a blood relationship. Among the common features of the ancient «owog» were origin from a single ancestor, its own elders, a special name or title, a banner, grazing territory, a hearth, a common burial groun</w:t>
      </w:r>
      <w:r>
        <w:rPr>
          <w:color w:val="000000"/>
          <w:sz w:val="28"/>
          <w:szCs w:val="28"/>
        </w:rPr>
        <w:t>d or ancestor's land, a place of common worship, an assembly in which internal and external affairs are discussed, and a self- defense army (s.v. «owog») [</w:t>
      </w:r>
      <w:r>
        <w:rPr>
          <w:sz w:val="28"/>
          <w:szCs w:val="28"/>
        </w:rPr>
        <w:t>85</w:t>
      </w:r>
      <w:r>
        <w:rPr>
          <w:color w:val="000000"/>
          <w:sz w:val="28"/>
          <w:szCs w:val="28"/>
        </w:rPr>
        <w:t xml:space="preserve">, p. 9]. </w:t>
      </w:r>
    </w:p>
    <w:p w14:paraId="21A527F6"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In the «</w:t>
      </w:r>
      <w:r>
        <w:rPr>
          <w:sz w:val="28"/>
          <w:szCs w:val="28"/>
        </w:rPr>
        <w:t>Čingiz-nama</w:t>
      </w:r>
      <w:r>
        <w:rPr>
          <w:color w:val="000000"/>
          <w:sz w:val="28"/>
          <w:szCs w:val="28"/>
        </w:rPr>
        <w:t>», «omaq» occurs twice in the text and is both attached with the Turki</w:t>
      </w:r>
      <w:r>
        <w:rPr>
          <w:color w:val="000000"/>
          <w:sz w:val="28"/>
          <w:szCs w:val="28"/>
        </w:rPr>
        <w:t>c formative suffix «-lI», the variant of the suffix «-lXg» due to the phonetic changes, indicating the possessive relation [</w:t>
      </w:r>
      <w:r>
        <w:rPr>
          <w:sz w:val="28"/>
          <w:szCs w:val="28"/>
        </w:rPr>
        <w:t>87, p. 363</w:t>
      </w:r>
      <w:r>
        <w:rPr>
          <w:color w:val="000000"/>
          <w:sz w:val="28"/>
          <w:szCs w:val="28"/>
        </w:rPr>
        <w:t>]. They are «omaqlï el» 'a tribe with a lot of clans'(p. 73, 41a) and «Bājïr Toq Buġa tegän Uyġur omaqlï bolur erdi» (p. 8</w:t>
      </w:r>
      <w:r>
        <w:rPr>
          <w:color w:val="000000"/>
          <w:sz w:val="28"/>
          <w:szCs w:val="28"/>
        </w:rPr>
        <w:t>0, 46a). We can observe that «omaq» as a smaller tribal unit is included in the concept of «el», being its meronym.</w:t>
      </w:r>
    </w:p>
    <w:p w14:paraId="57FACBF4"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«Qabile» </w:t>
      </w:r>
    </w:p>
    <w:p w14:paraId="4B6F2356"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«Qabile» («</w:t>
      </w:r>
      <w:r>
        <w:rPr>
          <w:color w:val="000000"/>
          <w:sz w:val="28"/>
          <w:szCs w:val="28"/>
          <w:rtl/>
        </w:rPr>
        <w:t>قبيلة</w:t>
      </w:r>
      <w:r>
        <w:rPr>
          <w:color w:val="000000"/>
          <w:sz w:val="28"/>
          <w:szCs w:val="28"/>
        </w:rPr>
        <w:t>») is an Arabic word borrowed into Turkic, originally denoting 'family,' 'kindred,' 'parentage,' [</w:t>
      </w:r>
      <w:r>
        <w:rPr>
          <w:sz w:val="28"/>
          <w:szCs w:val="28"/>
        </w:rPr>
        <w:t>88, p. 294</w:t>
      </w:r>
      <w:r>
        <w:rPr>
          <w:color w:val="000000"/>
          <w:sz w:val="28"/>
          <w:szCs w:val="28"/>
        </w:rPr>
        <w:t xml:space="preserve">] and </w:t>
      </w:r>
      <w:r>
        <w:rPr>
          <w:color w:val="000000"/>
          <w:sz w:val="28"/>
          <w:szCs w:val="28"/>
        </w:rPr>
        <w:t xml:space="preserve">in Turkic its semantics changed into 'clan, tribe.' This word then was widely used in Ottoman Turkish and Chagatai Turkic languages and in modern Turkic languages. </w:t>
      </w:r>
    </w:p>
    <w:p w14:paraId="01AB6FF7"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«Qabile» is synonymy with «qawm», and they were juxtaposed in the text, e.g., «qawmï qabile</w:t>
      </w:r>
      <w:r>
        <w:rPr>
          <w:color w:val="000000"/>
          <w:sz w:val="28"/>
          <w:szCs w:val="28"/>
        </w:rPr>
        <w:t xml:space="preserve">si köp küčlüg el erdi» 'This is a powerful tribe with many clans'; «burunda qawmï qabilesi köp küčlüg kiši erdi» 'he was a power man ruling many tribe-clans.' </w:t>
      </w:r>
    </w:p>
    <w:p w14:paraId="28F3026A"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«Qawm»</w:t>
      </w:r>
    </w:p>
    <w:p w14:paraId="0DB0726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«Qawm» («</w:t>
      </w:r>
      <w:r>
        <w:rPr>
          <w:color w:val="000000"/>
          <w:sz w:val="28"/>
          <w:szCs w:val="28"/>
          <w:rtl/>
        </w:rPr>
        <w:t>قوم</w:t>
      </w:r>
      <w:r>
        <w:rPr>
          <w:color w:val="000000"/>
          <w:sz w:val="28"/>
          <w:szCs w:val="28"/>
        </w:rPr>
        <w:t>») is an Arabic loanword borrowed into Turkic, and its original meaning is 'p</w:t>
      </w:r>
      <w:r>
        <w:rPr>
          <w:color w:val="000000"/>
          <w:sz w:val="28"/>
          <w:szCs w:val="28"/>
        </w:rPr>
        <w:t>eople, nation; tribe, family, kindred' [</w:t>
      </w:r>
      <w:r>
        <w:rPr>
          <w:sz w:val="28"/>
          <w:szCs w:val="28"/>
        </w:rPr>
        <w:t>89, p. 995</w:t>
      </w:r>
      <w:r>
        <w:rPr>
          <w:color w:val="000000"/>
          <w:sz w:val="28"/>
          <w:szCs w:val="28"/>
        </w:rPr>
        <w:t>]. It occurs twice in the ChinN, i.e., «iki qawmdïn iki ittifāq birlä bir yerdä ḫān bolmaqï muškil turur» (p. 80, 46a) 'it is difficult to become the khan of two separate tribes in the same place;' «qawmï q</w:t>
      </w:r>
      <w:r>
        <w:rPr>
          <w:color w:val="000000"/>
          <w:sz w:val="28"/>
          <w:szCs w:val="28"/>
        </w:rPr>
        <w:t xml:space="preserve">arïndašï köp küčlüg kiši erdi» (p.88, 50a) 'he is a powerful person who has many kins.' The two instances indicate the two meanings «qawm» possesses: 1) tribe and 2) kindred. The syntagms of «qawm» help to define its meaning. The former is modified by the </w:t>
      </w:r>
      <w:r>
        <w:rPr>
          <w:color w:val="000000"/>
          <w:sz w:val="28"/>
          <w:szCs w:val="28"/>
        </w:rPr>
        <w:t>numeral «iki» 'two,' implying the meaning of «qawm» is 'tribes' or 'clans.' And the latter one, «qawmï qarïndašï» is a binomial in the pattern of N1-3sg + N2-3sg, indicating they share similar semantics, so «qawm» in here is same as «qarïndaš», which means</w:t>
      </w:r>
      <w:r>
        <w:rPr>
          <w:color w:val="000000"/>
          <w:sz w:val="28"/>
          <w:szCs w:val="28"/>
        </w:rPr>
        <w:t xml:space="preserve"> 'kindred'. </w:t>
      </w:r>
    </w:p>
    <w:p w14:paraId="4520C3DC"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Social-political lexemes denoting 'sovereignty'</w:t>
      </w:r>
    </w:p>
    <w:p w14:paraId="1506B9D9"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«Hanlïġ»</w:t>
      </w:r>
    </w:p>
    <w:p w14:paraId="3E147507" w14:textId="77777777" w:rsidR="00F74BAF" w:rsidRDefault="00737583">
      <w:pPr>
        <w:pBdr>
          <w:top w:val="nil"/>
          <w:left w:val="nil"/>
          <w:bottom w:val="nil"/>
          <w:right w:val="nil"/>
          <w:between w:val="nil"/>
        </w:pBdr>
        <w:ind w:firstLine="709"/>
        <w:jc w:val="both"/>
        <w:rPr>
          <w:color w:val="0E101A"/>
          <w:sz w:val="28"/>
          <w:szCs w:val="28"/>
        </w:rPr>
      </w:pPr>
      <w:r>
        <w:rPr>
          <w:color w:val="000000"/>
          <w:sz w:val="28"/>
          <w:szCs w:val="28"/>
        </w:rPr>
        <w:t>«Hanlïġ», a derivative of «han», carries a rich historical significance, denoting 'kingdom, khanship, sovereignty, reign' [</w:t>
      </w:r>
      <w:r>
        <w:rPr>
          <w:sz w:val="28"/>
          <w:szCs w:val="28"/>
        </w:rPr>
        <w:t>26</w:t>
      </w:r>
      <w:r>
        <w:rPr>
          <w:color w:val="000000"/>
          <w:sz w:val="28"/>
          <w:szCs w:val="28"/>
        </w:rPr>
        <w:t xml:space="preserve">, p. 638]. </w:t>
      </w:r>
      <w:r>
        <w:rPr>
          <w:color w:val="0E101A"/>
          <w:sz w:val="28"/>
          <w:szCs w:val="28"/>
        </w:rPr>
        <w:t>«Hanlïq», a term composed of the root «han» and th</w:t>
      </w:r>
      <w:r>
        <w:rPr>
          <w:color w:val="0E101A"/>
          <w:sz w:val="28"/>
          <w:szCs w:val="28"/>
        </w:rPr>
        <w:t>e formative suffix -lXg, carries a dual meaning. The suffix -lXg, indicating the possessive relation, gives «hanlïġ» the concept of 'the property of the Khan' [56, p. 139]. This dual meaning can be understood as ' the territorial state which belongs to the</w:t>
      </w:r>
      <w:r>
        <w:rPr>
          <w:color w:val="0E101A"/>
          <w:sz w:val="28"/>
          <w:szCs w:val="28"/>
        </w:rPr>
        <w:t xml:space="preserve"> Khan as a property' and 'the political power the Khan owns to rule the state.' Both these meanings are present in modern Turkic languages, but the exact meaning of «Hanlïġ» in «</w:t>
      </w:r>
      <w:r>
        <w:rPr>
          <w:sz w:val="28"/>
          <w:szCs w:val="28"/>
        </w:rPr>
        <w:t>Čingiz-nama</w:t>
      </w:r>
      <w:r>
        <w:rPr>
          <w:color w:val="000000"/>
          <w:sz w:val="28"/>
          <w:szCs w:val="28"/>
        </w:rPr>
        <w:t>»</w:t>
      </w:r>
      <w:r>
        <w:rPr>
          <w:color w:val="0E101A"/>
          <w:sz w:val="28"/>
          <w:szCs w:val="28"/>
        </w:rPr>
        <w:t xml:space="preserve"> needs further attestation. </w:t>
      </w:r>
    </w:p>
    <w:p w14:paraId="31DA540D"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Meanwhile, «hanlïġ» is synonymous wit</w:t>
      </w:r>
      <w:r>
        <w:rPr>
          <w:color w:val="0E101A"/>
          <w:sz w:val="28"/>
          <w:szCs w:val="28"/>
        </w:rPr>
        <w:t>h «pādišāhlïġ» within the corpus, and their semantics are largely overlapped. And as for the syntagmatic relations, «hanlïġ» in the text interacts with specific lexemes, say, it always appears together with yurt as mentioned above and «el-gün»’ people,' e.</w:t>
      </w:r>
      <w:r>
        <w:rPr>
          <w:color w:val="0E101A"/>
          <w:sz w:val="28"/>
          <w:szCs w:val="28"/>
        </w:rPr>
        <w:t>g., «Ošta ḫānlïq ošta el-gün barčasï olarnïng turur» (p. 82, 47a) What is more, the N+V collocation pattern of «hanlïġ» is that «hanlïġ», attached with different case suffixes, is combined with the verbs such as «qïl-» 'make,' «čïda-» 'tolerate,' «tile-» '</w:t>
      </w:r>
      <w:r>
        <w:rPr>
          <w:color w:val="0E101A"/>
          <w:sz w:val="28"/>
          <w:szCs w:val="28"/>
        </w:rPr>
        <w:t>request,' talas- 'contend,' «boysun-» 'obey,' etc. Among those verbs, «hanlïġ» is most frequently collocated with «qïl-» 'to make (occurs six times), and «talas-» 'to contend' (occurs four times). These instances show that «hanlïġ» in the «</w:t>
      </w:r>
      <w:r>
        <w:rPr>
          <w:sz w:val="28"/>
          <w:szCs w:val="28"/>
        </w:rPr>
        <w:t>Čingiz-nama</w:t>
      </w:r>
      <w:r>
        <w:rPr>
          <w:color w:val="000000"/>
          <w:sz w:val="28"/>
          <w:szCs w:val="28"/>
        </w:rPr>
        <w:t>»</w:t>
      </w:r>
      <w:r>
        <w:rPr>
          <w:color w:val="0E101A"/>
          <w:sz w:val="28"/>
          <w:szCs w:val="28"/>
        </w:rPr>
        <w:t xml:space="preserve"> doe</w:t>
      </w:r>
      <w:r>
        <w:rPr>
          <w:color w:val="0E101A"/>
          <w:sz w:val="28"/>
          <w:szCs w:val="28"/>
        </w:rPr>
        <w:t>s not mean a kingdom in the sense of territory but the political power of the Khan, or Khan's sovereignty in other words. </w:t>
      </w:r>
    </w:p>
    <w:p w14:paraId="1FD74DA4"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«Pādišāhlïq»</w:t>
      </w:r>
    </w:p>
    <w:p w14:paraId="21CA5B08"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«Pādišāhlïq» is the derivative of «pādišāh» («</w:t>
      </w:r>
      <w:r>
        <w:rPr>
          <w:color w:val="000000"/>
          <w:sz w:val="28"/>
          <w:szCs w:val="28"/>
          <w:rtl/>
        </w:rPr>
        <w:t>پادشاه</w:t>
      </w:r>
      <w:r>
        <w:rPr>
          <w:color w:val="000000"/>
          <w:sz w:val="28"/>
          <w:szCs w:val="28"/>
        </w:rPr>
        <w:t>»), denoting 'kingdom, sovereignty, reign.' The title «pādišāh» is a</w:t>
      </w:r>
      <w:r>
        <w:rPr>
          <w:color w:val="000000"/>
          <w:sz w:val="28"/>
          <w:szCs w:val="28"/>
        </w:rPr>
        <w:t xml:space="preserve"> Persian term adopted by Turkic-speaking empires like the Golden Horde, Timur Empire, Ottoman Empire, etc. The word combines pād 'master, lord' and shāh 'king,' translating roughly to 'master king' or 'supreme ruler' [</w:t>
      </w:r>
      <w:r>
        <w:rPr>
          <w:sz w:val="28"/>
          <w:szCs w:val="28"/>
        </w:rPr>
        <w:t>89</w:t>
      </w:r>
      <w:r>
        <w:rPr>
          <w:color w:val="000000"/>
          <w:sz w:val="28"/>
          <w:szCs w:val="28"/>
        </w:rPr>
        <w:t>, р. 229]. In a broader sense, it si</w:t>
      </w:r>
      <w:r>
        <w:rPr>
          <w:color w:val="000000"/>
          <w:sz w:val="28"/>
          <w:szCs w:val="28"/>
        </w:rPr>
        <w:t xml:space="preserve">gnifies the king of kings, emphasizing the ruler's supreme status over other monarchs. </w:t>
      </w:r>
    </w:p>
    <w:p w14:paraId="6B12FC33"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In «</w:t>
      </w:r>
      <w:r>
        <w:rPr>
          <w:sz w:val="28"/>
          <w:szCs w:val="28"/>
        </w:rPr>
        <w:t>Čingiz-nama</w:t>
      </w:r>
      <w:r>
        <w:rPr>
          <w:color w:val="000000"/>
          <w:sz w:val="28"/>
          <w:szCs w:val="28"/>
        </w:rPr>
        <w:t xml:space="preserve">», «pādišāhlïq» and «hanlïġ» are synonyms. In the following part, we will investigate to what </w:t>
      </w:r>
      <w:r>
        <w:rPr>
          <w:sz w:val="28"/>
          <w:szCs w:val="28"/>
        </w:rPr>
        <w:t>extent they are</w:t>
      </w:r>
      <w:r>
        <w:rPr>
          <w:color w:val="000000"/>
          <w:sz w:val="28"/>
          <w:szCs w:val="28"/>
        </w:rPr>
        <w:t xml:space="preserve"> semantically overlapped. In the text, «pādi</w:t>
      </w:r>
      <w:r>
        <w:rPr>
          <w:color w:val="000000"/>
          <w:sz w:val="28"/>
          <w:szCs w:val="28"/>
        </w:rPr>
        <w:t>šāhlïq» constantly collocates with the verbs as «qïl-» 'make,', «sür-» 'persist,' «keč-» 'past, cross,' «öt-» 'pass, cross,' e.g., «bir nečä yïl pādšāhlïġ qïlġandïn song ….» 'years after he established the reign'(p. 84, 48a), «muddat-i otuz yïl pādšāhlïq s</w:t>
      </w:r>
      <w:r>
        <w:rPr>
          <w:color w:val="000000"/>
          <w:sz w:val="28"/>
          <w:szCs w:val="28"/>
        </w:rPr>
        <w:t>ürdi» 'his reign went through thirty years'(p.87, 50a), «čūn Berdi Beg Ḫānnïng pādšāhlïqïdïn üč yïl kečti» 'the Great Berdi Beg Ḫān went through three years of reign'(p.89, 51a), «Berdi Beg Ḫānnïng pādšāhlïqïdïn üč yïl ötdi» 'Berdi Beg Ḫān's reign went thr</w:t>
      </w:r>
      <w:r>
        <w:rPr>
          <w:color w:val="000000"/>
          <w:sz w:val="28"/>
          <w:szCs w:val="28"/>
        </w:rPr>
        <w:t xml:space="preserve">ough three years'(p.90, 51a). From these </w:t>
      </w:r>
      <w:r>
        <w:rPr>
          <w:sz w:val="28"/>
          <w:szCs w:val="28"/>
        </w:rPr>
        <w:t>examples</w:t>
      </w:r>
      <w:r>
        <w:rPr>
          <w:color w:val="000000"/>
          <w:sz w:val="28"/>
          <w:szCs w:val="28"/>
        </w:rPr>
        <w:t>, we can notice that «pādišāhlïq» in the «</w:t>
      </w:r>
      <w:r>
        <w:rPr>
          <w:sz w:val="28"/>
          <w:szCs w:val="28"/>
        </w:rPr>
        <w:t>Čingiz-nama</w:t>
      </w:r>
      <w:r>
        <w:rPr>
          <w:color w:val="000000"/>
          <w:sz w:val="28"/>
          <w:szCs w:val="28"/>
        </w:rPr>
        <w:t xml:space="preserve">» mostly emphases the duration </w:t>
      </w:r>
      <w:r>
        <w:rPr>
          <w:sz w:val="28"/>
          <w:szCs w:val="28"/>
        </w:rPr>
        <w:t>of sovereignty</w:t>
      </w:r>
      <w:r>
        <w:rPr>
          <w:color w:val="000000"/>
          <w:sz w:val="28"/>
          <w:szCs w:val="28"/>
        </w:rPr>
        <w:t xml:space="preserve">. </w:t>
      </w:r>
    </w:p>
    <w:p w14:paraId="52621681"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Social-political lexemes denoting 'people.'</w:t>
      </w:r>
    </w:p>
    <w:p w14:paraId="180634F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«Ulus»</w:t>
      </w:r>
    </w:p>
    <w:p w14:paraId="4129F8D6"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The word's original form is «uluš» in old Turkic, meani</w:t>
      </w:r>
      <w:r>
        <w:rPr>
          <w:color w:val="000000"/>
          <w:sz w:val="28"/>
          <w:szCs w:val="28"/>
        </w:rPr>
        <w:t>ng 'country' [</w:t>
      </w:r>
      <w:r>
        <w:rPr>
          <w:sz w:val="28"/>
          <w:szCs w:val="28"/>
        </w:rPr>
        <w:t>26</w:t>
      </w:r>
      <w:r>
        <w:rPr>
          <w:color w:val="000000"/>
          <w:sz w:val="28"/>
          <w:szCs w:val="28"/>
        </w:rPr>
        <w:t xml:space="preserve">, p. 153]. The meaning later changed to 'city' in the </w:t>
      </w:r>
      <w:r>
        <w:rPr>
          <w:sz w:val="28"/>
          <w:szCs w:val="28"/>
        </w:rPr>
        <w:t>eleven</w:t>
      </w:r>
      <w:r>
        <w:rPr>
          <w:color w:val="000000"/>
          <w:sz w:val="28"/>
          <w:szCs w:val="28"/>
        </w:rPr>
        <w:t xml:space="preserve">th century. In the </w:t>
      </w:r>
      <w:r>
        <w:rPr>
          <w:sz w:val="28"/>
          <w:szCs w:val="28"/>
        </w:rPr>
        <w:t>«Dīwān Lughāt at-Turk»</w:t>
      </w:r>
      <w:r>
        <w:rPr>
          <w:color w:val="000000"/>
          <w:sz w:val="28"/>
          <w:szCs w:val="28"/>
        </w:rPr>
        <w:t>, Mahmud Kashgari records that «uluš» is the synonym of «šahr» ('city' in Persian) [</w:t>
      </w:r>
      <w:r>
        <w:rPr>
          <w:sz w:val="28"/>
          <w:szCs w:val="28"/>
        </w:rPr>
        <w:t>44</w:t>
      </w:r>
      <w:r>
        <w:rPr>
          <w:color w:val="000000"/>
          <w:sz w:val="28"/>
          <w:szCs w:val="28"/>
        </w:rPr>
        <w:t xml:space="preserve">, 3-62]. The word «uluš» was borrowed into Mongolian </w:t>
      </w:r>
      <w:r>
        <w:rPr>
          <w:color w:val="000000"/>
          <w:sz w:val="28"/>
          <w:szCs w:val="28"/>
        </w:rPr>
        <w:t>and became «ulus». «Ulus» in Mongolian preserves the original meaning of 'country, nation' and is used for the most significant political unit during the era of the Mongol empire (e.g., the official name of the Mongol empire is «Yeke Monggol Ulus» 'the nat</w:t>
      </w:r>
      <w:r>
        <w:rPr>
          <w:color w:val="000000"/>
          <w:sz w:val="28"/>
          <w:szCs w:val="28"/>
        </w:rPr>
        <w:t>ion of the great Mongols' in Mongolian or «kür uluğ ulus» 'the whole great nation' in Turkic) [</w:t>
      </w:r>
      <w:r>
        <w:rPr>
          <w:sz w:val="28"/>
          <w:szCs w:val="28"/>
        </w:rPr>
        <w:t>90, p. 169</w:t>
      </w:r>
      <w:r>
        <w:rPr>
          <w:color w:val="000000"/>
          <w:sz w:val="28"/>
          <w:szCs w:val="28"/>
        </w:rPr>
        <w:t>].</w:t>
      </w:r>
    </w:p>
    <w:p w14:paraId="023C0A2E"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The word only survives in the north-western language group of Turkic languages [26, р. 153]. For example, the corresponding word in modern Kazakh i</w:t>
      </w:r>
      <w:r>
        <w:rPr>
          <w:color w:val="0E101A"/>
          <w:sz w:val="28"/>
          <w:szCs w:val="28"/>
        </w:rPr>
        <w:t>s «ulïs» (orthotopically «ulus»), with little semantic change. It gives the meaning of 'confederation of tribes' and the extended meaning of 'the whole nation' or 'the whole people' [79, р. 7-23] In modern Turkic languages «ulus» is also polysemous and den</w:t>
      </w:r>
      <w:r>
        <w:rPr>
          <w:color w:val="0E101A"/>
          <w:sz w:val="28"/>
          <w:szCs w:val="28"/>
        </w:rPr>
        <w:t>otes 'people' in Trkm., Tur. Dia., Kar., Uz., Ug. Dial., Alt., Hak., Tuv., 'country' in Trkm., Uz., 'tribe' in Trkm., Tur., 'nationality' in Kzh., Kkal.; 'nation' in Tur., Kar., Kir., Kzh., Kkal [71, p. 592].</w:t>
      </w:r>
    </w:p>
    <w:p w14:paraId="545F316B"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In «</w:t>
      </w:r>
      <w:r>
        <w:rPr>
          <w:sz w:val="28"/>
          <w:szCs w:val="28"/>
        </w:rPr>
        <w:t>Čingiz-nama</w:t>
      </w:r>
      <w:r>
        <w:rPr>
          <w:color w:val="000000"/>
          <w:sz w:val="28"/>
          <w:szCs w:val="28"/>
        </w:rPr>
        <w:t>»</w:t>
      </w:r>
      <w:r>
        <w:rPr>
          <w:color w:val="0E101A"/>
          <w:sz w:val="28"/>
          <w:szCs w:val="28"/>
        </w:rPr>
        <w:t>, the term occurs only one time</w:t>
      </w:r>
      <w:r>
        <w:rPr>
          <w:color w:val="0E101A"/>
          <w:sz w:val="28"/>
          <w:szCs w:val="28"/>
        </w:rPr>
        <w:t>, i.e., «Qara kiši Mamay ḫalq ulusnïng tamāmïdïn alïp turur.» (p. 99, 58a) The common person, Mamay, took the whole people. In this sentence, «ḫalq» and «ulus» are juxtaposed, showing the two words' similarity in semantics. Therefore, «ulus» here means not</w:t>
      </w:r>
      <w:r>
        <w:rPr>
          <w:color w:val="0E101A"/>
          <w:sz w:val="28"/>
          <w:szCs w:val="28"/>
        </w:rPr>
        <w:t xml:space="preserve"> 'state' but 'people.'</w:t>
      </w:r>
    </w:p>
    <w:p w14:paraId="62F7C43E"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«El-gün»</w:t>
      </w:r>
    </w:p>
    <w:p w14:paraId="56305E5B"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«El-gün» was first seen in Kutagu Bilig, meaning 'people.' There is still a debate on whether «el-gün» is a compound of «el» and «gün» or a single word, «elgün» [</w:t>
      </w:r>
      <w:r>
        <w:rPr>
          <w:sz w:val="28"/>
          <w:szCs w:val="28"/>
        </w:rPr>
        <w:t>26</w:t>
      </w:r>
      <w:r>
        <w:rPr>
          <w:color w:val="000000"/>
          <w:sz w:val="28"/>
          <w:szCs w:val="28"/>
        </w:rPr>
        <w:t>, р. 224]. Some scholars suggest that «gün» is another varia</w:t>
      </w:r>
      <w:r>
        <w:rPr>
          <w:color w:val="000000"/>
          <w:sz w:val="28"/>
          <w:szCs w:val="28"/>
        </w:rPr>
        <w:t>nt of «kün», 'sun, day,' but this is debatable. The others say that «gün» denotes 'people' and is compounded with «el». In Yudin's transcription of the «</w:t>
      </w:r>
      <w:r>
        <w:rPr>
          <w:sz w:val="28"/>
          <w:szCs w:val="28"/>
        </w:rPr>
        <w:t>Čingiz-nama</w:t>
      </w:r>
      <w:r>
        <w:rPr>
          <w:color w:val="000000"/>
          <w:sz w:val="28"/>
          <w:szCs w:val="28"/>
        </w:rPr>
        <w:t>», he uses a hyphen connecting «el» and «gün», as «el-gün», and we adopt this version. </w:t>
      </w:r>
    </w:p>
    <w:p w14:paraId="18A0AF1D"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In t</w:t>
      </w:r>
      <w:r>
        <w:rPr>
          <w:color w:val="0E101A"/>
          <w:sz w:val="28"/>
          <w:szCs w:val="28"/>
        </w:rPr>
        <w:t xml:space="preserve">he text of </w:t>
      </w:r>
      <w:r>
        <w:rPr>
          <w:sz w:val="28"/>
          <w:szCs w:val="28"/>
        </w:rPr>
        <w:t>«Čingiz-nama»</w:t>
      </w:r>
      <w:r>
        <w:rPr>
          <w:color w:val="0E101A"/>
          <w:sz w:val="28"/>
          <w:szCs w:val="28"/>
        </w:rPr>
        <w:t>, «el-gün» occurs together with «wilāyat» and «ḫānlïq», reflecting that the concept of 'people' are an essential component in the social structure of nomadic society as crucial as 'territory' and 'sovereignty,' e.g., «Ammā Šïban Ḫān</w:t>
      </w:r>
      <w:r>
        <w:rPr>
          <w:color w:val="0E101A"/>
          <w:sz w:val="28"/>
          <w:szCs w:val="28"/>
        </w:rPr>
        <w:t>ġa el-gün berür wilāyat berür čaqïda begläri birlä kengäšdi ersa» (p. 71, 40a) Munga el-gün [wa] wilāyat berip öz qašingda saqlamaġïng oḫšamaġay ''(p. 71, 40a) «Ošta ḫānlïq ošta el-gün barčasï olarnïng turur» 'Both the authority and the people are going to</w:t>
      </w:r>
      <w:r>
        <w:rPr>
          <w:color w:val="0E101A"/>
          <w:sz w:val="28"/>
          <w:szCs w:val="28"/>
        </w:rPr>
        <w:t xml:space="preserve"> be theirs.'(p. 82, 47a) </w:t>
      </w:r>
    </w:p>
    <w:p w14:paraId="676AAE25"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«Halayiq»</w:t>
      </w:r>
    </w:p>
    <w:p w14:paraId="02A7ADA4" w14:textId="77777777" w:rsidR="00F74BAF" w:rsidRDefault="00737583">
      <w:pPr>
        <w:pBdr>
          <w:top w:val="nil"/>
          <w:left w:val="nil"/>
          <w:bottom w:val="nil"/>
          <w:right w:val="nil"/>
          <w:between w:val="nil"/>
        </w:pBdr>
        <w:ind w:firstLine="709"/>
        <w:jc w:val="both"/>
        <w:rPr>
          <w:color w:val="0E101A"/>
          <w:sz w:val="28"/>
          <w:szCs w:val="28"/>
        </w:rPr>
      </w:pPr>
      <w:r>
        <w:rPr>
          <w:color w:val="000000"/>
          <w:sz w:val="28"/>
          <w:szCs w:val="28"/>
        </w:rPr>
        <w:t>«</w:t>
      </w:r>
      <w:r>
        <w:rPr>
          <w:color w:val="0E101A"/>
          <w:sz w:val="28"/>
          <w:szCs w:val="28"/>
        </w:rPr>
        <w:t>halayiq» («</w:t>
      </w:r>
      <w:r>
        <w:rPr>
          <w:color w:val="0E101A"/>
          <w:sz w:val="28"/>
          <w:szCs w:val="28"/>
          <w:rtl/>
        </w:rPr>
        <w:t>خلائق</w:t>
      </w:r>
      <w:r>
        <w:rPr>
          <w:color w:val="0E101A"/>
          <w:sz w:val="28"/>
          <w:szCs w:val="28"/>
        </w:rPr>
        <w:t>») is a loanword of Arabic origin, and it denotes 'people, the masses.' [46, р. 146] It occurs five times in the text. </w:t>
      </w:r>
    </w:p>
    <w:p w14:paraId="75BD2B24"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xml:space="preserve">«Halq» </w:t>
      </w:r>
    </w:p>
    <w:p w14:paraId="752CF79E" w14:textId="77777777" w:rsidR="00F74BAF" w:rsidRDefault="00737583">
      <w:pPr>
        <w:pBdr>
          <w:top w:val="nil"/>
          <w:left w:val="nil"/>
          <w:bottom w:val="nil"/>
          <w:right w:val="nil"/>
          <w:between w:val="nil"/>
        </w:pBdr>
        <w:ind w:firstLine="709"/>
        <w:jc w:val="both"/>
        <w:rPr>
          <w:color w:val="000000"/>
          <w:sz w:val="28"/>
          <w:szCs w:val="28"/>
        </w:rPr>
      </w:pPr>
      <w:r>
        <w:rPr>
          <w:color w:val="0E101A"/>
          <w:sz w:val="28"/>
          <w:szCs w:val="28"/>
        </w:rPr>
        <w:t>«Halq» («</w:t>
      </w:r>
      <w:r>
        <w:rPr>
          <w:color w:val="0E101A"/>
          <w:sz w:val="28"/>
          <w:szCs w:val="28"/>
          <w:rtl/>
        </w:rPr>
        <w:t>خَلْق</w:t>
      </w:r>
      <w:r>
        <w:rPr>
          <w:color w:val="0E101A"/>
          <w:sz w:val="28"/>
          <w:szCs w:val="28"/>
        </w:rPr>
        <w:t>») is a loanword of Arabic origin that denotes 'people, popul</w:t>
      </w:r>
      <w:r>
        <w:rPr>
          <w:color w:val="0E101A"/>
          <w:sz w:val="28"/>
          <w:szCs w:val="28"/>
        </w:rPr>
        <w:t>ation, nation.' [46, р. 146] It occurs only one time in the text. The word is compounded with «ulus», which has been discussed above. </w:t>
      </w:r>
    </w:p>
    <w:p w14:paraId="59245CC3" w14:textId="77777777" w:rsidR="00F74BAF" w:rsidRDefault="00F74BAF">
      <w:pPr>
        <w:pBdr>
          <w:top w:val="nil"/>
          <w:left w:val="nil"/>
          <w:bottom w:val="nil"/>
          <w:right w:val="nil"/>
          <w:between w:val="nil"/>
        </w:pBdr>
        <w:ind w:firstLine="709"/>
        <w:jc w:val="both"/>
        <w:rPr>
          <w:color w:val="000000"/>
          <w:sz w:val="28"/>
          <w:szCs w:val="28"/>
        </w:rPr>
      </w:pPr>
    </w:p>
    <w:p w14:paraId="63078220" w14:textId="77777777" w:rsidR="00F74BAF" w:rsidRDefault="00737583">
      <w:pPr>
        <w:pBdr>
          <w:top w:val="nil"/>
          <w:left w:val="nil"/>
          <w:bottom w:val="nil"/>
          <w:right w:val="nil"/>
          <w:between w:val="nil"/>
        </w:pBdr>
        <w:ind w:firstLine="709"/>
        <w:jc w:val="both"/>
        <w:rPr>
          <w:color w:val="0E101A"/>
          <w:sz w:val="28"/>
          <w:szCs w:val="28"/>
        </w:rPr>
      </w:pPr>
      <w:r>
        <w:rPr>
          <w:color w:val="000000"/>
          <w:sz w:val="28"/>
          <w:szCs w:val="28"/>
        </w:rPr>
        <w:t>«</w:t>
      </w:r>
      <w:r>
        <w:rPr>
          <w:color w:val="0E101A"/>
          <w:sz w:val="28"/>
          <w:szCs w:val="28"/>
        </w:rPr>
        <w:t>Čingiz-nama», a sixteenth-century Turkic chronicle written in Chagatay, records historical events and presents detailed</w:t>
      </w:r>
      <w:r>
        <w:rPr>
          <w:color w:val="0E101A"/>
          <w:sz w:val="28"/>
          <w:szCs w:val="28"/>
        </w:rPr>
        <w:t xml:space="preserve"> information with high research value. In this research, semantic analysis and historical comparison are used. Therefore, we can observe some distinctive characteristics and obtain the following results.</w:t>
      </w:r>
    </w:p>
    <w:p w14:paraId="3217E4EF"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In sum, we collected twelve noble titles; eight word</w:t>
      </w:r>
      <w:r>
        <w:rPr>
          <w:color w:val="0E101A"/>
          <w:sz w:val="28"/>
          <w:szCs w:val="28"/>
        </w:rPr>
        <w:t>s are of Turkic origin, nine are of Mongolian origin, and the remaining four are of Arabic-Persian origin. Most Turkic noble titles are rooted in old Turkic, which reflects that the ancient Turkic political culture significantly contributed to the Golden H</w:t>
      </w:r>
      <w:r>
        <w:rPr>
          <w:color w:val="0E101A"/>
          <w:sz w:val="28"/>
          <w:szCs w:val="28"/>
        </w:rPr>
        <w:t>orde and successive Central Asian Turkic society. Meanwhile, the noble titles of Arabic-Persian origins are not negligible, which reflects that since the Islamization of the Golden Horde, Arabic-Persian culture and languages have continuously influenced Ce</w:t>
      </w:r>
      <w:r>
        <w:rPr>
          <w:color w:val="0E101A"/>
          <w:sz w:val="28"/>
          <w:szCs w:val="28"/>
        </w:rPr>
        <w:t>ntral Asian Turkic-speaking people, and Islamic institutions have primarily been established in the Golden Horde political system. Nevertheless, most titles, either Turkic or Islamic, are still preserved in modern Kazakh, with certain semantic changes in m</w:t>
      </w:r>
      <w:r>
        <w:rPr>
          <w:color w:val="0E101A"/>
          <w:sz w:val="28"/>
          <w:szCs w:val="28"/>
        </w:rPr>
        <w:t xml:space="preserve">ost cases. </w:t>
      </w:r>
    </w:p>
    <w:p w14:paraId="59B68076"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xml:space="preserve">Historically, we can observe that the noble system of the Golden Horde was a complex and dynamic structure that played a crucial role in shaping the political, social, and cultural landscape of medieval Eurasia. The Golden Horde's noble system </w:t>
      </w:r>
      <w:r>
        <w:rPr>
          <w:color w:val="0E101A"/>
          <w:sz w:val="28"/>
          <w:szCs w:val="28"/>
        </w:rPr>
        <w:t>reflected the diverse cultural and ethnic backgrounds of its ruling elite while also integrating elements of Turkic and Mongol traditions. At the apex of the noble hierarchy stood the ruling khans, who wielded absolute power and authority over the Khanate'</w:t>
      </w:r>
      <w:r>
        <w:rPr>
          <w:color w:val="0E101A"/>
          <w:sz w:val="28"/>
          <w:szCs w:val="28"/>
        </w:rPr>
        <w:t xml:space="preserve">s territories and subjects. The Khans, often descendants of Genghis Khan, legitimized their rule through various means, including adopting Islamic titles like «Pādišāh» to reinforce their sovereignty. However, the Khanate's decentralized nature meant that </w:t>
      </w:r>
      <w:r>
        <w:rPr>
          <w:color w:val="0E101A"/>
          <w:sz w:val="28"/>
          <w:szCs w:val="28"/>
        </w:rPr>
        <w:t>the authority of the khans was often contested by regional princes and tribal leaders, leading to power struggles and political instability.</w:t>
      </w:r>
    </w:p>
    <w:p w14:paraId="496B0E53"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Beneath the khans were the princes,oġlans, or sultans, who served as provincial governors, military commanders, and</w:t>
      </w:r>
      <w:r>
        <w:rPr>
          <w:color w:val="0E101A"/>
          <w:sz w:val="28"/>
          <w:szCs w:val="28"/>
        </w:rPr>
        <w:t xml:space="preserve"> administrators. The begs held considerable power and influence within their respective domains, often exercising autonomy in governance and army affairs. Through strategic alliances and military prowess, some begs rose to prominence as powerful rulers in </w:t>
      </w:r>
      <w:r>
        <w:rPr>
          <w:color w:val="0E101A"/>
          <w:sz w:val="28"/>
          <w:szCs w:val="28"/>
        </w:rPr>
        <w:t>their own right, challenging the authority of the Horde.</w:t>
      </w:r>
    </w:p>
    <w:p w14:paraId="2B116FBA"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xml:space="preserve">The noble system also encompassed a hierarchy of tribal leaders. The «biys» were vital in maintaining social cohesion and order within nomadic societies, often mediating disputes and conflicts among </w:t>
      </w:r>
      <w:r>
        <w:rPr>
          <w:color w:val="0E101A"/>
          <w:sz w:val="28"/>
          <w:szCs w:val="28"/>
        </w:rPr>
        <w:t>their people. Furthermore, the Golden Horde's noble system incorporated elements of Islamic governance and administration, reflecting the influence of Islam in the region. Titles such as «hwaja» and «mirza» were adopted by religious scholars and bureaucrat</w:t>
      </w:r>
      <w:r>
        <w:rPr>
          <w:color w:val="0E101A"/>
          <w:sz w:val="28"/>
          <w:szCs w:val="28"/>
        </w:rPr>
        <w:t>s, contributing to the Khanate's cultural and religious diversity.</w:t>
      </w:r>
    </w:p>
    <w:p w14:paraId="56F809C9"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Moreover, by analysis of the title «begim», we can observe that women in the Golden Horde also exercised significant political influence and agency despite the male-dominated nature of cont</w:t>
      </w:r>
      <w:r>
        <w:rPr>
          <w:color w:val="0E101A"/>
          <w:sz w:val="28"/>
          <w:szCs w:val="28"/>
        </w:rPr>
        <w:t>emporary societies. Their roles as regents, advisors, and diplomatists were vital to the administration, diplomacy, and stability of the Golden Horde.</w:t>
      </w:r>
    </w:p>
    <w:p w14:paraId="049C4E59"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xml:space="preserve">Despite its complexity and diversity, the noble system of the Golden Horde was characterized by fluidity </w:t>
      </w:r>
      <w:r>
        <w:rPr>
          <w:color w:val="0E101A"/>
          <w:sz w:val="28"/>
          <w:szCs w:val="28"/>
        </w:rPr>
        <w:t>and flexibility, allowing for social mobility and adaptation to changing political circumstances. While the ruling elite held considerable power, they depended on the support of subordinate nobles and tribal leaders to maintain stability and govern effecti</w:t>
      </w:r>
      <w:r>
        <w:rPr>
          <w:color w:val="0E101A"/>
          <w:sz w:val="28"/>
          <w:szCs w:val="28"/>
        </w:rPr>
        <w:t>vely.</w:t>
      </w:r>
    </w:p>
    <w:p w14:paraId="7B765624"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xml:space="preserve">From the above analysis, we can see that there are still many ancient Turkic titles among the noble titles during the Golden Horde period, which have a very long history, and some can be traced back to the Xiongnu period. That shows that the ancient </w:t>
      </w:r>
      <w:r>
        <w:rPr>
          <w:color w:val="0E101A"/>
          <w:sz w:val="28"/>
          <w:szCs w:val="28"/>
        </w:rPr>
        <w:t>nomadic political system and culture still play an essential role in the Golden Horde. At the same time, Arab-Persian titles can also be observed, which shows that Islamic political culture is also affecting the Golden Horde in the Islamization of the Gold</w:t>
      </w:r>
      <w:r>
        <w:rPr>
          <w:color w:val="0E101A"/>
          <w:sz w:val="28"/>
          <w:szCs w:val="28"/>
        </w:rPr>
        <w:t>en Horde.</w:t>
      </w:r>
    </w:p>
    <w:p w14:paraId="05D38A8F" w14:textId="77777777" w:rsidR="00F74BAF" w:rsidRDefault="00737583">
      <w:pPr>
        <w:pBdr>
          <w:top w:val="nil"/>
          <w:left w:val="nil"/>
          <w:bottom w:val="nil"/>
          <w:right w:val="nil"/>
          <w:between w:val="nil"/>
        </w:pBdr>
        <w:ind w:firstLine="709"/>
        <w:jc w:val="both"/>
        <w:rPr>
          <w:color w:val="000000"/>
          <w:sz w:val="28"/>
          <w:szCs w:val="28"/>
        </w:rPr>
      </w:pPr>
      <w:r>
        <w:rPr>
          <w:color w:val="0E101A"/>
          <w:sz w:val="28"/>
          <w:szCs w:val="28"/>
        </w:rPr>
        <w:t xml:space="preserve">In summary, the noble system of the Golden Horde was a dynamic and multifaceted structure that played a central role in governing the Khanate's vast territories. Reflecting the fusion of Turkic, Mongol, and Islamic traditions, the noble system </w:t>
      </w:r>
      <w:r>
        <w:rPr>
          <w:color w:val="0E101A"/>
          <w:sz w:val="28"/>
          <w:szCs w:val="28"/>
        </w:rPr>
        <w:t>shaped the political, social, and cultural dynamics of medieval Eurasia, leaving a lasting legacy that continues to be studied and analyzed by historians and scholars today.</w:t>
      </w:r>
    </w:p>
    <w:p w14:paraId="1F773D95"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Although the Turkic Empire that dominated Europe and Asia since the </w:t>
      </w:r>
      <w:r>
        <w:rPr>
          <w:sz w:val="28"/>
          <w:szCs w:val="28"/>
        </w:rPr>
        <w:t>six</w:t>
      </w:r>
      <w:r>
        <w:rPr>
          <w:color w:val="000000"/>
          <w:sz w:val="28"/>
          <w:szCs w:val="28"/>
        </w:rPr>
        <w:t xml:space="preserve">th century </w:t>
      </w:r>
      <w:r>
        <w:rPr>
          <w:color w:val="000000"/>
          <w:sz w:val="28"/>
          <w:szCs w:val="28"/>
        </w:rPr>
        <w:t>has disappeared, the political system and concepts left by the later steppe regimes, such as the Uighur and Naiman, have become the most important legacy of the nomadic political culture of the Eurasian steppe. When the Mongolian empire led by Genghis Khan</w:t>
      </w:r>
      <w:r>
        <w:rPr>
          <w:color w:val="000000"/>
          <w:sz w:val="28"/>
          <w:szCs w:val="28"/>
        </w:rPr>
        <w:t xml:space="preserve"> ruled the entire Eurasian steppe, the empire also started inheriting and imitating the former. It is reflected in the borrowing of socio-political terms from the Turks and the systematic imitation of the former's socio-political system. The Golden Horde, </w:t>
      </w:r>
      <w:r>
        <w:rPr>
          <w:color w:val="000000"/>
          <w:sz w:val="28"/>
          <w:szCs w:val="28"/>
        </w:rPr>
        <w:t>as a successor state of the Mongol Empire, also inherited the socio-political tradition of the former Kypchak Khanate it conquered, and it can also be seen from most of the socio-political terms in the text of «</w:t>
      </w:r>
      <w:r>
        <w:rPr>
          <w:color w:val="0E101A"/>
          <w:sz w:val="28"/>
          <w:szCs w:val="28"/>
        </w:rPr>
        <w:t>Čingiz-nama»</w:t>
      </w:r>
      <w:r>
        <w:rPr>
          <w:color w:val="000000"/>
          <w:sz w:val="28"/>
          <w:szCs w:val="28"/>
        </w:rPr>
        <w:t xml:space="preserve"> are derived from the Turkic. Sec</w:t>
      </w:r>
      <w:r>
        <w:rPr>
          <w:color w:val="000000"/>
          <w:sz w:val="28"/>
          <w:szCs w:val="28"/>
        </w:rPr>
        <w:t xml:space="preserve">ondly, there are also a certain amount of socio-political terms that are of Mongolian and Arabic-Persian origins, e.g., «omaq», «aimaġ», «qawm», «halq», «halayiq», etc., and most of them are still preserved in many modern Kypchak languages, which reflects </w:t>
      </w:r>
      <w:r>
        <w:rPr>
          <w:color w:val="000000"/>
          <w:sz w:val="28"/>
          <w:szCs w:val="28"/>
        </w:rPr>
        <w:t>the influence of Mongolian and Islam is not negligible in the Golden Hord</w:t>
      </w:r>
      <w:r>
        <w:rPr>
          <w:sz w:val="28"/>
          <w:szCs w:val="28"/>
        </w:rPr>
        <w:t>e</w:t>
      </w:r>
      <w:r>
        <w:rPr>
          <w:color w:val="000000"/>
          <w:sz w:val="28"/>
          <w:szCs w:val="28"/>
        </w:rPr>
        <w:t>.</w:t>
      </w:r>
    </w:p>
    <w:p w14:paraId="3C82485C"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Clarifying the etymology of the corpus is a complex task, as is the attempt to define the boundaries between certain concepts. This is particularly challenging with words like «el»</w:t>
      </w:r>
      <w:r>
        <w:rPr>
          <w:color w:val="0E101A"/>
          <w:sz w:val="28"/>
          <w:szCs w:val="28"/>
        </w:rPr>
        <w:t>, «yurt», and «ulus», which possess versatile meanings that are largely context-dependent. However, by employing semantic analysis, we can uncover the lexical meaning of these words and discern the pattern of their denotations under different contexts. Thi</w:t>
      </w:r>
      <w:r>
        <w:rPr>
          <w:color w:val="0E101A"/>
          <w:sz w:val="28"/>
          <w:szCs w:val="28"/>
        </w:rPr>
        <w:t>s provides us with a deeper understanding of the concepts these socio-political lexemes represent, which we will explore in this section from both linguistic and historical perspectives. </w:t>
      </w:r>
    </w:p>
    <w:p w14:paraId="6D1EB2FB"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We can observe a common semantic transformation in the Turkic langua</w:t>
      </w:r>
      <w:r>
        <w:rPr>
          <w:color w:val="0E101A"/>
          <w:sz w:val="28"/>
          <w:szCs w:val="28"/>
        </w:rPr>
        <w:t>ge, where the meaning of 'country' evolves into 'people '. The words «el», «yurt», and «ulus» originally meant 'land, country,' 'dwelling place,' and 'country,' respectively. These words' semantics are rooted in the geographical sense, denoting spatiality.</w:t>
      </w:r>
      <w:r>
        <w:rPr>
          <w:color w:val="0E101A"/>
          <w:sz w:val="28"/>
          <w:szCs w:val="28"/>
        </w:rPr>
        <w:t xml:space="preserve"> Over time, they all develop the denotation of 'people'. In Old Turkic, the meaning of 'people' was expressed by «bodun», e.g. «Turk bodun». However, over time, «bodun» was replaced by el. Among the three words, el is the most semantically complex, as its </w:t>
      </w:r>
      <w:r>
        <w:rPr>
          <w:color w:val="0E101A"/>
          <w:sz w:val="28"/>
          <w:szCs w:val="28"/>
        </w:rPr>
        <w:t>polysemy varies under different contexts. From the analysis, we find that «el» can denote both 'state,' 'tribe,' and 'people,' and the lexical meaning follows its syntagmatic relations, e.g., when modified by numerals, el tends to mean 'tribe.' </w:t>
      </w:r>
    </w:p>
    <w:p w14:paraId="4DC544EA"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Similarly,</w:t>
      </w:r>
      <w:r>
        <w:rPr>
          <w:color w:val="0E101A"/>
          <w:sz w:val="28"/>
          <w:szCs w:val="28"/>
        </w:rPr>
        <w:t xml:space="preserve"> «yurt» originally meant 'dwelling place,' but it also denotes 'country' and 'region' in the «Čingiz-nama». Even though yurt may not have the meaning of 'people' in the text, it develops such a meaning in modern Kazakh, e.g., «el-yurt». Therefore, it also </w:t>
      </w:r>
      <w:r>
        <w:rPr>
          <w:color w:val="0E101A"/>
          <w:sz w:val="28"/>
          <w:szCs w:val="28"/>
        </w:rPr>
        <w:t>fulfills the semantic development pattern of 'country' to 'people.' Last but not least, «ulus» occurs only once in the text, but we can interpret its meaning by its juxtaposed word «halq». The compound structure of Turkic helps determine the semantics of t</w:t>
      </w:r>
      <w:r>
        <w:rPr>
          <w:color w:val="0E101A"/>
          <w:sz w:val="28"/>
          <w:szCs w:val="28"/>
        </w:rPr>
        <w:t>he targeted words. </w:t>
      </w:r>
    </w:p>
    <w:p w14:paraId="23F1970E"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As for the denotation of 'clan,' the words «uruġ», «omaq», «qabile» and «qawm», regardless of their different etymology, all stemming from the meaning, 'kindship.' Through the paradigmatic analysis, we can notice that «omaq» is the mero</w:t>
      </w:r>
      <w:r>
        <w:rPr>
          <w:color w:val="0E101A"/>
          <w:sz w:val="28"/>
          <w:szCs w:val="28"/>
        </w:rPr>
        <w:t>nym of «el», «uruġ» is the holonym of «qarïndaš» and «nasl», which reflects the hierarchy of the socio-political society of the Golden Horde. Therefore, we speculate that «el» denotes the tribal alliances or supra-tribal organizations that are not based on</w:t>
      </w:r>
      <w:r>
        <w:rPr>
          <w:color w:val="0E101A"/>
          <w:sz w:val="28"/>
          <w:szCs w:val="28"/>
        </w:rPr>
        <w:t xml:space="preserve"> kinship but are constructed on a territorial basis because the original semantics of «el» includes the connotation of 'land, territory.' On the contrary, the semantics of the words «uruġ», «omaq», «qabile», and «qawm» all implicitly contain the notion of </w:t>
      </w:r>
      <w:r>
        <w:rPr>
          <w:color w:val="0E101A"/>
          <w:sz w:val="28"/>
          <w:szCs w:val="28"/>
        </w:rPr>
        <w:t>'kinship.'  Thus, we can assume that the construction of a nomadic state was not simply the collection of genealogically connected clans, but instead, at higher levels of incorporation or confederation, clans, and tribes formed relationships that were prim</w:t>
      </w:r>
      <w:r>
        <w:rPr>
          <w:color w:val="0E101A"/>
          <w:sz w:val="28"/>
          <w:szCs w:val="28"/>
        </w:rPr>
        <w:t>arily political and related to geographical features, with genealogical ties playing only a minor role. </w:t>
      </w:r>
    </w:p>
    <w:p w14:paraId="063CC9F5"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In the analysis of socio-political words in the «Čingiz-nama», it is noticeable that the Golden Horde's social structure is typically hierarchical; the</w:t>
      </w:r>
      <w:r>
        <w:rPr>
          <w:color w:val="0E101A"/>
          <w:sz w:val="28"/>
          <w:szCs w:val="28"/>
        </w:rPr>
        <w:t xml:space="preserve"> Khan is undoubtedly the supreme political leader. The statehood of the Golden Horde was composed of four elements:</w:t>
      </w:r>
    </w:p>
    <w:p w14:paraId="651C759F"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the territorial political units;</w:t>
      </w:r>
    </w:p>
    <w:p w14:paraId="0FD948C1"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the socio-political units formed by progeny;</w:t>
      </w:r>
    </w:p>
    <w:p w14:paraId="1DC8CE7C"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the sovereignty of the supreme leader;</w:t>
      </w:r>
    </w:p>
    <w:p w14:paraId="3BA631A1" w14:textId="77777777" w:rsidR="00F74BAF" w:rsidRDefault="00737583">
      <w:pPr>
        <w:pBdr>
          <w:top w:val="nil"/>
          <w:left w:val="nil"/>
          <w:bottom w:val="nil"/>
          <w:right w:val="nil"/>
          <w:between w:val="nil"/>
        </w:pBdr>
        <w:ind w:firstLine="709"/>
        <w:jc w:val="both"/>
        <w:rPr>
          <w:color w:val="0E101A"/>
          <w:sz w:val="28"/>
          <w:szCs w:val="28"/>
        </w:rPr>
      </w:pPr>
      <w:r>
        <w:rPr>
          <w:color w:val="0E101A"/>
          <w:sz w:val="28"/>
          <w:szCs w:val="28"/>
        </w:rPr>
        <w:t xml:space="preserve">- the collective </w:t>
      </w:r>
      <w:r>
        <w:rPr>
          <w:color w:val="0E101A"/>
          <w:sz w:val="28"/>
          <w:szCs w:val="28"/>
        </w:rPr>
        <w:t>concept of people.</w:t>
      </w:r>
    </w:p>
    <w:p w14:paraId="71CACB5F" w14:textId="77777777" w:rsidR="00F74BAF" w:rsidRDefault="00737583">
      <w:pPr>
        <w:pBdr>
          <w:top w:val="nil"/>
          <w:left w:val="nil"/>
          <w:bottom w:val="nil"/>
          <w:right w:val="nil"/>
          <w:between w:val="nil"/>
        </w:pBdr>
        <w:ind w:firstLine="709"/>
        <w:jc w:val="both"/>
        <w:rPr>
          <w:color w:val="000000"/>
          <w:sz w:val="28"/>
          <w:szCs w:val="28"/>
        </w:rPr>
      </w:pPr>
      <w:r>
        <w:rPr>
          <w:color w:val="0E101A"/>
          <w:sz w:val="28"/>
          <w:szCs w:val="28"/>
        </w:rPr>
        <w:t xml:space="preserve">Moreover, the syntagmatic relation of el indicates that el often collocates with verbs such as «ber-» 'give,' «al-» 'take,' «qoš-» 'add.' This reflects the Golden Horde had a solid feudal character, which corresponds with Vladimirtsov's </w:t>
      </w:r>
      <w:r>
        <w:rPr>
          <w:color w:val="0E101A"/>
          <w:sz w:val="28"/>
          <w:szCs w:val="28"/>
        </w:rPr>
        <w:t>proposition of 'steppe feudalism.' Meanwhile, the semantic analysis of the suffix «-lXG» «qanlïq», «pādišāhlïq», pad also reflects that the Golden Horde was a patrimonial state, for -lXg can indicate the possessive relation. Therefore, that implies the who</w:t>
      </w:r>
      <w:r>
        <w:rPr>
          <w:color w:val="0E101A"/>
          <w:sz w:val="28"/>
          <w:szCs w:val="28"/>
        </w:rPr>
        <w:t>le state was nominally the Khans' property, and they were entitled to grant or deprive the tribes to whoever they wanted. The feudal system also has a factual or conceptual 'identity dependence' relationship between the subjects and the lords. When this id</w:t>
      </w:r>
      <w:r>
        <w:rPr>
          <w:color w:val="0E101A"/>
          <w:sz w:val="28"/>
          <w:szCs w:val="28"/>
        </w:rPr>
        <w:t>entity dependence is incorporated into the shell of the tribal system, it is manifested as the subjects are sometimes regarded as people of the same tribe as the feudal lord. However, there is no actual blood relationship between the lord and the subjects.</w:t>
      </w:r>
      <w:r>
        <w:rPr>
          <w:color w:val="0E101A"/>
          <w:sz w:val="28"/>
          <w:szCs w:val="28"/>
        </w:rPr>
        <w:t xml:space="preserve"> In the Golden Horde's feudal system, the distribution of fiefdoms 'based on military merit' became the main principle for the distribution of fiefdoms in newly conquered areas. This principle itself was a supplement and evolution of the old system of feud</w:t>
      </w:r>
      <w:r>
        <w:rPr>
          <w:color w:val="0E101A"/>
          <w:sz w:val="28"/>
          <w:szCs w:val="28"/>
        </w:rPr>
        <w:t>alization in the steppes during the expansion process. At the same time, since the so-called 'feudal state' at that time referred more to the 'people' in a certain area rather than a 'political region' with a fixed territory, the term 'feudal state' was mo</w:t>
      </w:r>
      <w:r>
        <w:rPr>
          <w:color w:val="0E101A"/>
          <w:sz w:val="28"/>
          <w:szCs w:val="28"/>
        </w:rPr>
        <w:t>re of a symbol of the 'people' in a particular area.</w:t>
      </w:r>
    </w:p>
    <w:p w14:paraId="0BE8EC35" w14:textId="77777777" w:rsidR="00F74BAF" w:rsidRDefault="00F74BAF">
      <w:pPr>
        <w:pBdr>
          <w:top w:val="nil"/>
          <w:left w:val="nil"/>
          <w:bottom w:val="nil"/>
          <w:right w:val="nil"/>
          <w:between w:val="nil"/>
        </w:pBdr>
        <w:ind w:firstLine="709"/>
        <w:jc w:val="both"/>
        <w:rPr>
          <w:color w:val="000000"/>
          <w:sz w:val="28"/>
          <w:szCs w:val="28"/>
        </w:rPr>
      </w:pPr>
    </w:p>
    <w:p w14:paraId="01BA67ED" w14:textId="77777777" w:rsidR="00F74BAF" w:rsidRDefault="00737583">
      <w:pPr>
        <w:pBdr>
          <w:top w:val="nil"/>
          <w:left w:val="nil"/>
          <w:bottom w:val="nil"/>
          <w:right w:val="nil"/>
          <w:between w:val="nil"/>
        </w:pBdr>
        <w:ind w:firstLine="709"/>
        <w:jc w:val="both"/>
        <w:rPr>
          <w:b/>
          <w:bCs/>
          <w:color w:val="000000"/>
          <w:sz w:val="28"/>
          <w:szCs w:val="28"/>
        </w:rPr>
      </w:pPr>
      <w:r>
        <w:rPr>
          <w:b/>
          <w:bCs/>
          <w:color w:val="000000"/>
          <w:sz w:val="28"/>
          <w:szCs w:val="28"/>
        </w:rPr>
        <w:t>Conclusion of The Chapter</w:t>
      </w:r>
    </w:p>
    <w:p w14:paraId="6731AB30"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The semantic research of this </w:t>
      </w:r>
      <w:r>
        <w:rPr>
          <w:sz w:val="28"/>
          <w:szCs w:val="28"/>
        </w:rPr>
        <w:t>dissertation</w:t>
      </w:r>
      <w:r>
        <w:rPr>
          <w:color w:val="000000"/>
          <w:sz w:val="28"/>
          <w:szCs w:val="28"/>
        </w:rPr>
        <w:t xml:space="preserve"> focuses on socio-political words, utilizing semantic relationship research methods within the semantic field to describe the lexical </w:t>
      </w:r>
      <w:r>
        <w:rPr>
          <w:color w:val="000000"/>
          <w:sz w:val="28"/>
          <w:szCs w:val="28"/>
        </w:rPr>
        <w:t>meanings of the target corpus individually. This approach allows the authors for an in-depth analysis of the relationships between the meanings of words. By doing so, the research determines the specific meanings of each word and explores the polysemous pr</w:t>
      </w:r>
      <w:r>
        <w:rPr>
          <w:color w:val="000000"/>
          <w:sz w:val="28"/>
          <w:szCs w:val="28"/>
        </w:rPr>
        <w:t>operties of the words, as well as their relationships with other words in the same semantic field. The appearance of polysemous words is observed, and their usage patterns in different semantic contexts are summarized.</w:t>
      </w:r>
    </w:p>
    <w:p w14:paraId="77814433"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Furthermore, this research employs se</w:t>
      </w:r>
      <w:r>
        <w:rPr>
          <w:color w:val="000000"/>
          <w:sz w:val="28"/>
          <w:szCs w:val="28"/>
        </w:rPr>
        <w:t>mantic analysis to examine the social structure and political system of the Golden Horde from a novel perspective. The Golden Horde, a historical state that existed during the 13th and 15th centuries, inherited the nomadic socio-political traditions of the</w:t>
      </w:r>
      <w:r>
        <w:rPr>
          <w:color w:val="000000"/>
          <w:sz w:val="28"/>
          <w:szCs w:val="28"/>
        </w:rPr>
        <w:t xml:space="preserve"> Turkic Khanate era. This inheritance is evident in the vocabulary that reflects many characteristics of Eurasian nomadic society. Notably, the research identifies the presence of Mongolian and Arab-Persian loanwords in the Middle  Kypchak of the </w:t>
      </w:r>
      <w:r>
        <w:rPr>
          <w:sz w:val="28"/>
          <w:szCs w:val="28"/>
        </w:rPr>
        <w:t>sixteen</w:t>
      </w:r>
      <w:r>
        <w:rPr>
          <w:color w:val="000000"/>
          <w:sz w:val="28"/>
          <w:szCs w:val="28"/>
        </w:rPr>
        <w:t>th</w:t>
      </w:r>
      <w:r>
        <w:rPr>
          <w:color w:val="000000"/>
          <w:sz w:val="28"/>
          <w:szCs w:val="28"/>
        </w:rPr>
        <w:t xml:space="preserve"> century, a result of its Mongolian roots and the influence of Islam.</w:t>
      </w:r>
    </w:p>
    <w:p w14:paraId="352261B9"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 xml:space="preserve">The </w:t>
      </w:r>
      <w:r>
        <w:rPr>
          <w:sz w:val="28"/>
          <w:szCs w:val="28"/>
        </w:rPr>
        <w:t>dissertation</w:t>
      </w:r>
      <w:r>
        <w:rPr>
          <w:color w:val="000000"/>
          <w:sz w:val="28"/>
          <w:szCs w:val="28"/>
        </w:rPr>
        <w:t xml:space="preserve"> also delves into the characteristics of the Golden Horde's political system through the meanings of specific words. This analysis reveals that the Golden Horde was a pat</w:t>
      </w:r>
      <w:r>
        <w:rPr>
          <w:color w:val="000000"/>
          <w:sz w:val="28"/>
          <w:szCs w:val="28"/>
        </w:rPr>
        <w:t>rimonial steppe feudal state, where its nomadic features were predominant. The patrimonial aspect indicates a form of governance where the ruler's authority is viewed as a personal possession, inherited and maintained through kinship ties or power struggle</w:t>
      </w:r>
      <w:r>
        <w:rPr>
          <w:color w:val="000000"/>
          <w:sz w:val="28"/>
          <w:szCs w:val="28"/>
        </w:rPr>
        <w:t>s.</w:t>
      </w:r>
    </w:p>
    <w:p w14:paraId="030BC02A"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In the context of a steppe feudal state, the Golden Horde's political system had distinct features that differentiated it from the feudal systems of sedentary societies. For instance, the governance structure and social hierarchy of the Golden Horde wer</w:t>
      </w:r>
      <w:r>
        <w:rPr>
          <w:color w:val="000000"/>
          <w:sz w:val="28"/>
          <w:szCs w:val="28"/>
        </w:rPr>
        <w:t>e deeply intertwined with its nomadic traditions. This is reflected in the vocabulary used to describe various social and political concepts, which often bear nuances specific to a nomadic context.</w:t>
      </w:r>
    </w:p>
    <w:p w14:paraId="74D7C972" w14:textId="77777777" w:rsidR="00F74BAF" w:rsidRDefault="00737583">
      <w:pPr>
        <w:pBdr>
          <w:top w:val="nil"/>
          <w:left w:val="nil"/>
          <w:bottom w:val="nil"/>
          <w:right w:val="nil"/>
          <w:between w:val="nil"/>
        </w:pBdr>
        <w:ind w:firstLine="709"/>
        <w:jc w:val="both"/>
        <w:rPr>
          <w:color w:val="000000"/>
          <w:sz w:val="28"/>
          <w:szCs w:val="28"/>
        </w:rPr>
      </w:pPr>
      <w:r>
        <w:rPr>
          <w:color w:val="000000"/>
          <w:sz w:val="28"/>
          <w:szCs w:val="28"/>
        </w:rPr>
        <w:t>Moreover, the influence of Islam introduced new elements i</w:t>
      </w:r>
      <w:r>
        <w:rPr>
          <w:color w:val="000000"/>
          <w:sz w:val="28"/>
          <w:szCs w:val="28"/>
        </w:rPr>
        <w:t>nto the political vocabulary of the Golden Horde. Terms borrowed from Arab-Persian languages brought concepts and administrative practices integrated into the existing nomadic framework. This linguistic integration signifies a cultural and political synthe</w:t>
      </w:r>
      <w:r>
        <w:rPr>
          <w:color w:val="000000"/>
          <w:sz w:val="28"/>
          <w:szCs w:val="28"/>
        </w:rPr>
        <w:t>sis that characterized the Golden Horde's rule.</w:t>
      </w:r>
    </w:p>
    <w:p w14:paraId="1558117B" w14:textId="77777777" w:rsidR="00F74BAF" w:rsidRDefault="00737583">
      <w:pPr>
        <w:pBdr>
          <w:top w:val="nil"/>
          <w:left w:val="nil"/>
          <w:bottom w:val="nil"/>
          <w:right w:val="nil"/>
          <w:between w:val="nil"/>
        </w:pBdr>
        <w:ind w:firstLine="709"/>
        <w:jc w:val="both"/>
        <w:rPr>
          <w:sz w:val="28"/>
          <w:szCs w:val="28"/>
        </w:rPr>
      </w:pPr>
      <w:r>
        <w:rPr>
          <w:color w:val="000000"/>
          <w:sz w:val="28"/>
          <w:szCs w:val="28"/>
        </w:rPr>
        <w:t>The study's findings underscore the dynamic and multi-faceted nature of the Golden Horde's political and social structures. By analyzing the semantics of its vocabulary, the research provides insights into ho</w:t>
      </w:r>
      <w:r>
        <w:rPr>
          <w:color w:val="000000"/>
          <w:sz w:val="28"/>
          <w:szCs w:val="28"/>
        </w:rPr>
        <w:t>w language reflects and shapes societal norms and political systems. The presence of polysemous words within this corpus, with their multiple nuanced meanings, further underscores the complexity and richness of the Golden Horde's cultural and political lan</w:t>
      </w:r>
      <w:r>
        <w:rPr>
          <w:color w:val="000000"/>
          <w:sz w:val="28"/>
          <w:szCs w:val="28"/>
        </w:rPr>
        <w:t>dscape.</w:t>
      </w:r>
    </w:p>
    <w:p w14:paraId="6EA357D9" w14:textId="77777777" w:rsidR="00F74BAF" w:rsidRDefault="00737583">
      <w:pPr>
        <w:pBdr>
          <w:top w:val="nil"/>
          <w:left w:val="nil"/>
          <w:bottom w:val="nil"/>
          <w:right w:val="nil"/>
          <w:between w:val="nil"/>
        </w:pBdr>
        <w:ind w:firstLine="709"/>
        <w:jc w:val="both"/>
        <w:rPr>
          <w:sz w:val="28"/>
          <w:szCs w:val="28"/>
        </w:rPr>
      </w:pPr>
      <w:r>
        <w:rPr>
          <w:sz w:val="28"/>
          <w:szCs w:val="28"/>
        </w:rPr>
        <w:t>In conclusion, this semantic research not only sheds light on the intricate relationships between language, society, and politics in the Golden Horde but also underscores the importance of semantic analysis in understanding historical societies. By</w:t>
      </w:r>
      <w:r>
        <w:rPr>
          <w:sz w:val="28"/>
          <w:szCs w:val="28"/>
        </w:rPr>
        <w:t xml:space="preserve"> focusing on the meanings and relationships of social and political terms, the study not only clarifies the specific characteristics of the Golden Horde's political system but also demonstrates the broader implications of language as a reflection of cultur</w:t>
      </w:r>
      <w:r>
        <w:rPr>
          <w:sz w:val="28"/>
          <w:szCs w:val="28"/>
        </w:rPr>
        <w:t>al and political identity. This approach offers a nuanced perspective on the interplay between language and political structures, further highlighting the significance of semantic analysis in the study of historical societies and their social background.</w:t>
      </w:r>
    </w:p>
    <w:p w14:paraId="0B6E1A91" w14:textId="77777777" w:rsidR="00F74BAF" w:rsidRDefault="00737583">
      <w:pPr>
        <w:pBdr>
          <w:top w:val="nil"/>
          <w:left w:val="nil"/>
          <w:bottom w:val="nil"/>
          <w:right w:val="nil"/>
          <w:between w:val="nil"/>
        </w:pBdr>
        <w:ind w:firstLine="709"/>
        <w:jc w:val="both"/>
        <w:rPr>
          <w:sz w:val="28"/>
          <w:szCs w:val="28"/>
        </w:rPr>
      </w:pPr>
      <w:r>
        <w:rPr>
          <w:sz w:val="28"/>
          <w:szCs w:val="28"/>
        </w:rPr>
        <w:t>M</w:t>
      </w:r>
      <w:r>
        <w:rPr>
          <w:sz w:val="28"/>
          <w:szCs w:val="28"/>
        </w:rPr>
        <w:t>oreover, by tracing how particular lexemes evolved and were employed in various socio-political contexts, this research reveals the dynamic interaction between linguistic expression and shifting power relations within the Golden Horde. It illustrates how t</w:t>
      </w:r>
      <w:r>
        <w:rPr>
          <w:sz w:val="28"/>
          <w:szCs w:val="28"/>
        </w:rPr>
        <w:t xml:space="preserve">erminology was used not only to describe authority and hierarchy but also to legitimize them, reflecting the broader ideological currents of the time. Ultimately, this study contributes to a deeper understanding of how language functions as both a product </w:t>
      </w:r>
      <w:r>
        <w:rPr>
          <w:sz w:val="28"/>
          <w:szCs w:val="28"/>
        </w:rPr>
        <w:t>and an instrument of historical change—bridging philology, history, and cultural studies to enrich our comprehension of medieval Eurasian civilization.</w:t>
      </w:r>
    </w:p>
    <w:p w14:paraId="19FDF489" w14:textId="77777777" w:rsidR="00F74BAF" w:rsidRDefault="00F74BAF">
      <w:pPr>
        <w:pBdr>
          <w:top w:val="nil"/>
          <w:left w:val="nil"/>
          <w:bottom w:val="nil"/>
          <w:right w:val="nil"/>
          <w:between w:val="nil"/>
        </w:pBdr>
        <w:ind w:firstLine="709"/>
        <w:jc w:val="both"/>
        <w:rPr>
          <w:sz w:val="28"/>
          <w:szCs w:val="28"/>
        </w:rPr>
      </w:pPr>
    </w:p>
    <w:p w14:paraId="3E9AE6AA" w14:textId="77777777" w:rsidR="00F74BAF" w:rsidRDefault="00F74BAF">
      <w:pPr>
        <w:pBdr>
          <w:top w:val="nil"/>
          <w:left w:val="nil"/>
          <w:bottom w:val="nil"/>
          <w:right w:val="nil"/>
          <w:between w:val="nil"/>
        </w:pBdr>
        <w:ind w:firstLine="709"/>
        <w:jc w:val="both"/>
        <w:rPr>
          <w:color w:val="000000"/>
          <w:sz w:val="28"/>
          <w:szCs w:val="28"/>
        </w:rPr>
      </w:pPr>
    </w:p>
    <w:p w14:paraId="578FD8C1" w14:textId="77777777" w:rsidR="00F74BAF" w:rsidRDefault="00F74BAF">
      <w:pPr>
        <w:pBdr>
          <w:top w:val="nil"/>
          <w:left w:val="nil"/>
          <w:bottom w:val="nil"/>
          <w:right w:val="nil"/>
          <w:between w:val="nil"/>
        </w:pBdr>
        <w:ind w:firstLine="709"/>
        <w:jc w:val="both"/>
        <w:rPr>
          <w:sz w:val="28"/>
          <w:szCs w:val="28"/>
        </w:rPr>
      </w:pPr>
    </w:p>
    <w:p w14:paraId="447B4B84" w14:textId="77777777" w:rsidR="00F74BAF" w:rsidRDefault="00F74BAF">
      <w:pPr>
        <w:pBdr>
          <w:top w:val="nil"/>
          <w:left w:val="nil"/>
          <w:bottom w:val="nil"/>
          <w:right w:val="nil"/>
          <w:between w:val="nil"/>
        </w:pBdr>
        <w:ind w:firstLine="709"/>
        <w:jc w:val="both"/>
        <w:rPr>
          <w:sz w:val="28"/>
          <w:szCs w:val="28"/>
        </w:rPr>
      </w:pPr>
    </w:p>
    <w:p w14:paraId="490CD3E7" w14:textId="77777777" w:rsidR="00F74BAF" w:rsidRDefault="00F74BAF">
      <w:pPr>
        <w:pBdr>
          <w:top w:val="nil"/>
          <w:left w:val="nil"/>
          <w:bottom w:val="nil"/>
          <w:right w:val="nil"/>
          <w:between w:val="nil"/>
        </w:pBdr>
        <w:ind w:firstLine="709"/>
        <w:jc w:val="both"/>
        <w:rPr>
          <w:sz w:val="28"/>
          <w:szCs w:val="28"/>
        </w:rPr>
      </w:pPr>
    </w:p>
    <w:p w14:paraId="0C2A33AA" w14:textId="77777777" w:rsidR="00F74BAF" w:rsidRDefault="00F74BAF">
      <w:pPr>
        <w:pBdr>
          <w:top w:val="nil"/>
          <w:left w:val="nil"/>
          <w:bottom w:val="nil"/>
          <w:right w:val="nil"/>
          <w:between w:val="nil"/>
        </w:pBdr>
        <w:rPr>
          <w:sz w:val="28"/>
          <w:szCs w:val="28"/>
        </w:rPr>
      </w:pPr>
    </w:p>
    <w:p w14:paraId="4A0CC611" w14:textId="77777777" w:rsidR="00F74BAF" w:rsidRDefault="00737583">
      <w:pPr>
        <w:spacing w:line="276" w:lineRule="auto"/>
        <w:jc w:val="both"/>
        <w:rPr>
          <w:b/>
          <w:bCs/>
          <w:sz w:val="28"/>
          <w:szCs w:val="28"/>
        </w:rPr>
      </w:pPr>
      <w:r>
        <w:rPr>
          <w:b/>
          <w:bCs/>
          <w:sz w:val="28"/>
          <w:szCs w:val="28"/>
        </w:rPr>
        <w:tab/>
      </w:r>
    </w:p>
    <w:p w14:paraId="671754B0" w14:textId="77777777" w:rsidR="00F74BAF" w:rsidRDefault="00F74BAF">
      <w:pPr>
        <w:spacing w:line="276" w:lineRule="auto"/>
        <w:jc w:val="both"/>
        <w:rPr>
          <w:b/>
          <w:bCs/>
          <w:sz w:val="28"/>
          <w:szCs w:val="28"/>
        </w:rPr>
      </w:pPr>
    </w:p>
    <w:p w14:paraId="0518CDF7" w14:textId="77777777" w:rsidR="00F74BAF" w:rsidRDefault="00F74BAF">
      <w:pPr>
        <w:spacing w:line="276" w:lineRule="auto"/>
        <w:jc w:val="both"/>
        <w:rPr>
          <w:b/>
          <w:bCs/>
          <w:sz w:val="28"/>
          <w:szCs w:val="28"/>
        </w:rPr>
        <w:sectPr w:rsidR="00F74BAF">
          <w:footerReference w:type="default" r:id="rId18"/>
          <w:headerReference w:type="first" r:id="rId19"/>
          <w:footerReference w:type="first" r:id="rId20"/>
          <w:pgSz w:w="11900" w:h="16840"/>
          <w:pgMar w:top="1134" w:right="567" w:bottom="1134" w:left="1701" w:header="709" w:footer="851" w:gutter="0"/>
          <w:pgNumType w:start="1"/>
          <w:cols w:space="720"/>
          <w:titlePg/>
        </w:sectPr>
      </w:pPr>
    </w:p>
    <w:p w14:paraId="23A23108" w14:textId="77777777" w:rsidR="00F74BAF" w:rsidRDefault="00F74BAF">
      <w:pPr>
        <w:spacing w:line="276" w:lineRule="auto"/>
        <w:jc w:val="both"/>
        <w:rPr>
          <w:b/>
          <w:bCs/>
          <w:sz w:val="28"/>
          <w:szCs w:val="28"/>
        </w:rPr>
      </w:pPr>
    </w:p>
    <w:p w14:paraId="203FD181" w14:textId="77777777" w:rsidR="00F74BAF" w:rsidRDefault="00F74BAF">
      <w:pPr>
        <w:spacing w:line="276" w:lineRule="auto"/>
        <w:jc w:val="both"/>
        <w:rPr>
          <w:b/>
          <w:bCs/>
          <w:sz w:val="28"/>
          <w:szCs w:val="28"/>
        </w:rPr>
      </w:pPr>
    </w:p>
    <w:p w14:paraId="4B551449" w14:textId="77777777" w:rsidR="00F74BAF" w:rsidRDefault="00737583">
      <w:pPr>
        <w:spacing w:line="276" w:lineRule="auto"/>
        <w:jc w:val="center"/>
        <w:rPr>
          <w:b/>
          <w:bCs/>
          <w:sz w:val="28"/>
          <w:szCs w:val="28"/>
        </w:rPr>
      </w:pPr>
      <w:r>
        <w:rPr>
          <w:b/>
          <w:bCs/>
          <w:sz w:val="28"/>
          <w:szCs w:val="28"/>
        </w:rPr>
        <w:t>CONCLUSION</w:t>
      </w:r>
    </w:p>
    <w:p w14:paraId="19F806DE" w14:textId="77777777" w:rsidR="00F74BAF" w:rsidRDefault="00F74BAF">
      <w:pPr>
        <w:spacing w:line="276" w:lineRule="auto"/>
        <w:ind w:firstLine="720"/>
        <w:jc w:val="both"/>
        <w:rPr>
          <w:sz w:val="28"/>
          <w:szCs w:val="28"/>
        </w:rPr>
      </w:pPr>
    </w:p>
    <w:p w14:paraId="5B2C3E06" w14:textId="77777777" w:rsidR="00F74BAF" w:rsidRDefault="00737583">
      <w:pPr>
        <w:spacing w:line="276" w:lineRule="auto"/>
        <w:ind w:firstLine="720"/>
        <w:jc w:val="both"/>
        <w:rPr>
          <w:sz w:val="28"/>
          <w:szCs w:val="28"/>
        </w:rPr>
      </w:pPr>
      <w:r>
        <w:rPr>
          <w:sz w:val="28"/>
          <w:szCs w:val="28"/>
        </w:rPr>
        <w:t>This dissertation has provided a comprehensive semantic analysis of Middle Kypchak monuments from fourteenth to seventeenth centuries, focusing on the social relations encoded in these texts. Building on the theoretical f</w:t>
      </w:r>
      <w:r>
        <w:rPr>
          <w:sz w:val="28"/>
          <w:szCs w:val="28"/>
        </w:rPr>
        <w:t>oundations of lexical semantics, the research applied semantic field theory to a rich corpus – notably the «Daftar-i Jingiz-nama» and Ötämiš Ḥājjī’s «Čingiz-nama». Across kinship, occupational, military, and socio-political vocabularies, the study reconstr</w:t>
      </w:r>
      <w:r>
        <w:rPr>
          <w:sz w:val="28"/>
          <w:szCs w:val="28"/>
        </w:rPr>
        <w:t xml:space="preserve">ucted the networks of meaning that governed medieval Kypchak society. The analysis showed how lexical choices reflect cultural values and social structures, thereby revealing the worldview of the period. In sum, the main chapters yield a coherent picture: </w:t>
      </w:r>
      <w:r>
        <w:rPr>
          <w:sz w:val="28"/>
          <w:szCs w:val="28"/>
        </w:rPr>
        <w:t>semantic relations among words form structured fields that mirror the family systems, economic specializations, and power hierarchies of the Golden Horde.</w:t>
      </w:r>
    </w:p>
    <w:p w14:paraId="4B54620B" w14:textId="77777777" w:rsidR="00F74BAF" w:rsidRDefault="00737583">
      <w:pPr>
        <w:spacing w:line="276" w:lineRule="auto"/>
        <w:jc w:val="both"/>
        <w:rPr>
          <w:sz w:val="28"/>
          <w:szCs w:val="28"/>
        </w:rPr>
      </w:pPr>
      <w:r>
        <w:rPr>
          <w:sz w:val="28"/>
          <w:szCs w:val="28"/>
        </w:rPr>
        <w:tab/>
        <w:t>In Chapter 1, the dissertation established the theoretical framework for this investigation. It trac</w:t>
      </w:r>
      <w:r>
        <w:rPr>
          <w:sz w:val="28"/>
          <w:szCs w:val="28"/>
        </w:rPr>
        <w:t xml:space="preserve">ed the history of semantic theory from classical philosophy through Saussure’s structuralism, emphasizing that a word’s meaning is defined both by its paradigmatic relations and its syntagmatic relations. Semantic field theory was introduced as a powerful </w:t>
      </w:r>
      <w:r>
        <w:rPr>
          <w:sz w:val="28"/>
          <w:szCs w:val="28"/>
        </w:rPr>
        <w:t>tool: instead of studying words in isolation, it treats vocabulary as an interrelated system. According to this view, words form the fields in which meanings are mutually constraining and hierarchically organized. For example, an occupational semantic fiel</w:t>
      </w:r>
      <w:r>
        <w:rPr>
          <w:sz w:val="28"/>
          <w:szCs w:val="28"/>
        </w:rPr>
        <w:t xml:space="preserve">d might span from general superordinates to specific hyponyms, just as a kinship field spans from parents to cousins. Chapter 1 also reviewed key semantic relationships—synonymy, antonymy, hyponymy, polysemy—and noted how Trier’s paradigmatic approach and </w:t>
      </w:r>
      <w:r>
        <w:rPr>
          <w:sz w:val="28"/>
          <w:szCs w:val="28"/>
        </w:rPr>
        <w:t xml:space="preserve">Porzig’s syntagmatic perspective converge in depicting meaning as a network. This theoretical grounding guided the empirical analyses: the study systematically identified paradigmatic sets and syntagmatic combinations in the Kypchak monuments. In essence, </w:t>
      </w:r>
      <w:r>
        <w:rPr>
          <w:sz w:val="28"/>
          <w:szCs w:val="28"/>
        </w:rPr>
        <w:t>Chapter 1 justified the methodology and showed that semantic field analysis can expose the organization of meaning in historical lexicons, providing a lens to decode the cultural knowledge encoded in language.</w:t>
      </w:r>
    </w:p>
    <w:p w14:paraId="7F420F1E" w14:textId="77777777" w:rsidR="00F74BAF" w:rsidRDefault="00737583">
      <w:pPr>
        <w:spacing w:line="276" w:lineRule="auto"/>
        <w:jc w:val="both"/>
        <w:rPr>
          <w:sz w:val="28"/>
          <w:szCs w:val="28"/>
        </w:rPr>
      </w:pPr>
      <w:r>
        <w:rPr>
          <w:sz w:val="28"/>
          <w:szCs w:val="28"/>
        </w:rPr>
        <w:tab/>
        <w:t>Chapter 2 applied this framework to two subdo</w:t>
      </w:r>
      <w:r>
        <w:rPr>
          <w:sz w:val="28"/>
          <w:szCs w:val="28"/>
        </w:rPr>
        <w:t>mains of Middle Kypchak texts: kinship terminology and occupational terminology in the «Daftar-i Jingiz-nama» and related yarlïqs. The kinship lexicon of Middle Kypchak was found to be highly systematic and socially informative. Core kinship terms denote n</w:t>
      </w:r>
      <w:r>
        <w:rPr>
          <w:sz w:val="28"/>
          <w:szCs w:val="28"/>
        </w:rPr>
        <w:t>ot just biological relations but encode generation, gender, seniority, and moral status. For instance, «aġa» (‘elder brother’) versus «ini» (‘younger brother’) exemplifies a paradigmatic opposition that signals both lineage position and expected deference.</w:t>
      </w:r>
      <w:r>
        <w:rPr>
          <w:sz w:val="28"/>
          <w:szCs w:val="28"/>
        </w:rPr>
        <w:t xml:space="preserve"> Similarly, male and female lines are marked by distinct vocabularies (with «ata» ‘father’ and «ana» ‘mother’ as central nodes) and an entire sub-field of affinal relations is constructed via derivatives of «qayïn-» ‘in-law’. These derivational links are a</w:t>
      </w:r>
      <w:r>
        <w:rPr>
          <w:sz w:val="28"/>
          <w:szCs w:val="28"/>
        </w:rPr>
        <w:t>ssociative markers of marriage ties – e.g. «qayin ata» ‘father-in-law’, «qayin apa» ‘mother-in-law – which show how shared morphology ties together concepts of relatedness. The kinship field is thus divisible into paternal, maternal, and affinal sectors, e</w:t>
      </w:r>
      <w:r>
        <w:rPr>
          <w:sz w:val="28"/>
          <w:szCs w:val="28"/>
        </w:rPr>
        <w:t xml:space="preserve">ach organized by senior/junior and gender distinctions. In this domain, syntagmatic co-occurrence is also striking: fixed phrases like «ata ana» ‘parents’ or «oġul qïz» ‘sons and daughters’ function as collective labels, demonstrating how individual terms </w:t>
      </w:r>
      <w:r>
        <w:rPr>
          <w:sz w:val="28"/>
          <w:szCs w:val="28"/>
        </w:rPr>
        <w:t>combine to convey broader categories. Overall, the reconstructed kinship field reflects a patriarchal yet threefold social philosophy (paternal, maternal, and marriage lines) that underpinned Golden Horde society.</w:t>
      </w:r>
    </w:p>
    <w:p w14:paraId="244AEAE9" w14:textId="77777777" w:rsidR="00F74BAF" w:rsidRDefault="00737583">
      <w:pPr>
        <w:spacing w:line="276" w:lineRule="auto"/>
        <w:jc w:val="both"/>
        <w:rPr>
          <w:sz w:val="28"/>
          <w:szCs w:val="28"/>
        </w:rPr>
      </w:pPr>
      <w:r>
        <w:rPr>
          <w:sz w:val="28"/>
          <w:szCs w:val="28"/>
        </w:rPr>
        <w:tab/>
        <w:t>The occupational (profession) field in Ch</w:t>
      </w:r>
      <w:r>
        <w:rPr>
          <w:sz w:val="28"/>
          <w:szCs w:val="28"/>
        </w:rPr>
        <w:t>apter 2 likewise illuminated the Golden Horde’s social order. Nearly thirty distinct profession names were analyzed, revealing a diversified economic life and growing specialization. These lexemes are rich in derivational morphology: many are formed by att</w:t>
      </w:r>
      <w:r>
        <w:rPr>
          <w:sz w:val="28"/>
          <w:szCs w:val="28"/>
        </w:rPr>
        <w:t>aching the agentive suffix -čï to nouns or verb stems (e.g. «tamġa» ‘seal’ + «-čï» &gt; «tamġačï» ‘tamgha-officer’; «biti-» ‘write’ + -čï &gt; «bitigči» ‘scribe’). This productivity of «-čï» exemplifies a derivational network by which new job titles are coined i</w:t>
      </w:r>
      <w:r>
        <w:rPr>
          <w:sz w:val="28"/>
          <w:szCs w:val="28"/>
        </w:rPr>
        <w:t>n Turkic. In summary, Chapter 2 showed that the kinship and occupational semantic fields together form a coherent linguistic ecosystem: kinship vocabulary encodes family structure and ethical norms, while occupational vocabulary captures the economic infra</w:t>
      </w:r>
      <w:r>
        <w:rPr>
          <w:sz w:val="28"/>
          <w:szCs w:val="28"/>
        </w:rPr>
        <w:t>structure and administrative complexity of the era. Language thus functioned as a mirror and molder of social reality – kinship as the foundation of identity and morality, work as the basis of collective life.</w:t>
      </w:r>
    </w:p>
    <w:p w14:paraId="6922AD9B" w14:textId="77777777" w:rsidR="00F74BAF" w:rsidRDefault="00737583">
      <w:pPr>
        <w:spacing w:line="276" w:lineRule="auto"/>
        <w:jc w:val="both"/>
        <w:rPr>
          <w:sz w:val="28"/>
          <w:szCs w:val="28"/>
        </w:rPr>
      </w:pPr>
      <w:r>
        <w:rPr>
          <w:sz w:val="28"/>
          <w:szCs w:val="28"/>
        </w:rPr>
        <w:tab/>
        <w:t>Chapter 3 extended the semantic field analysi</w:t>
      </w:r>
      <w:r>
        <w:rPr>
          <w:sz w:val="28"/>
          <w:szCs w:val="28"/>
        </w:rPr>
        <w:t xml:space="preserve">s to military and socio-political terms in Ötämiš Ḥājjī’s «Čingiz-nama». The military field yielded 42 key lexemes, which reflect the armed forces and warfare of the Golden Horde. Quantitative and etymological analysis showed that about 60% of these terms </w:t>
      </w:r>
      <w:r>
        <w:rPr>
          <w:sz w:val="28"/>
          <w:szCs w:val="28"/>
        </w:rPr>
        <w:t>are Turkic in origin, most traceable to Old Turkic roots. This predominance means that the ancient Turkic military heritage remained central: swords («qïlïč»), bows and arrows («oq», «sadaq»), cavalry equipment («at» ‘horse’), and rank titles («beg», «alp»</w:t>
      </w:r>
      <w:r>
        <w:rPr>
          <w:sz w:val="28"/>
          <w:szCs w:val="28"/>
        </w:rPr>
        <w:t>, «bahadïr») are largely continuations of earlier terminology. Mongolian borrowings (≈21%) and Arabic-Persian borrowings (≈19%) also feature, reflecting the Mongol conquest and Islamic influence, but they supplement rather than replace the Turkic core. The</w:t>
      </w:r>
      <w:r>
        <w:rPr>
          <w:sz w:val="28"/>
          <w:szCs w:val="28"/>
        </w:rPr>
        <w:t xml:space="preserve"> contemporary significance of these origins is evident: many of the Turkic military terms survive in modern Kazakh with only slight shifts in meaning, underscoring continuity. Moreover, the analysis uncovered a wealth of synonyms and nuanced distinctions. </w:t>
      </w:r>
      <w:r>
        <w:rPr>
          <w:sz w:val="28"/>
          <w:szCs w:val="28"/>
        </w:rPr>
        <w:t>For instance, «čerig» and «laškar» both denote ‘army’ (the former Turkic, the latter Persian), and «qarawïl» and «newkär» both mean ‘guard’ but distinguish camp guards from a khan’s personal guards. Such synonymy, partly arising from language contact, enri</w:t>
      </w:r>
      <w:r>
        <w:rPr>
          <w:sz w:val="28"/>
          <w:szCs w:val="28"/>
        </w:rPr>
        <w:t>ched the narrative in the «Čingiz-nama» and indicates the Golden Horde’s sophisticated military taxonomy: different words were employed depending on context (e.g. «uruš», «yurus», «turuš» for different kinds of battle). The inventory of weapons in the text</w:t>
      </w:r>
      <w:r>
        <w:rPr>
          <w:sz w:val="28"/>
          <w:szCs w:val="28"/>
        </w:rPr>
        <w:t xml:space="preserve"> similarly highlights cavalry prominence (at ‘horse’ is mentioned more than any other armament) and detailed martial culture. Together, these findings suggest that military affairs were deeply embedded in Kypchak society, with language capturing both inher</w:t>
      </w:r>
      <w:r>
        <w:rPr>
          <w:sz w:val="28"/>
          <w:szCs w:val="28"/>
        </w:rPr>
        <w:t>ited Turkic concepts and borrowed innovations.</w:t>
      </w:r>
    </w:p>
    <w:p w14:paraId="726AFFA7" w14:textId="77777777" w:rsidR="00F74BAF" w:rsidRDefault="00737583">
      <w:pPr>
        <w:spacing w:line="276" w:lineRule="auto"/>
        <w:jc w:val="both"/>
        <w:rPr>
          <w:sz w:val="28"/>
          <w:szCs w:val="28"/>
        </w:rPr>
      </w:pPr>
      <w:r>
        <w:rPr>
          <w:sz w:val="28"/>
          <w:szCs w:val="28"/>
        </w:rPr>
        <w:tab/>
        <w:t>In the socio-political semantic field, Chapter 3 examined titles and institutions. Twelve noble or official titles were identified. Here again Turkic roots dominate: eight terms were Turkic, while Mongol-deri</w:t>
      </w:r>
      <w:r>
        <w:rPr>
          <w:sz w:val="28"/>
          <w:szCs w:val="28"/>
        </w:rPr>
        <w:t>ved terms account for nine and Arabic-Persian for four (some titles have dual histories). The classical title «han» (from «qaġan») is a prime example: once the supreme ruler title of nomadic confederations, «han» became more prevalent than «qaġan» in the p</w:t>
      </w:r>
      <w:r>
        <w:rPr>
          <w:sz w:val="28"/>
          <w:szCs w:val="28"/>
        </w:rPr>
        <w:t>ost-Mongol period. The derived noun «hanlïġ» (“realm of the Khan”) also appears. The persistence of «han» and parallel forms («bey»/«beg», «mirza», «padişah», etc.) into modern Turkic attests to their historical weight. The Čingiz-nama narrative shows that</w:t>
      </w:r>
      <w:r>
        <w:rPr>
          <w:sz w:val="28"/>
          <w:szCs w:val="28"/>
        </w:rPr>
        <w:t xml:space="preserve"> political power was hereditary (Genghisid lineage) but contested by powerful begs (tribal princes), and that even women («begim», ‘Lady’) could exercise regency. The presence of Arabic titles like «hoca» and «mirza» alongside Turkic ones reflects the Isla</w:t>
      </w:r>
      <w:r>
        <w:rPr>
          <w:sz w:val="28"/>
          <w:szCs w:val="28"/>
        </w:rPr>
        <w:t xml:space="preserve">mization of governance. Semantic analysis revealed that terms denoting ‘state’ or ‘people’ underwent broadening: for example, el, yurt, ulus each originally meant ‘land’ or ‘tribe’ but were used variably to mean ‘country’, ‘tribe’, or ‘people’ in context. </w:t>
      </w:r>
      <w:r>
        <w:rPr>
          <w:sz w:val="28"/>
          <w:szCs w:val="28"/>
        </w:rPr>
        <w:t>Notably, «el» was found to be highly polysemous, acquiring meanings of ‘state’ and ‘nation’ in the text. These shifts mirror changes in medieval Turkic conceptualization of polity. Overall, the socio-political lexicon is a tapestry of Turkic tribal traditi</w:t>
      </w:r>
      <w:r>
        <w:rPr>
          <w:sz w:val="28"/>
          <w:szCs w:val="28"/>
        </w:rPr>
        <w:t>on and Mongol-imperial legacy, overlaid with Islamic notions – a linguistic reflection of the Golden Horde’s hybrid identity.</w:t>
      </w:r>
    </w:p>
    <w:p w14:paraId="0DDE9C89" w14:textId="77777777" w:rsidR="00F74BAF" w:rsidRDefault="00737583">
      <w:pPr>
        <w:spacing w:line="276" w:lineRule="auto"/>
        <w:jc w:val="both"/>
        <w:rPr>
          <w:sz w:val="28"/>
          <w:szCs w:val="28"/>
        </w:rPr>
      </w:pPr>
      <w:r>
        <w:rPr>
          <w:sz w:val="28"/>
          <w:szCs w:val="28"/>
        </w:rPr>
        <w:tab/>
        <w:t>Across all these fields, the study emphasized semantic relations as the glue of each field. The lexemes of kinship, profession, w</w:t>
      </w:r>
      <w:r>
        <w:rPr>
          <w:sz w:val="28"/>
          <w:szCs w:val="28"/>
        </w:rPr>
        <w:t>arfare, and governance are interwoven by paradigmatic and syntagmatic patterns. Paradigmatic relations were evident in synonymous and contrasting terms: for example, the existence of near-synonyms and antonym pairs increased expressive depth (as seen in mi</w:t>
      </w:r>
      <w:r>
        <w:rPr>
          <w:sz w:val="28"/>
          <w:szCs w:val="28"/>
        </w:rPr>
        <w:t xml:space="preserve">litary synonyms «čerig»/«laškar» and in occupational titles). Hyponymic relations also structured fields: general terms (e.g. a chief title or broad category) encompass more specific subtypes. Syntagmatically, many terms appear in fixed collocations: «ata </w:t>
      </w:r>
      <w:r>
        <w:rPr>
          <w:sz w:val="28"/>
          <w:szCs w:val="28"/>
        </w:rPr>
        <w:t xml:space="preserve">ana» (‘father and mother’) and «oġul qız» (‘son and daughter’) function as composite labels (parents, children), reflecting how language pairs complementary kin roles. Similarly, occupational compounds (like «yortar išlenči» ‘envoy’, built from two verbs) </w:t>
      </w:r>
      <w:r>
        <w:rPr>
          <w:sz w:val="28"/>
          <w:szCs w:val="28"/>
        </w:rPr>
        <w:t>form meaningful units. These patterns illustrate Trier’s and Porzig’s point that word meaning is realized both in sets of alternatives and in combinations. Associative relations also emerged through shared morphemes or semantic domains. For instance, the r</w:t>
      </w:r>
      <w:r>
        <w:rPr>
          <w:sz w:val="28"/>
          <w:szCs w:val="28"/>
        </w:rPr>
        <w:t>oot «qayïn» associates an entire subset of kinship terms related by marriage, as noted above. Derivational relationships were prolific: the suffix «-čï» in profession names ties that entire class together, and affixation (e.g. plural markers or agentive fo</w:t>
      </w:r>
      <w:r>
        <w:rPr>
          <w:sz w:val="28"/>
          <w:szCs w:val="28"/>
        </w:rPr>
        <w:t>rms) creates families of related concepts. In short, each semantic field was shown to function as an organized network: each word’s meaning is defined in relation to others, whether paradigmatic or syntagmatic. This confirms the advantage of the semantic f</w:t>
      </w:r>
      <w:r>
        <w:rPr>
          <w:sz w:val="28"/>
          <w:szCs w:val="28"/>
        </w:rPr>
        <w:t>ield approach – it allowed reconstruction of the “semantic map” of social reality in Middle Kypchak by revealing clusters, hierarchies, and levels of meaning (e.g. clusters of kin terms by generation and sex, or levels of rank within military and nobility)</w:t>
      </w:r>
      <w:r>
        <w:rPr>
          <w:sz w:val="28"/>
          <w:szCs w:val="28"/>
        </w:rPr>
        <w:t>.</w:t>
      </w:r>
    </w:p>
    <w:p w14:paraId="3027F8C8" w14:textId="77777777" w:rsidR="00F74BAF" w:rsidRDefault="00737583">
      <w:pPr>
        <w:spacing w:line="276" w:lineRule="auto"/>
        <w:jc w:val="both"/>
        <w:rPr>
          <w:sz w:val="28"/>
          <w:szCs w:val="28"/>
        </w:rPr>
      </w:pPr>
      <w:r>
        <w:rPr>
          <w:sz w:val="28"/>
          <w:szCs w:val="28"/>
        </w:rPr>
        <w:tab/>
        <w:t>Importantly, the diachronic perspective demonstrates continuity between Middle Kypchak and later Turkic languages. Many core social lexemes reconstructed from the Golden Horde corpus survive, with slight evolution, in modern Turkic. For example, the bas</w:t>
      </w:r>
      <w:r>
        <w:rPr>
          <w:sz w:val="28"/>
          <w:szCs w:val="28"/>
        </w:rPr>
        <w:t>ic kinship terms «ogul» ‘son’ and «qïz» ‘daughter’ have endured since Old Turkic and remain in Kazakh, and other Turkic idioms. Similarly, the ruler title «han», the communal term «el» ‘people, land’, and even occupational formations are recognizable in de</w:t>
      </w:r>
      <w:r>
        <w:rPr>
          <w:sz w:val="28"/>
          <w:szCs w:val="28"/>
        </w:rPr>
        <w:t>scendant languages. The analysis showed that roughly 60% of the military vocabulary in «Čingiz-nama» was Turkic and most of these items are attested in modern Kazakh (often with minor semantic shifts). Borrowings from Mongolian and Persian in the corpus al</w:t>
      </w:r>
      <w:r>
        <w:rPr>
          <w:sz w:val="28"/>
          <w:szCs w:val="28"/>
        </w:rPr>
        <w:t>so have parallels: certain Mongolian loanwords for military and governance (e.g. «batïr») persist in Kypchak dialects, reflecting historical contact. In kinship, the complex polysemy noted in Kazakh (e.g. «äke» shifting from ‘brother’ to ‘father’ in an ado</w:t>
      </w:r>
      <w:r>
        <w:rPr>
          <w:sz w:val="28"/>
          <w:szCs w:val="28"/>
        </w:rPr>
        <w:t>ption context) resonates with the adaptive naming strategies observed in the Golden Horde data. These parallels show that the semantic structures identified are not ephemeral but part of a broader Turkic inheritance. As the conclusion of Chapter 3 notes, t</w:t>
      </w:r>
      <w:r>
        <w:rPr>
          <w:sz w:val="28"/>
          <w:szCs w:val="28"/>
        </w:rPr>
        <w:t xml:space="preserve">his semantic research “clarifies the specific characteristics of the Golden Horde’s political system but also demonstrates the broader implications of language as a reflection of cultural and political identity”. In other words, the reconstructed semantic </w:t>
      </w:r>
      <w:r>
        <w:rPr>
          <w:sz w:val="28"/>
          <w:szCs w:val="28"/>
        </w:rPr>
        <w:t>fields link Middle Kypchak directly to the lexicons of modern Central Asian languages, illustrating how historical semantics inform contemporary usage.</w:t>
      </w:r>
    </w:p>
    <w:p w14:paraId="087FCF4D" w14:textId="77777777" w:rsidR="00F74BAF" w:rsidRDefault="00737583">
      <w:pPr>
        <w:spacing w:line="276" w:lineRule="auto"/>
        <w:jc w:val="both"/>
        <w:rPr>
          <w:sz w:val="28"/>
          <w:szCs w:val="28"/>
        </w:rPr>
      </w:pPr>
      <w:r>
        <w:rPr>
          <w:sz w:val="28"/>
          <w:szCs w:val="28"/>
        </w:rPr>
        <w:tab/>
        <w:t>The significance of these findings for Turkology and linguistic history is manifold. First, they fill a</w:t>
      </w:r>
      <w:r>
        <w:rPr>
          <w:sz w:val="28"/>
          <w:szCs w:val="28"/>
        </w:rPr>
        <w:t xml:space="preserve"> notable gap: historical Turkology has long cataloged vocabulary (e.g. in Dīwān Lughat al-Turk), but few studies have analyzed these words semantically as networks. This dissertation is among the first to apply modern semantic theory to medieval Turkic tex</w:t>
      </w:r>
      <w:r>
        <w:rPr>
          <w:sz w:val="28"/>
          <w:szCs w:val="28"/>
        </w:rPr>
        <w:t>ts, thereby shedding new light on cultural concepts. In doing so, it fulfills the goal outlined in the introduction of uncovering «worldview and social order» from language. Second, the reconstructed fields themselves are valuable resources: they suggest h</w:t>
      </w:r>
      <w:r>
        <w:rPr>
          <w:sz w:val="28"/>
          <w:szCs w:val="28"/>
        </w:rPr>
        <w:t>ow Kypchak-speakers conceptualized family, authority, and labor. For example, the rigid organization of kinship vocabulary underscores the primacy of lineage and hierarchy on the steppe; the rich military lexicon confirms the central role of warfare and th</w:t>
      </w:r>
      <w:r>
        <w:rPr>
          <w:sz w:val="28"/>
          <w:szCs w:val="28"/>
        </w:rPr>
        <w:t>e mobility of nomadic life. These insights complement historical and archaeological evidence, giving a more nuanced picture of Golden Horde society. Third, the work has lexicographical implications: by situating each term within its semantic web, it provid</w:t>
      </w:r>
      <w:r>
        <w:rPr>
          <w:sz w:val="28"/>
          <w:szCs w:val="28"/>
        </w:rPr>
        <w:t>es precise interpretations that can aid translation of Kypchak sources and inform compilation of historical Turkic dictionaries. Overall, the study demonstrates that semantic field analysis is not merely descriptive but interpretive – it reveals the «insti</w:t>
      </w:r>
      <w:r>
        <w:rPr>
          <w:sz w:val="28"/>
          <w:szCs w:val="28"/>
        </w:rPr>
        <w:t>tutional architecture» encoded in language. As Chapter 3 concludes, language here acts as both product and instrument of historical change, bridging philology, history, and cultural studies.</w:t>
      </w:r>
    </w:p>
    <w:p w14:paraId="2A406AC1" w14:textId="77777777" w:rsidR="00F74BAF" w:rsidRDefault="00737583">
      <w:pPr>
        <w:spacing w:line="276" w:lineRule="auto"/>
        <w:jc w:val="both"/>
        <w:rPr>
          <w:sz w:val="28"/>
          <w:szCs w:val="28"/>
        </w:rPr>
      </w:pPr>
      <w:r>
        <w:rPr>
          <w:sz w:val="28"/>
          <w:szCs w:val="28"/>
        </w:rPr>
        <w:tab/>
        <w:t>Methodologically, this dissertation makes several contributions.</w:t>
      </w:r>
      <w:r>
        <w:rPr>
          <w:sz w:val="28"/>
          <w:szCs w:val="28"/>
        </w:rPr>
        <w:t xml:space="preserve"> It shows that semantic field theory can be successfully applied to medieval Turkic corpora. By systematically identifying paradigmatic sets and syntagmatic patterns, the approach goes beyond simple word lists to reconstruct relational meaning. The work al</w:t>
      </w:r>
      <w:r>
        <w:rPr>
          <w:sz w:val="28"/>
          <w:szCs w:val="28"/>
        </w:rPr>
        <w:t>so illustrates the importance of selecting appropriate semantic domains: the fields chosen (kinship, profession, military, political) proved rich and coherent, whereas others might be less fruitful. This suggests a general methodological lesson: semantic f</w:t>
      </w:r>
      <w:r>
        <w:rPr>
          <w:sz w:val="28"/>
          <w:szCs w:val="28"/>
        </w:rPr>
        <w:t>ields should be defined at a granularity that captures a socially salient domain without being so narrow as to yield only a few isolated terms. The study combined qualitative philological analysis with quantitative observations (e.g. frequency and origin c</w:t>
      </w:r>
      <w:r>
        <w:rPr>
          <w:sz w:val="28"/>
          <w:szCs w:val="28"/>
        </w:rPr>
        <w:t>ounts), hinting at a fruitful integration of statistical corpus methods with traditional semantics. Finally, by integrating insights from cognitive and componential semantics (e.g. the discussion of near-synonymy and hyponymy in Chapter 1 with concrete his</w:t>
      </w:r>
      <w:r>
        <w:rPr>
          <w:sz w:val="28"/>
          <w:szCs w:val="28"/>
        </w:rPr>
        <w:t>torical data, the dissertation models an interdisciplinary strategy that Turkology can emulate.</w:t>
      </w:r>
    </w:p>
    <w:p w14:paraId="044C4748" w14:textId="77777777" w:rsidR="00F74BAF" w:rsidRDefault="00737583">
      <w:pPr>
        <w:spacing w:line="276" w:lineRule="auto"/>
        <w:jc w:val="both"/>
        <w:rPr>
          <w:sz w:val="28"/>
          <w:szCs w:val="28"/>
        </w:rPr>
      </w:pPr>
      <w:r>
        <w:rPr>
          <w:sz w:val="28"/>
          <w:szCs w:val="28"/>
        </w:rPr>
        <w:tab/>
        <w:t>Nonetheless, the research also points to directions for future work. The author notes the need for deeper theoretical grounding; future studies could draw on a</w:t>
      </w:r>
      <w:r>
        <w:rPr>
          <w:sz w:val="28"/>
          <w:szCs w:val="28"/>
        </w:rPr>
        <w:t>dvances in cognitive linguistics or semantic typology to refine analysis. More broadly, the semantic field method can and should be extended to other domains of the Kypchak lexicon. For example, analyzing religious or commercial vocabularies might reveal f</w:t>
      </w:r>
      <w:r>
        <w:rPr>
          <w:sz w:val="28"/>
          <w:szCs w:val="28"/>
        </w:rPr>
        <w:t>urther aspects of Golden Horde culture. Cross-textual comparisons would also be valuable: applying the same approach to contemporaneous sources like Persian chronicles or Mongol inscriptions could help disentangle borrowing from inheritance. On the technic</w:t>
      </w:r>
      <w:r>
        <w:rPr>
          <w:sz w:val="28"/>
          <w:szCs w:val="28"/>
        </w:rPr>
        <w:t xml:space="preserve">al side, assembling a larger digital corpora of Kypchak texts (including unedited manuscripts, letters, etc.) would enable more exhaustive semantic mapping, possibly employing computational tools for collocation and network analysis. Finally, the issue of </w:t>
      </w:r>
      <w:r>
        <w:rPr>
          <w:sz w:val="28"/>
          <w:szCs w:val="28"/>
        </w:rPr>
        <w:t>field delimitation deserves more study: as the concluding remarks suggest, balancing field size is important. Future research might experiment with alternative field divisions or incorporate frequency thresholds to optimize the network structure.</w:t>
      </w:r>
    </w:p>
    <w:p w14:paraId="7D574E79" w14:textId="77777777" w:rsidR="00F74BAF" w:rsidRDefault="00737583">
      <w:pPr>
        <w:spacing w:line="276" w:lineRule="auto"/>
        <w:jc w:val="both"/>
        <w:rPr>
          <w:sz w:val="28"/>
          <w:szCs w:val="28"/>
        </w:rPr>
      </w:pPr>
      <w:r>
        <w:rPr>
          <w:sz w:val="28"/>
          <w:szCs w:val="28"/>
        </w:rPr>
        <w:tab/>
        <w:t xml:space="preserve">In sum, </w:t>
      </w:r>
      <w:r>
        <w:rPr>
          <w:sz w:val="28"/>
          <w:szCs w:val="28"/>
        </w:rPr>
        <w:t xml:space="preserve">this dissertation has synthesized semantic theory and Turkic philology to elucidate the social worldview of Middle Kypchak society. It has reconstructed interrelated fields of meaning spanning family, work, war, and governance, revealing how each lexeme’s </w:t>
      </w:r>
      <w:r>
        <w:rPr>
          <w:sz w:val="28"/>
          <w:szCs w:val="28"/>
        </w:rPr>
        <w:t xml:space="preserve">place in paradigmatic and syntagmatic relations mirrors the organization of Middle Kypchak speakers’ life. Diachronic comparisons show that these fields have left enduring marks on modern Turkic languages. The reconstructed semantic fields thus contribute </w:t>
      </w:r>
      <w:r>
        <w:rPr>
          <w:sz w:val="28"/>
          <w:szCs w:val="28"/>
        </w:rPr>
        <w:t xml:space="preserve">significantly to historical Turkology by providing a new perspective on the Middle Kypchak speakers’ culture and language. At the same time, the methodological lessons learned – about the scope of semantic fields, the role of synonyms and derivations, and </w:t>
      </w:r>
      <w:r>
        <w:rPr>
          <w:sz w:val="28"/>
          <w:szCs w:val="28"/>
        </w:rPr>
        <w:t>the integration of semantic analysis with historical context – offer a template for future research in semantics and historical linguistics. Ultimately, the study affirms that careful semantic analysis can transform our understanding of the past: by charti</w:t>
      </w:r>
      <w:r>
        <w:rPr>
          <w:sz w:val="28"/>
          <w:szCs w:val="28"/>
        </w:rPr>
        <w:t>ng how meanings cluster and shift, we gain a more complete picture of the peoples and societies who used these words.</w:t>
      </w:r>
    </w:p>
    <w:p w14:paraId="196A7670" w14:textId="77777777" w:rsidR="00F74BAF" w:rsidRDefault="00F74BAF">
      <w:pPr>
        <w:pBdr>
          <w:top w:val="nil"/>
          <w:left w:val="nil"/>
          <w:bottom w:val="nil"/>
          <w:right w:val="nil"/>
          <w:between w:val="nil"/>
        </w:pBdr>
        <w:ind w:firstLine="709"/>
        <w:jc w:val="both"/>
        <w:rPr>
          <w:sz w:val="28"/>
          <w:szCs w:val="28"/>
        </w:rPr>
      </w:pPr>
    </w:p>
    <w:p w14:paraId="244E718B" w14:textId="77777777" w:rsidR="00F74BAF" w:rsidRDefault="00F74BAF">
      <w:pPr>
        <w:pBdr>
          <w:top w:val="nil"/>
          <w:left w:val="nil"/>
          <w:bottom w:val="nil"/>
          <w:right w:val="nil"/>
          <w:between w:val="nil"/>
        </w:pBdr>
        <w:jc w:val="both"/>
        <w:rPr>
          <w:sz w:val="28"/>
          <w:szCs w:val="28"/>
          <w:highlight w:val="white"/>
        </w:rPr>
      </w:pPr>
    </w:p>
    <w:p w14:paraId="7066A694" w14:textId="77777777" w:rsidR="00F74BAF" w:rsidRDefault="00F74BAF">
      <w:pPr>
        <w:pBdr>
          <w:top w:val="nil"/>
          <w:left w:val="nil"/>
          <w:bottom w:val="nil"/>
          <w:right w:val="nil"/>
          <w:between w:val="nil"/>
        </w:pBdr>
        <w:jc w:val="both"/>
        <w:rPr>
          <w:sz w:val="28"/>
          <w:szCs w:val="28"/>
          <w:highlight w:val="white"/>
        </w:rPr>
      </w:pPr>
    </w:p>
    <w:p w14:paraId="2D1167BD" w14:textId="77777777" w:rsidR="00F74BAF" w:rsidRDefault="00F74BAF">
      <w:pPr>
        <w:pBdr>
          <w:top w:val="nil"/>
          <w:left w:val="nil"/>
          <w:bottom w:val="nil"/>
          <w:right w:val="nil"/>
          <w:between w:val="nil"/>
        </w:pBdr>
        <w:ind w:firstLine="709"/>
        <w:jc w:val="both"/>
        <w:rPr>
          <w:sz w:val="28"/>
          <w:szCs w:val="28"/>
          <w:highlight w:val="white"/>
        </w:rPr>
      </w:pPr>
    </w:p>
    <w:p w14:paraId="0FC58DC3" w14:textId="77777777" w:rsidR="00F74BAF" w:rsidRDefault="00F74BAF">
      <w:pPr>
        <w:pBdr>
          <w:top w:val="nil"/>
          <w:left w:val="nil"/>
          <w:bottom w:val="nil"/>
          <w:right w:val="nil"/>
          <w:between w:val="nil"/>
        </w:pBdr>
        <w:ind w:firstLine="709"/>
        <w:jc w:val="both"/>
        <w:rPr>
          <w:sz w:val="28"/>
          <w:szCs w:val="28"/>
          <w:highlight w:val="white"/>
        </w:rPr>
      </w:pPr>
    </w:p>
    <w:p w14:paraId="28DC2BFC" w14:textId="77777777" w:rsidR="00F74BAF" w:rsidRDefault="00F74BAF">
      <w:pPr>
        <w:pBdr>
          <w:top w:val="nil"/>
          <w:left w:val="nil"/>
          <w:bottom w:val="nil"/>
          <w:right w:val="nil"/>
          <w:between w:val="nil"/>
        </w:pBdr>
        <w:ind w:firstLine="709"/>
        <w:jc w:val="both"/>
        <w:rPr>
          <w:sz w:val="28"/>
          <w:szCs w:val="28"/>
          <w:highlight w:val="white"/>
        </w:rPr>
      </w:pPr>
    </w:p>
    <w:p w14:paraId="21903A97" w14:textId="77777777" w:rsidR="00F74BAF" w:rsidRDefault="00F74BAF">
      <w:pPr>
        <w:pBdr>
          <w:top w:val="nil"/>
          <w:left w:val="nil"/>
          <w:bottom w:val="nil"/>
          <w:right w:val="nil"/>
          <w:between w:val="nil"/>
        </w:pBdr>
        <w:ind w:firstLine="709"/>
        <w:jc w:val="both"/>
        <w:rPr>
          <w:color w:val="000000"/>
          <w:sz w:val="28"/>
          <w:szCs w:val="28"/>
          <w:highlight w:val="white"/>
        </w:rPr>
      </w:pPr>
    </w:p>
    <w:p w14:paraId="352476BE" w14:textId="77777777" w:rsidR="00F74BAF" w:rsidRDefault="00F74BAF">
      <w:pPr>
        <w:pBdr>
          <w:top w:val="nil"/>
          <w:left w:val="nil"/>
          <w:bottom w:val="nil"/>
          <w:right w:val="nil"/>
          <w:between w:val="nil"/>
        </w:pBdr>
        <w:ind w:firstLine="709"/>
        <w:jc w:val="both"/>
        <w:rPr>
          <w:color w:val="000000"/>
          <w:sz w:val="28"/>
          <w:szCs w:val="28"/>
          <w:highlight w:val="white"/>
        </w:rPr>
      </w:pPr>
    </w:p>
    <w:p w14:paraId="52EC203A" w14:textId="77777777" w:rsidR="00F74BAF" w:rsidRDefault="00F74BAF">
      <w:pPr>
        <w:pBdr>
          <w:top w:val="nil"/>
          <w:left w:val="nil"/>
          <w:bottom w:val="nil"/>
          <w:right w:val="nil"/>
          <w:between w:val="nil"/>
        </w:pBdr>
        <w:ind w:firstLine="709"/>
        <w:jc w:val="both"/>
        <w:rPr>
          <w:color w:val="000000"/>
          <w:sz w:val="28"/>
          <w:szCs w:val="28"/>
          <w:highlight w:val="white"/>
        </w:rPr>
      </w:pPr>
    </w:p>
    <w:p w14:paraId="479D3CAB" w14:textId="77777777" w:rsidR="00F74BAF" w:rsidRDefault="00F74BAF">
      <w:pPr>
        <w:pBdr>
          <w:top w:val="nil"/>
          <w:left w:val="nil"/>
          <w:bottom w:val="nil"/>
          <w:right w:val="nil"/>
          <w:between w:val="nil"/>
        </w:pBdr>
        <w:ind w:firstLine="709"/>
        <w:jc w:val="both"/>
        <w:rPr>
          <w:color w:val="000000"/>
          <w:sz w:val="28"/>
          <w:szCs w:val="28"/>
          <w:highlight w:val="white"/>
        </w:rPr>
      </w:pPr>
    </w:p>
    <w:p w14:paraId="762D3FAA" w14:textId="77777777" w:rsidR="00F74BAF" w:rsidRDefault="00F74BAF">
      <w:pPr>
        <w:pBdr>
          <w:top w:val="nil"/>
          <w:left w:val="nil"/>
          <w:bottom w:val="nil"/>
          <w:right w:val="nil"/>
          <w:between w:val="nil"/>
        </w:pBdr>
        <w:ind w:firstLine="709"/>
        <w:jc w:val="both"/>
        <w:rPr>
          <w:color w:val="000000"/>
          <w:sz w:val="28"/>
          <w:szCs w:val="28"/>
          <w:highlight w:val="white"/>
        </w:rPr>
      </w:pPr>
    </w:p>
    <w:p w14:paraId="40F04AE7" w14:textId="77777777" w:rsidR="00F74BAF" w:rsidRDefault="00F74BAF">
      <w:pPr>
        <w:pBdr>
          <w:top w:val="nil"/>
          <w:left w:val="nil"/>
          <w:bottom w:val="nil"/>
          <w:right w:val="nil"/>
          <w:between w:val="nil"/>
        </w:pBdr>
        <w:ind w:firstLine="709"/>
        <w:jc w:val="both"/>
        <w:rPr>
          <w:color w:val="000000"/>
          <w:sz w:val="28"/>
          <w:szCs w:val="28"/>
          <w:highlight w:val="white"/>
        </w:rPr>
      </w:pPr>
    </w:p>
    <w:p w14:paraId="5D765A5B" w14:textId="77777777" w:rsidR="00F74BAF" w:rsidRDefault="00F74BAF">
      <w:pPr>
        <w:pBdr>
          <w:top w:val="nil"/>
          <w:left w:val="nil"/>
          <w:bottom w:val="nil"/>
          <w:right w:val="nil"/>
          <w:between w:val="nil"/>
        </w:pBdr>
        <w:ind w:firstLine="709"/>
        <w:jc w:val="both"/>
        <w:rPr>
          <w:sz w:val="28"/>
          <w:szCs w:val="28"/>
          <w:highlight w:val="white"/>
        </w:rPr>
      </w:pPr>
    </w:p>
    <w:p w14:paraId="2075381E" w14:textId="77777777" w:rsidR="00F74BAF" w:rsidRDefault="00F74BAF">
      <w:pPr>
        <w:pBdr>
          <w:top w:val="nil"/>
          <w:left w:val="nil"/>
          <w:bottom w:val="nil"/>
          <w:right w:val="nil"/>
          <w:between w:val="nil"/>
        </w:pBdr>
        <w:rPr>
          <w:b/>
          <w:bCs/>
          <w:sz w:val="28"/>
          <w:szCs w:val="28"/>
        </w:rPr>
      </w:pPr>
    </w:p>
    <w:p w14:paraId="4BF68F52" w14:textId="77777777" w:rsidR="00F74BAF" w:rsidRDefault="00F74BAF">
      <w:pPr>
        <w:pBdr>
          <w:top w:val="nil"/>
          <w:left w:val="nil"/>
          <w:bottom w:val="nil"/>
          <w:right w:val="nil"/>
          <w:between w:val="nil"/>
        </w:pBdr>
        <w:rPr>
          <w:b/>
          <w:bCs/>
          <w:sz w:val="28"/>
          <w:szCs w:val="28"/>
        </w:rPr>
      </w:pPr>
    </w:p>
    <w:p w14:paraId="4CE50E03" w14:textId="77777777" w:rsidR="00F74BAF" w:rsidRDefault="00F74BAF">
      <w:pPr>
        <w:pBdr>
          <w:top w:val="nil"/>
          <w:left w:val="nil"/>
          <w:bottom w:val="nil"/>
          <w:right w:val="nil"/>
          <w:between w:val="nil"/>
        </w:pBdr>
        <w:rPr>
          <w:b/>
          <w:bCs/>
          <w:sz w:val="28"/>
          <w:szCs w:val="28"/>
        </w:rPr>
      </w:pPr>
    </w:p>
    <w:p w14:paraId="0A575F09" w14:textId="77777777" w:rsidR="00F74BAF" w:rsidRDefault="00F74BAF">
      <w:pPr>
        <w:pBdr>
          <w:top w:val="nil"/>
          <w:left w:val="nil"/>
          <w:bottom w:val="nil"/>
          <w:right w:val="nil"/>
          <w:between w:val="nil"/>
        </w:pBdr>
        <w:rPr>
          <w:b/>
          <w:bCs/>
          <w:sz w:val="28"/>
          <w:szCs w:val="28"/>
        </w:rPr>
      </w:pPr>
    </w:p>
    <w:p w14:paraId="54E59CDB" w14:textId="77777777" w:rsidR="00F74BAF" w:rsidRDefault="00F74BAF">
      <w:pPr>
        <w:pBdr>
          <w:top w:val="nil"/>
          <w:left w:val="nil"/>
          <w:bottom w:val="nil"/>
          <w:right w:val="nil"/>
          <w:between w:val="nil"/>
        </w:pBdr>
        <w:rPr>
          <w:b/>
          <w:bCs/>
          <w:sz w:val="28"/>
          <w:szCs w:val="28"/>
        </w:rPr>
      </w:pPr>
    </w:p>
    <w:p w14:paraId="07BF6D6E" w14:textId="77777777" w:rsidR="00F74BAF" w:rsidRDefault="00F74BAF">
      <w:pPr>
        <w:pBdr>
          <w:top w:val="nil"/>
          <w:left w:val="nil"/>
          <w:bottom w:val="nil"/>
          <w:right w:val="nil"/>
          <w:between w:val="nil"/>
        </w:pBdr>
        <w:rPr>
          <w:b/>
          <w:bCs/>
          <w:sz w:val="28"/>
          <w:szCs w:val="28"/>
        </w:rPr>
      </w:pPr>
    </w:p>
    <w:p w14:paraId="55D5CFB4" w14:textId="77777777" w:rsidR="00F74BAF" w:rsidRDefault="00F74BAF">
      <w:pPr>
        <w:pBdr>
          <w:top w:val="nil"/>
          <w:left w:val="nil"/>
          <w:bottom w:val="nil"/>
          <w:right w:val="nil"/>
          <w:between w:val="nil"/>
        </w:pBdr>
        <w:jc w:val="center"/>
        <w:rPr>
          <w:b/>
          <w:bCs/>
          <w:sz w:val="28"/>
          <w:szCs w:val="28"/>
        </w:rPr>
      </w:pPr>
    </w:p>
    <w:p w14:paraId="068E15D2" w14:textId="77777777" w:rsidR="00F74BAF" w:rsidRDefault="00737583">
      <w:pPr>
        <w:pBdr>
          <w:top w:val="nil"/>
          <w:left w:val="nil"/>
          <w:bottom w:val="nil"/>
          <w:right w:val="nil"/>
          <w:between w:val="nil"/>
        </w:pBdr>
        <w:jc w:val="center"/>
        <w:rPr>
          <w:b/>
          <w:bCs/>
          <w:sz w:val="28"/>
          <w:szCs w:val="28"/>
          <w:highlight w:val="white"/>
        </w:rPr>
      </w:pPr>
      <w:r>
        <w:rPr>
          <w:b/>
          <w:bCs/>
          <w:sz w:val="28"/>
          <w:szCs w:val="28"/>
        </w:rPr>
        <w:t>LIST OF SOURCES USED</w:t>
      </w:r>
    </w:p>
    <w:p w14:paraId="13E7BC35" w14:textId="77777777" w:rsidR="00F74BAF" w:rsidRDefault="00F74BAF">
      <w:pPr>
        <w:pBdr>
          <w:top w:val="nil"/>
          <w:left w:val="nil"/>
          <w:bottom w:val="nil"/>
          <w:right w:val="nil"/>
          <w:between w:val="nil"/>
        </w:pBdr>
        <w:ind w:firstLine="709"/>
        <w:jc w:val="center"/>
        <w:rPr>
          <w:sz w:val="28"/>
          <w:szCs w:val="28"/>
          <w:highlight w:val="white"/>
        </w:rPr>
      </w:pPr>
    </w:p>
    <w:p w14:paraId="3C2C0975" w14:textId="77777777" w:rsidR="00F74BAF" w:rsidRDefault="00737583">
      <w:pPr>
        <w:pBdr>
          <w:top w:val="nil"/>
          <w:left w:val="nil"/>
          <w:bottom w:val="nil"/>
          <w:right w:val="nil"/>
          <w:between w:val="nil"/>
        </w:pBdr>
        <w:ind w:firstLine="709"/>
        <w:jc w:val="both"/>
        <w:rPr>
          <w:sz w:val="28"/>
          <w:szCs w:val="28"/>
          <w:highlight w:val="white"/>
        </w:rPr>
      </w:pPr>
      <w:r>
        <w:rPr>
          <w:sz w:val="28"/>
          <w:szCs w:val="28"/>
          <w:highlight w:val="white"/>
        </w:rPr>
        <w:t xml:space="preserve">1. Ogden C.K., Richards I.A. The Meaning of Meaning. – London: Routledge &amp; Kegan Paul, 1923. – </w:t>
      </w:r>
      <w:r>
        <w:rPr>
          <w:sz w:val="28"/>
          <w:szCs w:val="28"/>
          <w:highlight w:val="white"/>
        </w:rPr>
        <w:t>544 p.</w:t>
      </w:r>
    </w:p>
    <w:p w14:paraId="00739CEF" w14:textId="77777777" w:rsidR="00F74BAF" w:rsidRDefault="00737583">
      <w:pPr>
        <w:shd w:val="clear" w:color="auto" w:fill="FFFFFF"/>
        <w:spacing w:line="276" w:lineRule="auto"/>
        <w:ind w:firstLine="700"/>
        <w:jc w:val="both"/>
        <w:rPr>
          <w:sz w:val="28"/>
          <w:szCs w:val="28"/>
          <w:highlight w:val="white"/>
        </w:rPr>
      </w:pPr>
      <w:bookmarkStart w:id="4" w:name="_heading=h.4y6ctrc44q8p" w:colFirst="0" w:colLast="0"/>
      <w:bookmarkEnd w:id="4"/>
      <w:r>
        <w:rPr>
          <w:sz w:val="28"/>
          <w:szCs w:val="28"/>
          <w:highlight w:val="white"/>
        </w:rPr>
        <w:t>2. Leech G. Semantics: the study of meaning. – Ed. 2nd. – Harmondsworth: Penguin, 1985. – 383 p.</w:t>
      </w:r>
    </w:p>
    <w:p w14:paraId="6E581E9D"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3. Palmer F.R. Semantics. – NY., 1981. – 221 p.</w:t>
      </w:r>
    </w:p>
    <w:p w14:paraId="459B6A2B" w14:textId="77777777" w:rsidR="00F74BAF" w:rsidRDefault="00737583">
      <w:pPr>
        <w:shd w:val="clear" w:color="auto" w:fill="FFFFFF"/>
        <w:spacing w:line="276" w:lineRule="auto"/>
        <w:ind w:firstLine="700"/>
        <w:jc w:val="both"/>
        <w:rPr>
          <w:sz w:val="28"/>
          <w:szCs w:val="28"/>
          <w:highlight w:val="white"/>
        </w:rPr>
      </w:pPr>
      <w:r>
        <w:rPr>
          <w:rFonts w:ascii="Gungsuh" w:eastAsia="Gungsuh" w:hAnsi="Gungsuh" w:cs="Gungsuh"/>
          <w:sz w:val="28"/>
          <w:szCs w:val="28"/>
          <w:highlight w:val="white"/>
        </w:rPr>
        <w:t xml:space="preserve">4. </w:t>
      </w:r>
      <w:r>
        <w:rPr>
          <w:rFonts w:ascii="Gungsuh" w:eastAsia="Gungsuh" w:hAnsi="Gungsuh" w:cs="Gungsuh"/>
          <w:sz w:val="28"/>
          <w:szCs w:val="28"/>
          <w:highlight w:val="white"/>
        </w:rPr>
        <w:t>涂</w:t>
      </w:r>
      <w:r>
        <w:rPr>
          <w:rFonts w:ascii="SimSun" w:eastAsia="SimSun" w:hAnsi="SimSun" w:cs="SimSun"/>
          <w:sz w:val="28"/>
          <w:szCs w:val="28"/>
          <w:highlight w:val="white"/>
        </w:rPr>
        <w:t>纪</w:t>
      </w:r>
      <w:r>
        <w:rPr>
          <w:rFonts w:ascii="Gungsuh" w:eastAsia="Gungsuh" w:hAnsi="Gungsuh" w:cs="Gungsuh"/>
          <w:sz w:val="28"/>
          <w:szCs w:val="28"/>
          <w:highlight w:val="white"/>
        </w:rPr>
        <w:t>亮</w:t>
      </w:r>
      <w:r>
        <w:rPr>
          <w:rFonts w:ascii="Gungsuh" w:eastAsia="Gungsuh" w:hAnsi="Gungsuh" w:cs="Gungsuh"/>
          <w:sz w:val="28"/>
          <w:szCs w:val="28"/>
          <w:highlight w:val="white"/>
        </w:rPr>
        <w:t xml:space="preserve">. </w:t>
      </w:r>
      <w:r>
        <w:rPr>
          <w:rFonts w:ascii="Gungsuh" w:eastAsia="Gungsuh" w:hAnsi="Gungsuh" w:cs="Gungsuh"/>
          <w:sz w:val="28"/>
          <w:szCs w:val="28"/>
          <w:highlight w:val="white"/>
        </w:rPr>
        <w:t>英美</w:t>
      </w:r>
      <w:r>
        <w:rPr>
          <w:rFonts w:ascii="SimSun" w:eastAsia="SimSun" w:hAnsi="SimSun" w:cs="SimSun"/>
          <w:sz w:val="28"/>
          <w:szCs w:val="28"/>
          <w:highlight w:val="white"/>
        </w:rPr>
        <w:t>语</w:t>
      </w:r>
      <w:r>
        <w:rPr>
          <w:rFonts w:ascii="Gungsuh" w:eastAsia="Gungsuh" w:hAnsi="Gungsuh" w:cs="Gungsuh"/>
          <w:sz w:val="28"/>
          <w:szCs w:val="28"/>
          <w:highlight w:val="white"/>
        </w:rPr>
        <w:t>言哲</w:t>
      </w:r>
      <w:r>
        <w:rPr>
          <w:rFonts w:ascii="MS Mincho" w:eastAsia="MS Mincho" w:hAnsi="MS Mincho" w:cs="MS Mincho"/>
          <w:sz w:val="28"/>
          <w:szCs w:val="28"/>
          <w:highlight w:val="white"/>
        </w:rPr>
        <w:t>学概</w:t>
      </w:r>
      <w:r>
        <w:rPr>
          <w:rFonts w:ascii="SimSun" w:eastAsia="SimSun" w:hAnsi="SimSun" w:cs="SimSun"/>
          <w:sz w:val="28"/>
          <w:szCs w:val="28"/>
          <w:highlight w:val="white"/>
        </w:rPr>
        <w:t>论</w:t>
      </w:r>
      <w:r>
        <w:rPr>
          <w:sz w:val="28"/>
          <w:szCs w:val="28"/>
          <w:highlight w:val="white"/>
        </w:rPr>
        <w:t xml:space="preserve"> (Tu J. Introduction to Anglo-American Philosophy of Language. – Beijing: People's Press, 1988. – 348 р.).</w:t>
      </w:r>
    </w:p>
    <w:p w14:paraId="7644BFAC"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5. Hu Z. A Course in Linguistics. – Ed. 3rd. – Beijing: Higher Education Press, 2001. – 275 p.</w:t>
      </w:r>
    </w:p>
    <w:p w14:paraId="467A1156"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6. Geeraerts D. Theories of Lexical Semantics. – Oxfor</w:t>
      </w:r>
      <w:r>
        <w:rPr>
          <w:sz w:val="28"/>
          <w:szCs w:val="28"/>
          <w:highlight w:val="white"/>
        </w:rPr>
        <w:t>d: Oxford University Press. 2010. – 384 p.</w:t>
      </w:r>
    </w:p>
    <w:p w14:paraId="53F7E0CA" w14:textId="77777777" w:rsidR="00F74BAF" w:rsidRDefault="00737583">
      <w:pPr>
        <w:shd w:val="clear" w:color="auto" w:fill="FFFFFF"/>
        <w:spacing w:line="276" w:lineRule="auto"/>
        <w:ind w:firstLine="700"/>
        <w:jc w:val="both"/>
        <w:rPr>
          <w:sz w:val="28"/>
          <w:szCs w:val="28"/>
          <w:highlight w:val="white"/>
        </w:rPr>
      </w:pPr>
      <w:r>
        <w:rPr>
          <w:rFonts w:ascii="Gungsuh" w:eastAsia="Gungsuh" w:hAnsi="Gungsuh" w:cs="Gungsuh"/>
          <w:sz w:val="28"/>
          <w:szCs w:val="28"/>
          <w:highlight w:val="white"/>
        </w:rPr>
        <w:t xml:space="preserve">7. </w:t>
      </w:r>
      <w:r>
        <w:rPr>
          <w:rFonts w:ascii="Gungsuh" w:eastAsia="Gungsuh" w:hAnsi="Gungsuh" w:cs="Gungsuh"/>
          <w:sz w:val="28"/>
          <w:szCs w:val="28"/>
          <w:highlight w:val="white"/>
        </w:rPr>
        <w:t>王力</w:t>
      </w:r>
      <w:r>
        <w:rPr>
          <w:rFonts w:ascii="Gungsuh" w:eastAsia="Gungsuh" w:hAnsi="Gungsuh" w:cs="Gungsuh"/>
          <w:sz w:val="28"/>
          <w:szCs w:val="28"/>
          <w:highlight w:val="white"/>
        </w:rPr>
        <w:t xml:space="preserve">. </w:t>
      </w:r>
      <w:r>
        <w:rPr>
          <w:rFonts w:ascii="SimSun" w:eastAsia="SimSun" w:hAnsi="SimSun" w:cs="SimSun"/>
          <w:sz w:val="28"/>
          <w:szCs w:val="28"/>
          <w:highlight w:val="white"/>
        </w:rPr>
        <w:t>汉语</w:t>
      </w:r>
      <w:r>
        <w:rPr>
          <w:rFonts w:ascii="Gungsuh" w:eastAsia="Gungsuh" w:hAnsi="Gungsuh" w:cs="Gungsuh"/>
          <w:sz w:val="28"/>
          <w:szCs w:val="28"/>
          <w:highlight w:val="white"/>
        </w:rPr>
        <w:t>史稿</w:t>
      </w:r>
      <w:r>
        <w:rPr>
          <w:sz w:val="28"/>
          <w:szCs w:val="28"/>
          <w:highlight w:val="white"/>
        </w:rPr>
        <w:t xml:space="preserve"> (Wang L. A Draft History of the Chinese Language. – Beijing: Commercial Press, 1980).</w:t>
      </w:r>
    </w:p>
    <w:p w14:paraId="67778956" w14:textId="77777777" w:rsidR="00F74BAF" w:rsidRDefault="00737583">
      <w:pPr>
        <w:shd w:val="clear" w:color="auto" w:fill="FFFFFF"/>
        <w:spacing w:line="276" w:lineRule="auto"/>
        <w:ind w:firstLine="700"/>
        <w:jc w:val="both"/>
        <w:rPr>
          <w:sz w:val="28"/>
          <w:szCs w:val="28"/>
          <w:highlight w:val="white"/>
        </w:rPr>
      </w:pPr>
      <w:r>
        <w:rPr>
          <w:rFonts w:ascii="Gungsuh" w:eastAsia="Gungsuh" w:hAnsi="Gungsuh" w:cs="Gungsuh"/>
          <w:sz w:val="28"/>
          <w:szCs w:val="28"/>
          <w:highlight w:val="white"/>
        </w:rPr>
        <w:t xml:space="preserve">8. </w:t>
      </w:r>
      <w:r>
        <w:rPr>
          <w:rFonts w:ascii="Gungsuh" w:eastAsia="Gungsuh" w:hAnsi="Gungsuh" w:cs="Gungsuh"/>
          <w:sz w:val="28"/>
          <w:szCs w:val="28"/>
          <w:highlight w:val="white"/>
        </w:rPr>
        <w:t>徐志民</w:t>
      </w:r>
      <w:r>
        <w:rPr>
          <w:rFonts w:ascii="Gungsuh" w:eastAsia="Gungsuh" w:hAnsi="Gungsuh" w:cs="Gungsuh"/>
          <w:sz w:val="28"/>
          <w:szCs w:val="28"/>
          <w:highlight w:val="white"/>
        </w:rPr>
        <w:t xml:space="preserve">. </w:t>
      </w:r>
      <w:r>
        <w:rPr>
          <w:rFonts w:ascii="MS Mincho" w:eastAsia="MS Mincho" w:hAnsi="MS Mincho" w:cs="MS Mincho"/>
          <w:sz w:val="28"/>
          <w:szCs w:val="28"/>
          <w:highlight w:val="white"/>
        </w:rPr>
        <w:t>欧</w:t>
      </w:r>
      <w:r>
        <w:rPr>
          <w:rFonts w:ascii="Gungsuh" w:eastAsia="Gungsuh" w:hAnsi="Gungsuh" w:cs="Gungsuh"/>
          <w:sz w:val="28"/>
          <w:szCs w:val="28"/>
          <w:highlight w:val="white"/>
        </w:rPr>
        <w:t>美</w:t>
      </w:r>
      <w:r>
        <w:rPr>
          <w:rFonts w:ascii="SimSun" w:eastAsia="SimSun" w:hAnsi="SimSun" w:cs="SimSun"/>
          <w:sz w:val="28"/>
          <w:szCs w:val="28"/>
          <w:highlight w:val="white"/>
        </w:rPr>
        <w:t>语义学导论</w:t>
      </w:r>
      <w:r>
        <w:rPr>
          <w:sz w:val="28"/>
          <w:szCs w:val="28"/>
          <w:highlight w:val="white"/>
        </w:rPr>
        <w:t xml:space="preserve"> (Xu Zh. Introduction to Western Semantics. – Shanghai: Fudan University Press, 2008. – 250 р.). </w:t>
      </w:r>
    </w:p>
    <w:p w14:paraId="6FDC8DEB"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9.</w:t>
      </w:r>
      <w:r>
        <w:rPr>
          <w:sz w:val="28"/>
          <w:szCs w:val="28"/>
          <w:highlight w:val="white"/>
        </w:rPr>
        <w:t xml:space="preserve"> Ullmann S. The Principles of Semantics. – Oxford: Blackwell, 1957. – 346 p.</w:t>
      </w:r>
    </w:p>
    <w:p w14:paraId="7B3D5CDD"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10. Saussure F.D. Course in general linguistics. – NY.: Philosophical Library, 1959. – 240 p.</w:t>
      </w:r>
    </w:p>
    <w:p w14:paraId="7C208B15"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11. Lyons J. Semantics. – Cambridge, 1977. – Vol. 1. – 897 p.</w:t>
      </w:r>
    </w:p>
    <w:p w14:paraId="0784AE20"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 xml:space="preserve">12. Pdrtine H. Thought </w:t>
      </w:r>
      <w:r>
        <w:rPr>
          <w:sz w:val="28"/>
          <w:szCs w:val="28"/>
          <w:highlight w:val="white"/>
        </w:rPr>
        <w:t>or Reference: À promos d'un prétendu triangle sémiotique // Sémantique. – 1988. – Issue 15. – P. 19-32.</w:t>
      </w:r>
    </w:p>
    <w:p w14:paraId="0818C118"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13. Eugene A.N. Componential analysis of meaning: an introduction to semantic structures. – The Hague: Mouton, 1975. – 272 p.</w:t>
      </w:r>
    </w:p>
    <w:p w14:paraId="38B4636D"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14. Germain C. La Sémantiq</w:t>
      </w:r>
      <w:r>
        <w:rPr>
          <w:sz w:val="28"/>
          <w:szCs w:val="28"/>
          <w:highlight w:val="white"/>
        </w:rPr>
        <w:t>ue Fonctionnelle. – Paris, 1981. – 222 p.</w:t>
      </w:r>
    </w:p>
    <w:p w14:paraId="7B571ECA"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15. Ullmann S. Semantics: An introduction to the science of meaning. – Oxford: Blackwell, 1972. – 278 p.</w:t>
      </w:r>
    </w:p>
    <w:p w14:paraId="5845358D"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16. Hjelmslev L. Pour une sémantique structurale // In book: Essais linguistiques. – Paris: Le Seuil, 1971. –</w:t>
      </w:r>
      <w:r>
        <w:rPr>
          <w:sz w:val="28"/>
          <w:szCs w:val="28"/>
          <w:highlight w:val="white"/>
        </w:rPr>
        <w:t xml:space="preserve"> 279 s.</w:t>
      </w:r>
    </w:p>
    <w:p w14:paraId="722439F6"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17. Mounin G. Clefs pour la sémantique. – Paris: Seghers, 1972. – 268 s.</w:t>
      </w:r>
    </w:p>
    <w:p w14:paraId="72D0871A"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18. Hoberg R. Die Lehre vom sprachlichen Feld. – Düsseldorf: Schwann, 1970. – 200 s.</w:t>
      </w:r>
    </w:p>
    <w:p w14:paraId="44DBF0A6"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19. Matoré G. La méthode en lexicologie: domaine français. – Paris: Didier, 1953. – 136 p.</w:t>
      </w:r>
    </w:p>
    <w:p w14:paraId="44ABE20D"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20. Baylon Ch., Fabre P. Grammaire systématique de la langue française. – Paris, 1978. – 287 р.</w:t>
      </w:r>
    </w:p>
    <w:p w14:paraId="110BED15"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21. Cruse D.A. Lexical Semantics. – Cambridge, 1986. – 310 p.</w:t>
      </w:r>
    </w:p>
    <w:p w14:paraId="119308BC"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22. Bloomfield L. Language. – NY.: Holt, 1933. – 584 p.</w:t>
      </w:r>
    </w:p>
    <w:p w14:paraId="50C2E06C"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 xml:space="preserve">23. Leech G.N. Semantics. - </w:t>
      </w:r>
      <w:r>
        <w:rPr>
          <w:sz w:val="28"/>
          <w:szCs w:val="28"/>
          <w:highlight w:val="white"/>
        </w:rPr>
        <w:t>Harmondsworth: Penguin, 1974. – 402 p.</w:t>
      </w:r>
    </w:p>
    <w:p w14:paraId="5F287E0D"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24. Doerfer G. Türkische und Mongolische Elemente im Neupersischen: Türkische Elemente im Neupersischen (Schluss) und Register zur Gesamtarbeit. – Wiesbaden: F. Steiner, 1963. – 639 p.</w:t>
      </w:r>
    </w:p>
    <w:p w14:paraId="2F78AB5D" w14:textId="77777777" w:rsidR="00F74BAF" w:rsidRPr="00F76770" w:rsidRDefault="00737583">
      <w:pPr>
        <w:shd w:val="clear" w:color="auto" w:fill="FFFFFF"/>
        <w:spacing w:line="276" w:lineRule="auto"/>
        <w:ind w:firstLine="700"/>
        <w:jc w:val="both"/>
        <w:rPr>
          <w:sz w:val="28"/>
          <w:szCs w:val="28"/>
          <w:highlight w:val="white"/>
          <w:lang w:val="ru-RU"/>
        </w:rPr>
      </w:pPr>
      <w:r w:rsidRPr="00F76770">
        <w:rPr>
          <w:sz w:val="28"/>
          <w:szCs w:val="28"/>
          <w:highlight w:val="white"/>
          <w:lang w:val="ru-RU"/>
        </w:rPr>
        <w:t>25. Севортян Э.В. Этимологически</w:t>
      </w:r>
      <w:r w:rsidRPr="00F76770">
        <w:rPr>
          <w:sz w:val="28"/>
          <w:szCs w:val="28"/>
          <w:highlight w:val="white"/>
          <w:lang w:val="ru-RU"/>
        </w:rPr>
        <w:t>й словарь тюркских языков. – М., 1974. – 768 с.</w:t>
      </w:r>
    </w:p>
    <w:p w14:paraId="4352E52D"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26. Clauson G. An Etymological Dictionary of Pre-Thirteenth-Century Turkish. – Oxford: Clarendon Press, 1972. – 988 р.</w:t>
      </w:r>
    </w:p>
    <w:p w14:paraId="5E2ED9BF"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27. Kashgari M. Compendium of the Turkic Dialects. – Cambridge, 1982. – Part 1. – 416 р.</w:t>
      </w:r>
    </w:p>
    <w:p w14:paraId="46644B87"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28. Ivanics M. The book of the Činggis legend: A critical edition of a seventeenth-century Volga-Turki Source. – Leiden: Brill, 2023. – 395 p.</w:t>
      </w:r>
    </w:p>
    <w:p w14:paraId="10B25D67"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29. Қазақ әдеби тілінің сөздігі: 15 т. / ред. А. Ысқақов, Н. Уәли. – Алматы: Арыс, 2011. – Т. 1. – 748 б.</w:t>
      </w:r>
    </w:p>
    <w:p w14:paraId="25B5E65A"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30. Kas</w:t>
      </w:r>
      <w:r>
        <w:rPr>
          <w:sz w:val="28"/>
          <w:szCs w:val="28"/>
          <w:highlight w:val="white"/>
        </w:rPr>
        <w:t>hgari M. Compendium of the Turkic Dialects. – NY.: Harvard University Printing Office, 1982. – Part 2. – 431 р.</w:t>
      </w:r>
    </w:p>
    <w:p w14:paraId="4E52CB6F" w14:textId="77777777" w:rsidR="00F74BAF" w:rsidRDefault="00737583">
      <w:pPr>
        <w:shd w:val="clear" w:color="auto" w:fill="FFFFFF"/>
        <w:spacing w:line="276" w:lineRule="auto"/>
        <w:ind w:firstLine="700"/>
        <w:jc w:val="both"/>
        <w:rPr>
          <w:sz w:val="28"/>
          <w:szCs w:val="28"/>
          <w:highlight w:val="white"/>
        </w:rPr>
      </w:pPr>
      <w:r>
        <w:rPr>
          <w:rFonts w:ascii="Gungsuh" w:eastAsia="Gungsuh" w:hAnsi="Gungsuh" w:cs="Gungsuh"/>
          <w:sz w:val="28"/>
          <w:szCs w:val="28"/>
          <w:highlight w:val="white"/>
        </w:rPr>
        <w:t xml:space="preserve">31. </w:t>
      </w:r>
      <w:r>
        <w:rPr>
          <w:rFonts w:ascii="Gungsuh" w:eastAsia="Gungsuh" w:hAnsi="Gungsuh" w:cs="Gungsuh"/>
          <w:sz w:val="28"/>
          <w:szCs w:val="28"/>
          <w:highlight w:val="white"/>
        </w:rPr>
        <w:t>耿世民</w:t>
      </w:r>
      <w:r>
        <w:rPr>
          <w:rFonts w:ascii="Gungsuh" w:eastAsia="Gungsuh" w:hAnsi="Gungsuh" w:cs="Gungsuh"/>
          <w:sz w:val="28"/>
          <w:szCs w:val="28"/>
          <w:highlight w:val="white"/>
        </w:rPr>
        <w:t>.</w:t>
      </w:r>
      <w:r>
        <w:rPr>
          <w:rFonts w:ascii="Gungsuh" w:eastAsia="Gungsuh" w:hAnsi="Gungsuh" w:cs="Gungsuh"/>
          <w:sz w:val="28"/>
          <w:szCs w:val="28"/>
          <w:highlight w:val="white"/>
        </w:rPr>
        <w:t>古代突厥碑</w:t>
      </w:r>
      <w:r>
        <w:rPr>
          <w:rFonts w:ascii="SimSun" w:eastAsia="SimSun" w:hAnsi="SimSun" w:cs="SimSun"/>
          <w:sz w:val="28"/>
          <w:szCs w:val="28"/>
          <w:highlight w:val="white"/>
        </w:rPr>
        <w:t>铭研</w:t>
      </w:r>
      <w:r>
        <w:rPr>
          <w:rFonts w:ascii="Gungsuh" w:eastAsia="Gungsuh" w:hAnsi="Gungsuh" w:cs="Gungsuh"/>
          <w:sz w:val="28"/>
          <w:szCs w:val="28"/>
          <w:highlight w:val="white"/>
        </w:rPr>
        <w:t>究</w:t>
      </w:r>
      <w:r>
        <w:rPr>
          <w:sz w:val="28"/>
          <w:szCs w:val="28"/>
          <w:highlight w:val="white"/>
        </w:rPr>
        <w:t xml:space="preserve"> (Geng Shimin. A Study of Old Turkic Inscriptions. – Beijing: China Minzu University Press, 2005. – P. 121-122).</w:t>
      </w:r>
    </w:p>
    <w:p w14:paraId="595338C4"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32. Қазақ әдеби</w:t>
      </w:r>
      <w:r>
        <w:rPr>
          <w:sz w:val="28"/>
          <w:szCs w:val="28"/>
          <w:highlight w:val="white"/>
        </w:rPr>
        <w:t xml:space="preserve"> тілінің сөздігі: 15 т. / ред. А. Ысқақов, Н. Уәли. – Алматы: Арыс, 2011. – Т. 15. – 828 б.</w:t>
      </w:r>
    </w:p>
    <w:p w14:paraId="68B59011"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33. Doerfer</w:t>
      </w:r>
      <w:r>
        <w:rPr>
          <w:i/>
          <w:iCs/>
          <w:sz w:val="28"/>
          <w:szCs w:val="28"/>
          <w:highlight w:val="white"/>
        </w:rPr>
        <w:t xml:space="preserve"> </w:t>
      </w:r>
      <w:r>
        <w:rPr>
          <w:sz w:val="28"/>
          <w:szCs w:val="28"/>
          <w:highlight w:val="white"/>
        </w:rPr>
        <w:t>G. Türkische und Mongolische Elemente Im Neupersischen. – Wiesbaden: F. Steiner, 1965. – 677 s.</w:t>
      </w:r>
    </w:p>
    <w:p w14:paraId="1864C65A" w14:textId="77777777" w:rsidR="00F74BAF" w:rsidRPr="00F76770" w:rsidRDefault="00737583">
      <w:pPr>
        <w:shd w:val="clear" w:color="auto" w:fill="FFFFFF"/>
        <w:spacing w:line="276" w:lineRule="auto"/>
        <w:ind w:firstLine="700"/>
        <w:jc w:val="both"/>
        <w:rPr>
          <w:sz w:val="28"/>
          <w:szCs w:val="28"/>
          <w:highlight w:val="white"/>
          <w:lang w:val="ru-RU"/>
        </w:rPr>
      </w:pPr>
      <w:r w:rsidRPr="00F76770">
        <w:rPr>
          <w:sz w:val="28"/>
          <w:szCs w:val="28"/>
          <w:highlight w:val="white"/>
          <w:lang w:val="ru-RU"/>
        </w:rPr>
        <w:t>34. Севортян Э.В. Этимологический словарь тюркских языко</w:t>
      </w:r>
      <w:r w:rsidRPr="00F76770">
        <w:rPr>
          <w:sz w:val="28"/>
          <w:szCs w:val="28"/>
          <w:highlight w:val="white"/>
          <w:lang w:val="ru-RU"/>
        </w:rPr>
        <w:t>в. Общетюркские и межтюркские основы на букву "Б". – М., 1978. – 350 с.</w:t>
      </w:r>
    </w:p>
    <w:p w14:paraId="6D1A2CEE" w14:textId="77777777" w:rsidR="00F74BAF" w:rsidRPr="00F76770" w:rsidRDefault="00737583">
      <w:pPr>
        <w:shd w:val="clear" w:color="auto" w:fill="FFFFFF"/>
        <w:spacing w:line="276" w:lineRule="auto"/>
        <w:ind w:firstLine="700"/>
        <w:jc w:val="both"/>
        <w:rPr>
          <w:sz w:val="28"/>
          <w:szCs w:val="28"/>
          <w:highlight w:val="white"/>
          <w:lang w:val="ru-RU"/>
        </w:rPr>
      </w:pPr>
      <w:r w:rsidRPr="00F76770">
        <w:rPr>
          <w:sz w:val="28"/>
          <w:szCs w:val="28"/>
          <w:highlight w:val="white"/>
          <w:lang w:val="ru-RU"/>
        </w:rPr>
        <w:t>35. Қазақ әдеби тілінің сөздігі: 15 т. / ред. А. Ысқақов, Н. Уәли. – Алматы: Арыс, 2011. – Т. 6. – 752 б.</w:t>
      </w:r>
    </w:p>
    <w:p w14:paraId="203A962E"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36. Taşbaş E. The Turkic Kinship System // Acta Orientalia Academiae Scientiar</w:t>
      </w:r>
      <w:r>
        <w:rPr>
          <w:sz w:val="28"/>
          <w:szCs w:val="28"/>
          <w:highlight w:val="white"/>
        </w:rPr>
        <w:t>um Hungaricae. – 2019. – Vol. 72. – P. 245-258.</w:t>
      </w:r>
    </w:p>
    <w:p w14:paraId="02A035F6"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37. Lewis G. Turkish Grammar // Oxford: Clarendon Press. – 1967. – P. 162.</w:t>
      </w:r>
    </w:p>
    <w:p w14:paraId="5742CA46"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 xml:space="preserve">38. Cleaves F.W. Addendum to 'Bökesün ~ Bökegül' // UAJb. – 1967. – №39. – Р. 49-52. </w:t>
      </w:r>
    </w:p>
    <w:p w14:paraId="3856CA35"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39. Pelliot P. Jades archaïques de Chine appart</w:t>
      </w:r>
      <w:r>
        <w:rPr>
          <w:sz w:val="28"/>
          <w:szCs w:val="28"/>
          <w:highlight w:val="white"/>
        </w:rPr>
        <w:t>enant à M.C.T. Loo. – NY., 1925. – 120 p.</w:t>
      </w:r>
    </w:p>
    <w:p w14:paraId="74981783"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40. Vásáry I. The Jochid realm: the western steppe and Eastern Europe // In book: The Cambridge History of Inner Asia. – Cambridge, 2009. – Vol. 2009. – P. 67-85.</w:t>
      </w:r>
    </w:p>
    <w:p w14:paraId="09CAE8A4"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41. Özyetgin A.M. Altın Ordu, Kırım ve Kazan sahası</w:t>
      </w:r>
      <w:r>
        <w:rPr>
          <w:sz w:val="28"/>
          <w:szCs w:val="28"/>
          <w:highlight w:val="white"/>
        </w:rPr>
        <w:t>na ait yarlık ve bitiklerin dil ve üslûp incelemesi: inceleme, metin, tercüme, notlar, dizin, tıpkıbasım. – Ankara, 1996. – 297 p.</w:t>
      </w:r>
    </w:p>
    <w:p w14:paraId="484B8C5B"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42. Kashgari M. Compendium of the Turkic Dialects. – Cambridge, 1982. – Part 3. – 416 р.</w:t>
      </w:r>
    </w:p>
    <w:p w14:paraId="1554626B"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 xml:space="preserve">43. Қазақ әдеби тілінің сөздігі: 15 </w:t>
      </w:r>
      <w:r>
        <w:rPr>
          <w:sz w:val="28"/>
          <w:szCs w:val="28"/>
          <w:highlight w:val="white"/>
        </w:rPr>
        <w:t>т. / ред. А. Ысқақов, Н. Уәли. – Алматы: Арыс, 2011. – Т. 7. – 750 б.</w:t>
      </w:r>
    </w:p>
    <w:p w14:paraId="615050CD"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44. Ötämiš Ḥājī. Čingiz-nama / ed.; transl. by T. Kawaguchi, H. Nagamine. Tokyo, 2008. – 100 р.</w:t>
      </w:r>
    </w:p>
    <w:p w14:paraId="6138AF93"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45. Қазақ әдеби тілінің сөздігі: 15 т. / ред. А. Ысқақов, Н. Уәли. – Алматы: Арыс, 2011. –</w:t>
      </w:r>
      <w:r>
        <w:rPr>
          <w:sz w:val="28"/>
          <w:szCs w:val="28"/>
          <w:highlight w:val="white"/>
        </w:rPr>
        <w:t xml:space="preserve"> Т. 14. – 800 б.</w:t>
      </w:r>
    </w:p>
    <w:p w14:paraId="56B471D8"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46. Lane E.W. An Arabic English Lexicon. – Beirut, 1968. – Part 7. – 277 p.</w:t>
      </w:r>
    </w:p>
    <w:p w14:paraId="63804455"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 xml:space="preserve">47. Karahan K.N. Türkistan Hanlıkları Yarlıklarında Geçen Vergi Adları // Türük Uluslararası Dil. – 2020. – Sil. 21. – S. 212-244. </w:t>
      </w:r>
    </w:p>
    <w:p w14:paraId="4ACA5B0D"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48. Vasary I. Susun and Süsün i</w:t>
      </w:r>
      <w:r>
        <w:rPr>
          <w:sz w:val="28"/>
          <w:szCs w:val="28"/>
          <w:highlight w:val="white"/>
        </w:rPr>
        <w:t>n Middle Turkic texts // Acta Orientalia Hungarica. – 1977. – Sil. 31. – S. 51-59.</w:t>
      </w:r>
    </w:p>
    <w:p w14:paraId="5013EA52" w14:textId="77777777" w:rsidR="00F74BAF" w:rsidRPr="00F76770" w:rsidRDefault="00737583">
      <w:pPr>
        <w:shd w:val="clear" w:color="auto" w:fill="FFFFFF"/>
        <w:spacing w:line="276" w:lineRule="auto"/>
        <w:ind w:firstLine="700"/>
        <w:jc w:val="both"/>
        <w:rPr>
          <w:sz w:val="28"/>
          <w:szCs w:val="28"/>
          <w:highlight w:val="white"/>
          <w:lang w:val="ru-RU"/>
        </w:rPr>
      </w:pPr>
      <w:r>
        <w:rPr>
          <w:sz w:val="28"/>
          <w:szCs w:val="28"/>
          <w:highlight w:val="white"/>
        </w:rPr>
        <w:t>49. Doerfer G. Altūn tamḡā // In book: Encyclopaedia Iranica. – 1989. – Vol. 1. Issue</w:t>
      </w:r>
      <w:r w:rsidRPr="00F76770">
        <w:rPr>
          <w:sz w:val="28"/>
          <w:szCs w:val="28"/>
          <w:highlight w:val="white"/>
          <w:lang w:val="ru-RU"/>
        </w:rPr>
        <w:t xml:space="preserve"> 9. – </w:t>
      </w:r>
      <w:r>
        <w:rPr>
          <w:sz w:val="28"/>
          <w:szCs w:val="28"/>
          <w:highlight w:val="white"/>
        </w:rPr>
        <w:t>P</w:t>
      </w:r>
      <w:r w:rsidRPr="00F76770">
        <w:rPr>
          <w:sz w:val="28"/>
          <w:szCs w:val="28"/>
          <w:highlight w:val="white"/>
          <w:lang w:val="ru-RU"/>
        </w:rPr>
        <w:t>. 913-914.</w:t>
      </w:r>
    </w:p>
    <w:p w14:paraId="27113B82" w14:textId="77777777" w:rsidR="00F74BAF" w:rsidRDefault="00737583">
      <w:pPr>
        <w:shd w:val="clear" w:color="auto" w:fill="FFFFFF"/>
        <w:spacing w:line="276" w:lineRule="auto"/>
        <w:ind w:firstLine="700"/>
        <w:jc w:val="both"/>
        <w:rPr>
          <w:sz w:val="28"/>
          <w:szCs w:val="28"/>
          <w:highlight w:val="white"/>
        </w:rPr>
      </w:pPr>
      <w:r w:rsidRPr="00F76770">
        <w:rPr>
          <w:sz w:val="28"/>
          <w:szCs w:val="28"/>
          <w:highlight w:val="white"/>
          <w:lang w:val="ru-RU"/>
        </w:rPr>
        <w:t xml:space="preserve">50. Усманов М.А. А.Н. Самойлович и изучение актовых источников Джучиева улуса // Тюркологический сб. – М.: Наука. </w:t>
      </w:r>
      <w:r>
        <w:rPr>
          <w:sz w:val="28"/>
          <w:szCs w:val="28"/>
          <w:highlight w:val="white"/>
        </w:rPr>
        <w:t>1978. – С. 256-262.</w:t>
      </w:r>
    </w:p>
    <w:p w14:paraId="5B24BD65"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51. Doerfer G</w:t>
      </w:r>
      <w:r>
        <w:rPr>
          <w:i/>
          <w:iCs/>
          <w:sz w:val="28"/>
          <w:szCs w:val="28"/>
          <w:highlight w:val="white"/>
        </w:rPr>
        <w:t xml:space="preserve">. </w:t>
      </w:r>
      <w:r>
        <w:rPr>
          <w:sz w:val="28"/>
          <w:szCs w:val="28"/>
          <w:highlight w:val="white"/>
        </w:rPr>
        <w:t>Türkische und mongolische Elemente im Neupersischen. – Wiesbaden: F. Steiner, 1975. – Vol. 4. – 640 s.</w:t>
      </w:r>
    </w:p>
    <w:p w14:paraId="2B82BD5C"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 xml:space="preserve">52. </w:t>
      </w:r>
      <w:r>
        <w:rPr>
          <w:sz w:val="28"/>
          <w:szCs w:val="28"/>
          <w:highlight w:val="white"/>
        </w:rPr>
        <w:t>Chuastuanift: Ein Sündenbekenntnis der manichäischen Auditores; gefunden in Turfan (Chinesisch-Turkistan) / ed.; transl. H.-J. Klimkeit. – Wiesbaden: Franz Steiner Verlag, 1965. – 43 p.</w:t>
      </w:r>
    </w:p>
    <w:p w14:paraId="51A73AF4"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53. A Turkish and English Lexicon: Shewing in English the Significatio</w:t>
      </w:r>
      <w:r>
        <w:rPr>
          <w:sz w:val="28"/>
          <w:szCs w:val="28"/>
          <w:highlight w:val="white"/>
        </w:rPr>
        <w:t>ns of the Turkish Terms / comp. Sir J. W. Redhouse. – Constantinople: American Mission, 1884. – 1256 p.</w:t>
      </w:r>
    </w:p>
    <w:p w14:paraId="178D75E4"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54. Di Cosmo N., Frank A.J., Golden P.B. The Cambridge History of Inner Asia: The Chinggisid Age. – Cambridge, 2009. – 488 p.</w:t>
      </w:r>
    </w:p>
    <w:p w14:paraId="28F057BD" w14:textId="77777777" w:rsidR="00F74BAF" w:rsidRPr="00F76770" w:rsidRDefault="00737583">
      <w:pPr>
        <w:shd w:val="clear" w:color="auto" w:fill="FFFFFF"/>
        <w:spacing w:line="276" w:lineRule="auto"/>
        <w:ind w:firstLine="700"/>
        <w:jc w:val="both"/>
        <w:rPr>
          <w:sz w:val="28"/>
          <w:szCs w:val="28"/>
          <w:highlight w:val="white"/>
          <w:lang w:val="ru-RU"/>
        </w:rPr>
      </w:pPr>
      <w:r w:rsidRPr="00F76770">
        <w:rPr>
          <w:sz w:val="28"/>
          <w:szCs w:val="28"/>
          <w:highlight w:val="white"/>
          <w:lang w:val="ru-RU"/>
        </w:rPr>
        <w:t>55. Утемиш-хаджи. Чингиз-н</w:t>
      </w:r>
      <w:r w:rsidRPr="00F76770">
        <w:rPr>
          <w:sz w:val="28"/>
          <w:szCs w:val="28"/>
          <w:highlight w:val="white"/>
          <w:lang w:val="ru-RU"/>
        </w:rPr>
        <w:t>аме / пер. с тюркояз.; сост. В.П. Юдина. – Алма-Ата, 2005. – 400 с.</w:t>
      </w:r>
    </w:p>
    <w:p w14:paraId="2762B212"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56. Erdal M. Old Turkic Word Formation: A Functional Approach to the Lexicon. – Wiesbaden: Otto Harrassowitzб 1991. – 874 р.</w:t>
      </w:r>
    </w:p>
    <w:p w14:paraId="1056302A"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 xml:space="preserve">57. Karlgren B. Grammata Serica Recensa. - Stockholm, 1957. – </w:t>
      </w:r>
      <w:r>
        <w:rPr>
          <w:sz w:val="28"/>
          <w:szCs w:val="28"/>
          <w:highlight w:val="white"/>
        </w:rPr>
        <w:t>332 р.</w:t>
      </w:r>
    </w:p>
    <w:p w14:paraId="558263A5"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58. Hjelmslev L. Pour une sémantique structurale // In book: Essais linguistiques. – Paris: Le Seuil, 1971. – 279 s.</w:t>
      </w:r>
    </w:p>
    <w:p w14:paraId="0635871D"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59. Қазақ әдеби тілінің сөздігі: 15 т. / ред. А. Ысқақов, Н. Уәли. – Алматы: Арыс, 2011. – Т. 3. – 744 б.</w:t>
      </w:r>
    </w:p>
    <w:p w14:paraId="4E8D12AA"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60. Csáki É. Middle Mongol</w:t>
      </w:r>
      <w:r>
        <w:rPr>
          <w:sz w:val="28"/>
          <w:szCs w:val="28"/>
          <w:highlight w:val="white"/>
        </w:rPr>
        <w:t>ian Loanwords in Volga Kypchak Languages. – Wiesbaden: Harrassowitz, 2006. – 258 p.</w:t>
      </w:r>
    </w:p>
    <w:p w14:paraId="1511E744"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61. Қазақ әдеби тілінің сөздігі: 15 т. / ред. А. Ысқақов, Н. Уәли. – Алматы: Арыс, 2011. – Т. 2. – 744 б.</w:t>
      </w:r>
    </w:p>
    <w:p w14:paraId="6AE1D792"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62. Қашқари М. Түрік сөздігі (Диуани лұғат-ит-түрік) / каз. тіл. а</w:t>
      </w:r>
      <w:r>
        <w:rPr>
          <w:sz w:val="28"/>
          <w:szCs w:val="28"/>
          <w:highlight w:val="white"/>
        </w:rPr>
        <w:t>уд. А.Қ. Егеубай. – Алматы, 1997. – Т. 2. – 528 б.</w:t>
      </w:r>
    </w:p>
    <w:p w14:paraId="7517DAE5"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63. Boeschoten H. A Dictionary of Early Middle Turkic. – Leiden: Brill, 2022. – 596 p.</w:t>
      </w:r>
    </w:p>
    <w:p w14:paraId="2F3581E6"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 xml:space="preserve">64. Vásáry I. Medieval Russian Terms for ‘Armor’ of Oriental Origin // In book: Central Eurasia in the Middle Ages. – </w:t>
      </w:r>
      <w:r>
        <w:rPr>
          <w:sz w:val="28"/>
          <w:szCs w:val="28"/>
          <w:highlight w:val="white"/>
        </w:rPr>
        <w:t>Wiesbaden, 2016. – P. 435-445.</w:t>
      </w:r>
    </w:p>
    <w:p w14:paraId="32C50E07"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65. Tekin T. Irk Bitig: The book of omens. – Leipzig, 1993. – B. 18. – 140 s.</w:t>
      </w:r>
    </w:p>
    <w:p w14:paraId="4CB7E23B"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66. Csiky G. The Tuzūkāt-i Tīmūrī as a Source for Military History // Acta Orientalia Academiae Scientiarum Hungar. – 2006. – Vol. 59, Issue 4</w:t>
      </w:r>
      <w:r>
        <w:rPr>
          <w:sz w:val="28"/>
          <w:szCs w:val="28"/>
          <w:highlight w:val="white"/>
        </w:rPr>
        <w:t>. – P. 439-491.</w:t>
      </w:r>
    </w:p>
    <w:p w14:paraId="456EDA68"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67. Қазақ әдеби тілінің сөздігі: 15 т. / ред. А. Ысқақов, Н. Уәли. – Алматы: Арыс, 2011. – Т. 10. – 744 б.</w:t>
      </w:r>
    </w:p>
    <w:p w14:paraId="48BDB3FA" w14:textId="77777777" w:rsidR="00F74BAF" w:rsidRPr="00F76770" w:rsidRDefault="00737583">
      <w:pPr>
        <w:shd w:val="clear" w:color="auto" w:fill="FFFFFF"/>
        <w:spacing w:line="276" w:lineRule="auto"/>
        <w:ind w:firstLine="700"/>
        <w:jc w:val="both"/>
        <w:rPr>
          <w:sz w:val="28"/>
          <w:szCs w:val="28"/>
          <w:highlight w:val="white"/>
          <w:lang w:val="ru-RU"/>
        </w:rPr>
      </w:pPr>
      <w:r w:rsidRPr="00F76770">
        <w:rPr>
          <w:sz w:val="28"/>
          <w:szCs w:val="28"/>
          <w:highlight w:val="white"/>
          <w:lang w:val="ru-RU"/>
        </w:rPr>
        <w:t>68. Севортян Е.В. Этимологический словарь тюркских языков: общетюркские и межтюркские лексические основы на буквы «К» и «Қ». – М., 19</w:t>
      </w:r>
      <w:r w:rsidRPr="00F76770">
        <w:rPr>
          <w:sz w:val="28"/>
          <w:szCs w:val="28"/>
          <w:highlight w:val="white"/>
          <w:lang w:val="ru-RU"/>
        </w:rPr>
        <w:t>97. – Вып. 1. – 362 с.</w:t>
      </w:r>
    </w:p>
    <w:p w14:paraId="30AE62C0" w14:textId="77777777" w:rsidR="00F74BAF" w:rsidRPr="00F76770" w:rsidRDefault="00737583">
      <w:pPr>
        <w:shd w:val="clear" w:color="auto" w:fill="FFFFFF"/>
        <w:spacing w:line="276" w:lineRule="auto"/>
        <w:ind w:firstLine="700"/>
        <w:jc w:val="both"/>
        <w:rPr>
          <w:sz w:val="28"/>
          <w:szCs w:val="28"/>
          <w:highlight w:val="white"/>
          <w:lang w:val="ru-RU"/>
        </w:rPr>
      </w:pPr>
      <w:r w:rsidRPr="00F76770">
        <w:rPr>
          <w:sz w:val="28"/>
          <w:szCs w:val="28"/>
          <w:highlight w:val="white"/>
          <w:lang w:val="ru-RU"/>
        </w:rPr>
        <w:t>69. Егеубай А.Қ. Түрік сөздігі. – Алматы, 1997. – Т. 3. – 603 б.</w:t>
      </w:r>
    </w:p>
    <w:p w14:paraId="2D0F2CED"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 xml:space="preserve">70. Fanyuan C. et al. A Research of the Rouran's Imperial Title 'Qaġan' // Social Sciences in Xinjiang. – 1988. – Issue 2. – P. 106-116. </w:t>
      </w:r>
    </w:p>
    <w:p w14:paraId="3A3B5D62"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71. Doerfer G. Türkische Und M</w:t>
      </w:r>
      <w:r>
        <w:rPr>
          <w:sz w:val="28"/>
          <w:szCs w:val="28"/>
          <w:highlight w:val="white"/>
        </w:rPr>
        <w:t>ongolische Elemente Im Neupersischen. – Wiesbaden: F. Steiner, 1967. – Vol. 3. – 670 p.</w:t>
      </w:r>
    </w:p>
    <w:p w14:paraId="127A57EA"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72. Qian S. Records of the Grand Historian. Qin Dynasty. – Hong Kong, 1993. – 496 p.</w:t>
      </w:r>
    </w:p>
    <w:p w14:paraId="7A8B6147"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73. Steingass F.J. A comprehensive Persian, English dictionary // https://dsal.uchi</w:t>
      </w:r>
      <w:r>
        <w:rPr>
          <w:sz w:val="28"/>
          <w:szCs w:val="28"/>
          <w:highlight w:val="white"/>
        </w:rPr>
        <w:t>cago.edu/cgi-bin/app/steingass_query.py?page=1403. 01.10.2022.</w:t>
      </w:r>
    </w:p>
    <w:p w14:paraId="501FE69D"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74. Martin R.C. Encyclopedia of Islam and the Muslim World. – NY.: Macmillan Reference USA, 2004. – Vol. 1. – 874 p.</w:t>
      </w:r>
    </w:p>
    <w:p w14:paraId="72DEFEC2"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75. Noda J. The Kazakh Khanates between the Russian and Qing Empires. – Leid</w:t>
      </w:r>
      <w:r>
        <w:rPr>
          <w:sz w:val="28"/>
          <w:szCs w:val="28"/>
          <w:highlight w:val="white"/>
        </w:rPr>
        <w:t>en: Brill, 2016. – 350 p.</w:t>
      </w:r>
    </w:p>
    <w:p w14:paraId="6FE03DA1"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76. Favereau M. Tarkhan: A Nomad Institution in an Islamic Context // https://journals.openedition.org/remmm/10955?lang=en. 10.09.2025.</w:t>
      </w:r>
    </w:p>
    <w:p w14:paraId="08A92BB9"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77. Pellat C.H. et al. Encyclopaedia of Islam. – Leiden: Brill, 1998. – Vol. 7. – 1058 p.</w:t>
      </w:r>
    </w:p>
    <w:p w14:paraId="5CFF10C7" w14:textId="77777777" w:rsidR="00F74BAF" w:rsidRPr="00F76770" w:rsidRDefault="00737583">
      <w:pPr>
        <w:shd w:val="clear" w:color="auto" w:fill="FFFFFF"/>
        <w:spacing w:line="276" w:lineRule="auto"/>
        <w:ind w:firstLine="700"/>
        <w:jc w:val="both"/>
        <w:rPr>
          <w:sz w:val="28"/>
          <w:szCs w:val="28"/>
          <w:highlight w:val="white"/>
          <w:lang w:val="ru-RU"/>
        </w:rPr>
      </w:pPr>
      <w:r w:rsidRPr="00F76770">
        <w:rPr>
          <w:sz w:val="28"/>
          <w:szCs w:val="28"/>
          <w:highlight w:val="white"/>
          <w:lang w:val="ru-RU"/>
        </w:rPr>
        <w:t xml:space="preserve">78. Юнал К. Военно-административная лексика турецко-тюркского происхождения в русском языке: дис. … канд. филол. наук: 10.02.01. – Бирск, 2004. – 223 </w:t>
      </w:r>
      <w:r>
        <w:rPr>
          <w:sz w:val="28"/>
          <w:szCs w:val="28"/>
          <w:highlight w:val="white"/>
        </w:rPr>
        <w:t>c</w:t>
      </w:r>
      <w:r w:rsidRPr="00F76770">
        <w:rPr>
          <w:sz w:val="28"/>
          <w:szCs w:val="28"/>
          <w:highlight w:val="white"/>
          <w:lang w:val="ru-RU"/>
        </w:rPr>
        <w:t>.</w:t>
      </w:r>
    </w:p>
    <w:p w14:paraId="40338174"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79. Perdue P.C., China Marches West: The Qing Conquest of Central Eurasia. – Cambridge: Harvard Univers</w:t>
      </w:r>
      <w:r>
        <w:rPr>
          <w:sz w:val="28"/>
          <w:szCs w:val="28"/>
          <w:highlight w:val="white"/>
        </w:rPr>
        <w:t>ity Press, 2005. – 747 p.</w:t>
      </w:r>
    </w:p>
    <w:p w14:paraId="12FA0CD8"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80. DeWeese. D. The 'Mashāʾikh-i Turk' And The 'Khojagān': Rethinking The Links Between The Yasavī And Naqshbandī Sufi Traditions // Journal of Islamic Studies</w:t>
      </w:r>
      <w:r>
        <w:rPr>
          <w:i/>
          <w:iCs/>
          <w:sz w:val="28"/>
          <w:szCs w:val="28"/>
          <w:highlight w:val="white"/>
        </w:rPr>
        <w:t xml:space="preserve">. – </w:t>
      </w:r>
      <w:r>
        <w:rPr>
          <w:sz w:val="28"/>
          <w:szCs w:val="28"/>
          <w:highlight w:val="white"/>
        </w:rPr>
        <w:t>1996. – Vol. 7, Issue 2. – P. 180-207.</w:t>
      </w:r>
    </w:p>
    <w:p w14:paraId="1DCB7BCF"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81. Fletcher J. The Mong</w:t>
      </w:r>
      <w:r>
        <w:rPr>
          <w:sz w:val="28"/>
          <w:szCs w:val="28"/>
          <w:highlight w:val="white"/>
        </w:rPr>
        <w:t>ols: Ecological and Social Perspectives // Harvard Journal of Asiatic Studies. – 1986. - Vol. 46, Issue 1. – P. 11-50. 87 Lattimore O. Inner Asian Frontiers of China. – NY., 1940. – 620 p.</w:t>
      </w:r>
    </w:p>
    <w:p w14:paraId="225976AA"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82. Barfield T.J. The Perilous Frontier: Nomadic Empires and China.</w:t>
      </w:r>
      <w:r>
        <w:rPr>
          <w:sz w:val="28"/>
          <w:szCs w:val="28"/>
          <w:highlight w:val="white"/>
        </w:rPr>
        <w:t xml:space="preserve"> 221 BC to AD 1757. – Cambridge, 1992. – 348 р.</w:t>
      </w:r>
    </w:p>
    <w:p w14:paraId="5D2A0FA7"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83. Erdal M. A Grammar of Old Turkic. – Leiden: Brill, 2004. – 588 р.</w:t>
      </w:r>
    </w:p>
    <w:p w14:paraId="31A766D7" w14:textId="77777777" w:rsidR="00F74BAF" w:rsidRDefault="00737583">
      <w:pPr>
        <w:spacing w:line="276" w:lineRule="auto"/>
        <w:ind w:firstLine="700"/>
        <w:jc w:val="both"/>
        <w:rPr>
          <w:sz w:val="28"/>
          <w:szCs w:val="28"/>
          <w:highlight w:val="white"/>
        </w:rPr>
      </w:pPr>
      <w:r>
        <w:rPr>
          <w:sz w:val="28"/>
          <w:szCs w:val="28"/>
          <w:highlight w:val="white"/>
        </w:rPr>
        <w:t xml:space="preserve">84. Lane E.W. Arabic-english lexicon. </w:t>
      </w:r>
      <w:r>
        <w:rPr>
          <w:i/>
          <w:iCs/>
          <w:sz w:val="28"/>
          <w:szCs w:val="28"/>
          <w:highlight w:val="white"/>
        </w:rPr>
        <w:t xml:space="preserve">– </w:t>
      </w:r>
      <w:r>
        <w:rPr>
          <w:sz w:val="28"/>
          <w:szCs w:val="28"/>
          <w:highlight w:val="white"/>
        </w:rPr>
        <w:t>Beirut, 1968. – Part 8.</w:t>
      </w:r>
      <w:r>
        <w:rPr>
          <w:i/>
          <w:iCs/>
          <w:sz w:val="28"/>
          <w:szCs w:val="28"/>
          <w:highlight w:val="white"/>
        </w:rPr>
        <w:t xml:space="preserve"> </w:t>
      </w:r>
      <w:r>
        <w:rPr>
          <w:sz w:val="28"/>
          <w:szCs w:val="28"/>
          <w:highlight w:val="white"/>
        </w:rPr>
        <w:t>– 318 p.</w:t>
      </w:r>
    </w:p>
    <w:p w14:paraId="7E211287"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85. Atwood C.P. The Administrative Origins of Mongolia's 'Tribal'</w:t>
      </w:r>
      <w:r>
        <w:rPr>
          <w:sz w:val="28"/>
          <w:szCs w:val="28"/>
          <w:highlight w:val="white"/>
        </w:rPr>
        <w:t xml:space="preserve"> Vocabulary // Eurasia: statum et Legem. – 2015. – Vol. 1, Issue 4. – P. 7-45.</w:t>
      </w:r>
    </w:p>
    <w:p w14:paraId="55D0CFBC"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86. Қазақ әдеби тілінің сөздігі: 15 т. / ред. А. Ысқақов, Н. Уәли. – Алматы: Арыс, 2011. – Т. 12. – 744 б.</w:t>
      </w:r>
    </w:p>
    <w:p w14:paraId="46BE4187" w14:textId="77777777" w:rsidR="00F74BAF" w:rsidRDefault="00737583">
      <w:pPr>
        <w:spacing w:line="276" w:lineRule="auto"/>
        <w:ind w:firstLine="700"/>
        <w:jc w:val="both"/>
        <w:rPr>
          <w:sz w:val="28"/>
          <w:szCs w:val="28"/>
          <w:highlight w:val="white"/>
        </w:rPr>
      </w:pPr>
      <w:r>
        <w:rPr>
          <w:sz w:val="28"/>
          <w:szCs w:val="28"/>
          <w:highlight w:val="white"/>
        </w:rPr>
        <w:t>87. Károly L. Binominal strategies and semantic correlations in Turkic</w:t>
      </w:r>
      <w:r>
        <w:rPr>
          <w:sz w:val="28"/>
          <w:szCs w:val="28"/>
          <w:highlight w:val="white"/>
        </w:rPr>
        <w:t xml:space="preserve"> languages. Binominal Lexemes in Cross-Linguistic Perspective : Towards a Typology of Complex Lexemes. 2023, pp. 355-379.</w:t>
      </w:r>
    </w:p>
    <w:p w14:paraId="0BE4B6E8"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88. Golden P. B. Book review of The Headless State: Aristocratic Orders, Kinship Society, and Misrepesenta- tions of Nomadic Inner Asi</w:t>
      </w:r>
      <w:r>
        <w:rPr>
          <w:sz w:val="28"/>
          <w:szCs w:val="28"/>
          <w:highlight w:val="white"/>
        </w:rPr>
        <w:t>a. By David Sneath. The Journal of Asian Studies. 2009. Vol. 68, pp. 293-296.</w:t>
      </w:r>
    </w:p>
    <w:p w14:paraId="6049941B"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89. Steingass F. A Comprehensive Persian-English Dictionary. London: Routledge &amp; Kegan Paul, 1963.</w:t>
      </w:r>
    </w:p>
    <w:p w14:paraId="01C3C7FF" w14:textId="77777777" w:rsidR="00F74BAF" w:rsidRDefault="00737583">
      <w:pPr>
        <w:shd w:val="clear" w:color="auto" w:fill="FFFFFF"/>
        <w:spacing w:line="276" w:lineRule="auto"/>
        <w:ind w:firstLine="700"/>
        <w:jc w:val="both"/>
        <w:rPr>
          <w:sz w:val="28"/>
          <w:szCs w:val="28"/>
          <w:highlight w:val="white"/>
        </w:rPr>
      </w:pPr>
      <w:r>
        <w:rPr>
          <w:sz w:val="28"/>
          <w:szCs w:val="28"/>
          <w:highlight w:val="white"/>
        </w:rPr>
        <w:t>90. Rachewiltz I.D., Rybatzki V. Introduction to Altaic Philology: Turkic, Mong</w:t>
      </w:r>
      <w:r>
        <w:rPr>
          <w:sz w:val="28"/>
          <w:szCs w:val="28"/>
          <w:highlight w:val="white"/>
        </w:rPr>
        <w:t>olian, Manchu. – Leiden: Brill, 2010. – 446 р.</w:t>
      </w:r>
    </w:p>
    <w:p w14:paraId="4EDC4299" w14:textId="77777777" w:rsidR="00F74BAF" w:rsidRDefault="00737583">
      <w:pPr>
        <w:shd w:val="clear" w:color="auto" w:fill="FFFFFF"/>
        <w:spacing w:line="276" w:lineRule="auto"/>
        <w:ind w:firstLine="700"/>
        <w:jc w:val="both"/>
        <w:rPr>
          <w:sz w:val="28"/>
          <w:szCs w:val="28"/>
          <w:highlight w:val="white"/>
        </w:rPr>
      </w:pPr>
      <w:bookmarkStart w:id="5" w:name="_heading=h.93ofthyszent" w:colFirst="0" w:colLast="0"/>
      <w:bookmarkEnd w:id="5"/>
      <w:r>
        <w:rPr>
          <w:sz w:val="28"/>
          <w:szCs w:val="28"/>
          <w:highlight w:val="white"/>
        </w:rPr>
        <w:t>91. Shaimerdinova N. The history, language and culture of Tatar in Kazakhstan // Bulletin of the L.N. Gumilyov Eurasian National University. – 2018. – Vol. 2, Issue 123. – P. 147-151.</w:t>
      </w:r>
    </w:p>
    <w:sectPr w:rsidR="00F74BAF">
      <w:footerReference w:type="first" r:id="rId21"/>
      <w:pgSz w:w="11900" w:h="16840"/>
      <w:pgMar w:top="1134" w:right="567" w:bottom="1134" w:left="1701" w:header="709" w:footer="851" w:gutter="0"/>
      <w:pgNumType w:start="96"/>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C467EBA" w14:textId="77777777" w:rsidR="00737583" w:rsidRDefault="00737583">
      <w:r>
        <w:separator/>
      </w:r>
    </w:p>
  </w:endnote>
  <w:endnote w:type="continuationSeparator" w:id="0">
    <w:p w14:paraId="08C78243" w14:textId="77777777" w:rsidR="00737583" w:rsidRDefault="007375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Helvetica Neue">
    <w:charset w:val="00"/>
    <w:family w:val="auto"/>
    <w:pitch w:val="default"/>
    <w:embedRegular r:id="rId1" w:fontKey="{BB268FCD-CD83-436A-AB85-A46DFDA385B2}"/>
    <w:embedBold r:id="rId2" w:fontKey="{9A8D7340-B997-4FA5-B77E-3FB16E4CB71A}"/>
  </w:font>
  <w:font w:name="Cambria">
    <w:panose1 w:val="02040503050406030204"/>
    <w:charset w:val="CC"/>
    <w:family w:val="roman"/>
    <w:pitch w:val="variable"/>
    <w:sig w:usb0="E00006FF" w:usb1="420024FF" w:usb2="02000000" w:usb3="00000000" w:csb0="0000019F" w:csb1="00000000"/>
    <w:embedItalic r:id="rId3" w:fontKey="{7FE36D69-BF6D-457C-B439-BFA26CF018D5}"/>
  </w:font>
  <w:font w:name="Arial Unicode MS">
    <w:panose1 w:val="020B0604020202020204"/>
    <w:charset w:val="80"/>
    <w:family w:val="swiss"/>
    <w:pitch w:val="variable"/>
    <w:sig w:usb0="F7FFAFFF" w:usb1="E9DFFFFF" w:usb2="0000003F" w:usb3="00000000" w:csb0="003F01FF" w:csb1="00000000"/>
  </w:font>
  <w:font w:name="Helvetica Neue Light">
    <w:charset w:val="00"/>
    <w:family w:val="auto"/>
    <w:pitch w:val="default"/>
    <w:embedRegular r:id="rId4" w:fontKey="{4229A996-16E6-43AE-9AC7-356FF1379F4A}"/>
    <w:embedItalic r:id="rId5" w:fontKey="{7FE49260-0B4D-40D0-881C-E1792FD381A3}"/>
  </w:font>
  <w:font w:name="SimSun">
    <w:altName w:val="宋体"/>
    <w:panose1 w:val="02010600030101010101"/>
    <w:charset w:val="86"/>
    <w:family w:val="auto"/>
    <w:pitch w:val="variable"/>
    <w:sig w:usb0="00000203" w:usb1="288F0000" w:usb2="00000016" w:usb3="00000000" w:csb0="00040001" w:csb1="00000000"/>
    <w:embedRegular r:id="rId6" w:subsetted="1" w:fontKey="{8171FBB5-A13F-4F93-B296-2092AEC27852}"/>
  </w:font>
  <w:font w:name="Georgia">
    <w:panose1 w:val="02040502050405020303"/>
    <w:charset w:val="CC"/>
    <w:family w:val="roman"/>
    <w:pitch w:val="variable"/>
    <w:sig w:usb0="00000287" w:usb1="00000000" w:usb2="00000000" w:usb3="00000000" w:csb0="0000009F" w:csb1="00000000"/>
    <w:embedItalic r:id="rId7" w:fontKey="{1685CC06-0DCC-4A4D-A9A0-8D718294F1C0}"/>
  </w:font>
  <w:font w:name="Cardo">
    <w:charset w:val="00"/>
    <w:family w:val="auto"/>
    <w:pitch w:val="default"/>
    <w:embedRegular r:id="rId8" w:fontKey="{C6B15638-6D64-4A93-8E0E-85A6A1E12C4A}"/>
  </w:font>
  <w:font w:name="Gungsuh">
    <w:charset w:val="81"/>
    <w:family w:val="roman"/>
    <w:pitch w:val="variable"/>
    <w:sig w:usb0="B00002AF" w:usb1="69D77CFB" w:usb2="00000030" w:usb3="00000000" w:csb0="0008009F" w:csb1="00000000"/>
    <w:embedRegular r:id="rId9" w:subsetted="1" w:fontKey="{FC257C3C-287F-4519-AB74-32693BD20DD2}"/>
  </w:font>
  <w:font w:name="MS Mincho">
    <w:altName w:val="MS Gothic"/>
    <w:panose1 w:val="02020609040205080304"/>
    <w:charset w:val="80"/>
    <w:family w:val="roman"/>
    <w:notTrueType/>
    <w:pitch w:val="fixed"/>
    <w:sig w:usb0="00000000"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4CE1F" w14:textId="77777777" w:rsidR="00F74BAF" w:rsidRDefault="00737583">
    <w:pPr>
      <w:pBdr>
        <w:top w:val="nil"/>
        <w:left w:val="nil"/>
        <w:bottom w:val="nil"/>
        <w:right w:val="nil"/>
        <w:between w:val="nil"/>
      </w:pBdr>
      <w:tabs>
        <w:tab w:val="right" w:pos="9020"/>
        <w:tab w:val="center" w:pos="4535"/>
        <w:tab w:val="right" w:pos="9046"/>
      </w:tabs>
      <w:jc w:val="center"/>
      <w:rPr>
        <w:rFonts w:ascii="Helvetica Neue" w:eastAsia="Helvetica Neue" w:hAnsi="Helvetica Neue" w:cs="Helvetica Neue"/>
        <w:color w:val="000000"/>
      </w:rPr>
    </w:pPr>
    <w:r>
      <w:rPr>
        <w:color w:val="000000"/>
      </w:rPr>
      <w:fldChar w:fldCharType="begin"/>
    </w:r>
    <w:r>
      <w:rPr>
        <w:color w:val="000000"/>
      </w:rPr>
      <w:instrText>PAGE</w:instrText>
    </w:r>
    <w:r>
      <w:rPr>
        <w:color w:val="000000"/>
      </w:rPr>
      <w:fldChar w:fldCharType="separate"/>
    </w:r>
    <w:r w:rsidR="00B13633">
      <w:rPr>
        <w:noProof/>
        <w:color w:val="000000"/>
      </w:rPr>
      <w:t>21</w:t>
    </w:r>
    <w:r>
      <w:rPr>
        <w:color w:val="00000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7C34142" w14:textId="77777777" w:rsidR="00F74BAF" w:rsidRDefault="00F74BAF">
    <w:pPr>
      <w:jc w:val="righ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2DEDA" w14:textId="77777777" w:rsidR="00F74BAF" w:rsidRDefault="00737583">
    <w:pPr>
      <w:jc w:val="center"/>
    </w:pPr>
    <w:r>
      <w:t>96</w:t>
    </w:r>
  </w:p>
  <w:p w14:paraId="639C34D9" w14:textId="5D6FD098" w:rsidR="00F74BAF" w:rsidRDefault="00737583">
    <w:pPr>
      <w:jc w:val="right"/>
    </w:pPr>
    <w:r>
      <w:fldChar w:fldCharType="begin"/>
    </w:r>
    <w:r>
      <w:instrText>PAGE</w:instrText>
    </w:r>
    <w:r>
      <w:fldChar w:fldCharType="separate"/>
    </w:r>
    <w:r w:rsidR="00DB2C6C">
      <w:rPr>
        <w:noProof/>
      </w:rPr>
      <w:t>96</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35349D1" w14:textId="77777777" w:rsidR="00737583" w:rsidRDefault="00737583">
      <w:r>
        <w:separator/>
      </w:r>
    </w:p>
  </w:footnote>
  <w:footnote w:type="continuationSeparator" w:id="0">
    <w:p w14:paraId="14D64F70" w14:textId="77777777" w:rsidR="00737583" w:rsidRDefault="00737583">
      <w:r>
        <w:continuationSeparator/>
      </w:r>
    </w:p>
  </w:footnote>
  <w:footnote w:id="1">
    <w:p w14:paraId="5E512556" w14:textId="77777777" w:rsidR="00F74BAF" w:rsidRDefault="00737583">
      <w:pPr>
        <w:pBdr>
          <w:top w:val="nil"/>
          <w:left w:val="nil"/>
          <w:bottom w:val="nil"/>
          <w:right w:val="nil"/>
          <w:between w:val="nil"/>
        </w:pBd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 w:val="left" w:pos="7280"/>
          <w:tab w:val="left" w:pos="7840"/>
          <w:tab w:val="left" w:pos="8400"/>
          <w:tab w:val="left" w:pos="8960"/>
          <w:tab w:val="left" w:pos="9132"/>
        </w:tabs>
        <w:ind w:firstLine="709"/>
        <w:jc w:val="both"/>
        <w:rPr>
          <w:rFonts w:ascii="Helvetica Neue" w:eastAsia="Helvetica Neue" w:hAnsi="Helvetica Neue" w:cs="Helvetica Neue"/>
          <w:color w:val="000000"/>
        </w:rPr>
      </w:pPr>
      <w:r>
        <w:rPr>
          <w:vertAlign w:val="superscript"/>
        </w:rPr>
        <w:footnoteRef/>
      </w:r>
      <w:r>
        <w:rPr>
          <w:color w:val="000000"/>
          <w:sz w:val="22"/>
          <w:szCs w:val="22"/>
        </w:rPr>
        <w:t xml:space="preserve">The English translation of the example taken from </w:t>
      </w:r>
      <w:r>
        <w:rPr>
          <w:sz w:val="22"/>
          <w:szCs w:val="22"/>
        </w:rPr>
        <w:t>Čingiz-nama</w:t>
      </w:r>
      <w:r>
        <w:rPr>
          <w:color w:val="000000"/>
          <w:sz w:val="22"/>
          <w:szCs w:val="22"/>
        </w:rPr>
        <w:t xml:space="preserve"> is based </w:t>
      </w:r>
      <w:r>
        <w:rPr>
          <w:sz w:val="22"/>
          <w:szCs w:val="22"/>
        </w:rPr>
        <w:t>on Yudin's</w:t>
      </w:r>
      <w:r>
        <w:rPr>
          <w:color w:val="000000"/>
          <w:sz w:val="22"/>
          <w:szCs w:val="22"/>
        </w:rPr>
        <w:t xml:space="preserve"> translation published in Kazakh, Yudin Y. P.</w:t>
      </w:r>
      <w:r>
        <w:rPr>
          <w:sz w:val="22"/>
          <w:szCs w:val="22"/>
        </w:rPr>
        <w:t>,</w:t>
      </w:r>
      <w:r>
        <w:rPr>
          <w:color w:val="000000"/>
          <w:sz w:val="22"/>
          <w:szCs w:val="22"/>
        </w:rPr>
        <w:t xml:space="preserve"> </w:t>
      </w:r>
      <w:r>
        <w:rPr>
          <w:color w:val="0E101A"/>
          <w:sz w:val="22"/>
          <w:szCs w:val="22"/>
        </w:rPr>
        <w:t>Čingiz-nama</w:t>
      </w:r>
      <w:r>
        <w:rPr>
          <w:color w:val="000000"/>
          <w:sz w:val="22"/>
          <w:szCs w:val="22"/>
        </w:rPr>
        <w:t xml:space="preserve">. Almaty: Dayk-Press, 2005. pp. 153-197.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4AFA93" w14:textId="77777777" w:rsidR="00F74BAF" w:rsidRDefault="00F74BA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F8F755F"/>
    <w:multiLevelType w:val="multilevel"/>
    <w:tmpl w:val="393878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61BE6E6E"/>
    <w:multiLevelType w:val="multilevel"/>
    <w:tmpl w:val="BA3ABF8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74BAF"/>
    <w:rsid w:val="004D5C23"/>
    <w:rsid w:val="00737583"/>
    <w:rsid w:val="007E16C2"/>
    <w:rsid w:val="00B13633"/>
    <w:rsid w:val="00DB2C6C"/>
    <w:rsid w:val="00F74BAF"/>
    <w:rsid w:val="00F76770"/>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55E05C"/>
  <w15:docId w15:val="{74A4632D-28C2-498E-87C6-56E59A1271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 w:eastAsia="ru-KZ"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uiPriority w:val="9"/>
    <w:qFormat/>
    <w:pPr>
      <w:keepNext/>
      <w:keepLines/>
      <w:spacing w:before="480"/>
      <w:outlineLvl w:val="0"/>
    </w:pPr>
    <w:rPr>
      <w:rFonts w:ascii="Helvetica Neue" w:eastAsia="Helvetica Neue" w:hAnsi="Helvetica Neue" w:cs="Helvetica Neue"/>
      <w:b/>
      <w:bCs/>
      <w:color w:val="0079BF"/>
      <w:sz w:val="28"/>
      <w:szCs w:val="28"/>
    </w:rPr>
  </w:style>
  <w:style w:type="paragraph" w:styleId="2">
    <w:name w:val="heading 2"/>
    <w:basedOn w:val="a"/>
    <w:next w:val="a"/>
    <w:uiPriority w:val="9"/>
    <w:semiHidden/>
    <w:unhideWhenUsed/>
    <w:qFormat/>
    <w:pPr>
      <w:keepNext/>
      <w:keepLines/>
      <w:spacing w:before="360" w:after="80"/>
      <w:outlineLvl w:val="1"/>
    </w:pPr>
    <w:rPr>
      <w:b/>
      <w:bCs/>
      <w:sz w:val="36"/>
      <w:szCs w:val="36"/>
    </w:rPr>
  </w:style>
  <w:style w:type="paragraph" w:styleId="3">
    <w:name w:val="heading 3"/>
    <w:basedOn w:val="a"/>
    <w:next w:val="a"/>
    <w:uiPriority w:val="9"/>
    <w:semiHidden/>
    <w:unhideWhenUsed/>
    <w:qFormat/>
    <w:pPr>
      <w:keepNext/>
      <w:keepLines/>
      <w:spacing w:before="280" w:after="80"/>
      <w:outlineLvl w:val="2"/>
    </w:pPr>
    <w:rPr>
      <w:b/>
      <w:bCs/>
      <w:sz w:val="28"/>
      <w:szCs w:val="28"/>
    </w:rPr>
  </w:style>
  <w:style w:type="paragraph" w:styleId="4">
    <w:name w:val="heading 4"/>
    <w:basedOn w:val="a"/>
    <w:next w:val="a"/>
    <w:uiPriority w:val="9"/>
    <w:semiHidden/>
    <w:unhideWhenUsed/>
    <w:qFormat/>
    <w:pPr>
      <w:keepNext/>
      <w:keepLines/>
      <w:spacing w:before="240" w:after="40"/>
      <w:outlineLvl w:val="3"/>
    </w:pPr>
    <w:rPr>
      <w:b/>
      <w:bCs/>
    </w:rPr>
  </w:style>
  <w:style w:type="paragraph" w:styleId="5">
    <w:name w:val="heading 5"/>
    <w:basedOn w:val="a"/>
    <w:next w:val="a"/>
    <w:uiPriority w:val="9"/>
    <w:semiHidden/>
    <w:unhideWhenUsed/>
    <w:qFormat/>
    <w:pPr>
      <w:keepNext/>
      <w:keepLines/>
      <w:spacing w:before="200"/>
      <w:outlineLvl w:val="4"/>
    </w:pPr>
    <w:rPr>
      <w:rFonts w:ascii="Helvetica Neue" w:eastAsia="Helvetica Neue" w:hAnsi="Helvetica Neue" w:cs="Helvetica Neue"/>
      <w:color w:val="00507F"/>
    </w:rPr>
  </w:style>
  <w:style w:type="paragraph" w:styleId="6">
    <w:name w:val="heading 6"/>
    <w:basedOn w:val="a"/>
    <w:next w:val="a"/>
    <w:uiPriority w:val="9"/>
    <w:semiHidden/>
    <w:unhideWhenUsed/>
    <w:qFormat/>
    <w:pPr>
      <w:keepNext/>
      <w:keepLines/>
      <w:pBdr>
        <w:top w:val="none" w:sz="0" w:space="0" w:color="000000"/>
        <w:left w:val="none" w:sz="0" w:space="0" w:color="000000"/>
        <w:bottom w:val="none" w:sz="0" w:space="0" w:color="000000"/>
        <w:right w:val="none" w:sz="0" w:space="0" w:color="000000"/>
        <w:between w:val="none" w:sz="0" w:space="0" w:color="000000"/>
      </w:pBdr>
      <w:spacing w:before="200" w:line="276" w:lineRule="auto"/>
      <w:outlineLvl w:val="5"/>
    </w:pPr>
    <w:rPr>
      <w:rFonts w:ascii="Cambria" w:eastAsia="Cambria" w:hAnsi="Cambria" w:cs="Cambria"/>
      <w:i/>
      <w:iCs/>
      <w:color w:val="243F6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a3">
    <w:name w:val="Title"/>
    <w:basedOn w:val="a"/>
    <w:next w:val="a"/>
    <w:uiPriority w:val="10"/>
    <w:qFormat/>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Normal"/>
    <w:tblPr>
      <w:tblCellMar>
        <w:top w:w="100" w:type="dxa"/>
        <w:left w:w="100" w:type="dxa"/>
        <w:bottom w:w="100" w:type="dxa"/>
        <w:right w:w="100" w:type="dxa"/>
      </w:tblCellMar>
    </w:tblPr>
  </w:style>
  <w:style w:type="table" w:customStyle="1" w:styleId="TableNormal4">
    <w:name w:val="TableNormal"/>
    <w:tblPr>
      <w:tblCellMar>
        <w:top w:w="100" w:type="dxa"/>
        <w:left w:w="100" w:type="dxa"/>
        <w:bottom w:w="100" w:type="dxa"/>
        <w:right w:w="100" w:type="dxa"/>
      </w:tblCellMar>
    </w:tblPr>
  </w:style>
  <w:style w:type="character" w:styleId="a4">
    <w:name w:val="Hyperlink"/>
    <w:rPr>
      <w:u w:val="single"/>
    </w:rPr>
  </w:style>
  <w:style w:type="table" w:customStyle="1" w:styleId="TableNormal5">
    <w:name w:val="Table Normal"/>
    <w:tblPr>
      <w:tblInd w:w="0" w:type="dxa"/>
      <w:tblCellMar>
        <w:top w:w="0" w:type="dxa"/>
        <w:left w:w="0" w:type="dxa"/>
        <w:bottom w:w="0" w:type="dxa"/>
        <w:right w:w="0" w:type="dxa"/>
      </w:tblCellMar>
    </w:tblPr>
  </w:style>
  <w:style w:type="paragraph" w:customStyle="1" w:styleId="HeaderFooter">
    <w:name w:val="Header &amp; Footer"/>
    <w:pPr>
      <w:tabs>
        <w:tab w:val="right" w:pos="9020"/>
      </w:tabs>
    </w:pPr>
    <w:rPr>
      <w:rFonts w:ascii="Helvetica Neue" w:hAnsi="Helvetica Neue" w:cs="Arial Unicode MS"/>
      <w:color w:val="000000"/>
      <w:u w:color="000000"/>
      <w14:textOutline w14:w="12700" w14:cap="flat" w14:cmpd="sng" w14:algn="ctr">
        <w14:noFill/>
        <w14:prstDash w14:val="solid"/>
        <w14:miter w14:lim="400000"/>
      </w14:textOutline>
    </w:rPr>
  </w:style>
  <w:style w:type="paragraph" w:customStyle="1" w:styleId="Default">
    <w:name w:val="Default"/>
    <w:pPr>
      <w:spacing w:before="160" w:line="288" w:lineRule="auto"/>
    </w:pPr>
    <w:rPr>
      <w:rFonts w:ascii="Helvetica Neue" w:hAnsi="Helvetica Neue" w:cs="Arial Unicode MS"/>
      <w:color w:val="000000"/>
      <w:u w:color="000000"/>
      <w:lang w:val="en-US"/>
      <w14:textOutline w14:w="12700" w14:cap="flat" w14:cmpd="sng" w14:algn="ctr">
        <w14:noFill/>
        <w14:prstDash w14:val="solid"/>
        <w14:miter w14:lim="400000"/>
      </w14:textOutline>
    </w:rPr>
  </w:style>
  <w:style w:type="paragraph" w:customStyle="1" w:styleId="Body">
    <w:name w:val="Body"/>
    <w:rPr>
      <w:color w:val="000000"/>
      <w:u w:color="000000"/>
      <w14:textOutline w14:w="0" w14:cap="flat" w14:cmpd="sng" w14:algn="ctr">
        <w14:noFill/>
        <w14:prstDash w14:val="solid"/>
        <w14:bevel/>
      </w14:textOutline>
    </w:rPr>
  </w:style>
  <w:style w:type="numbering" w:customStyle="1" w:styleId="Bullets">
    <w:name w:val="Bullets"/>
  </w:style>
  <w:style w:type="character" w:customStyle="1" w:styleId="NoneA">
    <w:name w:val="None A"/>
    <w:rPr>
      <w:lang w:val="en-US"/>
    </w:rPr>
  </w:style>
  <w:style w:type="paragraph" w:customStyle="1" w:styleId="ObjectCaption">
    <w:name w:val="Object Caption"/>
    <w:pPr>
      <w:jc w:val="center"/>
    </w:pPr>
    <w:rPr>
      <w:rFonts w:ascii="Helvetica Neue Light" w:hAnsi="Helvetica Neue Light" w:cs="Arial Unicode MS"/>
      <w:color w:val="000000"/>
      <w:u w:color="000000"/>
      <w:lang w:val="en-US"/>
      <w14:textOutline w14:w="12700" w14:cap="flat" w14:cmpd="sng" w14:algn="ctr">
        <w14:noFill/>
        <w14:prstDash w14:val="solid"/>
        <w14:miter w14:lim="400000"/>
      </w14:textOutline>
    </w:rPr>
  </w:style>
  <w:style w:type="numbering" w:customStyle="1" w:styleId="Lettered">
    <w:name w:val="Lettered"/>
  </w:style>
  <w:style w:type="numbering" w:customStyle="1" w:styleId="Numbered">
    <w:name w:val="Numbered"/>
  </w:style>
  <w:style w:type="paragraph" w:customStyle="1" w:styleId="BodyA">
    <w:name w:val="Body A"/>
    <w:rPr>
      <w:rFonts w:ascii="Helvetica Neue" w:hAnsi="Helvetica Neue" w:cs="Arial Unicode MS"/>
      <w:color w:val="000000"/>
      <w:sz w:val="22"/>
      <w:szCs w:val="22"/>
      <w:u w:color="000000"/>
      <w:lang w:val="en-US"/>
      <w14:textOutline w14:w="12700" w14:cap="flat" w14:cmpd="sng" w14:algn="ctr">
        <w14:noFill/>
        <w14:prstDash w14:val="solid"/>
        <w14:miter w14:lim="400000"/>
      </w14:textOutline>
    </w:rPr>
  </w:style>
  <w:style w:type="character" w:customStyle="1" w:styleId="None">
    <w:name w:val="None"/>
  </w:style>
  <w:style w:type="character" w:customStyle="1" w:styleId="Hyperlink0">
    <w:name w:val="Hyperlink.0"/>
    <w:basedOn w:val="None"/>
    <w:rPr>
      <w:rFonts w:ascii="Times New Roman" w:eastAsia="Times New Roman" w:hAnsi="Times New Roman" w:cs="Times New Roman"/>
      <w:sz w:val="28"/>
      <w:szCs w:val="28"/>
      <w:u w:color="000000"/>
      <w:lang w:val="zh-TW" w:eastAsia="zh-TW"/>
      <w14:textOutline w14:w="12700" w14:cap="flat" w14:cmpd="sng" w14:algn="ctr">
        <w14:noFill/>
        <w14:prstDash w14:val="solid"/>
        <w14:miter w14:lim="400000"/>
      </w14:textOutline>
    </w:rPr>
  </w:style>
  <w:style w:type="character" w:customStyle="1" w:styleId="60">
    <w:name w:val="Заголовок 6 Знак"/>
    <w:basedOn w:val="a0"/>
    <w:uiPriority w:val="9"/>
    <w:rsid w:val="00655955"/>
    <w:rPr>
      <w:rFonts w:ascii="Cambria" w:eastAsia="SimSun" w:hAnsi="Cambria"/>
      <w:i/>
      <w:iCs/>
      <w:color w:val="243F60"/>
      <w:sz w:val="22"/>
      <w:szCs w:val="22"/>
      <w:bdr w:val="none" w:sz="0" w:space="0" w:color="auto"/>
      <w:lang w:eastAsia="en-US"/>
    </w:rPr>
  </w:style>
  <w:style w:type="table" w:styleId="a5">
    <w:name w:val="Table Grid"/>
    <w:basedOn w:val="a1"/>
    <w:uiPriority w:val="59"/>
    <w:rsid w:val="0065595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link w:val="a7"/>
    <w:uiPriority w:val="99"/>
    <w:unhideWhenUsed/>
    <w:rsid w:val="00936D61"/>
    <w:pPr>
      <w:tabs>
        <w:tab w:val="center" w:pos="4677"/>
        <w:tab w:val="right" w:pos="9355"/>
      </w:tabs>
    </w:pPr>
  </w:style>
  <w:style w:type="character" w:customStyle="1" w:styleId="a7">
    <w:name w:val="Верхний колонтитул Знак"/>
    <w:basedOn w:val="a0"/>
    <w:link w:val="a6"/>
    <w:uiPriority w:val="99"/>
    <w:rsid w:val="00936D61"/>
    <w:rPr>
      <w:sz w:val="24"/>
      <w:szCs w:val="24"/>
      <w:lang w:val="en-US" w:eastAsia="en-US"/>
    </w:rPr>
  </w:style>
  <w:style w:type="paragraph" w:styleId="a8">
    <w:name w:val="footer"/>
    <w:link w:val="a9"/>
    <w:uiPriority w:val="99"/>
    <w:unhideWhenUsed/>
    <w:rsid w:val="00936D61"/>
    <w:pPr>
      <w:tabs>
        <w:tab w:val="center" w:pos="4677"/>
        <w:tab w:val="right" w:pos="9355"/>
      </w:tabs>
    </w:pPr>
  </w:style>
  <w:style w:type="character" w:customStyle="1" w:styleId="a9">
    <w:name w:val="Нижний колонтитул Знак"/>
    <w:basedOn w:val="a0"/>
    <w:link w:val="a8"/>
    <w:uiPriority w:val="99"/>
    <w:rsid w:val="00936D61"/>
    <w:rPr>
      <w:sz w:val="24"/>
      <w:szCs w:val="24"/>
      <w:lang w:val="en-US" w:eastAsia="en-US"/>
    </w:rPr>
  </w:style>
  <w:style w:type="character" w:customStyle="1" w:styleId="shorttext">
    <w:name w:val="short_text"/>
    <w:rsid w:val="00114DEF"/>
  </w:style>
  <w:style w:type="character" w:customStyle="1" w:styleId="50">
    <w:name w:val="Заголовок 5 Знак"/>
    <w:basedOn w:val="a0"/>
    <w:uiPriority w:val="9"/>
    <w:semiHidden/>
    <w:rsid w:val="009705E4"/>
    <w:rPr>
      <w:rFonts w:asciiTheme="majorHAnsi" w:eastAsiaTheme="majorEastAsia" w:hAnsiTheme="majorHAnsi" w:cstheme="majorBidi"/>
      <w:color w:val="00507F" w:themeColor="accent1" w:themeShade="7F"/>
      <w:sz w:val="24"/>
      <w:szCs w:val="24"/>
      <w:lang w:val="en-US" w:eastAsia="en-US"/>
    </w:rPr>
  </w:style>
  <w:style w:type="character" w:customStyle="1" w:styleId="hwtze">
    <w:name w:val="hwtze"/>
    <w:basedOn w:val="a0"/>
    <w:rsid w:val="009705E4"/>
  </w:style>
  <w:style w:type="character" w:customStyle="1" w:styleId="rynqvb">
    <w:name w:val="rynqvb"/>
    <w:basedOn w:val="a0"/>
    <w:rsid w:val="009705E4"/>
  </w:style>
  <w:style w:type="character" w:customStyle="1" w:styleId="x193iq5w">
    <w:name w:val="x193iq5w"/>
    <w:basedOn w:val="a0"/>
    <w:rsid w:val="006447E7"/>
  </w:style>
  <w:style w:type="character" w:customStyle="1" w:styleId="10">
    <w:name w:val="Заголовок 1 Знак"/>
    <w:basedOn w:val="a0"/>
    <w:uiPriority w:val="9"/>
    <w:rsid w:val="001F5E97"/>
    <w:rPr>
      <w:rFonts w:asciiTheme="majorHAnsi" w:eastAsiaTheme="majorEastAsia" w:hAnsiTheme="majorHAnsi" w:cstheme="majorBidi"/>
      <w:b/>
      <w:bCs/>
      <w:color w:val="0079BF" w:themeColor="accent1" w:themeShade="BF"/>
      <w:sz w:val="28"/>
      <w:szCs w:val="28"/>
      <w:lang w:val="en-US" w:eastAsia="en-US"/>
    </w:rPr>
  </w:style>
  <w:style w:type="table" w:customStyle="1" w:styleId="aa">
    <w:basedOn w:val="TableNormal5"/>
    <w:tblPr>
      <w:tblStyleRowBandSize w:val="1"/>
      <w:tblStyleColBandSize w:val="1"/>
      <w:tblCellMar>
        <w:left w:w="108" w:type="dxa"/>
        <w:right w:w="108" w:type="dxa"/>
      </w:tblCellMar>
    </w:tblPr>
  </w:style>
  <w:style w:type="paragraph" w:styleId="ab">
    <w:name w:val="No Spacing"/>
    <w:uiPriority w:val="1"/>
    <w:qFormat/>
    <w:rsid w:val="001550F2"/>
  </w:style>
  <w:style w:type="table" w:customStyle="1" w:styleId="ac">
    <w:basedOn w:val="TableNormal4"/>
    <w:tblPr>
      <w:tblStyleRowBandSize w:val="1"/>
      <w:tblStyleColBandSize w:val="1"/>
      <w:tblCellMar>
        <w:top w:w="0" w:type="dxa"/>
        <w:left w:w="108" w:type="dxa"/>
        <w:bottom w:w="0" w:type="dxa"/>
        <w:right w:w="108" w:type="dxa"/>
      </w:tblCellMar>
    </w:tblPr>
  </w:style>
  <w:style w:type="table" w:customStyle="1" w:styleId="ad">
    <w:basedOn w:val="TableNormal3"/>
    <w:tblPr>
      <w:tblStyleRowBandSize w:val="1"/>
      <w:tblStyleColBandSize w:val="1"/>
      <w:tblCellMar>
        <w:top w:w="0" w:type="dxa"/>
        <w:left w:w="108" w:type="dxa"/>
        <w:bottom w:w="0" w:type="dxa"/>
        <w:right w:w="108" w:type="dxa"/>
      </w:tblCellMar>
    </w:tblPr>
  </w:style>
  <w:style w:type="table" w:customStyle="1" w:styleId="ae">
    <w:basedOn w:val="TableNormal2"/>
    <w:tblPr>
      <w:tblStyleRowBandSize w:val="1"/>
      <w:tblStyleColBandSize w:val="1"/>
      <w:tblCellMar>
        <w:top w:w="0" w:type="dxa"/>
        <w:left w:w="108" w:type="dxa"/>
        <w:bottom w:w="0" w:type="dxa"/>
        <w:right w:w="108" w:type="dxa"/>
      </w:tblCellMar>
    </w:tblPr>
  </w:style>
  <w:style w:type="table" w:customStyle="1" w:styleId="af">
    <w:basedOn w:val="TableNormal1"/>
    <w:tblPr>
      <w:tblStyleRowBandSize w:val="1"/>
      <w:tblStyleColBandSize w:val="1"/>
      <w:tblCellMar>
        <w:top w:w="0" w:type="dxa"/>
        <w:left w:w="108" w:type="dxa"/>
        <w:bottom w:w="0" w:type="dxa"/>
        <w:right w:w="108" w:type="dxa"/>
      </w:tblCellMar>
    </w:tblPr>
  </w:style>
  <w:style w:type="paragraph" w:styleId="af0">
    <w:name w:val="Subtitle"/>
    <w:basedOn w:val="a"/>
    <w:next w:val="a"/>
    <w:uiPriority w:val="11"/>
    <w:qFormat/>
    <w:pPr>
      <w:keepNext/>
      <w:keepLines/>
      <w:spacing w:before="360" w:after="80"/>
    </w:pPr>
    <w:rPr>
      <w:rFonts w:ascii="Georgia" w:eastAsia="Georgia" w:hAnsi="Georgia" w:cs="Georgia"/>
      <w:i/>
      <w:iCs/>
      <w:color w:val="666666"/>
      <w:sz w:val="48"/>
      <w:szCs w:val="48"/>
    </w:rPr>
  </w:style>
  <w:style w:type="table" w:customStyle="1" w:styleId="af1">
    <w:basedOn w:val="TableNormal0"/>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theme" Target="theme/theme1.xml"/><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Blank">
  <a:themeElements>
    <a:clrScheme name="Blank">
      <a:dk1>
        <a:srgbClr val="000000"/>
      </a:dk1>
      <a:lt1>
        <a:srgbClr val="FFFFFF"/>
      </a:lt1>
      <a:dk2>
        <a:srgbClr val="A7A7A7"/>
      </a:dk2>
      <a:lt2>
        <a:srgbClr val="535353"/>
      </a:lt2>
      <a:accent1>
        <a:srgbClr val="00A2FF"/>
      </a:accent1>
      <a:accent2>
        <a:srgbClr val="16E7CF"/>
      </a:accent2>
      <a:accent3>
        <a:srgbClr val="61D836"/>
      </a:accent3>
      <a:accent4>
        <a:srgbClr val="FFD932"/>
      </a:accent4>
      <a:accent5>
        <a:srgbClr val="FF644E"/>
      </a:accent5>
      <a:accent6>
        <a:srgbClr val="FF42A1"/>
      </a:accent6>
      <a:hlink>
        <a:srgbClr val="0000FF"/>
      </a:hlink>
      <a:folHlink>
        <a:srgbClr val="FF00FF"/>
      </a:folHlink>
    </a:clrScheme>
    <a:fontScheme name="Blank">
      <a:majorFont>
        <a:latin typeface="Helvetica Neue"/>
        <a:ea typeface="Helvetica Neue"/>
        <a:cs typeface="Helvetica Neue"/>
      </a:majorFont>
      <a:minorFont>
        <a:latin typeface="Helvetica Neue"/>
        <a:ea typeface="Helvetica Neue"/>
        <a:cs typeface="Helvetica Neue"/>
      </a:minorFont>
    </a:fontScheme>
    <a:fmtScheme name="Blank">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sp3d/>
      </a:spPr>
      <a:bodyPr rot="0" spcFirstLastPara="1" vertOverflow="overflow" horzOverflow="overflow" vert="horz" wrap="square" lIns="50800" tIns="50800" rIns="50800" bIns="50800"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BLPinB7QjpxYrDn4MjbcfKJhfJg==">CgMxLjAyDmguNnMwYjdtdG9meHA4Mg5oLnphbnZuYnFwbmRhbTIOaC5jMWlqeG84Y2xmZTEyDmguNHk2Y3RyYzQ0cThwMg5oLjkzb2Z0aHlzemVudDgAciExbHhOVWdqMUlONzhRcTVFN3BSbk52QVlNbEVZU1k5UDc=</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105</Pages>
  <Words>47520</Words>
  <Characters>270864</Characters>
  <Application>Microsoft Office Word</Application>
  <DocSecurity>0</DocSecurity>
  <Lines>2257</Lines>
  <Paragraphs>635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317749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Zhibek Tukeyeva</dc:creator>
  <cp:lastModifiedBy>user</cp:lastModifiedBy>
  <cp:revision>3</cp:revision>
  <dcterms:created xsi:type="dcterms:W3CDTF">2025-11-26T12:29:00Z</dcterms:created>
  <dcterms:modified xsi:type="dcterms:W3CDTF">2025-11-26T12:31:00Z</dcterms:modified>
</cp:coreProperties>
</file>