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1.xml" ContentType="application/vnd.openxmlformats-officedocument.drawingml.chart+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charts/chart2.xml" ContentType="application/vnd.openxmlformats-officedocument.drawingml.chart+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BCCFB" w14:textId="163E2207" w:rsidR="008D6979" w:rsidRPr="001935D0" w:rsidRDefault="008D6979" w:rsidP="00593711">
      <w:pPr>
        <w:spacing w:after="0" w:line="240" w:lineRule="auto"/>
        <w:jc w:val="center"/>
        <w:rPr>
          <w:rFonts w:ascii="Times New Roman" w:eastAsia="Times New Roman" w:hAnsi="Times New Roman" w:cs="Times New Roman"/>
          <w:sz w:val="28"/>
          <w:szCs w:val="28"/>
        </w:rPr>
      </w:pPr>
      <w:r w:rsidRPr="001935D0">
        <w:rPr>
          <w:rFonts w:ascii="Times New Roman" w:eastAsia="Times New Roman" w:hAnsi="Times New Roman" w:cs="Times New Roman"/>
          <w:sz w:val="28"/>
          <w:szCs w:val="28"/>
        </w:rPr>
        <w:t xml:space="preserve">Евразийский </w:t>
      </w:r>
      <w:r w:rsidR="00CD5B8D">
        <w:rPr>
          <w:rFonts w:ascii="Times New Roman" w:eastAsia="Times New Roman" w:hAnsi="Times New Roman" w:cs="Times New Roman"/>
          <w:sz w:val="28"/>
          <w:szCs w:val="28"/>
        </w:rPr>
        <w:t>Национальный университет им. Л.</w:t>
      </w:r>
      <w:r w:rsidRPr="001935D0">
        <w:rPr>
          <w:rFonts w:ascii="Times New Roman" w:eastAsia="Times New Roman" w:hAnsi="Times New Roman" w:cs="Times New Roman"/>
          <w:sz w:val="28"/>
          <w:szCs w:val="28"/>
        </w:rPr>
        <w:t>Н. Гумилева</w:t>
      </w:r>
    </w:p>
    <w:p w14:paraId="431368C3" w14:textId="77777777" w:rsidR="008D6979" w:rsidRDefault="008D6979" w:rsidP="00593711">
      <w:pPr>
        <w:spacing w:after="0" w:line="240" w:lineRule="auto"/>
        <w:jc w:val="center"/>
        <w:rPr>
          <w:rFonts w:ascii="Times New Roman" w:eastAsia="Times New Roman" w:hAnsi="Times New Roman" w:cs="Times New Roman"/>
          <w:sz w:val="28"/>
          <w:szCs w:val="28"/>
          <w:lang w:val="kk-KZ"/>
        </w:rPr>
      </w:pPr>
    </w:p>
    <w:p w14:paraId="31A8EC0F" w14:textId="77777777" w:rsidR="00BF7A2D" w:rsidRDefault="00BF7A2D" w:rsidP="00593711">
      <w:pPr>
        <w:spacing w:after="0" w:line="240" w:lineRule="auto"/>
        <w:jc w:val="center"/>
        <w:rPr>
          <w:rFonts w:ascii="Times New Roman" w:eastAsia="Times New Roman" w:hAnsi="Times New Roman" w:cs="Times New Roman"/>
          <w:sz w:val="28"/>
          <w:szCs w:val="28"/>
          <w:lang w:val="kk-KZ"/>
        </w:rPr>
      </w:pPr>
    </w:p>
    <w:p w14:paraId="3874CFBF" w14:textId="77777777" w:rsidR="00BF7A2D" w:rsidRPr="00BF7A2D" w:rsidRDefault="00BF7A2D" w:rsidP="00593711">
      <w:pPr>
        <w:spacing w:after="0" w:line="240" w:lineRule="auto"/>
        <w:jc w:val="center"/>
        <w:rPr>
          <w:rFonts w:ascii="Times New Roman" w:eastAsia="Times New Roman" w:hAnsi="Times New Roman" w:cs="Times New Roman"/>
          <w:sz w:val="28"/>
          <w:szCs w:val="28"/>
          <w:lang w:val="kk-KZ"/>
        </w:rPr>
      </w:pPr>
    </w:p>
    <w:p w14:paraId="5AA6E7CA" w14:textId="42173A56" w:rsidR="008D6979" w:rsidRPr="001935D0" w:rsidRDefault="00CD5B8D" w:rsidP="0059371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УДК </w:t>
      </w:r>
      <w:r w:rsidR="008D6979" w:rsidRPr="001935D0">
        <w:rPr>
          <w:rFonts w:ascii="Times New Roman" w:eastAsia="Times New Roman" w:hAnsi="Times New Roman" w:cs="Times New Roman"/>
          <w:sz w:val="28"/>
          <w:szCs w:val="28"/>
        </w:rPr>
        <w:t>327.83</w:t>
      </w:r>
      <w:r w:rsidR="008D6979" w:rsidRPr="001935D0">
        <w:tab/>
      </w:r>
      <w:r w:rsidR="008D6979" w:rsidRPr="001935D0">
        <w:tab/>
      </w:r>
      <w:r w:rsidR="008D6979" w:rsidRPr="001935D0">
        <w:tab/>
      </w:r>
      <w:r w:rsidR="008D6979" w:rsidRPr="001935D0">
        <w:tab/>
      </w:r>
      <w:r w:rsidR="008D6979" w:rsidRPr="001935D0">
        <w:tab/>
      </w:r>
      <w:r w:rsidR="008D6979" w:rsidRPr="001935D0">
        <w:tab/>
      </w:r>
      <w:r w:rsidR="008D6979" w:rsidRPr="001935D0">
        <w:tab/>
      </w:r>
      <w:r w:rsidR="008D6979" w:rsidRPr="001935D0">
        <w:tab/>
      </w:r>
      <w:r w:rsidR="008D6979" w:rsidRPr="001935D0">
        <w:rPr>
          <w:rFonts w:ascii="Times New Roman" w:eastAsia="Times New Roman" w:hAnsi="Times New Roman" w:cs="Times New Roman"/>
          <w:sz w:val="28"/>
          <w:szCs w:val="28"/>
        </w:rPr>
        <w:t xml:space="preserve">  На правах рукописи</w:t>
      </w:r>
    </w:p>
    <w:p w14:paraId="50172040" w14:textId="77777777" w:rsidR="008D6979" w:rsidRPr="001935D0" w:rsidRDefault="008D6979" w:rsidP="00593711">
      <w:pPr>
        <w:spacing w:after="0" w:line="240" w:lineRule="auto"/>
        <w:rPr>
          <w:rFonts w:ascii="Times New Roman" w:eastAsia="Times New Roman" w:hAnsi="Times New Roman" w:cs="Times New Roman"/>
          <w:sz w:val="28"/>
          <w:szCs w:val="28"/>
        </w:rPr>
      </w:pPr>
    </w:p>
    <w:p w14:paraId="223D185C" w14:textId="77777777" w:rsidR="008D6979" w:rsidRDefault="008D6979" w:rsidP="00593711">
      <w:pPr>
        <w:spacing w:after="0" w:line="240" w:lineRule="auto"/>
        <w:rPr>
          <w:rFonts w:ascii="Times New Roman" w:eastAsia="Times New Roman" w:hAnsi="Times New Roman" w:cs="Times New Roman"/>
          <w:sz w:val="28"/>
          <w:szCs w:val="28"/>
          <w:lang w:val="kk-KZ"/>
        </w:rPr>
      </w:pPr>
    </w:p>
    <w:p w14:paraId="7452931F" w14:textId="77777777" w:rsidR="00BF7A2D" w:rsidRPr="00BF7A2D" w:rsidRDefault="00BF7A2D" w:rsidP="00593711">
      <w:pPr>
        <w:spacing w:after="0" w:line="240" w:lineRule="auto"/>
        <w:rPr>
          <w:rFonts w:ascii="Times New Roman" w:eastAsia="Times New Roman" w:hAnsi="Times New Roman" w:cs="Times New Roman"/>
          <w:sz w:val="28"/>
          <w:szCs w:val="28"/>
          <w:lang w:val="kk-KZ"/>
        </w:rPr>
      </w:pPr>
    </w:p>
    <w:p w14:paraId="1CDC447C" w14:textId="5346C13F" w:rsidR="008D6979" w:rsidRPr="001935D0" w:rsidRDefault="00BF7A2D" w:rsidP="00593711">
      <w:pPr>
        <w:spacing w:after="0" w:line="240" w:lineRule="auto"/>
        <w:jc w:val="center"/>
        <w:rPr>
          <w:rFonts w:ascii="Times New Roman" w:eastAsia="Times New Roman" w:hAnsi="Times New Roman" w:cs="Times New Roman"/>
          <w:b/>
          <w:bCs/>
          <w:sz w:val="28"/>
          <w:szCs w:val="28"/>
          <w:lang w:val="kk-KZ"/>
        </w:rPr>
      </w:pPr>
      <w:r w:rsidRPr="001935D0">
        <w:rPr>
          <w:rFonts w:ascii="Times New Roman" w:eastAsia="Times New Roman" w:hAnsi="Times New Roman" w:cs="Times New Roman"/>
          <w:b/>
          <w:bCs/>
          <w:sz w:val="28"/>
          <w:szCs w:val="28"/>
        </w:rPr>
        <w:t>МАЛГАЖДАРОВА МЕРУЕРТ</w:t>
      </w:r>
      <w:r w:rsidRPr="001935D0">
        <w:rPr>
          <w:rFonts w:ascii="Times New Roman" w:eastAsia="Times New Roman" w:hAnsi="Times New Roman" w:cs="Times New Roman"/>
          <w:b/>
          <w:bCs/>
          <w:sz w:val="28"/>
          <w:szCs w:val="28"/>
          <w:lang w:val="kk-KZ"/>
        </w:rPr>
        <w:t xml:space="preserve"> МҰРАТЖАНҚЫЗЫ</w:t>
      </w:r>
    </w:p>
    <w:p w14:paraId="5F48257D" w14:textId="77777777" w:rsidR="00BF7A2D" w:rsidRDefault="00BF7A2D" w:rsidP="00593711">
      <w:pPr>
        <w:spacing w:after="0" w:line="240" w:lineRule="auto"/>
        <w:jc w:val="center"/>
        <w:rPr>
          <w:rFonts w:ascii="Times New Roman" w:hAnsi="Times New Roman" w:cs="Times New Roman"/>
          <w:b/>
          <w:bCs/>
          <w:sz w:val="28"/>
          <w:szCs w:val="28"/>
          <w:lang w:val="kk-KZ"/>
        </w:rPr>
      </w:pPr>
    </w:p>
    <w:p w14:paraId="1EE30A12" w14:textId="77777777" w:rsidR="00BF7A2D" w:rsidRDefault="00BF7A2D" w:rsidP="00593711">
      <w:pPr>
        <w:spacing w:after="0" w:line="240" w:lineRule="auto"/>
        <w:jc w:val="center"/>
        <w:rPr>
          <w:rFonts w:ascii="Times New Roman" w:hAnsi="Times New Roman" w:cs="Times New Roman"/>
          <w:b/>
          <w:bCs/>
          <w:sz w:val="28"/>
          <w:szCs w:val="28"/>
          <w:lang w:val="kk-KZ"/>
        </w:rPr>
      </w:pPr>
    </w:p>
    <w:p w14:paraId="6DD31B3A" w14:textId="77777777" w:rsidR="00BF7A2D" w:rsidRDefault="00BF7A2D" w:rsidP="00593711">
      <w:pPr>
        <w:spacing w:after="0" w:line="240" w:lineRule="auto"/>
        <w:jc w:val="center"/>
        <w:rPr>
          <w:rFonts w:ascii="Times New Roman" w:hAnsi="Times New Roman" w:cs="Times New Roman"/>
          <w:b/>
          <w:bCs/>
          <w:sz w:val="28"/>
          <w:szCs w:val="28"/>
          <w:lang w:val="kk-KZ"/>
        </w:rPr>
      </w:pPr>
    </w:p>
    <w:p w14:paraId="493C1254" w14:textId="77777777" w:rsidR="008D6979" w:rsidRPr="001935D0" w:rsidRDefault="008D6979" w:rsidP="00593711">
      <w:pPr>
        <w:spacing w:after="0" w:line="240" w:lineRule="auto"/>
        <w:jc w:val="center"/>
        <w:rPr>
          <w:rFonts w:ascii="Times New Roman" w:hAnsi="Times New Roman" w:cs="Times New Roman"/>
          <w:b/>
          <w:bCs/>
          <w:sz w:val="28"/>
          <w:szCs w:val="28"/>
        </w:rPr>
      </w:pPr>
      <w:r w:rsidRPr="001935D0">
        <w:rPr>
          <w:rFonts w:ascii="Times New Roman" w:hAnsi="Times New Roman" w:cs="Times New Roman"/>
          <w:b/>
          <w:bCs/>
          <w:sz w:val="28"/>
          <w:szCs w:val="28"/>
        </w:rPr>
        <w:t xml:space="preserve">Права человека в новой геополитической повестке </w:t>
      </w:r>
      <w:r w:rsidRPr="001935D0">
        <w:rPr>
          <w:rFonts w:ascii="Times New Roman" w:hAnsi="Times New Roman" w:cs="Times New Roman"/>
          <w:b/>
          <w:bCs/>
          <w:sz w:val="28"/>
          <w:szCs w:val="28"/>
          <w:lang w:val="kk-KZ"/>
        </w:rPr>
        <w:t xml:space="preserve">дня </w:t>
      </w:r>
      <w:r w:rsidRPr="001935D0">
        <w:rPr>
          <w:rFonts w:ascii="Times New Roman" w:hAnsi="Times New Roman" w:cs="Times New Roman"/>
          <w:b/>
          <w:bCs/>
          <w:sz w:val="28"/>
          <w:szCs w:val="28"/>
        </w:rPr>
        <w:t>ЕС: инструменты, риски и перспективы реализации</w:t>
      </w:r>
    </w:p>
    <w:p w14:paraId="2097ECB8" w14:textId="77777777" w:rsidR="008D6979" w:rsidRDefault="008D6979" w:rsidP="00593711">
      <w:pPr>
        <w:spacing w:after="0" w:line="240" w:lineRule="auto"/>
        <w:jc w:val="center"/>
        <w:rPr>
          <w:rFonts w:ascii="Times New Roman" w:eastAsia="Times New Roman" w:hAnsi="Times New Roman" w:cs="Times New Roman"/>
          <w:sz w:val="28"/>
          <w:szCs w:val="28"/>
          <w:lang w:val="kk-KZ"/>
        </w:rPr>
      </w:pPr>
    </w:p>
    <w:p w14:paraId="5C705D89" w14:textId="77777777" w:rsidR="00BF7A2D" w:rsidRPr="00BF7A2D" w:rsidRDefault="00BF7A2D" w:rsidP="00593711">
      <w:pPr>
        <w:spacing w:after="0" w:line="240" w:lineRule="auto"/>
        <w:jc w:val="center"/>
        <w:rPr>
          <w:rFonts w:ascii="Times New Roman" w:eastAsia="Times New Roman" w:hAnsi="Times New Roman" w:cs="Times New Roman"/>
          <w:sz w:val="28"/>
          <w:szCs w:val="28"/>
          <w:lang w:val="kk-KZ"/>
        </w:rPr>
      </w:pPr>
    </w:p>
    <w:p w14:paraId="7F611E44" w14:textId="77777777" w:rsidR="008D6979" w:rsidRPr="001935D0" w:rsidRDefault="008D6979" w:rsidP="00593711">
      <w:pPr>
        <w:spacing w:after="0" w:line="240" w:lineRule="auto"/>
        <w:jc w:val="center"/>
        <w:rPr>
          <w:rFonts w:ascii="Times New Roman" w:eastAsia="Times New Roman" w:hAnsi="Times New Roman" w:cs="Times New Roman"/>
          <w:sz w:val="28"/>
          <w:szCs w:val="28"/>
        </w:rPr>
      </w:pPr>
    </w:p>
    <w:p w14:paraId="4BD30539" w14:textId="6B2BF6A8" w:rsidR="008D6979" w:rsidRPr="001935D0" w:rsidRDefault="008D6979" w:rsidP="00593711">
      <w:pPr>
        <w:spacing w:after="0" w:line="240" w:lineRule="auto"/>
        <w:jc w:val="center"/>
        <w:rPr>
          <w:rFonts w:ascii="Times New Roman" w:eastAsia="Times New Roman" w:hAnsi="Times New Roman" w:cs="Times New Roman"/>
          <w:sz w:val="28"/>
          <w:szCs w:val="28"/>
        </w:rPr>
      </w:pPr>
      <w:r w:rsidRPr="001935D0">
        <w:rPr>
          <w:rFonts w:ascii="Times New Roman" w:eastAsia="Times New Roman" w:hAnsi="Times New Roman" w:cs="Times New Roman"/>
          <w:sz w:val="28"/>
          <w:szCs w:val="28"/>
        </w:rPr>
        <w:t>8</w:t>
      </w:r>
      <w:r w:rsidRPr="001935D0">
        <w:rPr>
          <w:rFonts w:ascii="Times New Roman" w:eastAsia="Times New Roman" w:hAnsi="Times New Roman" w:cs="Times New Roman"/>
          <w:sz w:val="28"/>
          <w:szCs w:val="28"/>
          <w:lang w:val="en-US"/>
        </w:rPr>
        <w:t>D</w:t>
      </w:r>
      <w:r w:rsidRPr="001935D0">
        <w:rPr>
          <w:rFonts w:ascii="Times New Roman" w:eastAsia="Times New Roman" w:hAnsi="Times New Roman" w:cs="Times New Roman"/>
          <w:sz w:val="28"/>
          <w:szCs w:val="28"/>
        </w:rPr>
        <w:t>03102</w:t>
      </w:r>
      <w:r w:rsidR="00BF7A2D">
        <w:rPr>
          <w:rFonts w:ascii="Times New Roman" w:eastAsia="Times New Roman" w:hAnsi="Times New Roman" w:cs="Times New Roman"/>
          <w:sz w:val="28"/>
          <w:szCs w:val="28"/>
          <w:lang w:val="kk-KZ"/>
        </w:rPr>
        <w:t xml:space="preserve"> </w:t>
      </w:r>
      <w:r w:rsidR="00BF7A2D">
        <w:rPr>
          <w:rFonts w:ascii="Times New Roman" w:eastAsia="Times New Roman" w:hAnsi="Times New Roman" w:cs="Times New Roman"/>
          <w:sz w:val="28"/>
          <w:szCs w:val="28"/>
        </w:rPr>
        <w:t>‒</w:t>
      </w:r>
      <w:r w:rsidRPr="001935D0">
        <w:rPr>
          <w:rFonts w:ascii="Times New Roman" w:eastAsia="Times New Roman" w:hAnsi="Times New Roman" w:cs="Times New Roman"/>
          <w:sz w:val="28"/>
          <w:szCs w:val="28"/>
        </w:rPr>
        <w:t xml:space="preserve"> Международные отношения </w:t>
      </w:r>
    </w:p>
    <w:p w14:paraId="797C328C" w14:textId="77777777" w:rsidR="008D6979" w:rsidRDefault="008D6979" w:rsidP="00593711">
      <w:pPr>
        <w:spacing w:after="0" w:line="240" w:lineRule="auto"/>
        <w:jc w:val="center"/>
        <w:rPr>
          <w:rFonts w:ascii="Times New Roman" w:eastAsia="Times New Roman" w:hAnsi="Times New Roman" w:cs="Times New Roman"/>
          <w:sz w:val="28"/>
          <w:szCs w:val="28"/>
          <w:lang w:val="kk-KZ"/>
        </w:rPr>
      </w:pPr>
    </w:p>
    <w:p w14:paraId="10A2695F" w14:textId="77777777" w:rsidR="00BF7A2D" w:rsidRDefault="00BF7A2D" w:rsidP="00593711">
      <w:pPr>
        <w:spacing w:after="0" w:line="240" w:lineRule="auto"/>
        <w:jc w:val="center"/>
        <w:rPr>
          <w:rFonts w:ascii="Times New Roman" w:eastAsia="Times New Roman" w:hAnsi="Times New Roman" w:cs="Times New Roman"/>
          <w:sz w:val="28"/>
          <w:szCs w:val="28"/>
          <w:lang w:val="kk-KZ"/>
        </w:rPr>
      </w:pPr>
    </w:p>
    <w:p w14:paraId="41B10900" w14:textId="77777777" w:rsidR="00BF7A2D" w:rsidRPr="00BF7A2D" w:rsidRDefault="00BF7A2D" w:rsidP="00593711">
      <w:pPr>
        <w:spacing w:after="0" w:line="240" w:lineRule="auto"/>
        <w:jc w:val="center"/>
        <w:rPr>
          <w:rFonts w:ascii="Times New Roman" w:eastAsia="Times New Roman" w:hAnsi="Times New Roman" w:cs="Times New Roman"/>
          <w:sz w:val="28"/>
          <w:szCs w:val="28"/>
          <w:lang w:val="kk-KZ"/>
        </w:rPr>
      </w:pPr>
    </w:p>
    <w:p w14:paraId="5D06AFC1" w14:textId="77777777" w:rsidR="00BF7A2D" w:rsidRDefault="008D6979" w:rsidP="00593711">
      <w:pPr>
        <w:spacing w:after="0" w:line="240" w:lineRule="auto"/>
        <w:jc w:val="center"/>
        <w:rPr>
          <w:rFonts w:ascii="Times New Roman" w:eastAsia="Times New Roman" w:hAnsi="Times New Roman" w:cs="Times New Roman"/>
          <w:sz w:val="28"/>
          <w:szCs w:val="28"/>
          <w:lang w:val="kk-KZ"/>
        </w:rPr>
      </w:pPr>
      <w:r w:rsidRPr="001935D0">
        <w:rPr>
          <w:rFonts w:ascii="Times New Roman" w:eastAsia="Times New Roman" w:hAnsi="Times New Roman" w:cs="Times New Roman"/>
          <w:sz w:val="28"/>
          <w:szCs w:val="28"/>
        </w:rPr>
        <w:t xml:space="preserve">Диссертация на соискание степени </w:t>
      </w:r>
    </w:p>
    <w:p w14:paraId="2CAC12B5" w14:textId="64916A09" w:rsidR="008D6979" w:rsidRPr="001935D0" w:rsidRDefault="008D6979" w:rsidP="00593711">
      <w:pPr>
        <w:spacing w:after="0" w:line="240" w:lineRule="auto"/>
        <w:jc w:val="center"/>
        <w:rPr>
          <w:rFonts w:ascii="Times New Roman" w:eastAsia="Times New Roman" w:hAnsi="Times New Roman" w:cs="Times New Roman"/>
          <w:sz w:val="28"/>
          <w:szCs w:val="28"/>
        </w:rPr>
      </w:pPr>
      <w:r w:rsidRPr="001935D0">
        <w:rPr>
          <w:rFonts w:ascii="Times New Roman" w:eastAsia="Times New Roman" w:hAnsi="Times New Roman" w:cs="Times New Roman"/>
          <w:sz w:val="28"/>
          <w:szCs w:val="28"/>
        </w:rPr>
        <w:t>доктора философии (</w:t>
      </w:r>
      <w:r w:rsidRPr="001935D0">
        <w:rPr>
          <w:rFonts w:ascii="Times New Roman" w:eastAsia="Times New Roman" w:hAnsi="Times New Roman" w:cs="Times New Roman"/>
          <w:sz w:val="28"/>
          <w:szCs w:val="28"/>
          <w:lang w:val="en-US"/>
        </w:rPr>
        <w:t>PhD</w:t>
      </w:r>
      <w:r w:rsidRPr="001935D0">
        <w:rPr>
          <w:rFonts w:ascii="Times New Roman" w:eastAsia="Times New Roman" w:hAnsi="Times New Roman" w:cs="Times New Roman"/>
          <w:sz w:val="28"/>
          <w:szCs w:val="28"/>
        </w:rPr>
        <w:t>)</w:t>
      </w:r>
    </w:p>
    <w:p w14:paraId="60566851" w14:textId="77777777" w:rsidR="008D6979" w:rsidRDefault="008D6979" w:rsidP="00593711">
      <w:pPr>
        <w:spacing w:after="0" w:line="240" w:lineRule="auto"/>
        <w:jc w:val="center"/>
        <w:rPr>
          <w:rFonts w:ascii="Times New Roman" w:eastAsia="Times New Roman" w:hAnsi="Times New Roman" w:cs="Times New Roman"/>
          <w:sz w:val="28"/>
          <w:szCs w:val="28"/>
          <w:lang w:val="kk-KZ"/>
        </w:rPr>
      </w:pPr>
    </w:p>
    <w:p w14:paraId="399DBCD4" w14:textId="77777777" w:rsidR="00BF7A2D" w:rsidRDefault="00BF7A2D" w:rsidP="00593711">
      <w:pPr>
        <w:spacing w:after="0" w:line="240" w:lineRule="auto"/>
        <w:jc w:val="center"/>
        <w:rPr>
          <w:rFonts w:ascii="Times New Roman" w:eastAsia="Times New Roman" w:hAnsi="Times New Roman" w:cs="Times New Roman"/>
          <w:sz w:val="28"/>
          <w:szCs w:val="28"/>
          <w:lang w:val="kk-KZ"/>
        </w:rPr>
      </w:pPr>
    </w:p>
    <w:p w14:paraId="7361D785" w14:textId="77777777" w:rsidR="00BF7A2D" w:rsidRPr="00BF7A2D" w:rsidRDefault="00BF7A2D" w:rsidP="00593711">
      <w:pPr>
        <w:spacing w:after="0" w:line="240" w:lineRule="auto"/>
        <w:jc w:val="center"/>
        <w:rPr>
          <w:rFonts w:ascii="Times New Roman" w:eastAsia="Times New Roman" w:hAnsi="Times New Roman" w:cs="Times New Roman"/>
          <w:sz w:val="28"/>
          <w:szCs w:val="28"/>
          <w:lang w:val="kk-KZ"/>
        </w:rPr>
      </w:pPr>
    </w:p>
    <w:p w14:paraId="6DECDEF6" w14:textId="77777777" w:rsidR="008D6979" w:rsidRPr="001935D0" w:rsidRDefault="008D6979" w:rsidP="00593711">
      <w:pPr>
        <w:spacing w:after="0" w:line="240" w:lineRule="auto"/>
        <w:jc w:val="right"/>
        <w:rPr>
          <w:rFonts w:ascii="Times New Roman" w:eastAsia="Times New Roman" w:hAnsi="Times New Roman" w:cs="Times New Roman"/>
          <w:sz w:val="28"/>
          <w:szCs w:val="28"/>
        </w:rPr>
      </w:pPr>
      <w:r w:rsidRPr="001935D0">
        <w:rPr>
          <w:rFonts w:ascii="Times New Roman" w:eastAsia="Times New Roman" w:hAnsi="Times New Roman" w:cs="Times New Roman"/>
          <w:sz w:val="28"/>
          <w:szCs w:val="28"/>
        </w:rPr>
        <w:t>Научный консультант</w:t>
      </w:r>
    </w:p>
    <w:p w14:paraId="234BD9D4" w14:textId="232DD8F7" w:rsidR="00BF7A2D" w:rsidRDefault="00BF7A2D" w:rsidP="00593711">
      <w:pPr>
        <w:spacing w:after="0" w:line="240" w:lineRule="auto"/>
        <w:jc w:val="right"/>
        <w:rPr>
          <w:rFonts w:ascii="Times New Roman" w:eastAsia="Times New Roman" w:hAnsi="Times New Roman" w:cs="Times New Roman"/>
          <w:sz w:val="28"/>
          <w:szCs w:val="28"/>
          <w:lang w:val="kk-KZ"/>
        </w:rPr>
      </w:pPr>
      <w:r w:rsidRPr="001935D0">
        <w:rPr>
          <w:rFonts w:ascii="Times New Roman" w:eastAsia="Times New Roman" w:hAnsi="Times New Roman" w:cs="Times New Roman"/>
          <w:sz w:val="28"/>
          <w:szCs w:val="28"/>
        </w:rPr>
        <w:t>к</w:t>
      </w:r>
      <w:r>
        <w:rPr>
          <w:rFonts w:ascii="Times New Roman" w:eastAsia="Times New Roman" w:hAnsi="Times New Roman" w:cs="Times New Roman"/>
          <w:sz w:val="28"/>
          <w:szCs w:val="28"/>
          <w:lang w:val="kk-KZ"/>
        </w:rPr>
        <w:t xml:space="preserve">андидат </w:t>
      </w:r>
      <w:r w:rsidRPr="001935D0">
        <w:rPr>
          <w:rFonts w:ascii="Times New Roman" w:eastAsia="Times New Roman" w:hAnsi="Times New Roman" w:cs="Times New Roman"/>
          <w:sz w:val="28"/>
          <w:szCs w:val="28"/>
        </w:rPr>
        <w:t>и</w:t>
      </w:r>
      <w:r>
        <w:rPr>
          <w:rFonts w:ascii="Times New Roman" w:eastAsia="Times New Roman" w:hAnsi="Times New Roman" w:cs="Times New Roman"/>
          <w:sz w:val="28"/>
          <w:szCs w:val="28"/>
          <w:lang w:val="kk-KZ"/>
        </w:rPr>
        <w:t xml:space="preserve">сторических </w:t>
      </w:r>
      <w:r w:rsidRPr="001935D0">
        <w:rPr>
          <w:rFonts w:ascii="Times New Roman" w:eastAsia="Times New Roman" w:hAnsi="Times New Roman" w:cs="Times New Roman"/>
          <w:sz w:val="28"/>
          <w:szCs w:val="28"/>
        </w:rPr>
        <w:t>н</w:t>
      </w:r>
      <w:r>
        <w:rPr>
          <w:rFonts w:ascii="Times New Roman" w:eastAsia="Times New Roman" w:hAnsi="Times New Roman" w:cs="Times New Roman"/>
          <w:sz w:val="28"/>
          <w:szCs w:val="28"/>
          <w:lang w:val="kk-KZ"/>
        </w:rPr>
        <w:t>аук</w:t>
      </w:r>
      <w:r w:rsidRPr="001935D0">
        <w:rPr>
          <w:rFonts w:ascii="Times New Roman" w:eastAsia="Times New Roman" w:hAnsi="Times New Roman" w:cs="Times New Roman"/>
          <w:sz w:val="28"/>
          <w:szCs w:val="28"/>
        </w:rPr>
        <w:t xml:space="preserve">, </w:t>
      </w:r>
    </w:p>
    <w:p w14:paraId="3D8B47BC" w14:textId="2FF06E63" w:rsidR="00BF7A2D" w:rsidRPr="001935D0" w:rsidRDefault="00BF7A2D" w:rsidP="00593711">
      <w:pPr>
        <w:spacing w:after="0" w:line="240" w:lineRule="auto"/>
        <w:jc w:val="right"/>
        <w:rPr>
          <w:rFonts w:ascii="Times New Roman" w:eastAsia="Times New Roman" w:hAnsi="Times New Roman" w:cs="Times New Roman"/>
          <w:sz w:val="28"/>
          <w:szCs w:val="28"/>
        </w:rPr>
      </w:pPr>
      <w:r w:rsidRPr="001935D0">
        <w:rPr>
          <w:rFonts w:ascii="Times New Roman" w:eastAsia="Times New Roman" w:hAnsi="Times New Roman" w:cs="Times New Roman"/>
          <w:sz w:val="28"/>
          <w:szCs w:val="28"/>
        </w:rPr>
        <w:t xml:space="preserve">и.о. профессор </w:t>
      </w:r>
    </w:p>
    <w:p w14:paraId="33328704" w14:textId="16C479AC" w:rsidR="008D6979" w:rsidRPr="00BF7A2D" w:rsidRDefault="00BF7A2D" w:rsidP="00593711">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С.М.</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Нурдавлетова </w:t>
      </w:r>
    </w:p>
    <w:p w14:paraId="1C46B0AC" w14:textId="77777777" w:rsidR="008D6979" w:rsidRPr="00BF7A2D" w:rsidRDefault="008D6979" w:rsidP="00593711">
      <w:pPr>
        <w:spacing w:after="0" w:line="240" w:lineRule="auto"/>
        <w:jc w:val="right"/>
        <w:rPr>
          <w:rFonts w:ascii="Times New Roman" w:eastAsia="Times New Roman" w:hAnsi="Times New Roman" w:cs="Times New Roman"/>
          <w:sz w:val="16"/>
          <w:szCs w:val="16"/>
        </w:rPr>
      </w:pPr>
    </w:p>
    <w:p w14:paraId="5EF47A11" w14:textId="77777777" w:rsidR="008D6979" w:rsidRPr="00966003" w:rsidRDefault="008D6979" w:rsidP="00593711">
      <w:pPr>
        <w:spacing w:after="0" w:line="240" w:lineRule="auto"/>
        <w:jc w:val="right"/>
        <w:rPr>
          <w:rFonts w:ascii="Times New Roman" w:eastAsia="Times New Roman" w:hAnsi="Times New Roman" w:cs="Times New Roman"/>
          <w:sz w:val="28"/>
          <w:szCs w:val="28"/>
          <w:lang w:val="kk-KZ"/>
        </w:rPr>
      </w:pPr>
      <w:r w:rsidRPr="00966003">
        <w:rPr>
          <w:rFonts w:ascii="Times New Roman" w:eastAsia="Times New Roman" w:hAnsi="Times New Roman" w:cs="Times New Roman"/>
          <w:sz w:val="28"/>
          <w:szCs w:val="28"/>
        </w:rPr>
        <w:t>Зарубежный консультант</w:t>
      </w:r>
    </w:p>
    <w:p w14:paraId="423F883C" w14:textId="51AC3EF5" w:rsidR="00BF7A2D" w:rsidRPr="00966003" w:rsidRDefault="00BF7A2D" w:rsidP="00593711">
      <w:pPr>
        <w:spacing w:after="0" w:line="240" w:lineRule="auto"/>
        <w:jc w:val="right"/>
        <w:rPr>
          <w:rFonts w:ascii="Times New Roman" w:eastAsia="Times New Roman" w:hAnsi="Times New Roman" w:cs="Times New Roman"/>
          <w:sz w:val="28"/>
          <w:szCs w:val="28"/>
          <w:lang w:val="kk-KZ"/>
        </w:rPr>
      </w:pPr>
      <w:r w:rsidRPr="00966003">
        <w:rPr>
          <w:rFonts w:ascii="Times New Roman" w:eastAsia="Times New Roman" w:hAnsi="Times New Roman" w:cs="Times New Roman"/>
          <w:sz w:val="28"/>
          <w:szCs w:val="28"/>
          <w:lang w:val="kk-KZ"/>
        </w:rPr>
        <w:t xml:space="preserve">доктор </w:t>
      </w:r>
      <w:r w:rsidRPr="00966003">
        <w:rPr>
          <w:rFonts w:ascii="Times New Roman" w:eastAsia="Times New Roman" w:hAnsi="Times New Roman" w:cs="Times New Roman"/>
          <w:sz w:val="28"/>
          <w:szCs w:val="28"/>
          <w:lang w:val="en-US"/>
        </w:rPr>
        <w:t>PhD</w:t>
      </w:r>
      <w:r w:rsidRPr="00966003">
        <w:rPr>
          <w:rFonts w:ascii="Times New Roman" w:eastAsia="Times New Roman" w:hAnsi="Times New Roman" w:cs="Times New Roman"/>
          <w:sz w:val="28"/>
          <w:szCs w:val="28"/>
        </w:rPr>
        <w:t xml:space="preserve">, </w:t>
      </w:r>
    </w:p>
    <w:p w14:paraId="26A926BB" w14:textId="502FBC01" w:rsidR="00BF7A2D" w:rsidRPr="001935D0" w:rsidRDefault="00385C17" w:rsidP="00593711">
      <w:pPr>
        <w:spacing w:after="0" w:line="240" w:lineRule="auto"/>
        <w:jc w:val="right"/>
        <w:rPr>
          <w:rFonts w:ascii="Times New Roman" w:eastAsia="Times New Roman" w:hAnsi="Times New Roman" w:cs="Times New Roman"/>
          <w:sz w:val="28"/>
          <w:szCs w:val="28"/>
        </w:rPr>
      </w:pPr>
      <w:r w:rsidRPr="00966003">
        <w:rPr>
          <w:rFonts w:ascii="Times New Roman" w:eastAsia="Times New Roman" w:hAnsi="Times New Roman" w:cs="Times New Roman"/>
          <w:sz w:val="28"/>
          <w:szCs w:val="28"/>
          <w:lang w:val="kk-KZ"/>
        </w:rPr>
        <w:t>доцент,</w:t>
      </w:r>
      <w:r w:rsidR="00BF7A2D" w:rsidRPr="001935D0">
        <w:rPr>
          <w:rFonts w:ascii="Times New Roman" w:eastAsia="Times New Roman" w:hAnsi="Times New Roman" w:cs="Times New Roman"/>
          <w:sz w:val="28"/>
          <w:szCs w:val="28"/>
        </w:rPr>
        <w:t xml:space="preserve"> </w:t>
      </w:r>
    </w:p>
    <w:p w14:paraId="63FBD83B" w14:textId="7AC752F8" w:rsidR="008D6979" w:rsidRPr="001935D0" w:rsidRDefault="008D6979" w:rsidP="00593711">
      <w:pPr>
        <w:spacing w:after="0" w:line="240" w:lineRule="auto"/>
        <w:jc w:val="right"/>
        <w:rPr>
          <w:rFonts w:ascii="Times New Roman" w:eastAsia="Times New Roman" w:hAnsi="Times New Roman" w:cs="Times New Roman"/>
          <w:sz w:val="28"/>
          <w:szCs w:val="28"/>
        </w:rPr>
      </w:pPr>
      <w:r w:rsidRPr="001935D0">
        <w:rPr>
          <w:rFonts w:ascii="Times New Roman" w:eastAsia="Times New Roman" w:hAnsi="Times New Roman" w:cs="Times New Roman"/>
          <w:sz w:val="28"/>
          <w:szCs w:val="28"/>
        </w:rPr>
        <w:t>Т</w:t>
      </w:r>
      <w:r w:rsidR="00BF7A2D">
        <w:rPr>
          <w:rFonts w:ascii="Times New Roman" w:eastAsia="Times New Roman" w:hAnsi="Times New Roman" w:cs="Times New Roman"/>
          <w:sz w:val="28"/>
          <w:szCs w:val="28"/>
          <w:lang w:val="kk-KZ"/>
        </w:rPr>
        <w:t>.</w:t>
      </w:r>
      <w:r w:rsidRPr="001935D0">
        <w:rPr>
          <w:rFonts w:ascii="Times New Roman" w:eastAsia="Times New Roman" w:hAnsi="Times New Roman" w:cs="Times New Roman"/>
          <w:sz w:val="28"/>
          <w:szCs w:val="28"/>
        </w:rPr>
        <w:t xml:space="preserve"> Секулич</w:t>
      </w:r>
    </w:p>
    <w:p w14:paraId="4694D900" w14:textId="6F075AE1" w:rsidR="008D6979" w:rsidRPr="00BF7A2D" w:rsidRDefault="00BF7A2D" w:rsidP="00593711">
      <w:pPr>
        <w:spacing w:after="0" w:line="240" w:lineRule="auto"/>
        <w:jc w:val="righ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8D6979" w:rsidRPr="001935D0">
        <w:rPr>
          <w:rFonts w:ascii="Times New Roman" w:eastAsia="Times New Roman" w:hAnsi="Times New Roman" w:cs="Times New Roman"/>
          <w:sz w:val="28"/>
          <w:szCs w:val="28"/>
        </w:rPr>
        <w:t>Миланский университет-Бикокка</w:t>
      </w:r>
      <w:r>
        <w:rPr>
          <w:rFonts w:ascii="Times New Roman" w:eastAsia="Times New Roman" w:hAnsi="Times New Roman" w:cs="Times New Roman"/>
          <w:sz w:val="28"/>
          <w:szCs w:val="28"/>
          <w:lang w:val="kk-KZ"/>
        </w:rPr>
        <w:t>)</w:t>
      </w:r>
    </w:p>
    <w:p w14:paraId="5755AADE" w14:textId="77777777" w:rsidR="008D6979" w:rsidRPr="001935D0" w:rsidRDefault="008D6979" w:rsidP="00593711">
      <w:pPr>
        <w:spacing w:after="0" w:line="240" w:lineRule="auto"/>
        <w:jc w:val="right"/>
        <w:rPr>
          <w:rFonts w:ascii="Times New Roman" w:eastAsia="Times New Roman" w:hAnsi="Times New Roman" w:cs="Times New Roman"/>
          <w:sz w:val="28"/>
          <w:szCs w:val="28"/>
        </w:rPr>
      </w:pPr>
    </w:p>
    <w:p w14:paraId="0C88E6A3" w14:textId="77777777" w:rsidR="008D6979" w:rsidRPr="001935D0" w:rsidRDefault="008D6979" w:rsidP="00593711">
      <w:pPr>
        <w:spacing w:after="0" w:line="240" w:lineRule="auto"/>
        <w:jc w:val="right"/>
        <w:rPr>
          <w:rFonts w:ascii="Times New Roman" w:eastAsia="Times New Roman" w:hAnsi="Times New Roman" w:cs="Times New Roman"/>
          <w:sz w:val="28"/>
          <w:szCs w:val="28"/>
        </w:rPr>
      </w:pPr>
    </w:p>
    <w:p w14:paraId="7B04A279" w14:textId="77777777" w:rsidR="008D6979" w:rsidRPr="001935D0" w:rsidRDefault="008D6979" w:rsidP="00593711">
      <w:pPr>
        <w:spacing w:after="0" w:line="240" w:lineRule="auto"/>
        <w:jc w:val="right"/>
        <w:rPr>
          <w:rFonts w:ascii="Times New Roman" w:eastAsia="Times New Roman" w:hAnsi="Times New Roman" w:cs="Times New Roman"/>
          <w:sz w:val="28"/>
          <w:szCs w:val="28"/>
        </w:rPr>
      </w:pPr>
    </w:p>
    <w:p w14:paraId="7BDA030D" w14:textId="77777777" w:rsidR="008D6979" w:rsidRPr="001935D0" w:rsidRDefault="008D6979" w:rsidP="00593711">
      <w:pPr>
        <w:spacing w:after="0" w:line="240" w:lineRule="auto"/>
        <w:jc w:val="right"/>
        <w:rPr>
          <w:rFonts w:ascii="Times New Roman" w:eastAsia="Times New Roman" w:hAnsi="Times New Roman" w:cs="Times New Roman"/>
          <w:sz w:val="28"/>
          <w:szCs w:val="28"/>
        </w:rPr>
      </w:pPr>
    </w:p>
    <w:p w14:paraId="75B3F6BE" w14:textId="77777777" w:rsidR="008D6979" w:rsidRDefault="008D6979" w:rsidP="00593711">
      <w:pPr>
        <w:spacing w:after="0" w:line="240" w:lineRule="auto"/>
        <w:jc w:val="right"/>
        <w:rPr>
          <w:rFonts w:ascii="Times New Roman" w:eastAsia="Times New Roman" w:hAnsi="Times New Roman" w:cs="Times New Roman"/>
          <w:sz w:val="28"/>
          <w:szCs w:val="28"/>
          <w:lang w:val="kk-KZ"/>
        </w:rPr>
      </w:pPr>
    </w:p>
    <w:p w14:paraId="2F93F898" w14:textId="77777777" w:rsidR="00BF7A2D" w:rsidRDefault="00BF7A2D" w:rsidP="00593711">
      <w:pPr>
        <w:spacing w:after="0" w:line="240" w:lineRule="auto"/>
        <w:jc w:val="right"/>
        <w:rPr>
          <w:rFonts w:ascii="Times New Roman" w:eastAsia="Times New Roman" w:hAnsi="Times New Roman" w:cs="Times New Roman"/>
          <w:sz w:val="28"/>
          <w:szCs w:val="28"/>
          <w:lang w:val="kk-KZ"/>
        </w:rPr>
      </w:pPr>
    </w:p>
    <w:p w14:paraId="5AB4AE7E" w14:textId="77777777" w:rsidR="00BF7A2D" w:rsidRDefault="00BF7A2D" w:rsidP="00593711">
      <w:pPr>
        <w:spacing w:after="0" w:line="240" w:lineRule="auto"/>
        <w:jc w:val="right"/>
        <w:rPr>
          <w:rFonts w:ascii="Times New Roman" w:eastAsia="Times New Roman" w:hAnsi="Times New Roman" w:cs="Times New Roman"/>
          <w:sz w:val="28"/>
          <w:szCs w:val="28"/>
          <w:lang w:val="kk-KZ"/>
        </w:rPr>
      </w:pPr>
    </w:p>
    <w:p w14:paraId="140DBBF4" w14:textId="77777777" w:rsidR="008D6979" w:rsidRPr="001935D0" w:rsidRDefault="008D6979" w:rsidP="00593711">
      <w:pPr>
        <w:spacing w:after="0" w:line="240" w:lineRule="auto"/>
        <w:jc w:val="center"/>
        <w:rPr>
          <w:rFonts w:ascii="Times New Roman" w:eastAsia="Times New Roman" w:hAnsi="Times New Roman" w:cs="Times New Roman"/>
          <w:sz w:val="28"/>
          <w:szCs w:val="28"/>
        </w:rPr>
      </w:pPr>
      <w:r w:rsidRPr="001935D0">
        <w:rPr>
          <w:rFonts w:ascii="Times New Roman" w:eastAsia="Times New Roman" w:hAnsi="Times New Roman" w:cs="Times New Roman"/>
          <w:sz w:val="28"/>
          <w:szCs w:val="28"/>
        </w:rPr>
        <w:t xml:space="preserve">Республика Казахстан </w:t>
      </w:r>
    </w:p>
    <w:p w14:paraId="6DF04CE4" w14:textId="003FEDD7" w:rsidR="008D6979" w:rsidRPr="001935D0" w:rsidRDefault="008D6979" w:rsidP="00593711">
      <w:pPr>
        <w:spacing w:after="0" w:line="240" w:lineRule="auto"/>
        <w:jc w:val="center"/>
        <w:rPr>
          <w:rFonts w:ascii="Times New Roman" w:eastAsia="Times New Roman" w:hAnsi="Times New Roman" w:cs="Times New Roman"/>
          <w:sz w:val="28"/>
          <w:szCs w:val="28"/>
        </w:rPr>
      </w:pPr>
      <w:r w:rsidRPr="001935D0">
        <w:rPr>
          <w:rFonts w:ascii="Times New Roman" w:eastAsia="Times New Roman" w:hAnsi="Times New Roman" w:cs="Times New Roman"/>
          <w:sz w:val="28"/>
          <w:szCs w:val="28"/>
        </w:rPr>
        <w:t>Астана, 202</w:t>
      </w:r>
      <w:r w:rsidR="00BF7A2D">
        <w:rPr>
          <w:rFonts w:ascii="Times New Roman" w:eastAsia="Times New Roman" w:hAnsi="Times New Roman" w:cs="Times New Roman"/>
          <w:sz w:val="28"/>
          <w:szCs w:val="28"/>
          <w:lang w:val="kk-KZ"/>
        </w:rPr>
        <w:t>6</w:t>
      </w:r>
    </w:p>
    <w:p w14:paraId="0D9A0E11" w14:textId="0A85D3CE" w:rsidR="00B81797" w:rsidRDefault="001B4D8E" w:rsidP="00593711">
      <w:pPr>
        <w:pStyle w:val="NoSpacing"/>
        <w:jc w:val="center"/>
        <w:rPr>
          <w:rFonts w:ascii="Times New Roman" w:hAnsi="Times New Roman" w:cs="Times New Roman"/>
          <w:b/>
          <w:sz w:val="28"/>
          <w:szCs w:val="28"/>
          <w:lang w:val="kk-KZ" w:eastAsia="ru-RU"/>
        </w:rPr>
      </w:pPr>
      <w:r w:rsidRPr="001935D0">
        <w:rPr>
          <w:rFonts w:ascii="Times New Roman" w:hAnsi="Times New Roman" w:cs="Times New Roman"/>
          <w:b/>
          <w:sz w:val="28"/>
          <w:szCs w:val="28"/>
          <w:lang w:val="kk-KZ" w:eastAsia="ru-RU"/>
        </w:rPr>
        <w:lastRenderedPageBreak/>
        <w:t>СОДЕРЖАНИЕ</w:t>
      </w:r>
    </w:p>
    <w:p w14:paraId="1CEA813D" w14:textId="77777777" w:rsidR="00BF7A2D" w:rsidRDefault="00BF7A2D" w:rsidP="00CD5B8D">
      <w:pPr>
        <w:pStyle w:val="NoSpacing"/>
        <w:jc w:val="right"/>
        <w:rPr>
          <w:rFonts w:ascii="Times New Roman" w:hAnsi="Times New Roman" w:cs="Times New Roman"/>
          <w:b/>
          <w:sz w:val="28"/>
          <w:szCs w:val="28"/>
          <w:lang w:val="kk-KZ" w:eastAsia="ru-RU"/>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35"/>
        <w:gridCol w:w="661"/>
      </w:tblGrid>
      <w:tr w:rsidR="00BF7A2D" w14:paraId="124210EE" w14:textId="77777777" w:rsidTr="00CD5B8D">
        <w:trPr>
          <w:jc w:val="center"/>
        </w:trPr>
        <w:tc>
          <w:tcPr>
            <w:tcW w:w="8835" w:type="dxa"/>
          </w:tcPr>
          <w:p w14:paraId="61C23318" w14:textId="71D6BBA2" w:rsidR="00BF7A2D" w:rsidRDefault="00BF7A2D" w:rsidP="00593711">
            <w:pPr>
              <w:pStyle w:val="NoSpacing"/>
              <w:jc w:val="both"/>
              <w:rPr>
                <w:rFonts w:ascii="Times New Roman" w:hAnsi="Times New Roman" w:cs="Times New Roman"/>
                <w:b/>
                <w:sz w:val="28"/>
                <w:szCs w:val="28"/>
                <w:lang w:val="kk-KZ" w:eastAsia="ru-RU"/>
              </w:rPr>
            </w:pPr>
            <w:r w:rsidRPr="00593711">
              <w:rPr>
                <w:rFonts w:ascii="Times New Roman" w:hAnsi="Times New Roman" w:cs="Times New Roman"/>
                <w:b/>
                <w:sz w:val="28"/>
                <w:szCs w:val="28"/>
                <w:lang w:eastAsia="ru-RU"/>
              </w:rPr>
              <w:t>ВВЕДЕНИЕ</w:t>
            </w:r>
            <w:r w:rsidRPr="0015243D">
              <w:rPr>
                <w:rFonts w:ascii="Times New Roman" w:hAnsi="Times New Roman" w:cs="Times New Roman"/>
                <w:sz w:val="28"/>
                <w:szCs w:val="28"/>
                <w:lang w:eastAsia="ru-RU"/>
              </w:rPr>
              <w:t>…………………………………………………………….......</w:t>
            </w:r>
          </w:p>
        </w:tc>
        <w:tc>
          <w:tcPr>
            <w:tcW w:w="661" w:type="dxa"/>
          </w:tcPr>
          <w:p w14:paraId="722F0E3C" w14:textId="742D9C53" w:rsidR="00BF7A2D"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3</w:t>
            </w:r>
          </w:p>
        </w:tc>
      </w:tr>
      <w:tr w:rsidR="00BF7A2D" w14:paraId="45DEC749" w14:textId="77777777" w:rsidTr="00CD5B8D">
        <w:trPr>
          <w:jc w:val="center"/>
        </w:trPr>
        <w:tc>
          <w:tcPr>
            <w:tcW w:w="8835" w:type="dxa"/>
          </w:tcPr>
          <w:p w14:paraId="0B903AFA" w14:textId="3C01DF9A" w:rsidR="00BF7A2D" w:rsidRPr="00593711" w:rsidRDefault="00BF7A2D" w:rsidP="00593711">
            <w:pPr>
              <w:pStyle w:val="NoSpacing"/>
              <w:jc w:val="both"/>
              <w:rPr>
                <w:rFonts w:ascii="Times New Roman" w:hAnsi="Times New Roman" w:cs="Times New Roman"/>
                <w:b/>
                <w:sz w:val="28"/>
                <w:szCs w:val="28"/>
                <w:lang w:val="kk-KZ" w:eastAsia="ru-RU"/>
              </w:rPr>
            </w:pPr>
            <w:r w:rsidRPr="00593711">
              <w:rPr>
                <w:rFonts w:ascii="Times New Roman" w:hAnsi="Times New Roman" w:cs="Times New Roman"/>
                <w:b/>
                <w:sz w:val="28"/>
                <w:szCs w:val="28"/>
                <w:lang w:eastAsia="ru-RU"/>
              </w:rPr>
              <w:t>1 ПРАВА ЧЕЛОВЕКА В НОВОЙ ГЕОПОЛИТИЧЕСКОЙ ПОВЕСТКЕ ЕС: ТЕОРЕТИЧЕСКИЙ И МЕТОДОЛОГИЧЕСКИЙ КОНТЕКСТ</w:t>
            </w:r>
            <w:r w:rsidR="00593711">
              <w:rPr>
                <w:rFonts w:ascii="Times New Roman" w:hAnsi="Times New Roman" w:cs="Times New Roman"/>
                <w:sz w:val="28"/>
                <w:szCs w:val="28"/>
                <w:lang w:val="kk-KZ" w:eastAsia="ru-RU"/>
              </w:rPr>
              <w:t>....................................................................................................</w:t>
            </w:r>
          </w:p>
        </w:tc>
        <w:tc>
          <w:tcPr>
            <w:tcW w:w="661" w:type="dxa"/>
          </w:tcPr>
          <w:p w14:paraId="14D30FEB" w14:textId="77777777" w:rsidR="00BF7A2D" w:rsidRPr="00C57BD3" w:rsidRDefault="00BF7A2D" w:rsidP="00CD5B8D">
            <w:pPr>
              <w:pStyle w:val="NoSpacing"/>
              <w:rPr>
                <w:rFonts w:ascii="Times New Roman" w:hAnsi="Times New Roman" w:cs="Times New Roman"/>
                <w:sz w:val="28"/>
                <w:szCs w:val="28"/>
                <w:lang w:eastAsia="ru-RU"/>
              </w:rPr>
            </w:pPr>
          </w:p>
          <w:p w14:paraId="00167647" w14:textId="77777777" w:rsidR="000C23D7" w:rsidRPr="00C57BD3" w:rsidRDefault="000C23D7" w:rsidP="00CD5B8D">
            <w:pPr>
              <w:pStyle w:val="NoSpacing"/>
              <w:rPr>
                <w:rFonts w:ascii="Times New Roman" w:hAnsi="Times New Roman" w:cs="Times New Roman"/>
                <w:sz w:val="28"/>
                <w:szCs w:val="28"/>
                <w:lang w:eastAsia="ru-RU"/>
              </w:rPr>
            </w:pPr>
          </w:p>
          <w:p w14:paraId="37334B5C" w14:textId="78C43557"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20</w:t>
            </w:r>
          </w:p>
        </w:tc>
      </w:tr>
      <w:tr w:rsidR="00BF7A2D" w14:paraId="523435E9" w14:textId="77777777" w:rsidTr="00CD5B8D">
        <w:trPr>
          <w:jc w:val="center"/>
        </w:trPr>
        <w:tc>
          <w:tcPr>
            <w:tcW w:w="8835" w:type="dxa"/>
          </w:tcPr>
          <w:p w14:paraId="0E902493" w14:textId="09E72195"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1.1 Трансформация приоритетов Европейского Союза в XXI веке: роль прав человека………</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p>
        </w:tc>
        <w:tc>
          <w:tcPr>
            <w:tcW w:w="661" w:type="dxa"/>
          </w:tcPr>
          <w:p w14:paraId="1A3F499D" w14:textId="77777777" w:rsidR="00BF7A2D" w:rsidRPr="00C57BD3" w:rsidRDefault="00BF7A2D" w:rsidP="00CD5B8D">
            <w:pPr>
              <w:pStyle w:val="NoSpacing"/>
              <w:rPr>
                <w:rFonts w:ascii="Times New Roman" w:hAnsi="Times New Roman" w:cs="Times New Roman"/>
                <w:sz w:val="28"/>
                <w:szCs w:val="28"/>
                <w:lang w:eastAsia="ru-RU"/>
              </w:rPr>
            </w:pPr>
          </w:p>
          <w:p w14:paraId="4AD7C1D7" w14:textId="08F7C8A8"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20</w:t>
            </w:r>
          </w:p>
        </w:tc>
      </w:tr>
      <w:tr w:rsidR="00BF7A2D" w14:paraId="720E592E" w14:textId="77777777" w:rsidTr="00CD5B8D">
        <w:trPr>
          <w:jc w:val="center"/>
        </w:trPr>
        <w:tc>
          <w:tcPr>
            <w:tcW w:w="8835" w:type="dxa"/>
          </w:tcPr>
          <w:p w14:paraId="38051F8F" w14:textId="02F611B7"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1.2 Новый геополитический контекст и инструменты ЕС в сфере прав человека………</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p>
        </w:tc>
        <w:tc>
          <w:tcPr>
            <w:tcW w:w="661" w:type="dxa"/>
          </w:tcPr>
          <w:p w14:paraId="24D9867C" w14:textId="77777777" w:rsidR="00BF7A2D" w:rsidRPr="00C57BD3" w:rsidRDefault="00BF7A2D" w:rsidP="00CD5B8D">
            <w:pPr>
              <w:pStyle w:val="NoSpacing"/>
              <w:rPr>
                <w:rFonts w:ascii="Times New Roman" w:hAnsi="Times New Roman" w:cs="Times New Roman"/>
                <w:sz w:val="28"/>
                <w:szCs w:val="28"/>
                <w:lang w:eastAsia="ru-RU"/>
              </w:rPr>
            </w:pPr>
          </w:p>
          <w:p w14:paraId="37988AB7" w14:textId="48091864"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35</w:t>
            </w:r>
          </w:p>
        </w:tc>
      </w:tr>
      <w:tr w:rsidR="00BF7A2D" w14:paraId="0B540C3F" w14:textId="77777777" w:rsidTr="00CD5B8D">
        <w:trPr>
          <w:jc w:val="center"/>
        </w:trPr>
        <w:tc>
          <w:tcPr>
            <w:tcW w:w="8835" w:type="dxa"/>
          </w:tcPr>
          <w:p w14:paraId="2B803D96" w14:textId="1B94D3DE"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1.3 Методологические подходы к исследованию европейской модели защиты прав человека с точки зрения её применимости в Казахстане</w:t>
            </w:r>
            <w:r w:rsidRPr="0015243D">
              <w:rPr>
                <w:rFonts w:ascii="Times New Roman" w:hAnsi="Times New Roman" w:cs="Times New Roman"/>
                <w:sz w:val="28"/>
                <w:szCs w:val="28"/>
                <w:lang w:val="kk-KZ" w:eastAsia="ru-RU"/>
              </w:rPr>
              <w:t>........</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val="kk-KZ" w:eastAsia="ru-RU"/>
              </w:rPr>
              <w:t>.....................</w:t>
            </w:r>
          </w:p>
        </w:tc>
        <w:tc>
          <w:tcPr>
            <w:tcW w:w="661" w:type="dxa"/>
          </w:tcPr>
          <w:p w14:paraId="1FF989E6" w14:textId="77777777" w:rsidR="00BF7A2D" w:rsidRPr="00C57BD3" w:rsidRDefault="00BF7A2D" w:rsidP="00CD5B8D">
            <w:pPr>
              <w:pStyle w:val="NoSpacing"/>
              <w:rPr>
                <w:rFonts w:ascii="Times New Roman" w:hAnsi="Times New Roman" w:cs="Times New Roman"/>
                <w:sz w:val="28"/>
                <w:szCs w:val="28"/>
                <w:lang w:eastAsia="ru-RU"/>
              </w:rPr>
            </w:pPr>
          </w:p>
          <w:p w14:paraId="432C00AA" w14:textId="77777777" w:rsidR="000C23D7" w:rsidRPr="00C57BD3" w:rsidRDefault="000C23D7" w:rsidP="00CD5B8D">
            <w:pPr>
              <w:pStyle w:val="NoSpacing"/>
              <w:rPr>
                <w:rFonts w:ascii="Times New Roman" w:hAnsi="Times New Roman" w:cs="Times New Roman"/>
                <w:sz w:val="28"/>
                <w:szCs w:val="28"/>
                <w:lang w:eastAsia="ru-RU"/>
              </w:rPr>
            </w:pPr>
          </w:p>
          <w:p w14:paraId="71C77157" w14:textId="0A2257DF"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53</w:t>
            </w:r>
          </w:p>
        </w:tc>
      </w:tr>
      <w:tr w:rsidR="00BF7A2D" w14:paraId="7038390D" w14:textId="77777777" w:rsidTr="00CD5B8D">
        <w:trPr>
          <w:jc w:val="center"/>
        </w:trPr>
        <w:tc>
          <w:tcPr>
            <w:tcW w:w="8835" w:type="dxa"/>
          </w:tcPr>
          <w:p w14:paraId="3266871B" w14:textId="376CCB23"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 xml:space="preserve">Выводы к </w:t>
            </w:r>
            <w:r w:rsidR="00593711">
              <w:rPr>
                <w:rFonts w:ascii="Times New Roman" w:hAnsi="Times New Roman" w:cs="Times New Roman"/>
                <w:sz w:val="28"/>
                <w:szCs w:val="28"/>
                <w:lang w:val="kk-KZ" w:eastAsia="ru-RU"/>
              </w:rPr>
              <w:t>разделу</w:t>
            </w:r>
            <w:r w:rsidRPr="0015243D">
              <w:rPr>
                <w:rFonts w:ascii="Times New Roman" w:hAnsi="Times New Roman" w:cs="Times New Roman"/>
                <w:sz w:val="28"/>
                <w:szCs w:val="28"/>
                <w:lang w:eastAsia="ru-RU"/>
              </w:rPr>
              <w:t xml:space="preserve"> 1…………………</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p>
        </w:tc>
        <w:tc>
          <w:tcPr>
            <w:tcW w:w="661" w:type="dxa"/>
          </w:tcPr>
          <w:p w14:paraId="2259F5D2" w14:textId="6291BEE1" w:rsidR="00BF7A2D"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62</w:t>
            </w:r>
          </w:p>
        </w:tc>
      </w:tr>
      <w:tr w:rsidR="00BF7A2D" w14:paraId="1CAE9CAF" w14:textId="77777777" w:rsidTr="00CD5B8D">
        <w:trPr>
          <w:jc w:val="center"/>
        </w:trPr>
        <w:tc>
          <w:tcPr>
            <w:tcW w:w="8835" w:type="dxa"/>
          </w:tcPr>
          <w:p w14:paraId="37F197AB" w14:textId="061C8A0D" w:rsidR="00BF7A2D" w:rsidRDefault="00BF7A2D" w:rsidP="00593711">
            <w:pPr>
              <w:pStyle w:val="NoSpacing"/>
              <w:jc w:val="both"/>
              <w:rPr>
                <w:rFonts w:ascii="Times New Roman" w:hAnsi="Times New Roman" w:cs="Times New Roman"/>
                <w:b/>
                <w:sz w:val="28"/>
                <w:szCs w:val="28"/>
                <w:lang w:val="kk-KZ" w:eastAsia="ru-RU"/>
              </w:rPr>
            </w:pPr>
            <w:r w:rsidRPr="00593711">
              <w:rPr>
                <w:rFonts w:ascii="Times New Roman" w:hAnsi="Times New Roman" w:cs="Times New Roman"/>
                <w:b/>
                <w:sz w:val="28"/>
                <w:szCs w:val="28"/>
                <w:lang w:eastAsia="ru-RU"/>
              </w:rPr>
              <w:t>2 МОДЕЛЬ ЗАЩИТЫ ПРАВ ЧЕЛОВЕКА В ЕВРОПЕЙСКОМ СОЮЗЕ И ЕЁ РЕАЛИЗАЦИЯ В ТРЕТЬИХ СТРАНАХ: ОПЫТ И ПЕРСПЕКТИВЫ ДЛЯ КАЗАХСТАНА</w:t>
            </w:r>
            <w:r w:rsidRPr="0015243D">
              <w:rPr>
                <w:rFonts w:ascii="Times New Roman" w:hAnsi="Times New Roman" w:cs="Times New Roman"/>
                <w:sz w:val="28"/>
                <w:szCs w:val="28"/>
                <w:lang w:eastAsia="ru-RU"/>
              </w:rPr>
              <w:t>……</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p>
        </w:tc>
        <w:tc>
          <w:tcPr>
            <w:tcW w:w="661" w:type="dxa"/>
          </w:tcPr>
          <w:p w14:paraId="0C54B8C6" w14:textId="77777777" w:rsidR="00BF7A2D" w:rsidRPr="00C57BD3" w:rsidRDefault="00BF7A2D" w:rsidP="00CD5B8D">
            <w:pPr>
              <w:pStyle w:val="NoSpacing"/>
              <w:rPr>
                <w:rFonts w:ascii="Times New Roman" w:hAnsi="Times New Roman" w:cs="Times New Roman"/>
                <w:sz w:val="28"/>
                <w:szCs w:val="28"/>
                <w:lang w:eastAsia="ru-RU"/>
              </w:rPr>
            </w:pPr>
          </w:p>
          <w:p w14:paraId="29414126" w14:textId="77777777" w:rsidR="000C23D7" w:rsidRPr="00C57BD3" w:rsidRDefault="000C23D7" w:rsidP="00CD5B8D">
            <w:pPr>
              <w:pStyle w:val="NoSpacing"/>
              <w:rPr>
                <w:rFonts w:ascii="Times New Roman" w:hAnsi="Times New Roman" w:cs="Times New Roman"/>
                <w:sz w:val="28"/>
                <w:szCs w:val="28"/>
                <w:lang w:eastAsia="ru-RU"/>
              </w:rPr>
            </w:pPr>
          </w:p>
          <w:p w14:paraId="4A543CD5" w14:textId="476D11A4"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64</w:t>
            </w:r>
          </w:p>
        </w:tc>
      </w:tr>
      <w:tr w:rsidR="00BF7A2D" w14:paraId="10CDC0B8" w14:textId="77777777" w:rsidTr="00CD5B8D">
        <w:trPr>
          <w:jc w:val="center"/>
        </w:trPr>
        <w:tc>
          <w:tcPr>
            <w:tcW w:w="8835" w:type="dxa"/>
          </w:tcPr>
          <w:p w14:paraId="71BDAF3A" w14:textId="4833CBC1"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2.1 Нормативно-институциональные основы: хартии, конвенции и ключевые институты ЕС………</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p>
        </w:tc>
        <w:tc>
          <w:tcPr>
            <w:tcW w:w="661" w:type="dxa"/>
          </w:tcPr>
          <w:p w14:paraId="3E4A9B51" w14:textId="77777777" w:rsidR="00BF7A2D" w:rsidRPr="00C57BD3" w:rsidRDefault="00BF7A2D" w:rsidP="00CD5B8D">
            <w:pPr>
              <w:pStyle w:val="NoSpacing"/>
              <w:rPr>
                <w:rFonts w:ascii="Times New Roman" w:hAnsi="Times New Roman" w:cs="Times New Roman"/>
                <w:sz w:val="28"/>
                <w:szCs w:val="28"/>
                <w:lang w:eastAsia="ru-RU"/>
              </w:rPr>
            </w:pPr>
          </w:p>
          <w:p w14:paraId="14F8331E" w14:textId="4F354AFE"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64</w:t>
            </w:r>
          </w:p>
        </w:tc>
      </w:tr>
      <w:tr w:rsidR="00BF7A2D" w:rsidRPr="001304F6" w14:paraId="705B8E58" w14:textId="77777777" w:rsidTr="00CD5B8D">
        <w:trPr>
          <w:jc w:val="center"/>
        </w:trPr>
        <w:tc>
          <w:tcPr>
            <w:tcW w:w="8835" w:type="dxa"/>
          </w:tcPr>
          <w:p w14:paraId="40671CE0" w14:textId="4D2AD0E1"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val="en-US" w:eastAsia="ru-RU"/>
              </w:rPr>
              <w:t xml:space="preserve">2.2 </w:t>
            </w:r>
            <w:r w:rsidRPr="0015243D">
              <w:rPr>
                <w:rFonts w:ascii="Times New Roman" w:hAnsi="Times New Roman" w:cs="Times New Roman"/>
                <w:iCs/>
                <w:sz w:val="28"/>
                <w:szCs w:val="28"/>
                <w:lang w:val="en-US" w:eastAsia="ru-RU"/>
              </w:rPr>
              <w:t>European Union Action Plan on Human Rights and Democracy (2020–2027)</w:t>
            </w:r>
            <w:r w:rsidRPr="0015243D">
              <w:rPr>
                <w:rFonts w:ascii="Times New Roman" w:hAnsi="Times New Roman" w:cs="Times New Roman"/>
                <w:sz w:val="28"/>
                <w:szCs w:val="28"/>
                <w:lang w:val="en-US" w:eastAsia="ru-RU"/>
              </w:rPr>
              <w:t xml:space="preserve">: </w:t>
            </w:r>
            <w:r w:rsidRPr="0015243D">
              <w:rPr>
                <w:rFonts w:ascii="Times New Roman" w:hAnsi="Times New Roman" w:cs="Times New Roman"/>
                <w:sz w:val="28"/>
                <w:szCs w:val="28"/>
                <w:lang w:eastAsia="ru-RU"/>
              </w:rPr>
              <w:t>основные</w:t>
            </w:r>
            <w:r w:rsidRPr="0015243D">
              <w:rPr>
                <w:rFonts w:ascii="Times New Roman" w:hAnsi="Times New Roman" w:cs="Times New Roman"/>
                <w:sz w:val="28"/>
                <w:szCs w:val="28"/>
                <w:lang w:val="en-US" w:eastAsia="ru-RU"/>
              </w:rPr>
              <w:t xml:space="preserve"> </w:t>
            </w:r>
            <w:r w:rsidRPr="0015243D">
              <w:rPr>
                <w:rFonts w:ascii="Times New Roman" w:hAnsi="Times New Roman" w:cs="Times New Roman"/>
                <w:sz w:val="28"/>
                <w:szCs w:val="28"/>
                <w:lang w:eastAsia="ru-RU"/>
              </w:rPr>
              <w:t>положения</w:t>
            </w:r>
            <w:r w:rsidRPr="0015243D">
              <w:rPr>
                <w:rFonts w:ascii="Times New Roman" w:hAnsi="Times New Roman" w:cs="Times New Roman"/>
                <w:sz w:val="28"/>
                <w:szCs w:val="28"/>
                <w:lang w:val="en-US" w:eastAsia="ru-RU"/>
              </w:rPr>
              <w:t xml:space="preserve"> </w:t>
            </w:r>
            <w:r w:rsidRPr="0015243D">
              <w:rPr>
                <w:rFonts w:ascii="Times New Roman" w:hAnsi="Times New Roman" w:cs="Times New Roman"/>
                <w:sz w:val="28"/>
                <w:szCs w:val="28"/>
                <w:lang w:eastAsia="ru-RU"/>
              </w:rPr>
              <w:t>и</w:t>
            </w:r>
            <w:r w:rsidRPr="0015243D">
              <w:rPr>
                <w:rFonts w:ascii="Times New Roman" w:hAnsi="Times New Roman" w:cs="Times New Roman"/>
                <w:sz w:val="28"/>
                <w:szCs w:val="28"/>
                <w:lang w:val="en-US" w:eastAsia="ru-RU"/>
              </w:rPr>
              <w:t xml:space="preserve"> </w:t>
            </w:r>
            <w:r w:rsidRPr="0015243D">
              <w:rPr>
                <w:rFonts w:ascii="Times New Roman" w:hAnsi="Times New Roman" w:cs="Times New Roman"/>
                <w:sz w:val="28"/>
                <w:szCs w:val="28"/>
                <w:lang w:eastAsia="ru-RU"/>
              </w:rPr>
              <w:t>механизмы</w:t>
            </w:r>
            <w:r w:rsidRPr="0015243D">
              <w:rPr>
                <w:rFonts w:ascii="Times New Roman" w:hAnsi="Times New Roman" w:cs="Times New Roman"/>
                <w:sz w:val="28"/>
                <w:szCs w:val="28"/>
                <w:lang w:val="en-US" w:eastAsia="ru-RU"/>
              </w:rPr>
              <w:t>……………………</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val="en-US" w:eastAsia="ru-RU"/>
              </w:rPr>
              <w:t>……….</w:t>
            </w:r>
          </w:p>
        </w:tc>
        <w:tc>
          <w:tcPr>
            <w:tcW w:w="661" w:type="dxa"/>
          </w:tcPr>
          <w:p w14:paraId="21230E8D" w14:textId="77777777" w:rsidR="00BF7A2D" w:rsidRDefault="00BF7A2D" w:rsidP="00CD5B8D">
            <w:pPr>
              <w:pStyle w:val="NoSpacing"/>
              <w:rPr>
                <w:rFonts w:ascii="Times New Roman" w:hAnsi="Times New Roman" w:cs="Times New Roman"/>
                <w:sz w:val="28"/>
                <w:szCs w:val="28"/>
                <w:lang w:val="en-US" w:eastAsia="ru-RU"/>
              </w:rPr>
            </w:pPr>
          </w:p>
          <w:p w14:paraId="4ECB8289" w14:textId="58F1F842"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81</w:t>
            </w:r>
          </w:p>
        </w:tc>
      </w:tr>
      <w:tr w:rsidR="00BF7A2D" w14:paraId="635C91A0" w14:textId="77777777" w:rsidTr="00CD5B8D">
        <w:trPr>
          <w:jc w:val="center"/>
        </w:trPr>
        <w:tc>
          <w:tcPr>
            <w:tcW w:w="8835" w:type="dxa"/>
          </w:tcPr>
          <w:p w14:paraId="0370B83D" w14:textId="44561C71"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2.3 Практика ЕС в сфере прав человека в Центральной Азии и Казахстане</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p>
        </w:tc>
        <w:tc>
          <w:tcPr>
            <w:tcW w:w="661" w:type="dxa"/>
          </w:tcPr>
          <w:p w14:paraId="55CDEF4A" w14:textId="77777777" w:rsidR="00BF7A2D" w:rsidRPr="00C57BD3" w:rsidRDefault="00BF7A2D" w:rsidP="00CD5B8D">
            <w:pPr>
              <w:pStyle w:val="NoSpacing"/>
              <w:rPr>
                <w:rFonts w:ascii="Times New Roman" w:hAnsi="Times New Roman" w:cs="Times New Roman"/>
                <w:sz w:val="28"/>
                <w:szCs w:val="28"/>
                <w:lang w:eastAsia="ru-RU"/>
              </w:rPr>
            </w:pPr>
          </w:p>
          <w:p w14:paraId="1658AFCA" w14:textId="5861D8A0"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95</w:t>
            </w:r>
          </w:p>
        </w:tc>
      </w:tr>
      <w:tr w:rsidR="00BF7A2D" w14:paraId="2887F683" w14:textId="77777777" w:rsidTr="00CD5B8D">
        <w:trPr>
          <w:jc w:val="center"/>
        </w:trPr>
        <w:tc>
          <w:tcPr>
            <w:tcW w:w="8835" w:type="dxa"/>
          </w:tcPr>
          <w:p w14:paraId="714B9EA2" w14:textId="0FE8CD86" w:rsidR="00BF7A2D" w:rsidRPr="00593711"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 xml:space="preserve">Выводы к </w:t>
            </w:r>
            <w:r w:rsidR="00593711">
              <w:rPr>
                <w:rFonts w:ascii="Times New Roman" w:hAnsi="Times New Roman" w:cs="Times New Roman"/>
                <w:sz w:val="28"/>
                <w:szCs w:val="28"/>
                <w:lang w:val="kk-KZ" w:eastAsia="ru-RU"/>
              </w:rPr>
              <w:t>разделу</w:t>
            </w:r>
            <w:r w:rsidRPr="0015243D">
              <w:rPr>
                <w:rFonts w:ascii="Times New Roman" w:hAnsi="Times New Roman" w:cs="Times New Roman"/>
                <w:sz w:val="28"/>
                <w:szCs w:val="28"/>
                <w:lang w:eastAsia="ru-RU"/>
              </w:rPr>
              <w:t xml:space="preserve"> 2…………………………</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r w:rsidR="00593711">
              <w:rPr>
                <w:rFonts w:ascii="Times New Roman" w:hAnsi="Times New Roman" w:cs="Times New Roman"/>
                <w:sz w:val="28"/>
                <w:szCs w:val="28"/>
                <w:lang w:val="kk-KZ" w:eastAsia="ru-RU"/>
              </w:rPr>
              <w:t>...............................</w:t>
            </w:r>
          </w:p>
        </w:tc>
        <w:tc>
          <w:tcPr>
            <w:tcW w:w="661" w:type="dxa"/>
          </w:tcPr>
          <w:p w14:paraId="7D11A230" w14:textId="3CC05DCC" w:rsidR="00BF7A2D"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111</w:t>
            </w:r>
          </w:p>
        </w:tc>
      </w:tr>
      <w:tr w:rsidR="00BF7A2D" w14:paraId="7E4FA683" w14:textId="77777777" w:rsidTr="00CD5B8D">
        <w:trPr>
          <w:jc w:val="center"/>
        </w:trPr>
        <w:tc>
          <w:tcPr>
            <w:tcW w:w="8835" w:type="dxa"/>
          </w:tcPr>
          <w:p w14:paraId="0308C8CD" w14:textId="363CC6E3" w:rsidR="00BF7A2D" w:rsidRDefault="00BF7A2D" w:rsidP="00593711">
            <w:pPr>
              <w:pStyle w:val="NoSpacing"/>
              <w:jc w:val="both"/>
              <w:rPr>
                <w:rFonts w:ascii="Times New Roman" w:hAnsi="Times New Roman" w:cs="Times New Roman"/>
                <w:b/>
                <w:sz w:val="28"/>
                <w:szCs w:val="28"/>
                <w:lang w:val="kk-KZ" w:eastAsia="ru-RU"/>
              </w:rPr>
            </w:pPr>
            <w:r w:rsidRPr="00593711">
              <w:rPr>
                <w:rFonts w:ascii="Times New Roman" w:hAnsi="Times New Roman" w:cs="Times New Roman"/>
                <w:b/>
                <w:sz w:val="28"/>
                <w:szCs w:val="28"/>
                <w:lang w:eastAsia="ru-RU"/>
              </w:rPr>
              <w:t>3 СРАВНИТЕЛЬНЫЙ АНАЛИЗ ЕВРОПЕЙСКОЙ И КАЗАХСТАНСКОЙ МОДЕЛЕЙ ЗАЩИТЫ ПРАВ ЧЕЛОВЕКА И РЕКОМЕНДАЦИИ ПО ИХ ВЗАИМНОМУ УСОВЕРШЕНСТВОВАНИЮ</w:t>
            </w:r>
            <w:r w:rsidRPr="0015243D">
              <w:rPr>
                <w:rFonts w:ascii="Times New Roman" w:hAnsi="Times New Roman" w:cs="Times New Roman"/>
                <w:sz w:val="28"/>
                <w:szCs w:val="28"/>
                <w:lang w:eastAsia="ru-RU"/>
              </w:rPr>
              <w:t>…</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p>
        </w:tc>
        <w:tc>
          <w:tcPr>
            <w:tcW w:w="661" w:type="dxa"/>
          </w:tcPr>
          <w:p w14:paraId="3ADB35A0" w14:textId="77777777" w:rsidR="00BF7A2D" w:rsidRPr="00C57BD3" w:rsidRDefault="00BF7A2D" w:rsidP="00CD5B8D">
            <w:pPr>
              <w:pStyle w:val="NoSpacing"/>
              <w:rPr>
                <w:rFonts w:ascii="Times New Roman" w:hAnsi="Times New Roman" w:cs="Times New Roman"/>
                <w:sz w:val="28"/>
                <w:szCs w:val="28"/>
                <w:lang w:eastAsia="ru-RU"/>
              </w:rPr>
            </w:pPr>
          </w:p>
          <w:p w14:paraId="06A4FECA" w14:textId="77777777" w:rsidR="000C23D7" w:rsidRPr="00C57BD3" w:rsidRDefault="000C23D7" w:rsidP="00CD5B8D">
            <w:pPr>
              <w:pStyle w:val="NoSpacing"/>
              <w:rPr>
                <w:rFonts w:ascii="Times New Roman" w:hAnsi="Times New Roman" w:cs="Times New Roman"/>
                <w:sz w:val="28"/>
                <w:szCs w:val="28"/>
                <w:lang w:eastAsia="ru-RU"/>
              </w:rPr>
            </w:pPr>
          </w:p>
          <w:p w14:paraId="02CF3FB0" w14:textId="77777777" w:rsidR="000C23D7" w:rsidRPr="00C57BD3" w:rsidRDefault="000C23D7" w:rsidP="00CD5B8D">
            <w:pPr>
              <w:pStyle w:val="NoSpacing"/>
              <w:rPr>
                <w:rFonts w:ascii="Times New Roman" w:hAnsi="Times New Roman" w:cs="Times New Roman"/>
                <w:sz w:val="28"/>
                <w:szCs w:val="28"/>
                <w:lang w:eastAsia="ru-RU"/>
              </w:rPr>
            </w:pPr>
          </w:p>
          <w:p w14:paraId="030BFF59" w14:textId="63CAEE2B"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113</w:t>
            </w:r>
          </w:p>
        </w:tc>
      </w:tr>
      <w:tr w:rsidR="00BF7A2D" w14:paraId="51DEEE52" w14:textId="77777777" w:rsidTr="00CD5B8D">
        <w:trPr>
          <w:jc w:val="center"/>
        </w:trPr>
        <w:tc>
          <w:tcPr>
            <w:tcW w:w="8835" w:type="dxa"/>
          </w:tcPr>
          <w:p w14:paraId="50B3F4BB" w14:textId="678932B1"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3.1 Законодательная и институциональная база Казахстана в сфере прав человека ………</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p>
        </w:tc>
        <w:tc>
          <w:tcPr>
            <w:tcW w:w="661" w:type="dxa"/>
          </w:tcPr>
          <w:p w14:paraId="7B1FE068" w14:textId="77777777" w:rsidR="00BF7A2D" w:rsidRPr="00C57BD3" w:rsidRDefault="00BF7A2D" w:rsidP="00CD5B8D">
            <w:pPr>
              <w:pStyle w:val="NoSpacing"/>
              <w:rPr>
                <w:rFonts w:ascii="Times New Roman" w:hAnsi="Times New Roman" w:cs="Times New Roman"/>
                <w:sz w:val="28"/>
                <w:szCs w:val="28"/>
                <w:lang w:eastAsia="ru-RU"/>
              </w:rPr>
            </w:pPr>
          </w:p>
          <w:p w14:paraId="22C099F4" w14:textId="10F0DF22"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113</w:t>
            </w:r>
          </w:p>
        </w:tc>
      </w:tr>
      <w:tr w:rsidR="00BF7A2D" w14:paraId="0A3D9293" w14:textId="77777777" w:rsidTr="00CD5B8D">
        <w:trPr>
          <w:jc w:val="center"/>
        </w:trPr>
        <w:tc>
          <w:tcPr>
            <w:tcW w:w="8835" w:type="dxa"/>
          </w:tcPr>
          <w:p w14:paraId="7069A0F8" w14:textId="2CDDE252"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 xml:space="preserve">3.2 </w:t>
            </w:r>
            <w:r w:rsidRPr="0015243D">
              <w:rPr>
                <w:rFonts w:ascii="Times New Roman" w:hAnsi="Times New Roman" w:cs="Times New Roman"/>
                <w:sz w:val="28"/>
                <w:szCs w:val="28"/>
                <w:lang w:val="kk-KZ" w:eastAsia="ru-RU"/>
              </w:rPr>
              <w:t>Анализ</w:t>
            </w:r>
            <w:r w:rsidRPr="0015243D">
              <w:rPr>
                <w:rFonts w:ascii="Times New Roman" w:hAnsi="Times New Roman" w:cs="Times New Roman"/>
                <w:sz w:val="28"/>
                <w:szCs w:val="28"/>
                <w:lang w:eastAsia="ru-RU"/>
              </w:rPr>
              <w:t xml:space="preserve"> моделей ЕС и Казахстана: применимость европейских стандартов в национальном контексте…………</w:t>
            </w:r>
            <w:r w:rsidR="00593711">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p>
        </w:tc>
        <w:tc>
          <w:tcPr>
            <w:tcW w:w="661" w:type="dxa"/>
          </w:tcPr>
          <w:p w14:paraId="03ACDDAB" w14:textId="77777777" w:rsidR="00BF7A2D" w:rsidRPr="00C57BD3" w:rsidRDefault="00BF7A2D" w:rsidP="00CD5B8D">
            <w:pPr>
              <w:pStyle w:val="NoSpacing"/>
              <w:rPr>
                <w:rFonts w:ascii="Times New Roman" w:hAnsi="Times New Roman" w:cs="Times New Roman"/>
                <w:sz w:val="28"/>
                <w:szCs w:val="28"/>
                <w:lang w:eastAsia="ru-RU"/>
              </w:rPr>
            </w:pPr>
          </w:p>
          <w:p w14:paraId="1F513A7D" w14:textId="19C09315"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124</w:t>
            </w:r>
          </w:p>
        </w:tc>
      </w:tr>
      <w:tr w:rsidR="00BF7A2D" w14:paraId="7F8507F5" w14:textId="77777777" w:rsidTr="00CD5B8D">
        <w:trPr>
          <w:jc w:val="center"/>
        </w:trPr>
        <w:tc>
          <w:tcPr>
            <w:tcW w:w="8835" w:type="dxa"/>
          </w:tcPr>
          <w:p w14:paraId="772CB79D" w14:textId="62E69F3C"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3.3 Барьеры на пути имплементации европейских стандартов по правам человека в Казахстане: институциональные, политические и культурные вызовы…………………………………………………………</w:t>
            </w:r>
          </w:p>
        </w:tc>
        <w:tc>
          <w:tcPr>
            <w:tcW w:w="661" w:type="dxa"/>
          </w:tcPr>
          <w:p w14:paraId="0BD75BAF" w14:textId="77777777" w:rsidR="00BF7A2D" w:rsidRPr="00C57BD3" w:rsidRDefault="00BF7A2D" w:rsidP="00CD5B8D">
            <w:pPr>
              <w:pStyle w:val="NoSpacing"/>
              <w:rPr>
                <w:rFonts w:ascii="Times New Roman" w:hAnsi="Times New Roman" w:cs="Times New Roman"/>
                <w:sz w:val="28"/>
                <w:szCs w:val="28"/>
                <w:lang w:eastAsia="ru-RU"/>
              </w:rPr>
            </w:pPr>
          </w:p>
          <w:p w14:paraId="5FE4EDE3" w14:textId="77777777" w:rsidR="000C23D7" w:rsidRPr="00C57BD3" w:rsidRDefault="000C23D7" w:rsidP="00CD5B8D">
            <w:pPr>
              <w:pStyle w:val="NoSpacing"/>
              <w:rPr>
                <w:rFonts w:ascii="Times New Roman" w:hAnsi="Times New Roman" w:cs="Times New Roman"/>
                <w:sz w:val="28"/>
                <w:szCs w:val="28"/>
                <w:lang w:eastAsia="ru-RU"/>
              </w:rPr>
            </w:pPr>
          </w:p>
          <w:p w14:paraId="098CF44E" w14:textId="6C8708D6"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139</w:t>
            </w:r>
          </w:p>
        </w:tc>
      </w:tr>
      <w:tr w:rsidR="00BF7A2D" w14:paraId="78E98311" w14:textId="77777777" w:rsidTr="00CD5B8D">
        <w:trPr>
          <w:jc w:val="center"/>
        </w:trPr>
        <w:tc>
          <w:tcPr>
            <w:tcW w:w="8835" w:type="dxa"/>
          </w:tcPr>
          <w:p w14:paraId="2D8F47FA" w14:textId="409E292C" w:rsidR="00BF7A2D" w:rsidRDefault="00BF7A2D" w:rsidP="00593711">
            <w:pPr>
              <w:pStyle w:val="NoSpacing"/>
              <w:jc w:val="both"/>
              <w:rPr>
                <w:rFonts w:ascii="Times New Roman" w:hAnsi="Times New Roman" w:cs="Times New Roman"/>
                <w:b/>
                <w:sz w:val="28"/>
                <w:szCs w:val="28"/>
                <w:lang w:val="kk-KZ" w:eastAsia="ru-RU"/>
              </w:rPr>
            </w:pPr>
            <w:r w:rsidRPr="0015243D">
              <w:rPr>
                <w:rFonts w:ascii="Times New Roman" w:hAnsi="Times New Roman" w:cs="Times New Roman"/>
                <w:sz w:val="28"/>
                <w:szCs w:val="28"/>
                <w:lang w:eastAsia="ru-RU"/>
              </w:rPr>
              <w:t>3.4 Стратегические рекомендации по совершенствованию прав человека в Казахстане с учётом опыта ЕС………………………</w:t>
            </w:r>
            <w:r w:rsidR="000C23D7" w:rsidRPr="000C23D7">
              <w:rPr>
                <w:rFonts w:ascii="Times New Roman" w:hAnsi="Times New Roman" w:cs="Times New Roman"/>
                <w:sz w:val="28"/>
                <w:szCs w:val="28"/>
                <w:lang w:eastAsia="ru-RU"/>
              </w:rPr>
              <w:t>.</w:t>
            </w:r>
            <w:r w:rsidRPr="0015243D">
              <w:rPr>
                <w:rFonts w:ascii="Times New Roman" w:hAnsi="Times New Roman" w:cs="Times New Roman"/>
                <w:sz w:val="28"/>
                <w:szCs w:val="28"/>
                <w:lang w:eastAsia="ru-RU"/>
              </w:rPr>
              <w:t>……….</w:t>
            </w:r>
          </w:p>
        </w:tc>
        <w:tc>
          <w:tcPr>
            <w:tcW w:w="661" w:type="dxa"/>
          </w:tcPr>
          <w:p w14:paraId="136ADEC0" w14:textId="77777777" w:rsidR="00BF7A2D" w:rsidRPr="000C23D7" w:rsidRDefault="00BF7A2D" w:rsidP="00CD5B8D">
            <w:pPr>
              <w:pStyle w:val="NoSpacing"/>
              <w:rPr>
                <w:rFonts w:ascii="Times New Roman" w:hAnsi="Times New Roman" w:cs="Times New Roman"/>
                <w:sz w:val="28"/>
                <w:szCs w:val="28"/>
                <w:lang w:eastAsia="ru-RU"/>
              </w:rPr>
            </w:pPr>
          </w:p>
          <w:p w14:paraId="6CC912F7" w14:textId="05F01989" w:rsidR="000C23D7"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156</w:t>
            </w:r>
          </w:p>
        </w:tc>
      </w:tr>
      <w:tr w:rsidR="00BF7A2D" w14:paraId="7B662BBC" w14:textId="77777777" w:rsidTr="00CD5B8D">
        <w:trPr>
          <w:jc w:val="center"/>
        </w:trPr>
        <w:tc>
          <w:tcPr>
            <w:tcW w:w="8835" w:type="dxa"/>
          </w:tcPr>
          <w:p w14:paraId="31560E40" w14:textId="5888A9B1" w:rsidR="00BF7A2D" w:rsidRDefault="00BF7A2D" w:rsidP="00593711">
            <w:pPr>
              <w:pStyle w:val="NoSpacing"/>
              <w:jc w:val="both"/>
              <w:rPr>
                <w:rFonts w:ascii="Times New Roman" w:hAnsi="Times New Roman" w:cs="Times New Roman"/>
                <w:b/>
                <w:sz w:val="28"/>
                <w:szCs w:val="28"/>
                <w:lang w:val="kk-KZ" w:eastAsia="ru-RU"/>
              </w:rPr>
            </w:pPr>
            <w:r w:rsidRPr="0015243D">
              <w:rPr>
                <w:rStyle w:val="Strong"/>
                <w:rFonts w:ascii="Times New Roman" w:hAnsi="Times New Roman" w:cs="Times New Roman"/>
                <w:b w:val="0"/>
                <w:bCs w:val="0"/>
                <w:sz w:val="28"/>
                <w:szCs w:val="28"/>
              </w:rPr>
              <w:t xml:space="preserve">Выводы к </w:t>
            </w:r>
            <w:r w:rsidR="00593711">
              <w:rPr>
                <w:rStyle w:val="Strong"/>
                <w:rFonts w:ascii="Times New Roman" w:hAnsi="Times New Roman" w:cs="Times New Roman"/>
                <w:b w:val="0"/>
                <w:bCs w:val="0"/>
                <w:sz w:val="28"/>
                <w:szCs w:val="28"/>
                <w:lang w:val="kk-KZ"/>
              </w:rPr>
              <w:t>разделу</w:t>
            </w:r>
            <w:r w:rsidRPr="0015243D">
              <w:rPr>
                <w:rStyle w:val="Strong"/>
                <w:rFonts w:ascii="Times New Roman" w:hAnsi="Times New Roman" w:cs="Times New Roman"/>
                <w:b w:val="0"/>
                <w:bCs w:val="0"/>
                <w:sz w:val="28"/>
                <w:szCs w:val="28"/>
              </w:rPr>
              <w:t xml:space="preserve"> 3………………………………………………………...</w:t>
            </w:r>
          </w:p>
        </w:tc>
        <w:tc>
          <w:tcPr>
            <w:tcW w:w="661" w:type="dxa"/>
          </w:tcPr>
          <w:p w14:paraId="4D6D7674" w14:textId="67104F92" w:rsidR="00BF7A2D"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163</w:t>
            </w:r>
          </w:p>
        </w:tc>
      </w:tr>
      <w:tr w:rsidR="00BF7A2D" w14:paraId="3F01F56E" w14:textId="77777777" w:rsidTr="00CD5B8D">
        <w:trPr>
          <w:jc w:val="center"/>
        </w:trPr>
        <w:tc>
          <w:tcPr>
            <w:tcW w:w="8835" w:type="dxa"/>
          </w:tcPr>
          <w:p w14:paraId="19A8C535" w14:textId="14572C70" w:rsidR="00BF7A2D" w:rsidRDefault="00593711" w:rsidP="00593711">
            <w:pPr>
              <w:pStyle w:val="NoSpacing"/>
              <w:jc w:val="both"/>
              <w:rPr>
                <w:rFonts w:ascii="Times New Roman" w:hAnsi="Times New Roman" w:cs="Times New Roman"/>
                <w:b/>
                <w:sz w:val="28"/>
                <w:szCs w:val="28"/>
                <w:lang w:val="kk-KZ" w:eastAsia="ru-RU"/>
              </w:rPr>
            </w:pPr>
            <w:r w:rsidRPr="00593711">
              <w:rPr>
                <w:rStyle w:val="Strong"/>
                <w:rFonts w:ascii="Times New Roman" w:hAnsi="Times New Roman" w:cs="Times New Roman"/>
                <w:bCs w:val="0"/>
                <w:sz w:val="28"/>
                <w:szCs w:val="28"/>
                <w:lang w:val="kk-KZ"/>
              </w:rPr>
              <w:t>ЗАКЛЮЧЕНИЕ</w:t>
            </w:r>
            <w:r w:rsidR="00BF7A2D" w:rsidRPr="0015243D">
              <w:rPr>
                <w:rStyle w:val="Strong"/>
                <w:rFonts w:ascii="Times New Roman" w:hAnsi="Times New Roman" w:cs="Times New Roman"/>
                <w:b w:val="0"/>
                <w:bCs w:val="0"/>
                <w:sz w:val="28"/>
                <w:szCs w:val="28"/>
              </w:rPr>
              <w:t>………</w:t>
            </w:r>
            <w:r>
              <w:rPr>
                <w:rStyle w:val="Strong"/>
                <w:rFonts w:ascii="Times New Roman" w:hAnsi="Times New Roman" w:cs="Times New Roman"/>
                <w:b w:val="0"/>
                <w:bCs w:val="0"/>
                <w:sz w:val="28"/>
                <w:szCs w:val="28"/>
                <w:lang w:val="kk-KZ"/>
              </w:rPr>
              <w:t>..</w:t>
            </w:r>
            <w:r w:rsidR="00BF7A2D" w:rsidRPr="0015243D">
              <w:rPr>
                <w:rStyle w:val="Strong"/>
                <w:rFonts w:ascii="Times New Roman" w:hAnsi="Times New Roman" w:cs="Times New Roman"/>
                <w:b w:val="0"/>
                <w:bCs w:val="0"/>
                <w:sz w:val="28"/>
                <w:szCs w:val="28"/>
              </w:rPr>
              <w:t>………………………………………………….</w:t>
            </w:r>
          </w:p>
        </w:tc>
        <w:tc>
          <w:tcPr>
            <w:tcW w:w="661" w:type="dxa"/>
          </w:tcPr>
          <w:p w14:paraId="7AA24A1B" w14:textId="77C973B8" w:rsidR="00BF7A2D"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166</w:t>
            </w:r>
          </w:p>
        </w:tc>
      </w:tr>
      <w:tr w:rsidR="00BF7A2D" w14:paraId="2A253DBC" w14:textId="77777777" w:rsidTr="00CD5B8D">
        <w:trPr>
          <w:jc w:val="center"/>
        </w:trPr>
        <w:tc>
          <w:tcPr>
            <w:tcW w:w="8835" w:type="dxa"/>
          </w:tcPr>
          <w:p w14:paraId="49314DF5" w14:textId="28A798D0" w:rsidR="00BF7A2D" w:rsidRDefault="00BF7A2D" w:rsidP="00593711">
            <w:pPr>
              <w:pStyle w:val="NoSpacing"/>
              <w:jc w:val="both"/>
              <w:rPr>
                <w:rFonts w:ascii="Times New Roman" w:hAnsi="Times New Roman" w:cs="Times New Roman"/>
                <w:b/>
                <w:sz w:val="28"/>
                <w:szCs w:val="28"/>
                <w:lang w:val="kk-KZ" w:eastAsia="ru-RU"/>
              </w:rPr>
            </w:pPr>
            <w:r w:rsidRPr="00593711">
              <w:rPr>
                <w:rFonts w:ascii="Times New Roman" w:hAnsi="Times New Roman" w:cs="Times New Roman"/>
                <w:b/>
                <w:sz w:val="28"/>
                <w:szCs w:val="28"/>
                <w:lang w:eastAsia="ru-RU"/>
              </w:rPr>
              <w:t>СПИСОК ИСПОЛЬЗОВАННЫХ ИСТОЧНИКОВ</w:t>
            </w:r>
            <w:r w:rsidRPr="0015243D">
              <w:rPr>
                <w:rFonts w:ascii="Times New Roman" w:hAnsi="Times New Roman" w:cs="Times New Roman"/>
                <w:sz w:val="28"/>
                <w:szCs w:val="28"/>
                <w:lang w:eastAsia="ru-RU"/>
              </w:rPr>
              <w:t>………………</w:t>
            </w:r>
            <w:r w:rsidR="000C23D7">
              <w:rPr>
                <w:rFonts w:ascii="Times New Roman" w:hAnsi="Times New Roman" w:cs="Times New Roman"/>
                <w:sz w:val="28"/>
                <w:szCs w:val="28"/>
                <w:lang w:val="kk-KZ" w:eastAsia="ru-RU"/>
              </w:rPr>
              <w:t>…</w:t>
            </w:r>
            <w:r w:rsidRPr="0015243D">
              <w:rPr>
                <w:rFonts w:ascii="Times New Roman" w:hAnsi="Times New Roman" w:cs="Times New Roman"/>
                <w:sz w:val="28"/>
                <w:szCs w:val="28"/>
                <w:lang w:val="kk-KZ" w:eastAsia="ru-RU"/>
              </w:rPr>
              <w:t>.</w:t>
            </w:r>
            <w:r w:rsidRPr="0015243D">
              <w:rPr>
                <w:rFonts w:ascii="Times New Roman" w:hAnsi="Times New Roman" w:cs="Times New Roman"/>
                <w:sz w:val="28"/>
                <w:szCs w:val="28"/>
                <w:lang w:eastAsia="ru-RU"/>
              </w:rPr>
              <w:t>..</w:t>
            </w:r>
          </w:p>
        </w:tc>
        <w:tc>
          <w:tcPr>
            <w:tcW w:w="661" w:type="dxa"/>
          </w:tcPr>
          <w:p w14:paraId="03889769" w14:textId="0E9E4D03" w:rsidR="00BF7A2D" w:rsidRPr="000C23D7" w:rsidRDefault="000C23D7" w:rsidP="00CD5B8D">
            <w:pPr>
              <w:pStyle w:val="NoSpacing"/>
              <w:rPr>
                <w:rFonts w:ascii="Times New Roman" w:hAnsi="Times New Roman" w:cs="Times New Roman"/>
                <w:sz w:val="28"/>
                <w:szCs w:val="28"/>
                <w:lang w:val="en-US" w:eastAsia="ru-RU"/>
              </w:rPr>
            </w:pPr>
            <w:r>
              <w:rPr>
                <w:rFonts w:ascii="Times New Roman" w:hAnsi="Times New Roman" w:cs="Times New Roman"/>
                <w:sz w:val="28"/>
                <w:szCs w:val="28"/>
                <w:lang w:val="en-US" w:eastAsia="ru-RU"/>
              </w:rPr>
              <w:t>169</w:t>
            </w:r>
          </w:p>
        </w:tc>
      </w:tr>
    </w:tbl>
    <w:p w14:paraId="6B6CCF4F" w14:textId="77777777" w:rsidR="00BF7A2D" w:rsidRDefault="00BF7A2D" w:rsidP="00593711">
      <w:pPr>
        <w:pStyle w:val="NoSpacing"/>
        <w:jc w:val="center"/>
        <w:rPr>
          <w:rFonts w:ascii="Times New Roman" w:hAnsi="Times New Roman" w:cs="Times New Roman"/>
          <w:b/>
          <w:sz w:val="28"/>
          <w:szCs w:val="28"/>
          <w:lang w:val="kk-KZ" w:eastAsia="ru-RU"/>
        </w:rPr>
      </w:pPr>
    </w:p>
    <w:p w14:paraId="2D84CA4D" w14:textId="77777777" w:rsidR="00B81797" w:rsidRPr="001935D0" w:rsidRDefault="00B81797" w:rsidP="00593711">
      <w:pPr>
        <w:spacing w:after="0" w:line="240" w:lineRule="auto"/>
        <w:jc w:val="center"/>
        <w:rPr>
          <w:rFonts w:ascii="Times New Roman" w:hAnsi="Times New Roman" w:cs="Times New Roman"/>
          <w:b/>
          <w:sz w:val="28"/>
          <w:szCs w:val="28"/>
        </w:rPr>
      </w:pPr>
    </w:p>
    <w:p w14:paraId="5649C6A9" w14:textId="77777777" w:rsidR="00954DB6" w:rsidRPr="001935D0" w:rsidRDefault="00954DB6" w:rsidP="00593711">
      <w:pPr>
        <w:spacing w:after="0" w:line="240" w:lineRule="auto"/>
        <w:jc w:val="center"/>
        <w:rPr>
          <w:rFonts w:ascii="Times New Roman" w:hAnsi="Times New Roman" w:cs="Times New Roman"/>
          <w:b/>
          <w:sz w:val="28"/>
          <w:szCs w:val="28"/>
          <w:lang w:val="kk-KZ"/>
        </w:rPr>
      </w:pPr>
    </w:p>
    <w:p w14:paraId="16BA8EC2" w14:textId="77777777" w:rsidR="008C65D5" w:rsidRDefault="008C65D5" w:rsidP="00593711">
      <w:pPr>
        <w:spacing w:after="0" w:line="240" w:lineRule="auto"/>
        <w:jc w:val="center"/>
        <w:rPr>
          <w:rFonts w:ascii="Times New Roman" w:hAnsi="Times New Roman" w:cs="Times New Roman"/>
          <w:b/>
          <w:sz w:val="28"/>
          <w:szCs w:val="28"/>
          <w:lang w:val="kk-KZ"/>
        </w:rPr>
      </w:pPr>
    </w:p>
    <w:p w14:paraId="1B61BBF5" w14:textId="77777777" w:rsidR="00593711" w:rsidRPr="001935D0" w:rsidRDefault="00593711" w:rsidP="00593711">
      <w:pPr>
        <w:spacing w:after="0" w:line="240" w:lineRule="auto"/>
        <w:jc w:val="center"/>
        <w:rPr>
          <w:rFonts w:ascii="Times New Roman" w:hAnsi="Times New Roman" w:cs="Times New Roman"/>
          <w:b/>
          <w:sz w:val="28"/>
          <w:szCs w:val="28"/>
          <w:lang w:val="kk-KZ"/>
        </w:rPr>
      </w:pPr>
    </w:p>
    <w:p w14:paraId="6B4DA719" w14:textId="27B02ABA" w:rsidR="00183C5B" w:rsidRPr="001935D0" w:rsidRDefault="00593711" w:rsidP="00593711">
      <w:pPr>
        <w:spacing w:after="0" w:line="240" w:lineRule="auto"/>
        <w:jc w:val="center"/>
        <w:rPr>
          <w:rFonts w:ascii="Times New Roman" w:eastAsia="Times New Roman" w:hAnsi="Times New Roman" w:cs="Times New Roman"/>
          <w:b/>
          <w:sz w:val="28"/>
          <w:szCs w:val="28"/>
          <w:lang w:eastAsia="ru-RU"/>
        </w:rPr>
      </w:pPr>
      <w:r w:rsidRPr="001935D0">
        <w:rPr>
          <w:rFonts w:ascii="Times New Roman" w:hAnsi="Times New Roman" w:cs="Times New Roman"/>
          <w:b/>
          <w:sz w:val="28"/>
          <w:szCs w:val="28"/>
        </w:rPr>
        <w:lastRenderedPageBreak/>
        <w:t xml:space="preserve">ВВЕДЕНИЕ </w:t>
      </w:r>
    </w:p>
    <w:p w14:paraId="068A23AD" w14:textId="77777777" w:rsidR="00593711" w:rsidRDefault="00593711" w:rsidP="00593711">
      <w:pPr>
        <w:pStyle w:val="NoSpacing"/>
        <w:ind w:firstLine="567"/>
        <w:jc w:val="both"/>
        <w:rPr>
          <w:rFonts w:ascii="Times New Roman" w:hAnsi="Times New Roman" w:cs="Times New Roman"/>
          <w:b/>
          <w:sz w:val="28"/>
          <w:szCs w:val="28"/>
          <w:lang w:val="kk-KZ"/>
        </w:rPr>
      </w:pPr>
    </w:p>
    <w:p w14:paraId="1D10486B" w14:textId="77777777" w:rsidR="00183C5B" w:rsidRPr="001935D0" w:rsidRDefault="00183C5B" w:rsidP="002F78E3">
      <w:pPr>
        <w:pStyle w:val="NoSpacing"/>
        <w:tabs>
          <w:tab w:val="left" w:pos="1134"/>
        </w:tabs>
        <w:ind w:firstLine="709"/>
        <w:jc w:val="both"/>
        <w:rPr>
          <w:rFonts w:ascii="Times New Roman" w:hAnsi="Times New Roman" w:cs="Times New Roman"/>
          <w:b/>
          <w:sz w:val="28"/>
          <w:szCs w:val="28"/>
        </w:rPr>
      </w:pPr>
      <w:r w:rsidRPr="001935D0">
        <w:rPr>
          <w:rFonts w:ascii="Times New Roman" w:hAnsi="Times New Roman" w:cs="Times New Roman"/>
          <w:b/>
          <w:sz w:val="28"/>
          <w:szCs w:val="28"/>
        </w:rPr>
        <w:t xml:space="preserve">Актуальность исследования. </w:t>
      </w:r>
    </w:p>
    <w:p w14:paraId="7FB182BC" w14:textId="77777777" w:rsidR="001F17DB" w:rsidRPr="001935D0" w:rsidRDefault="001F17D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sz w:val="28"/>
          <w:szCs w:val="28"/>
        </w:rPr>
        <w:t>В условиях непрерывной трансформации мировой политико-экономической системы XXI века права человека утвердились как универсальная правовая категория и одновременно как индикатор демократического развития государств, устойчивости их институтов и уровня международной доверия. Новая геополитическая повестка, формирующаяся после 2020 года под воздействием пандемии COVID-19, роста международной конкуренции и локальных конфликтов, усилила внимание к правозащитным механизмам как к важнейшему элементу «мягкой силы» и критерию легитимности государственных решений.</w:t>
      </w:r>
    </w:p>
    <w:p w14:paraId="7AFEA9F6" w14:textId="6082FD70" w:rsidR="006B5F52" w:rsidRDefault="006B5F52" w:rsidP="002F78E3">
      <w:pPr>
        <w:pStyle w:val="NoSpacing"/>
        <w:tabs>
          <w:tab w:val="left" w:pos="1134"/>
        </w:tabs>
        <w:ind w:firstLine="709"/>
        <w:jc w:val="both"/>
        <w:rPr>
          <w:rFonts w:ascii="Times New Roman" w:hAnsi="Times New Roman" w:cs="Times New Roman"/>
          <w:sz w:val="28"/>
          <w:szCs w:val="28"/>
          <w:lang w:val="kk-KZ"/>
        </w:rPr>
      </w:pPr>
      <w:r w:rsidRPr="00966003">
        <w:rPr>
          <w:rFonts w:ascii="Times New Roman" w:hAnsi="Times New Roman" w:cs="Times New Roman"/>
          <w:sz w:val="28"/>
          <w:szCs w:val="28"/>
        </w:rPr>
        <w:t>Особое внимание уделяется Европейскому Союзу как ведущему глобальному актору в сфере продвижения прав человека, чьи институциональные практики, стандарты и стратегии формируют ориентиры для международного права и региональных политико-правовых процессов. План действий ЕС по правам человека и демократии на 2020–2027 гг. закрепил интеграцию этих стандартов в сферы безопасности, цифровой трансформации, экологии, торговли и миграционной политики, включая расширенный тематический диалог с государствами-партнёрами Центральной Азии [1]. В этом контексте Республика Казахстан рассматривается как «поле наблюдения»</w:t>
      </w:r>
      <w:r w:rsidRPr="00966003">
        <w:rPr>
          <w:rFonts w:ascii="Times New Roman" w:hAnsi="Times New Roman" w:cs="Times New Roman"/>
          <w:sz w:val="28"/>
          <w:szCs w:val="28"/>
          <w:lang w:val="kk-KZ"/>
        </w:rPr>
        <w:t xml:space="preserve">, </w:t>
      </w:r>
      <w:r w:rsidRPr="00966003">
        <w:rPr>
          <w:rFonts w:ascii="Times New Roman" w:hAnsi="Times New Roman" w:cs="Times New Roman"/>
          <w:sz w:val="28"/>
          <w:szCs w:val="28"/>
        </w:rPr>
        <w:t>через которую можно оценить эффективность инструментов ЕС и потенциальные риски их реализации в странах с иной политико-правовой системой.</w:t>
      </w:r>
    </w:p>
    <w:p w14:paraId="693BAFFD" w14:textId="58421A7A" w:rsidR="001F17DB" w:rsidRPr="001935D0" w:rsidRDefault="001F17D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sz w:val="28"/>
          <w:szCs w:val="28"/>
        </w:rPr>
        <w:t>Для Республики Казахстан правозащитная повестка имеет дво</w:t>
      </w:r>
      <w:r w:rsidR="00004F9E" w:rsidRPr="001935D0">
        <w:rPr>
          <w:rFonts w:ascii="Times New Roman" w:hAnsi="Times New Roman" w:cs="Times New Roman"/>
          <w:sz w:val="28"/>
          <w:szCs w:val="28"/>
        </w:rPr>
        <w:t>йн</w:t>
      </w:r>
      <w:r w:rsidRPr="001935D0">
        <w:rPr>
          <w:rFonts w:ascii="Times New Roman" w:hAnsi="Times New Roman" w:cs="Times New Roman"/>
          <w:sz w:val="28"/>
          <w:szCs w:val="28"/>
        </w:rPr>
        <w:t>ое значение. Во-первых, она служит инструментом развития сотрудничества с ЕС, что отражено в Соглашении о расширенном партнёрстве и сотрудничестве (EPCA, 2015) и регулярных Диалогах «ЕС – Казахстан» по правам человека [2]. Во-вторых, усиление национальных правозащитных институтов, предусмотренное Планом дальнейших мер в области прав человека и верховенства права, сохраняет актуальность для внутренней модернизации системы правосудия, повышения транспарентности и подотчётности государственных органов.</w:t>
      </w:r>
    </w:p>
    <w:p w14:paraId="3F86E616" w14:textId="77777777" w:rsidR="001F17DB" w:rsidRPr="001935D0" w:rsidRDefault="001F17D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sz w:val="28"/>
          <w:szCs w:val="28"/>
        </w:rPr>
        <w:t>С учётом обозначенных вызовов и возможностей, исследование европейской модели защиты прав человека и её методологической адаптации к казахстанскому контексту представляется своевременным как с теоретической, так и с прикладной точки зрения. Оно призвано на основе проверенных фактов и международно признанных методик (OHCHR Indicators, UNECE Guidelines, EU Justice Scoreboard) выработать рекомендационные механизмы, способствующие дальнейшему сближению национальной правозащитной системы Республики Казахстан с европейскими стандартами при сохранении дипломатичности и академической взвешенности анализа.</w:t>
      </w:r>
    </w:p>
    <w:p w14:paraId="0A6E80B7" w14:textId="3535A54C" w:rsidR="00183C5B" w:rsidRPr="001935D0" w:rsidRDefault="00183C5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Международные правозащитные институты, включая Human Rights Watch и Amnesty International, а также Европейский парламент в резолюции от 11 февраля 2021 года, указали на наличие системных отклонений от ранее декларированных Казахстаном международных обязательств в области прав </w:t>
      </w:r>
      <w:r w:rsidRPr="001935D0">
        <w:rPr>
          <w:rFonts w:ascii="Times New Roman" w:hAnsi="Times New Roman" w:cs="Times New Roman"/>
          <w:sz w:val="28"/>
          <w:szCs w:val="28"/>
        </w:rPr>
        <w:lastRenderedPageBreak/>
        <w:t>человека [3]. Эти оценки фиксируют необходимость пересмотра механизмов внутреннего правозащитного регулирования и усиления независимого мониторинга со стороны как национальных, так и международных структур.</w:t>
      </w:r>
    </w:p>
    <w:p w14:paraId="4C4CAC3E" w14:textId="0EDE5B2F" w:rsidR="00183C5B" w:rsidRPr="001935D0" w:rsidRDefault="00183C5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sz w:val="28"/>
          <w:szCs w:val="28"/>
        </w:rPr>
        <w:t>Сопоставление с глобальными показателями дополнительно подчёркивает необходимость дальнейшего совершенствования национальной правозащитной системы. Согласно данным международного рейтинга Rule of Law Index за 2022 год, Республика Казахстан занимает 106-е место по индикатору влияния государства на судебную систему, 62-е – по уровню восприятия коррупции, и 100-е –</w:t>
      </w:r>
      <w:r w:rsidRPr="001935D0">
        <w:rPr>
          <w:rFonts w:ascii="Times New Roman" w:hAnsi="Times New Roman" w:cs="Times New Roman"/>
          <w:sz w:val="28"/>
          <w:szCs w:val="28"/>
          <w:lang w:val="uk-UA"/>
        </w:rPr>
        <w:t xml:space="preserve"> </w:t>
      </w:r>
      <w:r w:rsidRPr="001935D0">
        <w:rPr>
          <w:rFonts w:ascii="Times New Roman" w:hAnsi="Times New Roman" w:cs="Times New Roman"/>
          <w:sz w:val="28"/>
          <w:szCs w:val="28"/>
        </w:rPr>
        <w:t>по обеспечению прав и свобод личности (из 140 стран) [4,</w:t>
      </w:r>
      <w:r w:rsidR="00CD5B8D">
        <w:rPr>
          <w:rFonts w:ascii="Times New Roman" w:hAnsi="Times New Roman" w:cs="Times New Roman"/>
          <w:sz w:val="28"/>
          <w:szCs w:val="28"/>
          <w:lang w:val="kk-KZ"/>
        </w:rPr>
        <w:t xml:space="preserve"> </w:t>
      </w:r>
      <w:r w:rsidRPr="001935D0">
        <w:rPr>
          <w:rFonts w:ascii="Times New Roman" w:hAnsi="Times New Roman" w:cs="Times New Roman"/>
          <w:sz w:val="28"/>
          <w:szCs w:val="28"/>
        </w:rPr>
        <w:t>5]. Эти показатели свидетельствуют о сохраняющихся институциональных вызовах в сфере реализации прав человека и правосудия, несмотря на наличие нормативной базы и стратегий развития, ориентированных на международные стандарты.</w:t>
      </w:r>
    </w:p>
    <w:p w14:paraId="3478B678" w14:textId="77777777" w:rsidR="00183C5B" w:rsidRPr="001935D0" w:rsidRDefault="00183C5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sz w:val="28"/>
          <w:szCs w:val="28"/>
        </w:rPr>
        <w:t>Тематика прав человека в Республике Казахстан всё в большей степени рассматривается не только в контексте правового регулирования, но и как неотъемлемый компонент стратегии устойчивого и инклюзивного развития. Нарушения или ограниченность в реализации основных прав и свобод могут способствовать снижению уровня общественного доверия к государственным институтам, усилению социальной фрагментации, снижению инвестиционной привлекательности и ослаблению позиций страны на международной арене.</w:t>
      </w:r>
    </w:p>
    <w:p w14:paraId="15FCDB4F" w14:textId="77777777" w:rsidR="00183C5B" w:rsidRPr="001935D0" w:rsidRDefault="00183C5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sz w:val="28"/>
          <w:szCs w:val="28"/>
        </w:rPr>
        <w:t>Особое значение в этом контексте приобретают проблемы обеспечения равных прав и возможностей для женщин, защиты прав лиц с инвалидностью, соблюдения свободы выражения мнений и свободы собраний, обеспечения надлежащих условий содержания в местах лишения свободы, а также вопросов социальной реинтеграции мигрантов и граждан, возвращающихся из зон вооружённых конфликтов. Указанные направления прямо связаны с институциональной способностью государства формировать сбалансированную, инклюзивную и устойчивую модель общественного порядка.</w:t>
      </w:r>
    </w:p>
    <w:p w14:paraId="207624A4" w14:textId="264BA4B2" w:rsidR="00183C5B" w:rsidRPr="001935D0" w:rsidRDefault="00183C5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Одним из ключевых направлений деятельности Европейского </w:t>
      </w:r>
      <w:r w:rsidR="002064D8">
        <w:rPr>
          <w:rFonts w:ascii="Times New Roman" w:hAnsi="Times New Roman" w:cs="Times New Roman"/>
          <w:sz w:val="28"/>
          <w:szCs w:val="28"/>
        </w:rPr>
        <w:t>С</w:t>
      </w:r>
      <w:r w:rsidRPr="001935D0">
        <w:rPr>
          <w:rFonts w:ascii="Times New Roman" w:hAnsi="Times New Roman" w:cs="Times New Roman"/>
          <w:sz w:val="28"/>
          <w:szCs w:val="28"/>
        </w:rPr>
        <w:t>оюза в сфере прав человека является разработка и внедрение институциональных механизмов, направленных на укрепление правовой защищённости личности. К числу таких механизмов относятся: институт омбудсмена, системы независимого мониторинга, правозащитные диалоги, стандарты обеспечения доступа к правосудию, а также форматы участия институтов гражданского общества в выработке и реализации политик. Практика применения указанных инструментов в странах-членах ЕС демонстрирует их эффективность и адаптивность, что делает их потенциально применимыми в контексте Казахстана. Вместе с тем, реализация подобных моделей сталкивается с рядом институциональных, нормативно-правовых и социокультурных ограничений, требующих междисциплинарного анализа.</w:t>
      </w:r>
    </w:p>
    <w:p w14:paraId="6F68713B" w14:textId="3F48506D" w:rsidR="00183C5B" w:rsidRPr="001935D0" w:rsidRDefault="00183C5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Таким образом, анализ институционального инструментария Европейского </w:t>
      </w:r>
      <w:r w:rsidR="002064D8">
        <w:rPr>
          <w:rFonts w:ascii="Times New Roman" w:hAnsi="Times New Roman" w:cs="Times New Roman"/>
          <w:sz w:val="28"/>
          <w:szCs w:val="28"/>
        </w:rPr>
        <w:t>С</w:t>
      </w:r>
      <w:r w:rsidRPr="001935D0">
        <w:rPr>
          <w:rFonts w:ascii="Times New Roman" w:hAnsi="Times New Roman" w:cs="Times New Roman"/>
          <w:sz w:val="28"/>
          <w:szCs w:val="28"/>
        </w:rPr>
        <w:t xml:space="preserve">оюза в области защиты прав человека приобретает как теоретико-концептуальное, так и прикладное значение. С одной стороны, исследование позволяет осмыслить трансформацию прав человека как элемента стратегической внешнеполитической идентичности ЕС в условиях глобальной </w:t>
      </w:r>
      <w:r w:rsidRPr="001935D0">
        <w:rPr>
          <w:rFonts w:ascii="Times New Roman" w:hAnsi="Times New Roman" w:cs="Times New Roman"/>
          <w:sz w:val="28"/>
          <w:szCs w:val="28"/>
        </w:rPr>
        <w:lastRenderedPageBreak/>
        <w:t>нестабильности. С другой – оно служит основой для оценки потенциала их имплементации в государствах с иной моделью политико-правовой организации, включая Казахстан. Исследование направлено на формирование сбалансированного подхода к модернизации национальной правозащитной политики с учётом международных стандартов, институциональной специфики и актуальных вызовов геополитического характера.</w:t>
      </w:r>
    </w:p>
    <w:p w14:paraId="3334CBE3" w14:textId="0E0359A2" w:rsidR="00E02B9C" w:rsidRPr="001935D0" w:rsidRDefault="00183C5B" w:rsidP="002F78E3">
      <w:pPr>
        <w:pStyle w:val="NoSpacing"/>
        <w:tabs>
          <w:tab w:val="left" w:pos="1134"/>
        </w:tabs>
        <w:ind w:firstLine="709"/>
        <w:jc w:val="both"/>
        <w:rPr>
          <w:rFonts w:ascii="Times New Roman" w:hAnsi="Times New Roman" w:cs="Times New Roman"/>
          <w:lang w:val="kk-KZ"/>
        </w:rPr>
      </w:pPr>
      <w:r w:rsidRPr="001935D0">
        <w:rPr>
          <w:rStyle w:val="Strong"/>
          <w:rFonts w:ascii="Times New Roman" w:hAnsi="Times New Roman" w:cs="Times New Roman"/>
          <w:sz w:val="28"/>
          <w:szCs w:val="28"/>
        </w:rPr>
        <w:t>Степень научной разработанности проблемы</w:t>
      </w:r>
      <w:r w:rsidRPr="001935D0">
        <w:rPr>
          <w:rFonts w:ascii="Times New Roman" w:hAnsi="Times New Roman" w:cs="Times New Roman"/>
          <w:sz w:val="28"/>
          <w:szCs w:val="28"/>
          <w:lang w:val="uk-UA"/>
        </w:rPr>
        <w:t>.</w:t>
      </w:r>
      <w:r w:rsidRPr="001935D0">
        <w:rPr>
          <w:rFonts w:ascii="Times New Roman" w:hAnsi="Times New Roman" w:cs="Times New Roman"/>
          <w:lang w:val="uk-UA"/>
        </w:rPr>
        <w:t xml:space="preserve"> </w:t>
      </w:r>
      <w:r w:rsidR="007E6B84" w:rsidRPr="001935D0">
        <w:rPr>
          <w:rFonts w:ascii="Times New Roman" w:hAnsi="Times New Roman" w:cs="Times New Roman"/>
          <w:lang w:val="uk-UA"/>
        </w:rPr>
        <w:t xml:space="preserve"> </w:t>
      </w:r>
    </w:p>
    <w:p w14:paraId="1810AB03" w14:textId="1ABC6D6E" w:rsidR="000E69F3" w:rsidRPr="001935D0" w:rsidRDefault="000E69F3" w:rsidP="002F78E3">
      <w:pPr>
        <w:pStyle w:val="NoSpacing"/>
        <w:tabs>
          <w:tab w:val="left" w:pos="1134"/>
        </w:tabs>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Проблема прав человека и верховенства закона в Казахстане активно изучается в международных документах и отчётах, включая стратегические планы и резолюции Европейского </w:t>
      </w:r>
      <w:r w:rsidR="002064D8">
        <w:rPr>
          <w:rFonts w:ascii="Times New Roman" w:hAnsi="Times New Roman" w:cs="Times New Roman"/>
          <w:sz w:val="28"/>
          <w:szCs w:val="28"/>
        </w:rPr>
        <w:t>С</w:t>
      </w:r>
      <w:r w:rsidRPr="001935D0">
        <w:rPr>
          <w:rFonts w:ascii="Times New Roman" w:hAnsi="Times New Roman" w:cs="Times New Roman"/>
          <w:sz w:val="28"/>
          <w:szCs w:val="28"/>
        </w:rPr>
        <w:t xml:space="preserve">оюза, двусторонние соглашения с Казахстаном, а также рейтинги и отчёты международных организаций </w:t>
      </w:r>
      <w:r w:rsidR="00F03A16" w:rsidRPr="001935D0">
        <w:rPr>
          <w:rFonts w:ascii="Times New Roman" w:hAnsi="Times New Roman" w:cs="Times New Roman"/>
          <w:sz w:val="28"/>
          <w:szCs w:val="28"/>
        </w:rPr>
        <w:t>[1</w:t>
      </w:r>
      <w:r w:rsidR="00F03A16">
        <w:rPr>
          <w:rFonts w:ascii="Times New Roman" w:hAnsi="Times New Roman" w:cs="Times New Roman"/>
          <w:sz w:val="28"/>
          <w:szCs w:val="28"/>
          <w:lang w:val="kk-KZ"/>
        </w:rPr>
        <w:t xml:space="preserve">; 2; 3; 4; </w:t>
      </w:r>
      <w:r w:rsidR="00F03A16" w:rsidRPr="001935D0">
        <w:rPr>
          <w:rFonts w:ascii="Times New Roman" w:hAnsi="Times New Roman" w:cs="Times New Roman"/>
          <w:sz w:val="28"/>
          <w:szCs w:val="28"/>
        </w:rPr>
        <w:t>5]</w:t>
      </w:r>
      <w:r w:rsidRPr="001935D0">
        <w:rPr>
          <w:rFonts w:ascii="Times New Roman" w:hAnsi="Times New Roman" w:cs="Times New Roman"/>
          <w:sz w:val="28"/>
          <w:szCs w:val="28"/>
        </w:rPr>
        <w:t>. Эти работы охватывают вопросы соблюдения гражданских и политических прав, механизмов их защиты и оценки состояния правовой системы страны.</w:t>
      </w:r>
    </w:p>
    <w:p w14:paraId="10D9D0A8" w14:textId="71B46B6F" w:rsidR="00183C5B" w:rsidRPr="001935D0" w:rsidRDefault="00183C5B" w:rsidP="002F78E3">
      <w:pPr>
        <w:pStyle w:val="NoSpacing"/>
        <w:tabs>
          <w:tab w:val="left" w:pos="1134"/>
        </w:tabs>
        <w:ind w:firstLine="709"/>
        <w:jc w:val="both"/>
        <w:rPr>
          <w:rFonts w:ascii="Times New Roman" w:hAnsi="Times New Roman" w:cs="Times New Roman"/>
          <w:sz w:val="20"/>
          <w:szCs w:val="20"/>
          <w:lang w:val="kk-KZ" w:eastAsia="ru-RU"/>
        </w:rPr>
      </w:pPr>
      <w:r w:rsidRPr="001935D0">
        <w:rPr>
          <w:rFonts w:ascii="Times New Roman" w:hAnsi="Times New Roman" w:cs="Times New Roman"/>
          <w:sz w:val="28"/>
          <w:szCs w:val="28"/>
          <w:lang w:eastAsia="ru-RU"/>
        </w:rPr>
        <w:t xml:space="preserve">Проблематика институционализации прав человека во внешнеполитических стратегиях Европейского </w:t>
      </w:r>
      <w:r w:rsidR="002064D8">
        <w:rPr>
          <w:rFonts w:ascii="Times New Roman" w:hAnsi="Times New Roman" w:cs="Times New Roman"/>
          <w:sz w:val="28"/>
          <w:szCs w:val="28"/>
          <w:lang w:eastAsia="ru-RU"/>
        </w:rPr>
        <w:t>С</w:t>
      </w:r>
      <w:r w:rsidRPr="001935D0">
        <w:rPr>
          <w:rFonts w:ascii="Times New Roman" w:hAnsi="Times New Roman" w:cs="Times New Roman"/>
          <w:sz w:val="28"/>
          <w:szCs w:val="28"/>
          <w:lang w:eastAsia="ru-RU"/>
        </w:rPr>
        <w:t>оюза занимает значительное место в современной академической дискуссии. В ряде исследований (Р.</w:t>
      </w:r>
      <w:r w:rsidR="00CD5B8D">
        <w:rPr>
          <w:rFonts w:ascii="Times New Roman" w:hAnsi="Times New Roman" w:cs="Times New Roman"/>
          <w:sz w:val="28"/>
          <w:szCs w:val="28"/>
          <w:lang w:val="kk-KZ" w:eastAsia="ru-RU"/>
        </w:rPr>
        <w:t> </w:t>
      </w:r>
      <w:r w:rsidRPr="001935D0">
        <w:rPr>
          <w:rFonts w:ascii="Times New Roman" w:hAnsi="Times New Roman" w:cs="Times New Roman"/>
          <w:sz w:val="28"/>
          <w:szCs w:val="28"/>
          <w:lang w:eastAsia="ru-RU"/>
        </w:rPr>
        <w:t>Балфур, Э. Барончелли, Л. Бомасси, Р. Чернатони, А. Голдтау, Г. Греви, К.</w:t>
      </w:r>
      <w:r w:rsidR="00CD5B8D">
        <w:rPr>
          <w:rFonts w:ascii="Times New Roman" w:hAnsi="Times New Roman" w:cs="Times New Roman"/>
          <w:sz w:val="28"/>
          <w:szCs w:val="28"/>
          <w:lang w:val="kk-KZ" w:eastAsia="ru-RU"/>
        </w:rPr>
        <w:t> </w:t>
      </w:r>
      <w:r w:rsidRPr="001935D0">
        <w:rPr>
          <w:rFonts w:ascii="Times New Roman" w:hAnsi="Times New Roman" w:cs="Times New Roman"/>
          <w:sz w:val="28"/>
          <w:szCs w:val="28"/>
          <w:lang w:eastAsia="ru-RU"/>
        </w:rPr>
        <w:t xml:space="preserve">Хёффлер, Э. Джонс, П. Наир, С. Юльген, Р. Янгс) отмечается, что, несмотря на декларируемую нормативную приверженность Союза универсальным правам и демократическим ценностям, реализация этих установок в странах-партнёрах сопровождается существенными институциональными ограничениями [6]. Указывается, что универсалистская логика Европейского </w:t>
      </w:r>
      <w:r w:rsidR="002064D8">
        <w:rPr>
          <w:rFonts w:ascii="Times New Roman" w:hAnsi="Times New Roman" w:cs="Times New Roman"/>
          <w:sz w:val="28"/>
          <w:szCs w:val="28"/>
          <w:lang w:eastAsia="ru-RU"/>
        </w:rPr>
        <w:t>С</w:t>
      </w:r>
      <w:r w:rsidRPr="001935D0">
        <w:rPr>
          <w:rFonts w:ascii="Times New Roman" w:hAnsi="Times New Roman" w:cs="Times New Roman"/>
          <w:sz w:val="28"/>
          <w:szCs w:val="28"/>
          <w:lang w:eastAsia="ru-RU"/>
        </w:rPr>
        <w:t>оюза всё чаще сталкивается с сопротивлением в условиях полицентричного и конфликтного международного порядка, что ограничивает эффективность экспортируемых моделей.</w:t>
      </w:r>
    </w:p>
    <w:p w14:paraId="0F266EA3" w14:textId="77777777" w:rsidR="00183C5B" w:rsidRPr="001935D0" w:rsidRDefault="00183C5B" w:rsidP="002F78E3">
      <w:pPr>
        <w:pStyle w:val="NoSpacing"/>
        <w:tabs>
          <w:tab w:val="left" w:pos="1134"/>
        </w:tabs>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 аналитических трудах А. Михальски и Ч. Паркера акцент смещается на трансформацию ЕС как внешнеполитического актора в условиях обострения геостратегической конкуренции [7]. В этом контексте они обосновывают необходимость баланса между нормативной, рыночной и силовой составляющими внешней политики Союза, подчёркивая важность соответствия заявляемых ценностных ориентиров реальным возможностям и политико-правовым ресурсам. Такой подход позволяет рассматривать ЕС не только как носителя правозащитного дискурса, но и как прагматичного участника глобального регулирования.</w:t>
      </w:r>
    </w:p>
    <w:p w14:paraId="506F2022" w14:textId="29500D19" w:rsidR="00183C5B" w:rsidRPr="001935D0" w:rsidRDefault="00183C5B" w:rsidP="002F78E3">
      <w:pPr>
        <w:pStyle w:val="NoSpacing"/>
        <w:tabs>
          <w:tab w:val="left" w:pos="1134"/>
        </w:tabs>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rPr>
        <w:t xml:space="preserve">Необходимость учитывать как внешние ограничения, так и внутренние институциональные барьеры в реализации правозащитной стратегии Европейского </w:t>
      </w:r>
      <w:r w:rsidR="002064D8">
        <w:rPr>
          <w:rFonts w:ascii="Times New Roman" w:hAnsi="Times New Roman" w:cs="Times New Roman"/>
          <w:sz w:val="28"/>
          <w:szCs w:val="28"/>
        </w:rPr>
        <w:t>С</w:t>
      </w:r>
      <w:r w:rsidRPr="001935D0">
        <w:rPr>
          <w:rFonts w:ascii="Times New Roman" w:hAnsi="Times New Roman" w:cs="Times New Roman"/>
          <w:sz w:val="28"/>
          <w:szCs w:val="28"/>
        </w:rPr>
        <w:t>оюза акцентируется в работах А. Васконселоса, М. Бастоса Лимы, Т. Гарднера и К. Макдермотт [8]. Исследователи анализируют пределы действия концепции «Брюссельского эффекта» в условиях усложняющейся многополярности и геоэкономического фрагментирования. Представленные ими эмпирические наблюдения указывают на то, что даже при наличии устойчивых регуляторных стандартов, эффективность внешней политики ЕС требует комплексного сочетания рыночных, дипломатических и кооперационных механизмов.</w:t>
      </w:r>
    </w:p>
    <w:p w14:paraId="523085AD" w14:textId="77777777" w:rsidR="00183C5B" w:rsidRPr="001935D0" w:rsidRDefault="00183C5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Экономическая составляющая этих ограничений рассматривается в исследованиях Ф. Джавади, Ф. Розена, Я. Гнегне и А.И. Шеффу, где подчёркивается прямая зависимость между геополитической напряжённостью, макроэкономической уязвимостью и трансформацией внешнеполитических приоритетов ЕС</w:t>
      </w:r>
      <w:r w:rsidR="008D0650" w:rsidRPr="001935D0">
        <w:rPr>
          <w:rFonts w:ascii="Times New Roman" w:hAnsi="Times New Roman" w:cs="Times New Roman"/>
          <w:sz w:val="28"/>
          <w:szCs w:val="28"/>
        </w:rPr>
        <w:t xml:space="preserve"> [9]</w:t>
      </w:r>
      <w:r w:rsidRPr="001935D0">
        <w:rPr>
          <w:rFonts w:ascii="Times New Roman" w:hAnsi="Times New Roman" w:cs="Times New Roman"/>
          <w:sz w:val="28"/>
          <w:szCs w:val="28"/>
        </w:rPr>
        <w:t>. В условиях роста инфляционных процессов, энергетической нестабильности и усиления давления на внутренние бюджеты государств-членов, правозащитная повестка ЕС оказывается под воздействием факторов, подрывающих её устойчивость и последовательность. Тем самым формируется необходимость переосмысления баланса между нормативной идентичностью Союза и реалистичными возможностями её продвижения на внешнем контуре.</w:t>
      </w:r>
    </w:p>
    <w:p w14:paraId="2A852912" w14:textId="237139F3" w:rsidR="00183C5B" w:rsidRPr="001935D0" w:rsidRDefault="00183C5B" w:rsidP="002F78E3">
      <w:pPr>
        <w:pStyle w:val="NoSpacing"/>
        <w:tabs>
          <w:tab w:val="left" w:pos="1134"/>
        </w:tabs>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 xml:space="preserve">Современное развитие правозащитной политики Европейского </w:t>
      </w:r>
      <w:r w:rsidR="002064D8">
        <w:rPr>
          <w:rFonts w:ascii="Times New Roman" w:eastAsia="Times New Roman" w:hAnsi="Times New Roman" w:cs="Times New Roman"/>
          <w:bCs/>
          <w:sz w:val="28"/>
          <w:szCs w:val="28"/>
          <w:lang w:eastAsia="ru-RU"/>
        </w:rPr>
        <w:t>С</w:t>
      </w:r>
      <w:r w:rsidRPr="001935D0">
        <w:rPr>
          <w:rFonts w:ascii="Times New Roman" w:eastAsia="Times New Roman" w:hAnsi="Times New Roman" w:cs="Times New Roman"/>
          <w:bCs/>
          <w:sz w:val="28"/>
          <w:szCs w:val="28"/>
          <w:lang w:eastAsia="ru-RU"/>
        </w:rPr>
        <w:t>оюза сопряжено с необходимостью учёта новых измерений нормативной власти, включая технологическую трансформацию и цифровую автономию. В работе М. Щепаньского обосновывается взаимосвязь между защитой прав человека и обеспечением технологического суверенитета ЕС в условиях стремительного развития искусственного интеллекта и цифровых платформ</w:t>
      </w:r>
      <w:r w:rsidR="008D0650" w:rsidRPr="001935D0">
        <w:rPr>
          <w:rFonts w:ascii="Times New Roman" w:eastAsia="Times New Roman" w:hAnsi="Times New Roman" w:cs="Times New Roman"/>
          <w:bCs/>
          <w:sz w:val="28"/>
          <w:szCs w:val="28"/>
          <w:lang w:eastAsia="ru-RU"/>
        </w:rPr>
        <w:t xml:space="preserve"> [10]</w:t>
      </w:r>
      <w:r w:rsidRPr="001935D0">
        <w:rPr>
          <w:rFonts w:ascii="Times New Roman" w:eastAsia="Times New Roman" w:hAnsi="Times New Roman" w:cs="Times New Roman"/>
          <w:bCs/>
          <w:sz w:val="28"/>
          <w:szCs w:val="28"/>
          <w:lang w:eastAsia="ru-RU"/>
        </w:rPr>
        <w:t>. Автор аргументирует, что нормативная мощь Союза требует адаптации к новым форматам глобального управления, где вопросы контроля над цифровыми рисками становятся неотъемлемой частью правозащитной повестки.</w:t>
      </w:r>
    </w:p>
    <w:p w14:paraId="51856E9B" w14:textId="0B8D6D4D" w:rsidR="00183C5B" w:rsidRPr="001935D0" w:rsidRDefault="00183C5B" w:rsidP="002F78E3">
      <w:pPr>
        <w:pStyle w:val="NoSpacing"/>
        <w:tabs>
          <w:tab w:val="left" w:pos="1134"/>
        </w:tabs>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Важное значение в концептуальном осмыслении трансформации внешней политики ЕС имеет категория деевропеизации, разработанная П. Мюллером, К.</w:t>
      </w:r>
      <w:r w:rsidR="00CD5B8D">
        <w:rPr>
          <w:rFonts w:ascii="Times New Roman" w:eastAsia="Times New Roman" w:hAnsi="Times New Roman" w:cs="Times New Roman"/>
          <w:bCs/>
          <w:sz w:val="28"/>
          <w:szCs w:val="28"/>
          <w:lang w:val="kk-KZ" w:eastAsia="ru-RU"/>
        </w:rPr>
        <w:t> </w:t>
      </w:r>
      <w:r w:rsidRPr="001935D0">
        <w:rPr>
          <w:rFonts w:ascii="Times New Roman" w:eastAsia="Times New Roman" w:hAnsi="Times New Roman" w:cs="Times New Roman"/>
          <w:bCs/>
          <w:sz w:val="28"/>
          <w:szCs w:val="28"/>
          <w:lang w:eastAsia="ru-RU"/>
        </w:rPr>
        <w:t>Поморской и Б. Тонр</w:t>
      </w:r>
      <w:r w:rsidR="008D0650" w:rsidRPr="001935D0">
        <w:rPr>
          <w:rFonts w:ascii="Times New Roman" w:eastAsia="Times New Roman" w:hAnsi="Times New Roman" w:cs="Times New Roman"/>
          <w:bCs/>
          <w:sz w:val="28"/>
          <w:szCs w:val="28"/>
          <w:lang w:eastAsia="ru-RU"/>
        </w:rPr>
        <w:t xml:space="preserve"> [11]</w:t>
      </w:r>
      <w:r w:rsidRPr="001935D0">
        <w:rPr>
          <w:rFonts w:ascii="Times New Roman" w:eastAsia="Times New Roman" w:hAnsi="Times New Roman" w:cs="Times New Roman"/>
          <w:bCs/>
          <w:sz w:val="28"/>
          <w:szCs w:val="28"/>
          <w:lang w:eastAsia="ru-RU"/>
        </w:rPr>
        <w:t>. Исследователи акцентируют внимание на таких феноменах, как институциональная фрагментация, усиление национального эгоцентризма и снижение согласованности на уровне институтов ЕС, что непосредственно влияет на ограничение ресурсной и нормативной эффективности в реализации внешнеполитических стратегий, включая продвижение прав человека.</w:t>
      </w:r>
    </w:p>
    <w:p w14:paraId="06F10CB3" w14:textId="5A07F0C0" w:rsidR="00183C5B" w:rsidRPr="001935D0" w:rsidRDefault="00183C5B" w:rsidP="002F78E3">
      <w:pPr>
        <w:pStyle w:val="NoSpacing"/>
        <w:tabs>
          <w:tab w:val="left" w:pos="1134"/>
        </w:tabs>
        <w:ind w:firstLine="709"/>
        <w:jc w:val="both"/>
        <w:rPr>
          <w:rFonts w:ascii="Times New Roman" w:hAnsi="Times New Roman" w:cs="Times New Roman"/>
          <w:sz w:val="28"/>
          <w:szCs w:val="28"/>
        </w:rPr>
      </w:pPr>
      <w:r w:rsidRPr="001935D0">
        <w:rPr>
          <w:rFonts w:ascii="Times New Roman" w:eastAsia="Times New Roman" w:hAnsi="Times New Roman" w:cs="Times New Roman"/>
          <w:bCs/>
          <w:sz w:val="28"/>
          <w:szCs w:val="28"/>
          <w:lang w:eastAsia="ru-RU"/>
        </w:rPr>
        <w:t>Региональный аспект данной динамики представлен в аналитике Т.</w:t>
      </w:r>
      <w:r w:rsidR="00CD5B8D">
        <w:rPr>
          <w:rFonts w:ascii="Times New Roman" w:eastAsia="Times New Roman" w:hAnsi="Times New Roman" w:cs="Times New Roman"/>
          <w:bCs/>
          <w:sz w:val="28"/>
          <w:szCs w:val="28"/>
          <w:lang w:val="kk-KZ" w:eastAsia="ru-RU"/>
        </w:rPr>
        <w:t> </w:t>
      </w:r>
      <w:r w:rsidRPr="001935D0">
        <w:rPr>
          <w:rFonts w:ascii="Times New Roman" w:eastAsia="Times New Roman" w:hAnsi="Times New Roman" w:cs="Times New Roman"/>
          <w:bCs/>
          <w:sz w:val="28"/>
          <w:szCs w:val="28"/>
          <w:lang w:eastAsia="ru-RU"/>
        </w:rPr>
        <w:t>Пхаладзе, где исследуется поведение ЕС в странах Южного Кавказа и Центральной Азии</w:t>
      </w:r>
      <w:r w:rsidR="008D0650" w:rsidRPr="001935D0">
        <w:rPr>
          <w:rFonts w:ascii="Times New Roman" w:eastAsia="Times New Roman" w:hAnsi="Times New Roman" w:cs="Times New Roman"/>
          <w:bCs/>
          <w:sz w:val="28"/>
          <w:szCs w:val="28"/>
          <w:lang w:eastAsia="ru-RU"/>
        </w:rPr>
        <w:t xml:space="preserve"> [12]</w:t>
      </w:r>
      <w:r w:rsidRPr="001935D0">
        <w:rPr>
          <w:rFonts w:ascii="Times New Roman" w:eastAsia="Times New Roman" w:hAnsi="Times New Roman" w:cs="Times New Roman"/>
          <w:bCs/>
          <w:sz w:val="28"/>
          <w:szCs w:val="28"/>
          <w:lang w:eastAsia="ru-RU"/>
        </w:rPr>
        <w:t>. В условиях геополитической конкуренции, энергетической зависимости и наблюдающихся демократических регрессов, автор подчёркивает, что нормативные обязательства ЕС всё чаще находятся в конфликте с необходимостью учитывать стратегические интересы и внешнее давление (в частности, со стороны Российской Федерации). Это требует выработки сбалансированного подхода, способного учитывать специфику регионального контекста при сохранении ценностной направленности политики Союза.</w:t>
      </w:r>
    </w:p>
    <w:p w14:paraId="5AE9FF59" w14:textId="77777777" w:rsidR="005F7C41" w:rsidRPr="001935D0" w:rsidRDefault="005F7C41" w:rsidP="002F78E3">
      <w:pPr>
        <w:pStyle w:val="NoSpacing"/>
        <w:tabs>
          <w:tab w:val="left" w:pos="1134"/>
        </w:tabs>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Существенный вклад в изучение проблематики прав человека, верховенства права и институционального развития Республики Казахстан внесли казахстанские исследователи, чьи работы формируют национальный научный контекст рассматриваемой тематики.</w:t>
      </w:r>
    </w:p>
    <w:p w14:paraId="5DF5ECCC" w14:textId="3DBF08EF" w:rsidR="005F7C41" w:rsidRPr="001935D0" w:rsidRDefault="005F7C41" w:rsidP="002F78E3">
      <w:pPr>
        <w:pStyle w:val="NoSpacing"/>
        <w:tabs>
          <w:tab w:val="left" w:pos="1134"/>
        </w:tabs>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В исследованиях Е. Жиенбаева</w:t>
      </w:r>
      <w:r w:rsidR="005F4EEC" w:rsidRPr="001935D0">
        <w:rPr>
          <w:rFonts w:ascii="Times New Roman" w:eastAsia="Times New Roman" w:hAnsi="Times New Roman" w:cs="Times New Roman"/>
          <w:bCs/>
          <w:sz w:val="28"/>
          <w:szCs w:val="28"/>
          <w:lang w:eastAsia="ru-RU"/>
        </w:rPr>
        <w:t xml:space="preserve"> [13]</w:t>
      </w:r>
      <w:r w:rsidRPr="001935D0">
        <w:rPr>
          <w:rFonts w:ascii="Times New Roman" w:eastAsia="Times New Roman" w:hAnsi="Times New Roman" w:cs="Times New Roman"/>
          <w:bCs/>
          <w:sz w:val="28"/>
          <w:szCs w:val="28"/>
          <w:lang w:eastAsia="ru-RU"/>
        </w:rPr>
        <w:t xml:space="preserve"> анализируются приоритеты прав человека и принципа верховенства права в государственной политике Казахстана и Узбекистана, с акцентом на соотношение международных обязательств и национальных механизмов реализации. Автор подробно </w:t>
      </w:r>
      <w:r w:rsidRPr="001935D0">
        <w:rPr>
          <w:rFonts w:ascii="Times New Roman" w:eastAsia="Times New Roman" w:hAnsi="Times New Roman" w:cs="Times New Roman"/>
          <w:bCs/>
          <w:sz w:val="28"/>
          <w:szCs w:val="28"/>
          <w:lang w:eastAsia="ru-RU"/>
        </w:rPr>
        <w:lastRenderedPageBreak/>
        <w:t xml:space="preserve">рассматривает нормативную эволюцию правозащитного законодательства, однако не фокусируется на внешнеполитическом измерении прав человека в контексте взаимодействия с Европейским </w:t>
      </w:r>
      <w:r w:rsidR="002064D8">
        <w:rPr>
          <w:rFonts w:ascii="Times New Roman" w:eastAsia="Times New Roman" w:hAnsi="Times New Roman" w:cs="Times New Roman"/>
          <w:bCs/>
          <w:sz w:val="28"/>
          <w:szCs w:val="28"/>
          <w:lang w:eastAsia="ru-RU"/>
        </w:rPr>
        <w:t>С</w:t>
      </w:r>
      <w:r w:rsidRPr="001935D0">
        <w:rPr>
          <w:rFonts w:ascii="Times New Roman" w:eastAsia="Times New Roman" w:hAnsi="Times New Roman" w:cs="Times New Roman"/>
          <w:bCs/>
          <w:sz w:val="28"/>
          <w:szCs w:val="28"/>
          <w:lang w:eastAsia="ru-RU"/>
        </w:rPr>
        <w:t>оюзом.</w:t>
      </w:r>
    </w:p>
    <w:p w14:paraId="4887433F" w14:textId="2FB363EA" w:rsidR="005F4EEC" w:rsidRPr="001935D0" w:rsidRDefault="005F4EEC" w:rsidP="002F78E3">
      <w:pPr>
        <w:pStyle w:val="NoSpacing"/>
        <w:tabs>
          <w:tab w:val="left" w:pos="1134"/>
        </w:tabs>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 xml:space="preserve">В трудах Р.Д. Акшаловой и М.А. Сарсембаева [14] развивается проблематика экологических прав человека и расширения правозащитной парадигмы в условиях устойчивого развития. Авторы обосновывают необходимость институционализации экологических прав и учета климатических факторов, однако не рассматривают данные процессы в рамках внешней правозащитной политики Европейского </w:t>
      </w:r>
      <w:r w:rsidR="002064D8">
        <w:rPr>
          <w:rFonts w:ascii="Times New Roman" w:eastAsia="Times New Roman" w:hAnsi="Times New Roman" w:cs="Times New Roman"/>
          <w:bCs/>
          <w:sz w:val="28"/>
          <w:szCs w:val="28"/>
          <w:lang w:eastAsia="ru-RU"/>
        </w:rPr>
        <w:t>С</w:t>
      </w:r>
      <w:r w:rsidRPr="001935D0">
        <w:rPr>
          <w:rFonts w:ascii="Times New Roman" w:eastAsia="Times New Roman" w:hAnsi="Times New Roman" w:cs="Times New Roman"/>
          <w:bCs/>
          <w:sz w:val="28"/>
          <w:szCs w:val="28"/>
          <w:lang w:eastAsia="ru-RU"/>
        </w:rPr>
        <w:t>оюза.</w:t>
      </w:r>
    </w:p>
    <w:p w14:paraId="7C6CFB35" w14:textId="6372B7EA" w:rsidR="00E02B9C" w:rsidRPr="001935D0" w:rsidRDefault="005F7C41" w:rsidP="002F78E3">
      <w:pPr>
        <w:pStyle w:val="NoSpacing"/>
        <w:tabs>
          <w:tab w:val="left" w:pos="1134"/>
        </w:tabs>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Работы С.К. Журсимбаева и Е.С. Кемали</w:t>
      </w:r>
      <w:r w:rsidR="005F4EEC" w:rsidRPr="001935D0">
        <w:rPr>
          <w:rFonts w:ascii="Times New Roman" w:eastAsia="Times New Roman" w:hAnsi="Times New Roman" w:cs="Times New Roman"/>
          <w:bCs/>
          <w:sz w:val="28"/>
          <w:szCs w:val="28"/>
          <w:lang w:eastAsia="ru-RU"/>
        </w:rPr>
        <w:t xml:space="preserve"> [15]</w:t>
      </w:r>
      <w:r w:rsidRPr="001935D0">
        <w:rPr>
          <w:rFonts w:ascii="Times New Roman" w:eastAsia="Times New Roman" w:hAnsi="Times New Roman" w:cs="Times New Roman"/>
          <w:bCs/>
          <w:sz w:val="28"/>
          <w:szCs w:val="28"/>
          <w:lang w:eastAsia="ru-RU"/>
        </w:rPr>
        <w:t xml:space="preserve"> посвящены осмыслению прав человека как базовой основы правовой политики Республики Казахстан. Авторы подчеркивают необходимость институционального укрепления правозащитных механизмов и повышения роли правосознания в правовой системе, вместе с тем их исследования преимущественно сосредоточены на внутреннем правовом развитии и не затрагивают вопросы адаптации европейских правозащитных моделей.</w:t>
      </w:r>
    </w:p>
    <w:p w14:paraId="7AAA8B73" w14:textId="7792E56F" w:rsidR="00E02B9C" w:rsidRPr="001935D0" w:rsidRDefault="00E02B9C"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eastAsia="ru-RU"/>
        </w:rPr>
        <w:t>В работах Р. Янгс, Э. Вентура, С. Кёкелер, Т. Делрё [16</w:t>
      </w:r>
      <w:r w:rsidR="008318A9">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eastAsia="ru-RU"/>
        </w:rPr>
        <w:t>17] рассматриваются роль и последствия Плана демократии ЕС, а также использование прав человека как инструмента внешней политики.</w:t>
      </w:r>
      <w:r w:rsidRPr="001935D0">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 xml:space="preserve">Документы и отчеты Службы внешних действий ЕС, Европейского парламента, Европейского </w:t>
      </w:r>
      <w:r w:rsidR="002064D8">
        <w:rPr>
          <w:rFonts w:ascii="Times New Roman" w:eastAsia="Times New Roman" w:hAnsi="Times New Roman" w:cs="Times New Roman"/>
          <w:bCs/>
          <w:sz w:val="28"/>
          <w:szCs w:val="28"/>
          <w:lang w:eastAsia="ru-RU"/>
        </w:rPr>
        <w:t>С</w:t>
      </w:r>
      <w:r w:rsidRPr="001935D0">
        <w:rPr>
          <w:rFonts w:ascii="Times New Roman" w:eastAsia="Times New Roman" w:hAnsi="Times New Roman" w:cs="Times New Roman"/>
          <w:bCs/>
          <w:sz w:val="28"/>
          <w:szCs w:val="28"/>
          <w:lang w:eastAsia="ru-RU"/>
        </w:rPr>
        <w:t>оюза [18-22] анализируют правовую базу ЕС, Лиссабонский договор, Хартии прав человека и концепцию нормативной силы.</w:t>
      </w:r>
      <w:r w:rsidRPr="001935D0">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 xml:space="preserve">Статьи </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А.-К. Йонассон, Х. Туоминен, Э. Йылдырымчакар, С. Фрейн, В. Бахманн, С.</w:t>
      </w:r>
      <w:r w:rsidR="002F78E3">
        <w:rPr>
          <w:rFonts w:ascii="Times New Roman" w:eastAsia="Times New Roman" w:hAnsi="Times New Roman" w:cs="Times New Roman"/>
          <w:bCs/>
          <w:sz w:val="28"/>
          <w:szCs w:val="28"/>
          <w:lang w:val="kk-KZ" w:eastAsia="ru-RU"/>
        </w:rPr>
        <w:t> </w:t>
      </w:r>
      <w:r w:rsidRPr="001935D0">
        <w:rPr>
          <w:rFonts w:ascii="Times New Roman" w:eastAsia="Times New Roman" w:hAnsi="Times New Roman" w:cs="Times New Roman"/>
          <w:bCs/>
          <w:sz w:val="28"/>
          <w:szCs w:val="28"/>
          <w:lang w:eastAsia="ru-RU"/>
        </w:rPr>
        <w:t>Моисио [23-29] посвящены продвижению норм ЕС в конфликтных регионах, лидерству в Совете ООН по правам человека и сравнительному анализу нормативной силы ЕС и других глобальных игроков.</w:t>
      </w:r>
      <w:r w:rsidRPr="001935D0">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Документы и анализы Европейской комиссии, Центра международных отношений CIDOB, EuropeNow, Службы Европейского парламента по исследованиям, Европейского парламента и Совета ЕС [30-34] исследуют права человека, влияние войны в Украине, пересмотр иммиграционной политики, санкции и директивы ЕС по корпоративной добросовестности.</w:t>
      </w:r>
      <w:r w:rsidRPr="001935D0">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Отчеты и материалы Seyfarth Shaw LLP, Ecofact, Организации Объединенных Наций, О. А. Хэтэуэй, С. Патрик, Л. Шютте, Х. Дейкстра, А. Салтут [35-41] посвящены ESG-регулированию, многостороннему сотрудничеству, работе Совета Безопасности и легитимности ОБСЕ.</w:t>
      </w:r>
      <w:r w:rsidRPr="001935D0">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 xml:space="preserve">Доклады и регламенты Службы внешних действий ЕС, Совета Европейского </w:t>
      </w:r>
      <w:r w:rsidR="002064D8">
        <w:rPr>
          <w:rFonts w:ascii="Times New Roman" w:eastAsia="Times New Roman" w:hAnsi="Times New Roman" w:cs="Times New Roman"/>
          <w:bCs/>
          <w:sz w:val="28"/>
          <w:szCs w:val="28"/>
          <w:lang w:eastAsia="ru-RU"/>
        </w:rPr>
        <w:t>С</w:t>
      </w:r>
      <w:r w:rsidRPr="001935D0">
        <w:rPr>
          <w:rFonts w:ascii="Times New Roman" w:eastAsia="Times New Roman" w:hAnsi="Times New Roman" w:cs="Times New Roman"/>
          <w:bCs/>
          <w:sz w:val="28"/>
          <w:szCs w:val="28"/>
          <w:lang w:eastAsia="ru-RU"/>
        </w:rPr>
        <w:t>оюза, PRIF Blog [42-44] анализируют информационные угрозы, меры против нарушений прав человека и режим глобальных санкций ЕС.</w:t>
      </w:r>
      <w:r w:rsidRPr="001935D0">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Обзоры и материалы Р. Янгс, К. Брудзиньска, З. Чаки, Greenomy, Ев</w:t>
      </w:r>
      <w:r w:rsidR="002F78E3">
        <w:rPr>
          <w:rFonts w:ascii="Times New Roman" w:eastAsia="Times New Roman" w:hAnsi="Times New Roman" w:cs="Times New Roman"/>
          <w:bCs/>
          <w:sz w:val="28"/>
          <w:szCs w:val="28"/>
          <w:lang w:eastAsia="ru-RU"/>
        </w:rPr>
        <w:t>ропейский парламент и Совет, Э.</w:t>
      </w:r>
      <w:r w:rsidRPr="001935D0">
        <w:rPr>
          <w:rFonts w:ascii="Times New Roman" w:eastAsia="Times New Roman" w:hAnsi="Times New Roman" w:cs="Times New Roman"/>
          <w:bCs/>
          <w:sz w:val="28"/>
          <w:szCs w:val="28"/>
          <w:lang w:eastAsia="ru-RU"/>
        </w:rPr>
        <w:t>К. Беггс [45-50] рассматривают поддержку демократии, устойчивое финансирование, корпоративную отчетность о устойчивости и интеграцию этики в цепочки поставок.</w:t>
      </w:r>
    </w:p>
    <w:p w14:paraId="0286E104" w14:textId="74EB23CA" w:rsidR="00071B1D" w:rsidRPr="001935D0" w:rsidRDefault="00071B1D"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eastAsia="ru-RU"/>
        </w:rPr>
        <w:t>В работах Европейского парламента и Совета, М. Скотта, World Benchmarking Alliance [51</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eastAsia="ru-RU"/>
        </w:rPr>
        <w:t xml:space="preserve">53] рассматриваются вопросы корпоративной устойчивости, новые европейские правила в области прав человека и оценка соблюдения этих норм ведущими компаниями мира. Отчеты Европейского </w:t>
      </w:r>
      <w:r w:rsidRPr="001935D0">
        <w:rPr>
          <w:rFonts w:ascii="Times New Roman" w:eastAsia="Times New Roman" w:hAnsi="Times New Roman" w:cs="Times New Roman"/>
          <w:bCs/>
          <w:sz w:val="28"/>
          <w:szCs w:val="28"/>
          <w:lang w:eastAsia="ru-RU"/>
        </w:rPr>
        <w:lastRenderedPageBreak/>
        <w:t>парламента, Службы внешних действий ЕС и Европейской комиссии [54</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eastAsia="ru-RU"/>
        </w:rPr>
        <w:t>57] анализируют стратегию ЕС по Центральной Азии, механизмы корпоративной отчетности и диалоги по правам человека с Казахстаном. Документы правительства Республики Казахстан и Президента страны [58</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eastAsia="ru-RU"/>
        </w:rPr>
        <w:t>60] содержат планы действий в области прав человека и правовые инициативы в контексте внутреннего законодательства.</w:t>
      </w:r>
    </w:p>
    <w:p w14:paraId="765775A2" w14:textId="401DDBDF" w:rsidR="00071B1D" w:rsidRPr="001935D0" w:rsidRDefault="00071B1D" w:rsidP="002F78E3">
      <w:pPr>
        <w:pStyle w:val="NoSpacing"/>
        <w:tabs>
          <w:tab w:val="left" w:pos="1134"/>
        </w:tabs>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Нормативные акты Европейского Союза</w:t>
      </w:r>
      <w:r w:rsidR="004B2E63" w:rsidRPr="001935D0">
        <w:rPr>
          <w:rFonts w:ascii="Times New Roman" w:eastAsia="Times New Roman" w:hAnsi="Times New Roman" w:cs="Times New Roman"/>
          <w:bCs/>
          <w:sz w:val="28"/>
          <w:szCs w:val="28"/>
          <w:lang w:eastAsia="ru-RU"/>
        </w:rPr>
        <w:t xml:space="preserve"> </w:t>
      </w:r>
      <w:r w:rsidRPr="001935D0">
        <w:rPr>
          <w:rFonts w:ascii="Times New Roman" w:eastAsia="Times New Roman" w:hAnsi="Times New Roman" w:cs="Times New Roman"/>
          <w:bCs/>
          <w:sz w:val="28"/>
          <w:szCs w:val="28"/>
          <w:lang w:eastAsia="ru-RU"/>
        </w:rPr>
        <w:t>и рекомендации ООН по статистике и правам человека формируют основу для анализа соблюдения прав человека и мониторинга их реализации. Документы по Универсальному периодическому обзору и деятельности Омбудсмена отражают оценку прав человека в Казахстане международными органами</w:t>
      </w:r>
      <w:r w:rsidR="004B2E63" w:rsidRPr="001935D0">
        <w:rPr>
          <w:rFonts w:ascii="Times New Roman" w:eastAsia="Times New Roman" w:hAnsi="Times New Roman" w:cs="Times New Roman"/>
          <w:bCs/>
          <w:sz w:val="28"/>
          <w:szCs w:val="28"/>
          <w:lang w:eastAsia="ru-RU"/>
        </w:rPr>
        <w:t xml:space="preserve"> [61-7</w:t>
      </w:r>
      <w:r w:rsidR="007615D9">
        <w:rPr>
          <w:rFonts w:ascii="Times New Roman" w:eastAsia="Times New Roman" w:hAnsi="Times New Roman" w:cs="Times New Roman"/>
          <w:bCs/>
          <w:sz w:val="28"/>
          <w:szCs w:val="28"/>
          <w:lang w:val="kk-KZ" w:eastAsia="ru-RU"/>
        </w:rPr>
        <w:t>4</w:t>
      </w:r>
      <w:r w:rsidR="004B2E63" w:rsidRPr="001935D0">
        <w:rPr>
          <w:rFonts w:ascii="Times New Roman" w:eastAsia="Times New Roman" w:hAnsi="Times New Roman" w:cs="Times New Roman"/>
          <w:bCs/>
          <w:sz w:val="28"/>
          <w:szCs w:val="28"/>
          <w:lang w:eastAsia="ru-RU"/>
        </w:rPr>
        <w:t>]</w:t>
      </w:r>
      <w:r w:rsidR="00F76CDD" w:rsidRPr="001935D0">
        <w:rPr>
          <w:rFonts w:ascii="Times New Roman" w:eastAsia="Times New Roman" w:hAnsi="Times New Roman" w:cs="Times New Roman"/>
          <w:bCs/>
          <w:sz w:val="28"/>
          <w:szCs w:val="28"/>
          <w:lang w:eastAsia="ru-RU"/>
        </w:rPr>
        <w:t>.</w:t>
      </w:r>
    </w:p>
    <w:p w14:paraId="1EF8AAB9" w14:textId="0E223CF8" w:rsidR="00A512CC" w:rsidRPr="001935D0" w:rsidRDefault="00F76CDD"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eastAsia="ru-RU"/>
        </w:rPr>
        <w:t xml:space="preserve">В работах </w:t>
      </w:r>
      <w:r w:rsidR="00554963">
        <w:rPr>
          <w:rFonts w:ascii="Times New Roman" w:eastAsia="Times New Roman" w:hAnsi="Times New Roman" w:cs="Times New Roman"/>
          <w:bCs/>
          <w:sz w:val="28"/>
          <w:szCs w:val="28"/>
          <w:lang w:eastAsia="ru-RU"/>
        </w:rPr>
        <w:t>Д</w:t>
      </w:r>
      <w:r w:rsidRPr="001935D0">
        <w:rPr>
          <w:rFonts w:ascii="Times New Roman" w:eastAsia="Times New Roman" w:hAnsi="Times New Roman" w:cs="Times New Roman"/>
          <w:bCs/>
          <w:sz w:val="28"/>
          <w:szCs w:val="28"/>
          <w:lang w:eastAsia="ru-RU"/>
        </w:rPr>
        <w:t>. Финнерти и Б. Чалы рассматриваются методы прогрессивной интерпретации положений Европейской конвенции по правам человека, в частности статья 18 [7</w:t>
      </w:r>
      <w:r w:rsidR="007615D9">
        <w:rPr>
          <w:rFonts w:ascii="Times New Roman" w:eastAsia="Times New Roman" w:hAnsi="Times New Roman" w:cs="Times New Roman"/>
          <w:bCs/>
          <w:sz w:val="28"/>
          <w:szCs w:val="28"/>
          <w:lang w:val="kk-KZ" w:eastAsia="ru-RU"/>
        </w:rPr>
        <w:t>5</w:t>
      </w:r>
      <w:r w:rsidRPr="001935D0">
        <w:rPr>
          <w:rFonts w:ascii="Times New Roman" w:eastAsia="Times New Roman" w:hAnsi="Times New Roman" w:cs="Times New Roman"/>
          <w:bCs/>
          <w:sz w:val="28"/>
          <w:szCs w:val="28"/>
          <w:lang w:eastAsia="ru-RU"/>
        </w:rPr>
        <w:t>]. Исследования С. Вахтера, Б. Миттельштадта и К.</w:t>
      </w:r>
      <w:r w:rsidR="002F78E3">
        <w:rPr>
          <w:rFonts w:ascii="Times New Roman" w:eastAsia="Times New Roman" w:hAnsi="Times New Roman" w:cs="Times New Roman"/>
          <w:bCs/>
          <w:sz w:val="28"/>
          <w:szCs w:val="28"/>
          <w:lang w:val="kk-KZ" w:eastAsia="ru-RU"/>
        </w:rPr>
        <w:t> </w:t>
      </w:r>
      <w:r w:rsidRPr="001935D0">
        <w:rPr>
          <w:rFonts w:ascii="Times New Roman" w:eastAsia="Times New Roman" w:hAnsi="Times New Roman" w:cs="Times New Roman"/>
          <w:bCs/>
          <w:sz w:val="28"/>
          <w:szCs w:val="28"/>
          <w:lang w:eastAsia="ru-RU"/>
        </w:rPr>
        <w:t>Рассела посвящены проблемам автоматизации справедливости и соответствию законодательства ЕС по недискриминации при применении ИИ [7</w:t>
      </w:r>
      <w:r w:rsidR="007615D9">
        <w:rPr>
          <w:rFonts w:ascii="Times New Roman" w:eastAsia="Times New Roman" w:hAnsi="Times New Roman" w:cs="Times New Roman"/>
          <w:bCs/>
          <w:sz w:val="28"/>
          <w:szCs w:val="28"/>
          <w:lang w:val="kk-KZ" w:eastAsia="ru-RU"/>
        </w:rPr>
        <w:t>6</w:t>
      </w:r>
      <w:r w:rsidRPr="001935D0">
        <w:rPr>
          <w:rFonts w:ascii="Times New Roman" w:eastAsia="Times New Roman" w:hAnsi="Times New Roman" w:cs="Times New Roman"/>
          <w:bCs/>
          <w:sz w:val="28"/>
          <w:szCs w:val="28"/>
          <w:lang w:eastAsia="ru-RU"/>
        </w:rPr>
        <w:t>]. Статья Т. Сантоша, С. Сю и коллег анализирует прогнозирование судебных решений Европейского суда по правам человека и вопросы согласования таких предсказаний с мнением экспертов [7</w:t>
      </w:r>
      <w:r w:rsidR="007615D9">
        <w:rPr>
          <w:rFonts w:ascii="Times New Roman" w:eastAsia="Times New Roman" w:hAnsi="Times New Roman" w:cs="Times New Roman"/>
          <w:bCs/>
          <w:sz w:val="28"/>
          <w:szCs w:val="28"/>
          <w:lang w:val="kk-KZ" w:eastAsia="ru-RU"/>
        </w:rPr>
        <w:t>7</w:t>
      </w:r>
      <w:r w:rsidRPr="001935D0">
        <w:rPr>
          <w:rFonts w:ascii="Times New Roman" w:eastAsia="Times New Roman" w:hAnsi="Times New Roman" w:cs="Times New Roman"/>
          <w:bCs/>
          <w:sz w:val="28"/>
          <w:szCs w:val="28"/>
          <w:lang w:eastAsia="ru-RU"/>
        </w:rPr>
        <w:t>].</w:t>
      </w:r>
    </w:p>
    <w:p w14:paraId="07B78CF5" w14:textId="6236A478" w:rsidR="000E69F3" w:rsidRPr="001935D0" w:rsidRDefault="00A512CC"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eastAsia="ru-RU"/>
        </w:rPr>
        <w:t>Хартия основных прав ЕС и публикации по ее толкованию [7</w:t>
      </w:r>
      <w:r w:rsidR="007615D9">
        <w:rPr>
          <w:rFonts w:ascii="Times New Roman" w:eastAsia="Times New Roman" w:hAnsi="Times New Roman" w:cs="Times New Roman"/>
          <w:bCs/>
          <w:sz w:val="28"/>
          <w:szCs w:val="28"/>
          <w:lang w:val="kk-KZ" w:eastAsia="ru-RU"/>
        </w:rPr>
        <w:t>8</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eastAsia="ru-RU"/>
        </w:rPr>
        <w:t>8</w:t>
      </w:r>
      <w:r w:rsidR="007615D9">
        <w:rPr>
          <w:rFonts w:ascii="Times New Roman" w:eastAsia="Times New Roman" w:hAnsi="Times New Roman" w:cs="Times New Roman"/>
          <w:bCs/>
          <w:sz w:val="28"/>
          <w:szCs w:val="28"/>
          <w:lang w:val="kk-KZ" w:eastAsia="ru-RU"/>
        </w:rPr>
        <w:t>5</w:t>
      </w:r>
      <w:r w:rsidRPr="001935D0">
        <w:rPr>
          <w:rFonts w:ascii="Times New Roman" w:eastAsia="Times New Roman" w:hAnsi="Times New Roman" w:cs="Times New Roman"/>
          <w:bCs/>
          <w:sz w:val="28"/>
          <w:szCs w:val="28"/>
          <w:lang w:eastAsia="ru-RU"/>
        </w:rPr>
        <w:t>] изучают фундаментальные права, их защиту, ограничения и интеграцию в национальные законодательства, включая статью 21 и статью 51 Хартии, а также практику Суда ЕС. Директивы ЕС по недискриминации и равенству [8</w:t>
      </w:r>
      <w:r w:rsidR="007615D9">
        <w:rPr>
          <w:rFonts w:ascii="Times New Roman" w:eastAsia="Times New Roman" w:hAnsi="Times New Roman" w:cs="Times New Roman"/>
          <w:bCs/>
          <w:sz w:val="28"/>
          <w:szCs w:val="28"/>
          <w:lang w:val="kk-KZ" w:eastAsia="ru-RU"/>
        </w:rPr>
        <w:t>6</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eastAsia="ru-RU"/>
        </w:rPr>
        <w:t>9</w:t>
      </w:r>
      <w:r w:rsidR="007615D9">
        <w:rPr>
          <w:rFonts w:ascii="Times New Roman" w:eastAsia="Times New Roman" w:hAnsi="Times New Roman" w:cs="Times New Roman"/>
          <w:bCs/>
          <w:sz w:val="28"/>
          <w:szCs w:val="28"/>
          <w:lang w:val="kk-KZ" w:eastAsia="ru-RU"/>
        </w:rPr>
        <w:t>0</w:t>
      </w:r>
      <w:r w:rsidRPr="001935D0">
        <w:rPr>
          <w:rFonts w:ascii="Times New Roman" w:eastAsia="Times New Roman" w:hAnsi="Times New Roman" w:cs="Times New Roman"/>
          <w:bCs/>
          <w:sz w:val="28"/>
          <w:szCs w:val="28"/>
          <w:lang w:eastAsia="ru-RU"/>
        </w:rPr>
        <w:t>] регулируют принципы равного обращения в трудовой сфере, защиту от дискриминации на расовой и гендерной почве и обеспечивают механизм правоприменения в странах-членах. Отчеты Европейского агентства по фундаментальным правам [</w:t>
      </w:r>
      <w:r w:rsidR="007615D9">
        <w:rPr>
          <w:rFonts w:ascii="Times New Roman" w:eastAsia="Times New Roman" w:hAnsi="Times New Roman" w:cs="Times New Roman"/>
          <w:bCs/>
          <w:sz w:val="28"/>
          <w:szCs w:val="28"/>
          <w:lang w:val="kk-KZ" w:eastAsia="ru-RU"/>
        </w:rPr>
        <w:t>79</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eastAsia="ru-RU"/>
        </w:rPr>
        <w:t xml:space="preserve"> 9</w:t>
      </w:r>
      <w:r w:rsidR="007615D9">
        <w:rPr>
          <w:rFonts w:ascii="Times New Roman" w:eastAsia="Times New Roman" w:hAnsi="Times New Roman" w:cs="Times New Roman"/>
          <w:bCs/>
          <w:sz w:val="28"/>
          <w:szCs w:val="28"/>
          <w:lang w:val="kk-KZ" w:eastAsia="ru-RU"/>
        </w:rPr>
        <w:t>1</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9</w:t>
      </w:r>
      <w:r w:rsidR="007615D9">
        <w:rPr>
          <w:rFonts w:ascii="Times New Roman" w:eastAsia="Times New Roman" w:hAnsi="Times New Roman" w:cs="Times New Roman"/>
          <w:bCs/>
          <w:sz w:val="28"/>
          <w:szCs w:val="28"/>
          <w:lang w:val="kk-KZ" w:eastAsia="ru-RU"/>
        </w:rPr>
        <w:t>2</w:t>
      </w:r>
      <w:r w:rsidRPr="001935D0">
        <w:rPr>
          <w:rFonts w:ascii="Times New Roman" w:eastAsia="Times New Roman" w:hAnsi="Times New Roman" w:cs="Times New Roman"/>
          <w:bCs/>
          <w:sz w:val="28"/>
          <w:szCs w:val="28"/>
          <w:lang w:eastAsia="ru-RU"/>
        </w:rPr>
        <w:t>], International IDEA и Европейской комиссии [9</w:t>
      </w:r>
      <w:r w:rsidR="007615D9">
        <w:rPr>
          <w:rFonts w:ascii="Times New Roman" w:eastAsia="Times New Roman" w:hAnsi="Times New Roman" w:cs="Times New Roman"/>
          <w:bCs/>
          <w:sz w:val="28"/>
          <w:szCs w:val="28"/>
          <w:lang w:val="kk-KZ" w:eastAsia="ru-RU"/>
        </w:rPr>
        <w:t>3</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9</w:t>
      </w:r>
      <w:r w:rsidR="007615D9">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eastAsia="ru-RU"/>
        </w:rPr>
        <w:t>] анализируют соблюдение прав человека, верховенство закона и укрепление институциональных механизмов в ЕС и Центральной Азии. Документы и отчеты по Казахстану [9</w:t>
      </w:r>
      <w:r w:rsidR="007615D9">
        <w:rPr>
          <w:rFonts w:ascii="Times New Roman" w:eastAsia="Times New Roman" w:hAnsi="Times New Roman" w:cs="Times New Roman"/>
          <w:bCs/>
          <w:sz w:val="28"/>
          <w:szCs w:val="28"/>
          <w:lang w:val="kk-KZ" w:eastAsia="ru-RU"/>
        </w:rPr>
        <w:t>5</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eastAsia="ru-RU"/>
        </w:rPr>
        <w:t>10</w:t>
      </w:r>
      <w:r w:rsidR="007615D9">
        <w:rPr>
          <w:rFonts w:ascii="Times New Roman" w:eastAsia="Times New Roman" w:hAnsi="Times New Roman" w:cs="Times New Roman"/>
          <w:bCs/>
          <w:sz w:val="28"/>
          <w:szCs w:val="28"/>
          <w:lang w:val="kk-KZ" w:eastAsia="ru-RU"/>
        </w:rPr>
        <w:t>3</w:t>
      </w:r>
      <w:r w:rsidRPr="001935D0">
        <w:rPr>
          <w:rFonts w:ascii="Times New Roman" w:eastAsia="Times New Roman" w:hAnsi="Times New Roman" w:cs="Times New Roman"/>
          <w:bCs/>
          <w:sz w:val="28"/>
          <w:szCs w:val="28"/>
          <w:lang w:eastAsia="ru-RU"/>
        </w:rPr>
        <w:t>] включают деятельность Омбудсмена, оценки международных организаций, Универсальный периодический обзор, отчеты Human Rights Watch и ООН, а также инициативы ЕС по правам человека и демократии, формируя комплексный анализ соблюдения прав человека и продвижения устойчивого развития в стране.</w:t>
      </w:r>
    </w:p>
    <w:p w14:paraId="60FD16F7" w14:textId="3666E2BE" w:rsidR="00A512CC" w:rsidRPr="001935D0" w:rsidRDefault="00A512CC"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eastAsia="ru-RU"/>
        </w:rPr>
        <w:t>В работах М. Вонга, Й. Квонга и В. Чау [10</w:t>
      </w:r>
      <w:r w:rsidR="007615D9">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eastAsia="ru-RU"/>
        </w:rPr>
        <w:t>] рассматриваются вопросы демократии, конституционной структуры и прав человека в разных государствах, включая Монако, Тонгу, Гонконг и Сингапур. Проблемы продовольственной демократии и права на город анализируются М. Лопесом Сифуэнтесом и Р. Соннино [10</w:t>
      </w:r>
      <w:r w:rsidR="007615D9">
        <w:rPr>
          <w:rFonts w:ascii="Times New Roman" w:eastAsia="Times New Roman" w:hAnsi="Times New Roman" w:cs="Times New Roman"/>
          <w:bCs/>
          <w:sz w:val="28"/>
          <w:szCs w:val="28"/>
          <w:lang w:val="kk-KZ" w:eastAsia="ru-RU"/>
        </w:rPr>
        <w:t>5</w:t>
      </w:r>
      <w:r w:rsidRPr="001935D0">
        <w:rPr>
          <w:rFonts w:ascii="Times New Roman" w:eastAsia="Times New Roman" w:hAnsi="Times New Roman" w:cs="Times New Roman"/>
          <w:bCs/>
          <w:sz w:val="28"/>
          <w:szCs w:val="28"/>
          <w:lang w:eastAsia="ru-RU"/>
        </w:rPr>
        <w:t>], а влияние Конвенции о правах лиц с инвалидностью на практику Европейского суда по правам человека в области психиатрического права изучает Й. Фиала-Бутора [10</w:t>
      </w:r>
      <w:r w:rsidR="007615D9">
        <w:rPr>
          <w:rFonts w:ascii="Times New Roman" w:eastAsia="Times New Roman" w:hAnsi="Times New Roman" w:cs="Times New Roman"/>
          <w:bCs/>
          <w:sz w:val="28"/>
          <w:szCs w:val="28"/>
          <w:lang w:val="kk-KZ" w:eastAsia="ru-RU"/>
        </w:rPr>
        <w:t>6</w:t>
      </w:r>
      <w:r w:rsidRPr="001935D0">
        <w:rPr>
          <w:rFonts w:ascii="Times New Roman" w:eastAsia="Times New Roman" w:hAnsi="Times New Roman" w:cs="Times New Roman"/>
          <w:bCs/>
          <w:sz w:val="28"/>
          <w:szCs w:val="28"/>
          <w:lang w:eastAsia="ru-RU"/>
        </w:rPr>
        <w:t>]. Поддержка демократии ЕС и ее ежегодная оценка представлены в обзоре Р. Янгса, К. Брудзиньской, З.</w:t>
      </w:r>
      <w:r w:rsidR="002F78E3">
        <w:rPr>
          <w:rFonts w:ascii="Times New Roman" w:eastAsia="Times New Roman" w:hAnsi="Times New Roman" w:cs="Times New Roman"/>
          <w:bCs/>
          <w:sz w:val="28"/>
          <w:szCs w:val="28"/>
          <w:lang w:val="kk-KZ" w:eastAsia="ru-RU"/>
        </w:rPr>
        <w:t> </w:t>
      </w:r>
      <w:r w:rsidRPr="001935D0">
        <w:rPr>
          <w:rFonts w:ascii="Times New Roman" w:eastAsia="Times New Roman" w:hAnsi="Times New Roman" w:cs="Times New Roman"/>
          <w:bCs/>
          <w:sz w:val="28"/>
          <w:szCs w:val="28"/>
          <w:lang w:eastAsia="ru-RU"/>
        </w:rPr>
        <w:t>Чсаки и коллег [</w:t>
      </w:r>
      <w:r w:rsidR="007615D9">
        <w:rPr>
          <w:rFonts w:ascii="Times New Roman" w:eastAsia="Times New Roman" w:hAnsi="Times New Roman" w:cs="Times New Roman"/>
          <w:bCs/>
          <w:sz w:val="28"/>
          <w:szCs w:val="28"/>
          <w:lang w:val="kk-KZ" w:eastAsia="ru-RU"/>
        </w:rPr>
        <w:t>45</w:t>
      </w:r>
      <w:r w:rsidRPr="001935D0">
        <w:rPr>
          <w:rFonts w:ascii="Times New Roman" w:eastAsia="Times New Roman" w:hAnsi="Times New Roman" w:cs="Times New Roman"/>
          <w:bCs/>
          <w:sz w:val="28"/>
          <w:szCs w:val="28"/>
          <w:lang w:eastAsia="ru-RU"/>
        </w:rPr>
        <w:t>], а лидерство ЕС на Совете ООН по правам человека рассматривается Х. Туоминеном [</w:t>
      </w:r>
      <w:r w:rsidR="007615D9">
        <w:rPr>
          <w:rFonts w:ascii="Times New Roman" w:eastAsia="Times New Roman" w:hAnsi="Times New Roman" w:cs="Times New Roman"/>
          <w:bCs/>
          <w:sz w:val="28"/>
          <w:szCs w:val="28"/>
          <w:lang w:val="kk-KZ" w:eastAsia="ru-RU"/>
        </w:rPr>
        <w:t>24</w:t>
      </w:r>
      <w:r w:rsidR="000C6BD3" w:rsidRPr="000C6BD3">
        <w:rPr>
          <w:rFonts w:ascii="Times New Roman" w:eastAsia="Times New Roman" w:hAnsi="Times New Roman" w:cs="Times New Roman"/>
          <w:bCs/>
          <w:sz w:val="28"/>
          <w:szCs w:val="28"/>
          <w:lang w:eastAsia="ru-RU"/>
        </w:rPr>
        <w:t xml:space="preserve">, </w:t>
      </w:r>
      <w:r w:rsidR="000C6BD3">
        <w:rPr>
          <w:rFonts w:ascii="Times New Roman" w:eastAsia="Times New Roman" w:hAnsi="Times New Roman" w:cs="Times New Roman"/>
          <w:bCs/>
          <w:sz w:val="28"/>
          <w:szCs w:val="28"/>
          <w:lang w:val="en-US" w:eastAsia="ru-RU"/>
        </w:rPr>
        <w:t>p</w:t>
      </w:r>
      <w:r w:rsidR="000C6BD3" w:rsidRPr="000C6BD3">
        <w:rPr>
          <w:rFonts w:ascii="Times New Roman" w:eastAsia="Times New Roman" w:hAnsi="Times New Roman" w:cs="Times New Roman"/>
          <w:bCs/>
          <w:sz w:val="28"/>
          <w:szCs w:val="28"/>
          <w:lang w:eastAsia="ru-RU"/>
        </w:rPr>
        <w:t>. 903-920</w:t>
      </w:r>
      <w:r w:rsidRPr="001935D0">
        <w:rPr>
          <w:rFonts w:ascii="Times New Roman" w:eastAsia="Times New Roman" w:hAnsi="Times New Roman" w:cs="Times New Roman"/>
          <w:bCs/>
          <w:sz w:val="28"/>
          <w:szCs w:val="28"/>
          <w:lang w:eastAsia="ru-RU"/>
        </w:rPr>
        <w:t>]. Вопросы отчетности компаний по соблюдению прав человека исследуются М. Рогерсоном, Ф.</w:t>
      </w:r>
      <w:r w:rsidR="000C6BD3">
        <w:rPr>
          <w:rFonts w:ascii="Times New Roman" w:eastAsia="Times New Roman" w:hAnsi="Times New Roman" w:cs="Times New Roman"/>
          <w:bCs/>
          <w:sz w:val="28"/>
          <w:szCs w:val="28"/>
          <w:lang w:val="en-US" w:eastAsia="ru-RU"/>
        </w:rPr>
        <w:t> </w:t>
      </w:r>
      <w:r w:rsidRPr="001935D0">
        <w:rPr>
          <w:rFonts w:ascii="Times New Roman" w:eastAsia="Times New Roman" w:hAnsi="Times New Roman" w:cs="Times New Roman"/>
          <w:bCs/>
          <w:sz w:val="28"/>
          <w:szCs w:val="28"/>
          <w:lang w:eastAsia="ru-RU"/>
        </w:rPr>
        <w:t xml:space="preserve">Скарпой и </w:t>
      </w:r>
      <w:r w:rsidRPr="001935D0">
        <w:rPr>
          <w:rFonts w:ascii="Times New Roman" w:eastAsia="Times New Roman" w:hAnsi="Times New Roman" w:cs="Times New Roman"/>
          <w:bCs/>
          <w:sz w:val="28"/>
          <w:szCs w:val="28"/>
          <w:lang w:eastAsia="ru-RU"/>
        </w:rPr>
        <w:lastRenderedPageBreak/>
        <w:t>А.</w:t>
      </w:r>
      <w:r w:rsidR="002F78E3">
        <w:rPr>
          <w:rFonts w:ascii="Times New Roman" w:eastAsia="Times New Roman" w:hAnsi="Times New Roman" w:cs="Times New Roman"/>
          <w:bCs/>
          <w:sz w:val="28"/>
          <w:szCs w:val="28"/>
          <w:lang w:val="kk-KZ" w:eastAsia="ru-RU"/>
        </w:rPr>
        <w:t> </w:t>
      </w:r>
      <w:r w:rsidRPr="001935D0">
        <w:rPr>
          <w:rFonts w:ascii="Times New Roman" w:eastAsia="Times New Roman" w:hAnsi="Times New Roman" w:cs="Times New Roman"/>
          <w:bCs/>
          <w:sz w:val="28"/>
          <w:szCs w:val="28"/>
          <w:lang w:eastAsia="ru-RU"/>
        </w:rPr>
        <w:t>Снелсон-Пауэлл [</w:t>
      </w:r>
      <w:r w:rsidR="007615D9">
        <w:rPr>
          <w:rFonts w:ascii="Times New Roman" w:eastAsia="Times New Roman" w:hAnsi="Times New Roman" w:cs="Times New Roman"/>
          <w:bCs/>
          <w:sz w:val="28"/>
          <w:szCs w:val="28"/>
          <w:lang w:val="kk-KZ" w:eastAsia="ru-RU"/>
        </w:rPr>
        <w:t>107</w:t>
      </w:r>
      <w:r w:rsidRPr="001935D0">
        <w:rPr>
          <w:rFonts w:ascii="Times New Roman" w:eastAsia="Times New Roman" w:hAnsi="Times New Roman" w:cs="Times New Roman"/>
          <w:bCs/>
          <w:sz w:val="28"/>
          <w:szCs w:val="28"/>
          <w:lang w:eastAsia="ru-RU"/>
        </w:rPr>
        <w:t>], а применение положений о правах человека в торговых соглашениях ЕС анализирует И. Замфир [1</w:t>
      </w:r>
      <w:r w:rsidR="007615D9">
        <w:rPr>
          <w:rFonts w:ascii="Times New Roman" w:eastAsia="Times New Roman" w:hAnsi="Times New Roman" w:cs="Times New Roman"/>
          <w:bCs/>
          <w:sz w:val="28"/>
          <w:szCs w:val="28"/>
          <w:lang w:val="kk-KZ" w:eastAsia="ru-RU"/>
        </w:rPr>
        <w:t>08</w:t>
      </w:r>
      <w:r w:rsidRPr="001935D0">
        <w:rPr>
          <w:rFonts w:ascii="Times New Roman" w:eastAsia="Times New Roman" w:hAnsi="Times New Roman" w:cs="Times New Roman"/>
          <w:bCs/>
          <w:sz w:val="28"/>
          <w:szCs w:val="28"/>
          <w:lang w:eastAsia="ru-RU"/>
        </w:rPr>
        <w:t>]. Технологии распознавания лиц и их влияние на демократию и права человека изучают Ф.</w:t>
      </w:r>
      <w:r w:rsidR="002F78E3">
        <w:rPr>
          <w:rFonts w:ascii="Times New Roman" w:eastAsia="Times New Roman" w:hAnsi="Times New Roman" w:cs="Times New Roman"/>
          <w:bCs/>
          <w:sz w:val="28"/>
          <w:szCs w:val="28"/>
          <w:lang w:val="kk-KZ" w:eastAsia="ru-RU"/>
        </w:rPr>
        <w:t> </w:t>
      </w:r>
      <w:r w:rsidRPr="001935D0">
        <w:rPr>
          <w:rFonts w:ascii="Times New Roman" w:eastAsia="Times New Roman" w:hAnsi="Times New Roman" w:cs="Times New Roman"/>
          <w:bCs/>
          <w:sz w:val="28"/>
          <w:szCs w:val="28"/>
          <w:lang w:eastAsia="ru-RU"/>
        </w:rPr>
        <w:t>Пальмиотто и Н. Менендес Гонсалес [1</w:t>
      </w:r>
      <w:r w:rsidR="007615D9">
        <w:rPr>
          <w:rFonts w:ascii="Times New Roman" w:eastAsia="Times New Roman" w:hAnsi="Times New Roman" w:cs="Times New Roman"/>
          <w:bCs/>
          <w:sz w:val="28"/>
          <w:szCs w:val="28"/>
          <w:lang w:val="kk-KZ" w:eastAsia="ru-RU"/>
        </w:rPr>
        <w:t>09</w:t>
      </w:r>
      <w:r w:rsidRPr="001935D0">
        <w:rPr>
          <w:rFonts w:ascii="Times New Roman" w:eastAsia="Times New Roman" w:hAnsi="Times New Roman" w:cs="Times New Roman"/>
          <w:bCs/>
          <w:sz w:val="28"/>
          <w:szCs w:val="28"/>
          <w:lang w:eastAsia="ru-RU"/>
        </w:rPr>
        <w:t>], а пересмотр Руководства ЕС по правам ребенка представлен Sexual Violence Research Initiative [11</w:t>
      </w:r>
      <w:r w:rsidR="007615D9">
        <w:rPr>
          <w:rFonts w:ascii="Times New Roman" w:eastAsia="Times New Roman" w:hAnsi="Times New Roman" w:cs="Times New Roman"/>
          <w:bCs/>
          <w:sz w:val="28"/>
          <w:szCs w:val="28"/>
          <w:lang w:val="kk-KZ" w:eastAsia="ru-RU"/>
        </w:rPr>
        <w:t>0</w:t>
      </w:r>
      <w:r w:rsidRPr="001935D0">
        <w:rPr>
          <w:rFonts w:ascii="Times New Roman" w:eastAsia="Times New Roman" w:hAnsi="Times New Roman" w:cs="Times New Roman"/>
          <w:bCs/>
          <w:sz w:val="28"/>
          <w:szCs w:val="28"/>
          <w:lang w:eastAsia="ru-RU"/>
        </w:rPr>
        <w:t>]. Вопросы дезинформации в цифровых услугах рассматриваются Tech Policy Press [11</w:t>
      </w:r>
      <w:r w:rsidR="007615D9">
        <w:rPr>
          <w:rFonts w:ascii="Times New Roman" w:eastAsia="Times New Roman" w:hAnsi="Times New Roman" w:cs="Times New Roman"/>
          <w:bCs/>
          <w:sz w:val="28"/>
          <w:szCs w:val="28"/>
          <w:lang w:val="kk-KZ" w:eastAsia="ru-RU"/>
        </w:rPr>
        <w:t>1</w:t>
      </w:r>
      <w:r w:rsidRPr="001935D0">
        <w:rPr>
          <w:rFonts w:ascii="Times New Roman" w:eastAsia="Times New Roman" w:hAnsi="Times New Roman" w:cs="Times New Roman"/>
          <w:bCs/>
          <w:sz w:val="28"/>
          <w:szCs w:val="28"/>
          <w:lang w:eastAsia="ru-RU"/>
        </w:rPr>
        <w:t>], а применение искусственного интеллекта с учетом прав человека и верховенства закона анализируют Д. Лесли и коллеги [11</w:t>
      </w:r>
      <w:r w:rsidR="007615D9">
        <w:rPr>
          <w:rFonts w:ascii="Times New Roman" w:eastAsia="Times New Roman" w:hAnsi="Times New Roman" w:cs="Times New Roman"/>
          <w:bCs/>
          <w:sz w:val="28"/>
          <w:szCs w:val="28"/>
          <w:lang w:val="kk-KZ" w:eastAsia="ru-RU"/>
        </w:rPr>
        <w:t>2</w:t>
      </w:r>
      <w:r w:rsidRPr="001935D0">
        <w:rPr>
          <w:rFonts w:ascii="Times New Roman" w:eastAsia="Times New Roman" w:hAnsi="Times New Roman" w:cs="Times New Roman"/>
          <w:bCs/>
          <w:sz w:val="28"/>
          <w:szCs w:val="28"/>
          <w:lang w:eastAsia="ru-RU"/>
        </w:rPr>
        <w:t>] и К. Ринкон с коллегами [11</w:t>
      </w:r>
      <w:r w:rsidR="007615D9">
        <w:rPr>
          <w:rFonts w:ascii="Times New Roman" w:eastAsia="Times New Roman" w:hAnsi="Times New Roman" w:cs="Times New Roman"/>
          <w:bCs/>
          <w:sz w:val="28"/>
          <w:szCs w:val="28"/>
          <w:lang w:val="kk-KZ" w:eastAsia="ru-RU"/>
        </w:rPr>
        <w:t>3</w:t>
      </w:r>
      <w:r w:rsidRPr="001935D0">
        <w:rPr>
          <w:rFonts w:ascii="Times New Roman" w:eastAsia="Times New Roman" w:hAnsi="Times New Roman" w:cs="Times New Roman"/>
          <w:bCs/>
          <w:sz w:val="28"/>
          <w:szCs w:val="28"/>
          <w:lang w:eastAsia="ru-RU"/>
        </w:rPr>
        <w:t>]. Европейский парламент и Служба внешних действий ЕС формируют нормативную базу и рамки сотрудничества, включая Enhanced Partnership and Cooperation Agreement с Казахстаном [11</w:t>
      </w:r>
      <w:r w:rsidR="007615D9">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eastAsia="ru-RU"/>
        </w:rPr>
        <w:t>], Регламент ЕС 2021/947 [11</w:t>
      </w:r>
      <w:r w:rsidR="007615D9">
        <w:rPr>
          <w:rFonts w:ascii="Times New Roman" w:eastAsia="Times New Roman" w:hAnsi="Times New Roman" w:cs="Times New Roman"/>
          <w:bCs/>
          <w:sz w:val="28"/>
          <w:szCs w:val="28"/>
          <w:lang w:val="kk-KZ" w:eastAsia="ru-RU"/>
        </w:rPr>
        <w:t>5</w:t>
      </w:r>
      <w:r w:rsidRPr="001935D0">
        <w:rPr>
          <w:rFonts w:ascii="Times New Roman" w:eastAsia="Times New Roman" w:hAnsi="Times New Roman" w:cs="Times New Roman"/>
          <w:bCs/>
          <w:sz w:val="28"/>
          <w:szCs w:val="28"/>
          <w:lang w:eastAsia="ru-RU"/>
        </w:rPr>
        <w:t>] и Руководство ЕС по правам человека [</w:t>
      </w:r>
      <w:r w:rsidR="007615D9">
        <w:rPr>
          <w:rFonts w:ascii="Times New Roman" w:eastAsia="Times New Roman" w:hAnsi="Times New Roman" w:cs="Times New Roman"/>
          <w:bCs/>
          <w:sz w:val="28"/>
          <w:szCs w:val="28"/>
          <w:lang w:val="kk-KZ" w:eastAsia="ru-RU"/>
        </w:rPr>
        <w:t>103;</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1</w:t>
      </w:r>
      <w:r w:rsidR="007615D9">
        <w:rPr>
          <w:rFonts w:ascii="Times New Roman" w:eastAsia="Times New Roman" w:hAnsi="Times New Roman" w:cs="Times New Roman"/>
          <w:bCs/>
          <w:sz w:val="28"/>
          <w:szCs w:val="28"/>
          <w:lang w:val="kk-KZ" w:eastAsia="ru-RU"/>
        </w:rPr>
        <w:t>16</w:t>
      </w:r>
      <w:r w:rsidRPr="001935D0">
        <w:rPr>
          <w:rFonts w:ascii="Times New Roman" w:eastAsia="Times New Roman" w:hAnsi="Times New Roman" w:cs="Times New Roman"/>
          <w:bCs/>
          <w:sz w:val="28"/>
          <w:szCs w:val="28"/>
          <w:lang w:eastAsia="ru-RU"/>
        </w:rPr>
        <w:t>]. План SHAPEDEM-EU [1</w:t>
      </w:r>
      <w:r w:rsidR="007615D9">
        <w:rPr>
          <w:rFonts w:ascii="Times New Roman" w:eastAsia="Times New Roman" w:hAnsi="Times New Roman" w:cs="Times New Roman"/>
          <w:bCs/>
          <w:sz w:val="28"/>
          <w:szCs w:val="28"/>
          <w:lang w:val="kk-KZ" w:eastAsia="ru-RU"/>
        </w:rPr>
        <w:t>17</w:t>
      </w:r>
      <w:r w:rsidRPr="001935D0">
        <w:rPr>
          <w:rFonts w:ascii="Times New Roman" w:eastAsia="Times New Roman" w:hAnsi="Times New Roman" w:cs="Times New Roman"/>
          <w:bCs/>
          <w:sz w:val="28"/>
          <w:szCs w:val="28"/>
          <w:lang w:eastAsia="ru-RU"/>
        </w:rPr>
        <w:t>] и информационные материалы Европейской комиссии [1</w:t>
      </w:r>
      <w:r w:rsidR="007615D9">
        <w:rPr>
          <w:rFonts w:ascii="Times New Roman" w:eastAsia="Times New Roman" w:hAnsi="Times New Roman" w:cs="Times New Roman"/>
          <w:bCs/>
          <w:sz w:val="28"/>
          <w:szCs w:val="28"/>
          <w:lang w:val="kk-KZ" w:eastAsia="ru-RU"/>
        </w:rPr>
        <w:t>18</w:t>
      </w:r>
      <w:r w:rsidRPr="001935D0">
        <w:rPr>
          <w:rFonts w:ascii="Times New Roman" w:eastAsia="Times New Roman" w:hAnsi="Times New Roman" w:cs="Times New Roman"/>
          <w:bCs/>
          <w:sz w:val="28"/>
          <w:szCs w:val="28"/>
          <w:lang w:eastAsia="ru-RU"/>
        </w:rPr>
        <w:t>] отражают стратегию ЕС по развитию демократии и международного сотрудничества, а профиль институций ЕС в сфере развития представлен OECD [1</w:t>
      </w:r>
      <w:r w:rsidR="007615D9">
        <w:rPr>
          <w:rFonts w:ascii="Times New Roman" w:eastAsia="Times New Roman" w:hAnsi="Times New Roman" w:cs="Times New Roman"/>
          <w:bCs/>
          <w:sz w:val="28"/>
          <w:szCs w:val="28"/>
          <w:lang w:val="kk-KZ" w:eastAsia="ru-RU"/>
        </w:rPr>
        <w:t>19</w:t>
      </w:r>
      <w:r w:rsidRPr="001935D0">
        <w:rPr>
          <w:rFonts w:ascii="Times New Roman" w:eastAsia="Times New Roman" w:hAnsi="Times New Roman" w:cs="Times New Roman"/>
          <w:bCs/>
          <w:sz w:val="28"/>
          <w:szCs w:val="28"/>
          <w:lang w:eastAsia="ru-RU"/>
        </w:rPr>
        <w:t xml:space="preserve">]. Внедрение Конвенции о правах лиц с инвалидностью в странах СНГ анализирует </w:t>
      </w:r>
      <w:r w:rsidR="004A3405">
        <w:rPr>
          <w:rFonts w:ascii="Times New Roman" w:eastAsia="Times New Roman" w:hAnsi="Times New Roman" w:cs="Times New Roman"/>
          <w:bCs/>
          <w:sz w:val="28"/>
          <w:szCs w:val="28"/>
          <w:lang w:eastAsia="ru-RU"/>
        </w:rPr>
        <w:t>П</w:t>
      </w:r>
      <w:r w:rsidRPr="001935D0">
        <w:rPr>
          <w:rFonts w:ascii="Times New Roman" w:eastAsia="Times New Roman" w:hAnsi="Times New Roman" w:cs="Times New Roman"/>
          <w:bCs/>
          <w:sz w:val="28"/>
          <w:szCs w:val="28"/>
          <w:lang w:eastAsia="ru-RU"/>
        </w:rPr>
        <w:t>.</w:t>
      </w:r>
      <w:r w:rsidR="002F78E3">
        <w:rPr>
          <w:rFonts w:ascii="Times New Roman" w:eastAsia="Times New Roman" w:hAnsi="Times New Roman" w:cs="Times New Roman"/>
          <w:bCs/>
          <w:sz w:val="28"/>
          <w:szCs w:val="28"/>
          <w:lang w:val="kk-KZ" w:eastAsia="ru-RU"/>
        </w:rPr>
        <w:t> </w:t>
      </w:r>
      <w:r w:rsidR="004A3405">
        <w:rPr>
          <w:rFonts w:ascii="Times New Roman" w:eastAsia="Times New Roman" w:hAnsi="Times New Roman" w:cs="Times New Roman"/>
          <w:bCs/>
          <w:sz w:val="28"/>
          <w:szCs w:val="28"/>
          <w:lang w:val="kk-KZ" w:eastAsia="ru-RU"/>
        </w:rPr>
        <w:t>Чаней</w:t>
      </w:r>
      <w:r w:rsidRPr="001935D0">
        <w:rPr>
          <w:rFonts w:ascii="Times New Roman" w:eastAsia="Times New Roman" w:hAnsi="Times New Roman" w:cs="Times New Roman"/>
          <w:bCs/>
          <w:sz w:val="28"/>
          <w:szCs w:val="28"/>
          <w:lang w:eastAsia="ru-RU"/>
        </w:rPr>
        <w:t xml:space="preserve"> [12</w:t>
      </w:r>
      <w:r w:rsidR="007615D9">
        <w:rPr>
          <w:rFonts w:ascii="Times New Roman" w:eastAsia="Times New Roman" w:hAnsi="Times New Roman" w:cs="Times New Roman"/>
          <w:bCs/>
          <w:sz w:val="28"/>
          <w:szCs w:val="28"/>
          <w:lang w:val="kk-KZ" w:eastAsia="ru-RU"/>
        </w:rPr>
        <w:t>0</w:t>
      </w:r>
      <w:r w:rsidRPr="001935D0">
        <w:rPr>
          <w:rFonts w:ascii="Times New Roman" w:eastAsia="Times New Roman" w:hAnsi="Times New Roman" w:cs="Times New Roman"/>
          <w:bCs/>
          <w:sz w:val="28"/>
          <w:szCs w:val="28"/>
          <w:lang w:eastAsia="ru-RU"/>
        </w:rPr>
        <w:t xml:space="preserve">], а взаимодействие между Европейским парламентом и национальными парламентами ЕС в сфере прав человека освещают </w:t>
      </w:r>
      <w:r w:rsidR="004D613E">
        <w:rPr>
          <w:rFonts w:ascii="Times New Roman" w:eastAsia="Times New Roman" w:hAnsi="Times New Roman" w:cs="Times New Roman"/>
          <w:bCs/>
          <w:sz w:val="28"/>
          <w:szCs w:val="28"/>
          <w:lang w:eastAsia="ru-RU"/>
        </w:rPr>
        <w:t>Д</w:t>
      </w:r>
      <w:r w:rsidR="004D613E">
        <w:rPr>
          <w:rFonts w:ascii="Times New Roman" w:eastAsia="Times New Roman" w:hAnsi="Times New Roman" w:cs="Times New Roman"/>
          <w:bCs/>
          <w:sz w:val="28"/>
          <w:szCs w:val="28"/>
          <w:lang w:val="kk-KZ" w:eastAsia="ru-RU"/>
        </w:rPr>
        <w:t xml:space="preserve">. Уоутерс </w:t>
      </w:r>
      <w:r w:rsidRPr="001935D0">
        <w:rPr>
          <w:rFonts w:ascii="Times New Roman" w:eastAsia="Times New Roman" w:hAnsi="Times New Roman" w:cs="Times New Roman"/>
          <w:bCs/>
          <w:sz w:val="28"/>
          <w:szCs w:val="28"/>
          <w:lang w:eastAsia="ru-RU"/>
        </w:rPr>
        <w:t>и коллеги [12</w:t>
      </w:r>
      <w:r w:rsidR="007615D9">
        <w:rPr>
          <w:rFonts w:ascii="Times New Roman" w:eastAsia="Times New Roman" w:hAnsi="Times New Roman" w:cs="Times New Roman"/>
          <w:bCs/>
          <w:sz w:val="28"/>
          <w:szCs w:val="28"/>
          <w:lang w:val="kk-KZ" w:eastAsia="ru-RU"/>
        </w:rPr>
        <w:t>1</w:t>
      </w:r>
      <w:r w:rsidRPr="001935D0">
        <w:rPr>
          <w:rFonts w:ascii="Times New Roman" w:eastAsia="Times New Roman" w:hAnsi="Times New Roman" w:cs="Times New Roman"/>
          <w:bCs/>
          <w:sz w:val="28"/>
          <w:szCs w:val="28"/>
          <w:lang w:eastAsia="ru-RU"/>
        </w:rPr>
        <w:t xml:space="preserve">]. Активизм гражданского общества и реформа инклюзивного образования в Казахстане исследуются K. </w:t>
      </w:r>
      <w:r w:rsidR="004940CA">
        <w:rPr>
          <w:rFonts w:ascii="Times New Roman" w:eastAsia="Times New Roman" w:hAnsi="Times New Roman" w:cs="Times New Roman"/>
          <w:bCs/>
          <w:sz w:val="28"/>
          <w:szCs w:val="28"/>
          <w:lang w:eastAsia="ru-RU"/>
        </w:rPr>
        <w:t>Роллан</w:t>
      </w:r>
      <w:r w:rsidRPr="001935D0">
        <w:rPr>
          <w:rFonts w:ascii="Times New Roman" w:eastAsia="Times New Roman" w:hAnsi="Times New Roman" w:cs="Times New Roman"/>
          <w:bCs/>
          <w:sz w:val="28"/>
          <w:szCs w:val="28"/>
          <w:lang w:eastAsia="ru-RU"/>
        </w:rPr>
        <w:t xml:space="preserve"> и M. </w:t>
      </w:r>
      <w:r w:rsidR="004D613E">
        <w:rPr>
          <w:rFonts w:ascii="Times New Roman" w:eastAsia="Times New Roman" w:hAnsi="Times New Roman" w:cs="Times New Roman"/>
          <w:bCs/>
          <w:sz w:val="28"/>
          <w:szCs w:val="28"/>
          <w:lang w:val="kk-KZ" w:eastAsia="ru-RU"/>
        </w:rPr>
        <w:t>Сомертон</w:t>
      </w:r>
      <w:r w:rsidRPr="001935D0">
        <w:rPr>
          <w:rFonts w:ascii="Times New Roman" w:eastAsia="Times New Roman" w:hAnsi="Times New Roman" w:cs="Times New Roman"/>
          <w:bCs/>
          <w:sz w:val="28"/>
          <w:szCs w:val="28"/>
          <w:lang w:eastAsia="ru-RU"/>
        </w:rPr>
        <w:t xml:space="preserve"> [12</w:t>
      </w:r>
      <w:r w:rsidR="007615D9">
        <w:rPr>
          <w:rFonts w:ascii="Times New Roman" w:eastAsia="Times New Roman" w:hAnsi="Times New Roman" w:cs="Times New Roman"/>
          <w:bCs/>
          <w:sz w:val="28"/>
          <w:szCs w:val="28"/>
          <w:lang w:val="kk-KZ" w:eastAsia="ru-RU"/>
        </w:rPr>
        <w:t>2</w:t>
      </w:r>
      <w:r w:rsidRPr="001935D0">
        <w:rPr>
          <w:rFonts w:ascii="Times New Roman" w:eastAsia="Times New Roman" w:hAnsi="Times New Roman" w:cs="Times New Roman"/>
          <w:bCs/>
          <w:sz w:val="28"/>
          <w:szCs w:val="28"/>
          <w:lang w:eastAsia="ru-RU"/>
        </w:rPr>
        <w:t xml:space="preserve">], стратегия ЕС в Центральной Азии и ее реализация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E. Джураев и Н. Мураталиева [12</w:t>
      </w:r>
      <w:r w:rsidR="007615D9">
        <w:rPr>
          <w:rFonts w:ascii="Times New Roman" w:eastAsia="Times New Roman" w:hAnsi="Times New Roman" w:cs="Times New Roman"/>
          <w:bCs/>
          <w:sz w:val="28"/>
          <w:szCs w:val="28"/>
          <w:lang w:val="kk-KZ" w:eastAsia="ru-RU"/>
        </w:rPr>
        <w:t>3</w:t>
      </w:r>
      <w:r w:rsidRPr="001935D0">
        <w:rPr>
          <w:rFonts w:ascii="Times New Roman" w:eastAsia="Times New Roman" w:hAnsi="Times New Roman" w:cs="Times New Roman"/>
          <w:bCs/>
          <w:sz w:val="28"/>
          <w:szCs w:val="28"/>
          <w:lang w:eastAsia="ru-RU"/>
        </w:rPr>
        <w:t xml:space="preserve">], а участие стран Центральной Азии в Совете ООН по правам человека и оценка политики ЕС по правам человека в регионе анализируются </w:t>
      </w:r>
      <w:r w:rsidR="004D613E">
        <w:rPr>
          <w:rFonts w:ascii="Times New Roman" w:eastAsia="Times New Roman" w:hAnsi="Times New Roman" w:cs="Times New Roman"/>
          <w:bCs/>
          <w:sz w:val="28"/>
          <w:szCs w:val="28"/>
          <w:lang w:val="kk-KZ" w:eastAsia="ru-RU"/>
        </w:rPr>
        <w:t>Х</w:t>
      </w:r>
      <w:r w:rsidRPr="001935D0">
        <w:rPr>
          <w:rFonts w:ascii="Times New Roman" w:eastAsia="Times New Roman" w:hAnsi="Times New Roman" w:cs="Times New Roman"/>
          <w:bCs/>
          <w:sz w:val="28"/>
          <w:szCs w:val="28"/>
          <w:lang w:eastAsia="ru-RU"/>
        </w:rPr>
        <w:t xml:space="preserve">. </w:t>
      </w:r>
      <w:r w:rsidR="004D613E">
        <w:rPr>
          <w:rFonts w:ascii="Times New Roman" w:eastAsia="Times New Roman" w:hAnsi="Times New Roman" w:cs="Times New Roman"/>
          <w:bCs/>
          <w:sz w:val="28"/>
          <w:szCs w:val="28"/>
          <w:lang w:val="kk-KZ" w:eastAsia="ru-RU"/>
        </w:rPr>
        <w:t>Уиллямсон</w:t>
      </w:r>
      <w:r w:rsidRPr="001935D0">
        <w:rPr>
          <w:rFonts w:ascii="Times New Roman" w:eastAsia="Times New Roman" w:hAnsi="Times New Roman" w:cs="Times New Roman"/>
          <w:bCs/>
          <w:sz w:val="28"/>
          <w:szCs w:val="28"/>
          <w:lang w:eastAsia="ru-RU"/>
        </w:rPr>
        <w:t xml:space="preserve"> [12</w:t>
      </w:r>
      <w:r w:rsidR="007615D9">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eastAsia="ru-RU"/>
        </w:rPr>
        <w:t xml:space="preserve">] и </w:t>
      </w:r>
      <w:r w:rsidR="004D613E">
        <w:rPr>
          <w:rFonts w:ascii="Times New Roman" w:eastAsia="Times New Roman" w:hAnsi="Times New Roman" w:cs="Times New Roman"/>
          <w:bCs/>
          <w:sz w:val="28"/>
          <w:szCs w:val="28"/>
          <w:lang w:val="kk-KZ" w:eastAsia="ru-RU"/>
        </w:rPr>
        <w:t>В</w:t>
      </w:r>
      <w:r w:rsidRPr="001935D0">
        <w:rPr>
          <w:rFonts w:ascii="Times New Roman" w:eastAsia="Times New Roman" w:hAnsi="Times New Roman" w:cs="Times New Roman"/>
          <w:bCs/>
          <w:sz w:val="28"/>
          <w:szCs w:val="28"/>
          <w:lang w:eastAsia="ru-RU"/>
        </w:rPr>
        <w:t>. Аксенова [12</w:t>
      </w:r>
      <w:r w:rsidR="007615D9">
        <w:rPr>
          <w:rFonts w:ascii="Times New Roman" w:eastAsia="Times New Roman" w:hAnsi="Times New Roman" w:cs="Times New Roman"/>
          <w:bCs/>
          <w:sz w:val="28"/>
          <w:szCs w:val="28"/>
          <w:lang w:val="kk-KZ" w:eastAsia="ru-RU"/>
        </w:rPr>
        <w:t>5</w:t>
      </w:r>
      <w:r w:rsidRPr="001935D0">
        <w:rPr>
          <w:rFonts w:ascii="Times New Roman" w:eastAsia="Times New Roman" w:hAnsi="Times New Roman" w:cs="Times New Roman"/>
          <w:bCs/>
          <w:sz w:val="28"/>
          <w:szCs w:val="28"/>
          <w:lang w:eastAsia="ru-RU"/>
        </w:rPr>
        <w:t>]. Защита прав человека ЕС через глобальную политику, включая режим ограничительных мер за серьезные нару</w:t>
      </w:r>
      <w:r w:rsidR="002F78E3">
        <w:rPr>
          <w:rFonts w:ascii="Times New Roman" w:eastAsia="Times New Roman" w:hAnsi="Times New Roman" w:cs="Times New Roman"/>
          <w:bCs/>
          <w:sz w:val="28"/>
          <w:szCs w:val="28"/>
          <w:lang w:eastAsia="ru-RU"/>
        </w:rPr>
        <w:t>шения, рассматривается M.</w:t>
      </w:r>
      <w:r w:rsidRPr="001935D0">
        <w:rPr>
          <w:rFonts w:ascii="Times New Roman" w:eastAsia="Times New Roman" w:hAnsi="Times New Roman" w:cs="Times New Roman"/>
          <w:bCs/>
          <w:sz w:val="28"/>
          <w:szCs w:val="28"/>
          <w:lang w:eastAsia="ru-RU"/>
        </w:rPr>
        <w:t xml:space="preserve">T. </w:t>
      </w:r>
      <w:r w:rsidR="004D613E">
        <w:rPr>
          <w:rFonts w:ascii="Times New Roman" w:eastAsia="Times New Roman" w:hAnsi="Times New Roman" w:cs="Times New Roman"/>
          <w:bCs/>
          <w:sz w:val="28"/>
          <w:szCs w:val="28"/>
          <w:lang w:val="kk-KZ" w:eastAsia="ru-RU"/>
        </w:rPr>
        <w:t>Перез</w:t>
      </w:r>
      <w:r w:rsidRPr="001935D0">
        <w:rPr>
          <w:rFonts w:ascii="Times New Roman" w:eastAsia="Times New Roman" w:hAnsi="Times New Roman" w:cs="Times New Roman"/>
          <w:bCs/>
          <w:sz w:val="28"/>
          <w:szCs w:val="28"/>
          <w:lang w:eastAsia="ru-RU"/>
        </w:rPr>
        <w:t xml:space="preserve"> [1</w:t>
      </w:r>
      <w:r w:rsidR="007615D9">
        <w:rPr>
          <w:rFonts w:ascii="Times New Roman" w:eastAsia="Times New Roman" w:hAnsi="Times New Roman" w:cs="Times New Roman"/>
          <w:bCs/>
          <w:sz w:val="28"/>
          <w:szCs w:val="28"/>
          <w:lang w:val="kk-KZ" w:eastAsia="ru-RU"/>
        </w:rPr>
        <w:t>26</w:t>
      </w:r>
      <w:r w:rsidRPr="001935D0">
        <w:rPr>
          <w:rFonts w:ascii="Times New Roman" w:eastAsia="Times New Roman" w:hAnsi="Times New Roman" w:cs="Times New Roman"/>
          <w:bCs/>
          <w:sz w:val="28"/>
          <w:szCs w:val="28"/>
          <w:lang w:eastAsia="ru-RU"/>
        </w:rPr>
        <w:t xml:space="preserve">], а взаимодействие с организациями гражданского общества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w:t>
      </w:r>
      <w:r w:rsidR="004D613E">
        <w:rPr>
          <w:rFonts w:ascii="Times New Roman" w:eastAsia="Times New Roman" w:hAnsi="Times New Roman" w:cs="Times New Roman"/>
          <w:bCs/>
          <w:sz w:val="28"/>
          <w:szCs w:val="28"/>
          <w:lang w:val="kk-KZ" w:eastAsia="ru-RU"/>
        </w:rPr>
        <w:t>Н</w:t>
      </w:r>
      <w:r w:rsidRPr="001935D0">
        <w:rPr>
          <w:rFonts w:ascii="Times New Roman" w:eastAsia="Times New Roman" w:hAnsi="Times New Roman" w:cs="Times New Roman"/>
          <w:bCs/>
          <w:sz w:val="28"/>
          <w:szCs w:val="28"/>
          <w:lang w:eastAsia="ru-RU"/>
        </w:rPr>
        <w:t xml:space="preserve">. </w:t>
      </w:r>
      <w:r w:rsidR="004D613E">
        <w:rPr>
          <w:rFonts w:ascii="Times New Roman" w:eastAsia="Times New Roman" w:hAnsi="Times New Roman" w:cs="Times New Roman"/>
          <w:bCs/>
          <w:sz w:val="28"/>
          <w:szCs w:val="28"/>
          <w:lang w:val="kk-KZ" w:eastAsia="ru-RU"/>
        </w:rPr>
        <w:t>Кайзер</w:t>
      </w:r>
      <w:r w:rsidRPr="001935D0">
        <w:rPr>
          <w:rFonts w:ascii="Times New Roman" w:eastAsia="Times New Roman" w:hAnsi="Times New Roman" w:cs="Times New Roman"/>
          <w:bCs/>
          <w:sz w:val="28"/>
          <w:szCs w:val="28"/>
          <w:lang w:eastAsia="ru-RU"/>
        </w:rPr>
        <w:t xml:space="preserve"> и </w:t>
      </w:r>
      <w:r w:rsidR="004D613E">
        <w:rPr>
          <w:rFonts w:ascii="Times New Roman" w:eastAsia="Times New Roman" w:hAnsi="Times New Roman" w:cs="Times New Roman"/>
          <w:bCs/>
          <w:sz w:val="28"/>
          <w:szCs w:val="28"/>
          <w:lang w:val="kk-KZ" w:eastAsia="ru-RU"/>
        </w:rPr>
        <w:t>Ф</w:t>
      </w:r>
      <w:r w:rsidRPr="001935D0">
        <w:rPr>
          <w:rFonts w:ascii="Times New Roman" w:eastAsia="Times New Roman" w:hAnsi="Times New Roman" w:cs="Times New Roman"/>
          <w:bCs/>
          <w:sz w:val="28"/>
          <w:szCs w:val="28"/>
          <w:lang w:eastAsia="ru-RU"/>
        </w:rPr>
        <w:t xml:space="preserve">. </w:t>
      </w:r>
      <w:r w:rsidR="004D613E">
        <w:rPr>
          <w:rFonts w:ascii="Times New Roman" w:eastAsia="Times New Roman" w:hAnsi="Times New Roman" w:cs="Times New Roman"/>
          <w:bCs/>
          <w:sz w:val="28"/>
          <w:szCs w:val="28"/>
          <w:lang w:val="kk-KZ" w:eastAsia="ru-RU"/>
        </w:rPr>
        <w:t>Босьют</w:t>
      </w:r>
      <w:r w:rsidRPr="001935D0">
        <w:rPr>
          <w:rFonts w:ascii="Times New Roman" w:eastAsia="Times New Roman" w:hAnsi="Times New Roman" w:cs="Times New Roman"/>
          <w:bCs/>
          <w:sz w:val="28"/>
          <w:szCs w:val="28"/>
          <w:lang w:eastAsia="ru-RU"/>
        </w:rPr>
        <w:t xml:space="preserve"> [1</w:t>
      </w:r>
      <w:r w:rsidR="007615D9">
        <w:rPr>
          <w:rFonts w:ascii="Times New Roman" w:eastAsia="Times New Roman" w:hAnsi="Times New Roman" w:cs="Times New Roman"/>
          <w:bCs/>
          <w:sz w:val="28"/>
          <w:szCs w:val="28"/>
          <w:lang w:val="kk-KZ" w:eastAsia="ru-RU"/>
        </w:rPr>
        <w:t>27</w:t>
      </w:r>
      <w:r w:rsidRPr="001935D0">
        <w:rPr>
          <w:rFonts w:ascii="Times New Roman" w:eastAsia="Times New Roman" w:hAnsi="Times New Roman" w:cs="Times New Roman"/>
          <w:bCs/>
          <w:sz w:val="28"/>
          <w:szCs w:val="28"/>
          <w:lang w:eastAsia="ru-RU"/>
        </w:rPr>
        <w:t>].</w:t>
      </w:r>
    </w:p>
    <w:p w14:paraId="219747FA" w14:textId="3971D717" w:rsidR="00A512CC" w:rsidRPr="001935D0" w:rsidRDefault="005F7C41"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eastAsia="ru-RU"/>
        </w:rPr>
        <w:t>Социальное и гендерное измерение прав человека в казахстанском и центральноазиатском контексте представлено в работах Р. Жарқынбаевой, А.</w:t>
      </w:r>
      <w:r w:rsidR="002F78E3">
        <w:rPr>
          <w:rFonts w:ascii="Times New Roman" w:eastAsia="Times New Roman" w:hAnsi="Times New Roman" w:cs="Times New Roman"/>
          <w:bCs/>
          <w:sz w:val="28"/>
          <w:szCs w:val="28"/>
          <w:lang w:val="kk-KZ" w:eastAsia="ru-RU"/>
        </w:rPr>
        <w:t> </w:t>
      </w:r>
      <w:r w:rsidRPr="001935D0">
        <w:rPr>
          <w:rFonts w:ascii="Times New Roman" w:eastAsia="Times New Roman" w:hAnsi="Times New Roman" w:cs="Times New Roman"/>
          <w:bCs/>
          <w:sz w:val="28"/>
          <w:szCs w:val="28"/>
          <w:lang w:eastAsia="ru-RU"/>
        </w:rPr>
        <w:t>Абдираимовой, А. Сарсенбаева и Н. Бекжановой,</w:t>
      </w:r>
      <w:r w:rsidR="005E1D43" w:rsidRPr="001935D0">
        <w:rPr>
          <w:rFonts w:ascii="Times New Roman" w:eastAsia="Times New Roman" w:hAnsi="Times New Roman" w:cs="Times New Roman"/>
          <w:bCs/>
          <w:sz w:val="28"/>
          <w:szCs w:val="28"/>
          <w:lang w:eastAsia="ru-RU"/>
        </w:rPr>
        <w:t xml:space="preserve"> [1</w:t>
      </w:r>
      <w:r w:rsidR="007615D9">
        <w:rPr>
          <w:rFonts w:ascii="Times New Roman" w:eastAsia="Times New Roman" w:hAnsi="Times New Roman" w:cs="Times New Roman"/>
          <w:bCs/>
          <w:sz w:val="28"/>
          <w:szCs w:val="28"/>
          <w:lang w:val="kk-KZ" w:eastAsia="ru-RU"/>
        </w:rPr>
        <w:t>28</w:t>
      </w:r>
      <w:r w:rsidR="005E1D43" w:rsidRPr="001935D0">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где исследуются вопросы гендерного равенства, социальной инклюзии и трансформации общественных установок. Несмотря на ценность эмпирического материала, указанные исследования не выходят на уровень анализа прав человека как элемента внешнеполитической стратегии и нормативного воздействия Европейского союза.</w:t>
      </w:r>
    </w:p>
    <w:p w14:paraId="57AEA103" w14:textId="50B75807" w:rsidR="00A512CC" w:rsidRPr="001935D0" w:rsidRDefault="00A512CC"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val="kk-KZ" w:eastAsia="ru-RU"/>
        </w:rPr>
        <w:t>Г</w:t>
      </w:r>
      <w:r w:rsidRPr="001935D0">
        <w:rPr>
          <w:rFonts w:ascii="Times New Roman" w:eastAsia="Times New Roman" w:hAnsi="Times New Roman" w:cs="Times New Roman"/>
          <w:bCs/>
          <w:sz w:val="28"/>
          <w:szCs w:val="28"/>
          <w:lang w:eastAsia="ru-RU"/>
        </w:rPr>
        <w:t xml:space="preserve">ендерные стереотипы и влияние на семейное принятие решений </w:t>
      </w:r>
      <w:r w:rsidRPr="00F0351F">
        <w:rPr>
          <w:rFonts w:ascii="Times New Roman" w:eastAsia="Times New Roman" w:hAnsi="Times New Roman" w:cs="Times New Roman"/>
          <w:bCs/>
          <w:sz w:val="28"/>
          <w:szCs w:val="28"/>
          <w:lang w:eastAsia="ru-RU"/>
        </w:rPr>
        <w:t xml:space="preserve">изучены </w:t>
      </w:r>
      <w:r w:rsidR="00406C05" w:rsidRPr="00F0351F">
        <w:rPr>
          <w:rFonts w:ascii="Times New Roman" w:eastAsia="Times New Roman" w:hAnsi="Times New Roman" w:cs="Times New Roman"/>
          <w:bCs/>
          <w:sz w:val="28"/>
          <w:szCs w:val="28"/>
          <w:lang w:eastAsia="ru-RU"/>
        </w:rPr>
        <w:t>О</w:t>
      </w:r>
      <w:r w:rsidR="00406C05" w:rsidRPr="00F0351F">
        <w:rPr>
          <w:rFonts w:ascii="Times New Roman" w:eastAsia="Times New Roman" w:hAnsi="Times New Roman" w:cs="Times New Roman"/>
          <w:bCs/>
          <w:sz w:val="28"/>
          <w:szCs w:val="28"/>
          <w:lang w:val="kk-KZ" w:eastAsia="ru-RU"/>
        </w:rPr>
        <w:t xml:space="preserve">. </w:t>
      </w:r>
      <w:r w:rsidRPr="00F0351F">
        <w:rPr>
          <w:rFonts w:ascii="Times New Roman" w:eastAsia="Times New Roman" w:hAnsi="Times New Roman" w:cs="Times New Roman"/>
          <w:bCs/>
          <w:sz w:val="28"/>
          <w:szCs w:val="28"/>
          <w:lang w:eastAsia="ru-RU"/>
        </w:rPr>
        <w:t xml:space="preserve">Яновской и </w:t>
      </w:r>
      <w:r w:rsidR="00406C05" w:rsidRPr="00F0351F">
        <w:rPr>
          <w:rFonts w:ascii="Times New Roman" w:eastAsia="Times New Roman" w:hAnsi="Times New Roman" w:cs="Times New Roman"/>
          <w:bCs/>
          <w:sz w:val="28"/>
          <w:szCs w:val="28"/>
          <w:lang w:val="kk-KZ" w:eastAsia="ru-RU"/>
        </w:rPr>
        <w:t xml:space="preserve">А. </w:t>
      </w:r>
      <w:r w:rsidRPr="00F0351F">
        <w:rPr>
          <w:rFonts w:ascii="Times New Roman" w:eastAsia="Times New Roman" w:hAnsi="Times New Roman" w:cs="Times New Roman"/>
          <w:bCs/>
          <w:sz w:val="28"/>
          <w:szCs w:val="28"/>
          <w:lang w:eastAsia="ru-RU"/>
        </w:rPr>
        <w:t>Липовкой</w:t>
      </w:r>
      <w:r w:rsidRPr="001935D0">
        <w:rPr>
          <w:rFonts w:ascii="Times New Roman" w:eastAsia="Times New Roman" w:hAnsi="Times New Roman" w:cs="Times New Roman"/>
          <w:bCs/>
          <w:sz w:val="28"/>
          <w:szCs w:val="28"/>
          <w:lang w:eastAsia="ru-RU"/>
        </w:rPr>
        <w:t xml:space="preserve"> [1</w:t>
      </w:r>
      <w:r w:rsidR="007615D9">
        <w:rPr>
          <w:rFonts w:ascii="Times New Roman" w:eastAsia="Times New Roman" w:hAnsi="Times New Roman" w:cs="Times New Roman"/>
          <w:bCs/>
          <w:sz w:val="28"/>
          <w:szCs w:val="28"/>
          <w:lang w:val="kk-KZ" w:eastAsia="ru-RU"/>
        </w:rPr>
        <w:t>29</w:t>
      </w:r>
      <w:r w:rsidRPr="001935D0">
        <w:rPr>
          <w:rFonts w:ascii="Times New Roman" w:eastAsia="Times New Roman" w:hAnsi="Times New Roman" w:cs="Times New Roman"/>
          <w:bCs/>
          <w:sz w:val="28"/>
          <w:szCs w:val="28"/>
          <w:lang w:eastAsia="ru-RU"/>
        </w:rPr>
        <w:t xml:space="preserve">]; </w:t>
      </w:r>
      <w:r w:rsidR="00406C05">
        <w:rPr>
          <w:rFonts w:ascii="Times New Roman" w:eastAsia="Times New Roman" w:hAnsi="Times New Roman" w:cs="Times New Roman"/>
          <w:bCs/>
          <w:sz w:val="28"/>
          <w:szCs w:val="28"/>
          <w:lang w:val="kk-KZ" w:eastAsia="ru-RU"/>
        </w:rPr>
        <w:t xml:space="preserve">Ж. </w:t>
      </w:r>
      <w:r w:rsidRPr="001935D0">
        <w:rPr>
          <w:rFonts w:ascii="Times New Roman" w:eastAsia="Times New Roman" w:hAnsi="Times New Roman" w:cs="Times New Roman"/>
          <w:bCs/>
          <w:sz w:val="28"/>
          <w:szCs w:val="28"/>
          <w:lang w:eastAsia="ru-RU"/>
        </w:rPr>
        <w:t>Урбаева рассматривает возможности социальной мобильности и восприятие гендерных ролей женщинами [13</w:t>
      </w:r>
      <w:r w:rsidR="007615D9">
        <w:rPr>
          <w:rFonts w:ascii="Times New Roman" w:eastAsia="Times New Roman" w:hAnsi="Times New Roman" w:cs="Times New Roman"/>
          <w:bCs/>
          <w:sz w:val="28"/>
          <w:szCs w:val="28"/>
          <w:lang w:val="kk-KZ" w:eastAsia="ru-RU"/>
        </w:rPr>
        <w:t>0</w:t>
      </w:r>
      <w:r w:rsidRPr="001935D0">
        <w:rPr>
          <w:rFonts w:ascii="Times New Roman" w:eastAsia="Times New Roman" w:hAnsi="Times New Roman" w:cs="Times New Roman"/>
          <w:bCs/>
          <w:sz w:val="28"/>
          <w:szCs w:val="28"/>
          <w:lang w:eastAsia="ru-RU"/>
        </w:rPr>
        <w:t xml:space="preserve">], а этнокультурные ассоциации в Казахстане и их значение для гражданского общества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w:t>
      </w:r>
      <w:r w:rsidR="00406C05">
        <w:rPr>
          <w:rFonts w:ascii="Times New Roman" w:eastAsia="Times New Roman" w:hAnsi="Times New Roman" w:cs="Times New Roman"/>
          <w:bCs/>
          <w:sz w:val="28"/>
          <w:szCs w:val="28"/>
          <w:lang w:val="kk-KZ" w:eastAsia="ru-RU"/>
        </w:rPr>
        <w:t xml:space="preserve">Т. </w:t>
      </w:r>
      <w:r w:rsidRPr="001935D0">
        <w:rPr>
          <w:rFonts w:ascii="Times New Roman" w:eastAsia="Times New Roman" w:hAnsi="Times New Roman" w:cs="Times New Roman"/>
          <w:bCs/>
          <w:sz w:val="28"/>
          <w:szCs w:val="28"/>
          <w:lang w:eastAsia="ru-RU"/>
        </w:rPr>
        <w:t xml:space="preserve">Александров, </w:t>
      </w:r>
      <w:r w:rsidR="00406C05">
        <w:rPr>
          <w:rFonts w:ascii="Times New Roman" w:eastAsia="Times New Roman" w:hAnsi="Times New Roman" w:cs="Times New Roman"/>
          <w:bCs/>
          <w:sz w:val="28"/>
          <w:szCs w:val="28"/>
          <w:lang w:val="kk-KZ" w:eastAsia="ru-RU"/>
        </w:rPr>
        <w:t xml:space="preserve">Г. </w:t>
      </w:r>
      <w:r w:rsidRPr="001935D0">
        <w:rPr>
          <w:rFonts w:ascii="Times New Roman" w:eastAsia="Times New Roman" w:hAnsi="Times New Roman" w:cs="Times New Roman"/>
          <w:bCs/>
          <w:sz w:val="28"/>
          <w:szCs w:val="28"/>
          <w:lang w:eastAsia="ru-RU"/>
        </w:rPr>
        <w:t xml:space="preserve">Джораев и </w:t>
      </w:r>
      <w:r w:rsidR="00406C05">
        <w:rPr>
          <w:rFonts w:ascii="Times New Roman" w:eastAsia="Times New Roman" w:hAnsi="Times New Roman" w:cs="Times New Roman"/>
          <w:bCs/>
          <w:sz w:val="28"/>
          <w:szCs w:val="28"/>
          <w:lang w:val="kk-KZ" w:eastAsia="ru-RU"/>
        </w:rPr>
        <w:t xml:space="preserve">А. </w:t>
      </w:r>
      <w:r w:rsidRPr="001935D0">
        <w:rPr>
          <w:rFonts w:ascii="Times New Roman" w:eastAsia="Times New Roman" w:hAnsi="Times New Roman" w:cs="Times New Roman"/>
          <w:bCs/>
          <w:sz w:val="28"/>
          <w:szCs w:val="28"/>
          <w:lang w:eastAsia="ru-RU"/>
        </w:rPr>
        <w:t>Тутумлу [13</w:t>
      </w:r>
      <w:r w:rsidR="007615D9">
        <w:rPr>
          <w:rFonts w:ascii="Times New Roman" w:eastAsia="Times New Roman" w:hAnsi="Times New Roman" w:cs="Times New Roman"/>
          <w:bCs/>
          <w:sz w:val="28"/>
          <w:szCs w:val="28"/>
          <w:lang w:val="kk-KZ" w:eastAsia="ru-RU"/>
        </w:rPr>
        <w:t>1</w:t>
      </w:r>
      <w:r w:rsidRPr="001935D0">
        <w:rPr>
          <w:rFonts w:ascii="Times New Roman" w:eastAsia="Times New Roman" w:hAnsi="Times New Roman" w:cs="Times New Roman"/>
          <w:bCs/>
          <w:sz w:val="28"/>
          <w:szCs w:val="28"/>
          <w:lang w:eastAsia="ru-RU"/>
        </w:rPr>
        <w:t xml:space="preserve">]. Проблемы водо-энергетико-продовольственного комплекса в Казахстане исследуют </w:t>
      </w:r>
      <w:r w:rsidR="00DB7626">
        <w:rPr>
          <w:rFonts w:ascii="Times New Roman" w:eastAsia="Times New Roman" w:hAnsi="Times New Roman" w:cs="Times New Roman"/>
          <w:bCs/>
          <w:sz w:val="28"/>
          <w:szCs w:val="28"/>
          <w:lang w:val="kk-KZ" w:eastAsia="ru-RU"/>
        </w:rPr>
        <w:t xml:space="preserve">М. </w:t>
      </w:r>
      <w:r w:rsidRPr="001935D0">
        <w:rPr>
          <w:rFonts w:ascii="Times New Roman" w:eastAsia="Times New Roman" w:hAnsi="Times New Roman" w:cs="Times New Roman"/>
          <w:bCs/>
          <w:sz w:val="28"/>
          <w:szCs w:val="28"/>
          <w:lang w:eastAsia="ru-RU"/>
        </w:rPr>
        <w:t>Каратаев и соавторы [13</w:t>
      </w:r>
      <w:r w:rsidR="007615D9">
        <w:rPr>
          <w:rFonts w:ascii="Times New Roman" w:eastAsia="Times New Roman" w:hAnsi="Times New Roman" w:cs="Times New Roman"/>
          <w:bCs/>
          <w:sz w:val="28"/>
          <w:szCs w:val="28"/>
          <w:lang w:val="kk-KZ" w:eastAsia="ru-RU"/>
        </w:rPr>
        <w:t>2</w:t>
      </w:r>
      <w:r w:rsidRPr="001935D0">
        <w:rPr>
          <w:rFonts w:ascii="Times New Roman" w:eastAsia="Times New Roman" w:hAnsi="Times New Roman" w:cs="Times New Roman"/>
          <w:bCs/>
          <w:sz w:val="28"/>
          <w:szCs w:val="28"/>
          <w:lang w:eastAsia="ru-RU"/>
        </w:rPr>
        <w:t xml:space="preserve">], а вопросы обеспечения прав детей в Узбекистане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w:t>
      </w:r>
      <w:r w:rsidR="00DB7626">
        <w:rPr>
          <w:rFonts w:ascii="Times New Roman" w:eastAsia="Times New Roman" w:hAnsi="Times New Roman" w:cs="Times New Roman"/>
          <w:bCs/>
          <w:sz w:val="28"/>
          <w:szCs w:val="28"/>
          <w:lang w:val="kk-KZ" w:eastAsia="ru-RU"/>
        </w:rPr>
        <w:t xml:space="preserve"> Ф. </w:t>
      </w:r>
      <w:r w:rsidRPr="001935D0">
        <w:rPr>
          <w:rFonts w:ascii="Times New Roman" w:eastAsia="Times New Roman" w:hAnsi="Times New Roman" w:cs="Times New Roman"/>
          <w:bCs/>
          <w:sz w:val="28"/>
          <w:szCs w:val="28"/>
          <w:lang w:eastAsia="ru-RU"/>
        </w:rPr>
        <w:t>Мируктамова [13</w:t>
      </w:r>
      <w:r w:rsidR="007615D9">
        <w:rPr>
          <w:rFonts w:ascii="Times New Roman" w:eastAsia="Times New Roman" w:hAnsi="Times New Roman" w:cs="Times New Roman"/>
          <w:bCs/>
          <w:sz w:val="28"/>
          <w:szCs w:val="28"/>
          <w:lang w:val="kk-KZ" w:eastAsia="ru-RU"/>
        </w:rPr>
        <w:t>3</w:t>
      </w:r>
      <w:r w:rsidRPr="001935D0">
        <w:rPr>
          <w:rFonts w:ascii="Times New Roman" w:eastAsia="Times New Roman" w:hAnsi="Times New Roman" w:cs="Times New Roman"/>
          <w:bCs/>
          <w:sz w:val="28"/>
          <w:szCs w:val="28"/>
          <w:lang w:eastAsia="ru-RU"/>
        </w:rPr>
        <w:t xml:space="preserve">]. Регулирование социальных прав женщин в Кыргызстане рассматривают </w:t>
      </w:r>
      <w:r w:rsidR="00DB7626">
        <w:rPr>
          <w:rFonts w:ascii="Times New Roman" w:eastAsia="Times New Roman" w:hAnsi="Times New Roman" w:cs="Times New Roman"/>
          <w:bCs/>
          <w:sz w:val="28"/>
          <w:szCs w:val="28"/>
          <w:lang w:val="kk-KZ" w:eastAsia="ru-RU"/>
        </w:rPr>
        <w:t xml:space="preserve">Г. </w:t>
      </w:r>
      <w:r w:rsidRPr="001935D0">
        <w:rPr>
          <w:rFonts w:ascii="Times New Roman" w:eastAsia="Times New Roman" w:hAnsi="Times New Roman" w:cs="Times New Roman"/>
          <w:bCs/>
          <w:sz w:val="28"/>
          <w:szCs w:val="28"/>
          <w:lang w:eastAsia="ru-RU"/>
        </w:rPr>
        <w:t>Кулдышева и коллеги [13</w:t>
      </w:r>
      <w:r w:rsidR="007615D9">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eastAsia="ru-RU"/>
        </w:rPr>
        <w:t xml:space="preserve">], а поддержку гражданского общества в Казахстане со стороны ЕС оценивает </w:t>
      </w:r>
      <w:r w:rsidR="0097519F">
        <w:rPr>
          <w:rFonts w:ascii="Times New Roman" w:eastAsia="Times New Roman" w:hAnsi="Times New Roman" w:cs="Times New Roman"/>
          <w:bCs/>
          <w:sz w:val="28"/>
          <w:szCs w:val="28"/>
          <w:lang w:val="kk-KZ" w:eastAsia="ru-RU"/>
        </w:rPr>
        <w:t xml:space="preserve">С. </w:t>
      </w:r>
      <w:r w:rsidRPr="001935D0">
        <w:rPr>
          <w:rFonts w:ascii="Times New Roman" w:eastAsia="Times New Roman" w:hAnsi="Times New Roman" w:cs="Times New Roman"/>
          <w:bCs/>
          <w:sz w:val="28"/>
          <w:szCs w:val="28"/>
          <w:lang w:eastAsia="ru-RU"/>
        </w:rPr>
        <w:t>Пьеробон [13</w:t>
      </w:r>
      <w:r w:rsidR="007615D9">
        <w:rPr>
          <w:rFonts w:ascii="Times New Roman" w:eastAsia="Times New Roman" w:hAnsi="Times New Roman" w:cs="Times New Roman"/>
          <w:bCs/>
          <w:sz w:val="28"/>
          <w:szCs w:val="28"/>
          <w:lang w:val="kk-KZ" w:eastAsia="ru-RU"/>
        </w:rPr>
        <w:t>5</w:t>
      </w:r>
      <w:r w:rsidRPr="001935D0">
        <w:rPr>
          <w:rFonts w:ascii="Times New Roman" w:eastAsia="Times New Roman" w:hAnsi="Times New Roman" w:cs="Times New Roman"/>
          <w:bCs/>
          <w:sz w:val="28"/>
          <w:szCs w:val="28"/>
          <w:lang w:eastAsia="ru-RU"/>
        </w:rPr>
        <w:t xml:space="preserve">]. </w:t>
      </w:r>
      <w:r w:rsidRPr="001935D0">
        <w:rPr>
          <w:rFonts w:ascii="Times New Roman" w:eastAsia="Times New Roman" w:hAnsi="Times New Roman" w:cs="Times New Roman"/>
          <w:bCs/>
          <w:sz w:val="28"/>
          <w:szCs w:val="28"/>
          <w:lang w:eastAsia="ru-RU"/>
        </w:rPr>
        <w:lastRenderedPageBreak/>
        <w:t xml:space="preserve">Эффективность международных НПО в странах с ограниченными правами человека, на примере Туркменистана, анализирует </w:t>
      </w:r>
      <w:r w:rsidR="0097519F">
        <w:rPr>
          <w:rFonts w:ascii="Times New Roman" w:eastAsia="Times New Roman" w:hAnsi="Times New Roman" w:cs="Times New Roman"/>
          <w:bCs/>
          <w:sz w:val="28"/>
          <w:szCs w:val="28"/>
          <w:lang w:val="kk-KZ" w:eastAsia="ru-RU"/>
        </w:rPr>
        <w:t xml:space="preserve">Ж. </w:t>
      </w:r>
      <w:r w:rsidRPr="001935D0">
        <w:rPr>
          <w:rFonts w:ascii="Times New Roman" w:eastAsia="Times New Roman" w:hAnsi="Times New Roman" w:cs="Times New Roman"/>
          <w:bCs/>
          <w:sz w:val="28"/>
          <w:szCs w:val="28"/>
          <w:lang w:eastAsia="ru-RU"/>
        </w:rPr>
        <w:t>Эйнзидель [1</w:t>
      </w:r>
      <w:r w:rsidR="007615D9">
        <w:rPr>
          <w:rFonts w:ascii="Times New Roman" w:eastAsia="Times New Roman" w:hAnsi="Times New Roman" w:cs="Times New Roman"/>
          <w:bCs/>
          <w:sz w:val="28"/>
          <w:szCs w:val="28"/>
          <w:lang w:val="kk-KZ" w:eastAsia="ru-RU"/>
        </w:rPr>
        <w:t>36</w:t>
      </w:r>
      <w:r w:rsidRPr="001935D0">
        <w:rPr>
          <w:rFonts w:ascii="Times New Roman" w:eastAsia="Times New Roman" w:hAnsi="Times New Roman" w:cs="Times New Roman"/>
          <w:bCs/>
          <w:sz w:val="28"/>
          <w:szCs w:val="28"/>
          <w:lang w:eastAsia="ru-RU"/>
        </w:rPr>
        <w:t xml:space="preserve">], а политику Узбекистана по международным НПО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w:t>
      </w:r>
      <w:r w:rsidR="0097519F">
        <w:rPr>
          <w:rFonts w:ascii="Times New Roman" w:eastAsia="Times New Roman" w:hAnsi="Times New Roman" w:cs="Times New Roman"/>
          <w:bCs/>
          <w:sz w:val="28"/>
          <w:szCs w:val="28"/>
          <w:lang w:val="kk-KZ" w:eastAsia="ru-RU"/>
        </w:rPr>
        <w:t xml:space="preserve">Е. </w:t>
      </w:r>
      <w:r w:rsidRPr="001935D0">
        <w:rPr>
          <w:rFonts w:ascii="Times New Roman" w:eastAsia="Times New Roman" w:hAnsi="Times New Roman" w:cs="Times New Roman"/>
          <w:bCs/>
          <w:sz w:val="28"/>
          <w:szCs w:val="28"/>
          <w:lang w:eastAsia="ru-RU"/>
        </w:rPr>
        <w:t>Зухриддинович [1</w:t>
      </w:r>
      <w:r w:rsidR="007615D9">
        <w:rPr>
          <w:rFonts w:ascii="Times New Roman" w:eastAsia="Times New Roman" w:hAnsi="Times New Roman" w:cs="Times New Roman"/>
          <w:bCs/>
          <w:sz w:val="28"/>
          <w:szCs w:val="28"/>
          <w:lang w:val="kk-KZ" w:eastAsia="ru-RU"/>
        </w:rPr>
        <w:t>37</w:t>
      </w:r>
      <w:r w:rsidRPr="001935D0">
        <w:rPr>
          <w:rFonts w:ascii="Times New Roman" w:eastAsia="Times New Roman" w:hAnsi="Times New Roman" w:cs="Times New Roman"/>
          <w:bCs/>
          <w:sz w:val="28"/>
          <w:szCs w:val="28"/>
          <w:lang w:eastAsia="ru-RU"/>
        </w:rPr>
        <w:t xml:space="preserve">]. Взаимодействие ЕС с Центральной Азией, включая интересы и практики, изучают </w:t>
      </w:r>
      <w:r w:rsidR="0097519F">
        <w:rPr>
          <w:rFonts w:ascii="Times New Roman" w:eastAsia="Times New Roman" w:hAnsi="Times New Roman" w:cs="Times New Roman"/>
          <w:bCs/>
          <w:sz w:val="28"/>
          <w:szCs w:val="28"/>
          <w:lang w:val="kk-KZ" w:eastAsia="ru-RU"/>
        </w:rPr>
        <w:t xml:space="preserve">Р. </w:t>
      </w:r>
      <w:r w:rsidRPr="001935D0">
        <w:rPr>
          <w:rFonts w:ascii="Times New Roman" w:eastAsia="Times New Roman" w:hAnsi="Times New Roman" w:cs="Times New Roman"/>
          <w:bCs/>
          <w:sz w:val="28"/>
          <w:szCs w:val="28"/>
          <w:lang w:eastAsia="ru-RU"/>
        </w:rPr>
        <w:t xml:space="preserve">Фоун, </w:t>
      </w:r>
      <w:r w:rsidR="0097519F">
        <w:rPr>
          <w:rFonts w:ascii="Times New Roman" w:eastAsia="Times New Roman" w:hAnsi="Times New Roman" w:cs="Times New Roman"/>
          <w:bCs/>
          <w:sz w:val="28"/>
          <w:szCs w:val="28"/>
          <w:lang w:val="kk-KZ" w:eastAsia="ru-RU"/>
        </w:rPr>
        <w:t xml:space="preserve">К. </w:t>
      </w:r>
      <w:r w:rsidRPr="001935D0">
        <w:rPr>
          <w:rFonts w:ascii="Times New Roman" w:eastAsia="Times New Roman" w:hAnsi="Times New Roman" w:cs="Times New Roman"/>
          <w:bCs/>
          <w:sz w:val="28"/>
          <w:szCs w:val="28"/>
          <w:lang w:eastAsia="ru-RU"/>
        </w:rPr>
        <w:t xml:space="preserve">Клуцжевская и </w:t>
      </w:r>
      <w:r w:rsidR="0097519F">
        <w:rPr>
          <w:rFonts w:ascii="Times New Roman" w:eastAsia="Times New Roman" w:hAnsi="Times New Roman" w:cs="Times New Roman"/>
          <w:bCs/>
          <w:sz w:val="28"/>
          <w:szCs w:val="28"/>
          <w:lang w:val="kk-KZ" w:eastAsia="ru-RU"/>
        </w:rPr>
        <w:t xml:space="preserve">О. </w:t>
      </w:r>
      <w:r w:rsidRPr="001935D0">
        <w:rPr>
          <w:rFonts w:ascii="Times New Roman" w:eastAsia="Times New Roman" w:hAnsi="Times New Roman" w:cs="Times New Roman"/>
          <w:bCs/>
          <w:sz w:val="28"/>
          <w:szCs w:val="28"/>
          <w:lang w:eastAsia="ru-RU"/>
        </w:rPr>
        <w:t>Корнеев [1</w:t>
      </w:r>
      <w:r w:rsidR="007615D9">
        <w:rPr>
          <w:rFonts w:ascii="Times New Roman" w:eastAsia="Times New Roman" w:hAnsi="Times New Roman" w:cs="Times New Roman"/>
          <w:bCs/>
          <w:sz w:val="28"/>
          <w:szCs w:val="28"/>
          <w:lang w:val="kk-KZ" w:eastAsia="ru-RU"/>
        </w:rPr>
        <w:t>38</w:t>
      </w:r>
      <w:r w:rsidRPr="001935D0">
        <w:rPr>
          <w:rFonts w:ascii="Times New Roman" w:eastAsia="Times New Roman" w:hAnsi="Times New Roman" w:cs="Times New Roman"/>
          <w:bCs/>
          <w:sz w:val="28"/>
          <w:szCs w:val="28"/>
          <w:lang w:eastAsia="ru-RU"/>
        </w:rPr>
        <w:t xml:space="preserve">], а деятельность ЕС и стран Центральной Азии в области прав человека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w:t>
      </w:r>
      <w:r w:rsidR="00680260">
        <w:rPr>
          <w:rFonts w:ascii="Times New Roman" w:eastAsia="Times New Roman" w:hAnsi="Times New Roman" w:cs="Times New Roman"/>
          <w:bCs/>
          <w:sz w:val="28"/>
          <w:szCs w:val="28"/>
          <w:lang w:val="kk-KZ" w:eastAsia="ru-RU"/>
        </w:rPr>
        <w:t xml:space="preserve">М. </w:t>
      </w:r>
      <w:r w:rsidRPr="001935D0">
        <w:rPr>
          <w:rFonts w:ascii="Times New Roman" w:eastAsia="Times New Roman" w:hAnsi="Times New Roman" w:cs="Times New Roman"/>
          <w:bCs/>
          <w:sz w:val="28"/>
          <w:szCs w:val="28"/>
          <w:lang w:eastAsia="ru-RU"/>
        </w:rPr>
        <w:t>Малгаждарова и коллеги [1</w:t>
      </w:r>
      <w:r w:rsidR="007615D9">
        <w:rPr>
          <w:rFonts w:ascii="Times New Roman" w:eastAsia="Times New Roman" w:hAnsi="Times New Roman" w:cs="Times New Roman"/>
          <w:bCs/>
          <w:sz w:val="28"/>
          <w:szCs w:val="28"/>
          <w:lang w:val="kk-KZ" w:eastAsia="ru-RU"/>
        </w:rPr>
        <w:t>39</w:t>
      </w:r>
      <w:r w:rsidRPr="001935D0">
        <w:rPr>
          <w:rFonts w:ascii="Times New Roman" w:eastAsia="Times New Roman" w:hAnsi="Times New Roman" w:cs="Times New Roman"/>
          <w:bCs/>
          <w:sz w:val="28"/>
          <w:szCs w:val="28"/>
          <w:lang w:eastAsia="ru-RU"/>
        </w:rPr>
        <w:t xml:space="preserve">]. Первый саммит ЕС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Центральная Азия освещается Советом ЕС [14</w:t>
      </w:r>
      <w:r w:rsidR="007615D9">
        <w:rPr>
          <w:rFonts w:ascii="Times New Roman" w:eastAsia="Times New Roman" w:hAnsi="Times New Roman" w:cs="Times New Roman"/>
          <w:bCs/>
          <w:sz w:val="28"/>
          <w:szCs w:val="28"/>
          <w:lang w:val="kk-KZ" w:eastAsia="ru-RU"/>
        </w:rPr>
        <w:t>0</w:t>
      </w:r>
      <w:r w:rsidRPr="001935D0">
        <w:rPr>
          <w:rFonts w:ascii="Times New Roman" w:eastAsia="Times New Roman" w:hAnsi="Times New Roman" w:cs="Times New Roman"/>
          <w:bCs/>
          <w:sz w:val="28"/>
          <w:szCs w:val="28"/>
          <w:lang w:eastAsia="ru-RU"/>
        </w:rPr>
        <w:t>] и журналисткой Р. Ранкин [14</w:t>
      </w:r>
      <w:r w:rsidR="007615D9">
        <w:rPr>
          <w:rFonts w:ascii="Times New Roman" w:eastAsia="Times New Roman" w:hAnsi="Times New Roman" w:cs="Times New Roman"/>
          <w:bCs/>
          <w:sz w:val="28"/>
          <w:szCs w:val="28"/>
          <w:lang w:val="kk-KZ" w:eastAsia="ru-RU"/>
        </w:rPr>
        <w:t>1</w:t>
      </w:r>
      <w:r w:rsidRPr="001935D0">
        <w:rPr>
          <w:rFonts w:ascii="Times New Roman" w:eastAsia="Times New Roman" w:hAnsi="Times New Roman" w:cs="Times New Roman"/>
          <w:bCs/>
          <w:sz w:val="28"/>
          <w:szCs w:val="28"/>
          <w:lang w:eastAsia="ru-RU"/>
        </w:rPr>
        <w:t xml:space="preserve">], а ежегодный диалог по правам человека с Казахстаном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EEAS [14</w:t>
      </w:r>
      <w:r w:rsidR="007615D9">
        <w:rPr>
          <w:rFonts w:ascii="Times New Roman" w:eastAsia="Times New Roman" w:hAnsi="Times New Roman" w:cs="Times New Roman"/>
          <w:bCs/>
          <w:sz w:val="28"/>
          <w:szCs w:val="28"/>
          <w:lang w:val="kk-KZ" w:eastAsia="ru-RU"/>
        </w:rPr>
        <w:t>2</w:t>
      </w:r>
      <w:r w:rsidRPr="001935D0">
        <w:rPr>
          <w:rFonts w:ascii="Times New Roman" w:eastAsia="Times New Roman" w:hAnsi="Times New Roman" w:cs="Times New Roman"/>
          <w:bCs/>
          <w:sz w:val="28"/>
          <w:szCs w:val="28"/>
          <w:lang w:eastAsia="ru-RU"/>
        </w:rPr>
        <w:t>]. Закон о зарубежных представителях в Кыргызстане анализирует ICNL [14</w:t>
      </w:r>
      <w:r w:rsidR="007615D9">
        <w:rPr>
          <w:rFonts w:ascii="Times New Roman" w:eastAsia="Times New Roman" w:hAnsi="Times New Roman" w:cs="Times New Roman"/>
          <w:bCs/>
          <w:sz w:val="28"/>
          <w:szCs w:val="28"/>
          <w:lang w:val="kk-KZ" w:eastAsia="ru-RU"/>
        </w:rPr>
        <w:t>3</w:t>
      </w:r>
      <w:r w:rsidRPr="001935D0">
        <w:rPr>
          <w:rFonts w:ascii="Times New Roman" w:eastAsia="Times New Roman" w:hAnsi="Times New Roman" w:cs="Times New Roman"/>
          <w:bCs/>
          <w:sz w:val="28"/>
          <w:szCs w:val="28"/>
          <w:lang w:eastAsia="ru-RU"/>
        </w:rPr>
        <w:t xml:space="preserve">], а соглашение о расширенном партнерстве и сотрудничестве между ЕС и Казахстаном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официальный журнал ЕС [14</w:t>
      </w:r>
      <w:r w:rsidR="007615D9">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eastAsia="ru-RU"/>
        </w:rPr>
        <w:t>]; торговые отношения ЕС и Казахстана рассматривает Европейская комиссия [14</w:t>
      </w:r>
      <w:r w:rsidR="007615D9">
        <w:rPr>
          <w:rFonts w:ascii="Times New Roman" w:eastAsia="Times New Roman" w:hAnsi="Times New Roman" w:cs="Times New Roman"/>
          <w:bCs/>
          <w:sz w:val="28"/>
          <w:szCs w:val="28"/>
          <w:lang w:val="kk-KZ" w:eastAsia="ru-RU"/>
        </w:rPr>
        <w:t>5</w:t>
      </w:r>
      <w:r w:rsidRPr="001935D0">
        <w:rPr>
          <w:rFonts w:ascii="Times New Roman" w:eastAsia="Times New Roman" w:hAnsi="Times New Roman" w:cs="Times New Roman"/>
          <w:bCs/>
          <w:sz w:val="28"/>
          <w:szCs w:val="28"/>
          <w:lang w:eastAsia="ru-RU"/>
        </w:rPr>
        <w:t xml:space="preserve">], а совместная деятельность ЕС и Казахстана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EEAS [1</w:t>
      </w:r>
      <w:r w:rsidR="007615D9">
        <w:rPr>
          <w:rFonts w:ascii="Times New Roman" w:eastAsia="Times New Roman" w:hAnsi="Times New Roman" w:cs="Times New Roman"/>
          <w:bCs/>
          <w:sz w:val="28"/>
          <w:szCs w:val="28"/>
          <w:lang w:val="kk-KZ" w:eastAsia="ru-RU"/>
        </w:rPr>
        <w:t>46</w:t>
      </w:r>
      <w:r w:rsidRPr="001935D0">
        <w:rPr>
          <w:rFonts w:ascii="Times New Roman" w:eastAsia="Times New Roman" w:hAnsi="Times New Roman" w:cs="Times New Roman"/>
          <w:bCs/>
          <w:sz w:val="28"/>
          <w:szCs w:val="28"/>
          <w:lang w:eastAsia="ru-RU"/>
        </w:rPr>
        <w:t xml:space="preserve">]. Преимущества соглашения ЕС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Казахстан освещает World Monitor [1</w:t>
      </w:r>
      <w:r w:rsidR="007615D9">
        <w:rPr>
          <w:rFonts w:ascii="Times New Roman" w:eastAsia="Times New Roman" w:hAnsi="Times New Roman" w:cs="Times New Roman"/>
          <w:bCs/>
          <w:sz w:val="28"/>
          <w:szCs w:val="28"/>
          <w:lang w:val="kk-KZ" w:eastAsia="ru-RU"/>
        </w:rPr>
        <w:t>47</w:t>
      </w:r>
      <w:r w:rsidRPr="001935D0">
        <w:rPr>
          <w:rFonts w:ascii="Times New Roman" w:eastAsia="Times New Roman" w:hAnsi="Times New Roman" w:cs="Times New Roman"/>
          <w:bCs/>
          <w:sz w:val="28"/>
          <w:szCs w:val="28"/>
          <w:lang w:eastAsia="ru-RU"/>
        </w:rPr>
        <w:t xml:space="preserve">], важность партнерства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[1</w:t>
      </w:r>
      <w:r w:rsidR="007615D9">
        <w:rPr>
          <w:rFonts w:ascii="Times New Roman" w:eastAsia="Times New Roman" w:hAnsi="Times New Roman" w:cs="Times New Roman"/>
          <w:bCs/>
          <w:sz w:val="28"/>
          <w:szCs w:val="28"/>
          <w:lang w:val="kk-KZ" w:eastAsia="ru-RU"/>
        </w:rPr>
        <w:t>48</w:t>
      </w:r>
      <w:r w:rsidRPr="001935D0">
        <w:rPr>
          <w:rFonts w:ascii="Times New Roman" w:eastAsia="Times New Roman" w:hAnsi="Times New Roman" w:cs="Times New Roman"/>
          <w:bCs/>
          <w:sz w:val="28"/>
          <w:szCs w:val="28"/>
          <w:lang w:eastAsia="ru-RU"/>
        </w:rPr>
        <w:t xml:space="preserve">], влияние соглашения на укрепление связей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[1</w:t>
      </w:r>
      <w:r w:rsidR="007615D9">
        <w:rPr>
          <w:rFonts w:ascii="Times New Roman" w:eastAsia="Times New Roman" w:hAnsi="Times New Roman" w:cs="Times New Roman"/>
          <w:bCs/>
          <w:sz w:val="28"/>
          <w:szCs w:val="28"/>
          <w:lang w:val="kk-KZ" w:eastAsia="ru-RU"/>
        </w:rPr>
        <w:t>49</w:t>
      </w:r>
      <w:r w:rsidRPr="001935D0">
        <w:rPr>
          <w:rFonts w:ascii="Times New Roman" w:eastAsia="Times New Roman" w:hAnsi="Times New Roman" w:cs="Times New Roman"/>
          <w:bCs/>
          <w:sz w:val="28"/>
          <w:szCs w:val="28"/>
          <w:lang w:eastAsia="ru-RU"/>
        </w:rPr>
        <w:t xml:space="preserve">], а приём посла ЕС в Казахстане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[15</w:t>
      </w:r>
      <w:r w:rsidR="007615D9">
        <w:rPr>
          <w:rFonts w:ascii="Times New Roman" w:eastAsia="Times New Roman" w:hAnsi="Times New Roman" w:cs="Times New Roman"/>
          <w:bCs/>
          <w:sz w:val="28"/>
          <w:szCs w:val="28"/>
          <w:lang w:val="kk-KZ" w:eastAsia="ru-RU"/>
        </w:rPr>
        <w:t>0</w:t>
      </w:r>
      <w:r w:rsidRPr="001935D0">
        <w:rPr>
          <w:rFonts w:ascii="Times New Roman" w:eastAsia="Times New Roman" w:hAnsi="Times New Roman" w:cs="Times New Roman"/>
          <w:bCs/>
          <w:sz w:val="28"/>
          <w:szCs w:val="28"/>
          <w:lang w:eastAsia="ru-RU"/>
        </w:rPr>
        <w:t>]. Обзор UPR по Казахстану представлен OHCHR [</w:t>
      </w:r>
      <w:r w:rsidR="007615D9">
        <w:rPr>
          <w:rFonts w:ascii="Times New Roman" w:eastAsia="Times New Roman" w:hAnsi="Times New Roman" w:cs="Times New Roman"/>
          <w:bCs/>
          <w:sz w:val="28"/>
          <w:szCs w:val="28"/>
          <w:lang w:val="kk-KZ" w:eastAsia="ru-RU"/>
        </w:rPr>
        <w:t>71</w:t>
      </w:r>
      <w:r w:rsidRPr="001935D0">
        <w:rPr>
          <w:rFonts w:ascii="Times New Roman" w:eastAsia="Times New Roman" w:hAnsi="Times New Roman" w:cs="Times New Roman"/>
          <w:bCs/>
          <w:sz w:val="28"/>
          <w:szCs w:val="28"/>
          <w:lang w:eastAsia="ru-RU"/>
        </w:rPr>
        <w:t xml:space="preserve">], третий периодический доклад по Международному пакту о гражданских и политических правах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ООН [15</w:t>
      </w:r>
      <w:r w:rsidR="007615D9">
        <w:rPr>
          <w:rFonts w:ascii="Times New Roman" w:eastAsia="Times New Roman" w:hAnsi="Times New Roman" w:cs="Times New Roman"/>
          <w:bCs/>
          <w:sz w:val="28"/>
          <w:szCs w:val="28"/>
          <w:lang w:val="kk-KZ" w:eastAsia="ru-RU"/>
        </w:rPr>
        <w:t>1</w:t>
      </w:r>
      <w:r w:rsidRPr="001935D0">
        <w:rPr>
          <w:rFonts w:ascii="Times New Roman" w:eastAsia="Times New Roman" w:hAnsi="Times New Roman" w:cs="Times New Roman"/>
          <w:bCs/>
          <w:sz w:val="28"/>
          <w:szCs w:val="28"/>
          <w:lang w:eastAsia="ru-RU"/>
        </w:rPr>
        <w:t>], а конституция и законы Казахстана регулируют права человека и деятельность омбудсмена [15</w:t>
      </w:r>
      <w:r w:rsidR="007615D9">
        <w:rPr>
          <w:rFonts w:ascii="Times New Roman" w:eastAsia="Times New Roman" w:hAnsi="Times New Roman" w:cs="Times New Roman"/>
          <w:bCs/>
          <w:sz w:val="28"/>
          <w:szCs w:val="28"/>
          <w:lang w:val="kk-KZ" w:eastAsia="ru-RU"/>
        </w:rPr>
        <w:t>2</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15</w:t>
      </w:r>
      <w:r w:rsidR="007615D9">
        <w:rPr>
          <w:rFonts w:ascii="Times New Roman" w:eastAsia="Times New Roman" w:hAnsi="Times New Roman" w:cs="Times New Roman"/>
          <w:bCs/>
          <w:sz w:val="28"/>
          <w:szCs w:val="28"/>
          <w:lang w:val="kk-KZ" w:eastAsia="ru-RU"/>
        </w:rPr>
        <w:t>3</w:t>
      </w:r>
      <w:r w:rsidRPr="001935D0">
        <w:rPr>
          <w:rFonts w:ascii="Times New Roman" w:eastAsia="Times New Roman" w:hAnsi="Times New Roman" w:cs="Times New Roman"/>
          <w:bCs/>
          <w:sz w:val="28"/>
          <w:szCs w:val="28"/>
          <w:lang w:eastAsia="ru-RU"/>
        </w:rPr>
        <w:t>]. Аккредитация национальных правозащитных институтов описана UN Human Rights Council [15</w:t>
      </w:r>
      <w:r w:rsidR="007615D9">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eastAsia="ru-RU"/>
        </w:rPr>
        <w:t xml:space="preserve">], изменения в законодательстве по защите женщин и детей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закон №72-VIII [1</w:t>
      </w:r>
      <w:r w:rsidR="007615D9">
        <w:rPr>
          <w:rFonts w:ascii="Times New Roman" w:eastAsia="Times New Roman" w:hAnsi="Times New Roman" w:cs="Times New Roman"/>
          <w:bCs/>
          <w:sz w:val="28"/>
          <w:szCs w:val="28"/>
          <w:lang w:val="kk-KZ" w:eastAsia="ru-RU"/>
        </w:rPr>
        <w:t>55</w:t>
      </w:r>
      <w:r w:rsidRPr="001935D0">
        <w:rPr>
          <w:rFonts w:ascii="Times New Roman" w:eastAsia="Times New Roman" w:hAnsi="Times New Roman" w:cs="Times New Roman"/>
          <w:bCs/>
          <w:sz w:val="28"/>
          <w:szCs w:val="28"/>
          <w:lang w:eastAsia="ru-RU"/>
        </w:rPr>
        <w:t xml:space="preserve">], а план действий в области прав человека и верховенства закона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указ №409 [1</w:t>
      </w:r>
      <w:r w:rsidR="007615D9">
        <w:rPr>
          <w:rFonts w:ascii="Times New Roman" w:eastAsia="Times New Roman" w:hAnsi="Times New Roman" w:cs="Times New Roman"/>
          <w:bCs/>
          <w:sz w:val="28"/>
          <w:szCs w:val="28"/>
          <w:lang w:val="kk-KZ" w:eastAsia="ru-RU"/>
        </w:rPr>
        <w:t>56</w:t>
      </w:r>
      <w:r w:rsidRPr="001935D0">
        <w:rPr>
          <w:rFonts w:ascii="Times New Roman" w:eastAsia="Times New Roman" w:hAnsi="Times New Roman" w:cs="Times New Roman"/>
          <w:bCs/>
          <w:sz w:val="28"/>
          <w:szCs w:val="28"/>
          <w:lang w:eastAsia="ru-RU"/>
        </w:rPr>
        <w:t>]. Последующие отчёты по CAT представлены ООН [1</w:t>
      </w:r>
      <w:r w:rsidR="006172B5">
        <w:rPr>
          <w:rFonts w:ascii="Times New Roman" w:eastAsia="Times New Roman" w:hAnsi="Times New Roman" w:cs="Times New Roman"/>
          <w:bCs/>
          <w:sz w:val="28"/>
          <w:szCs w:val="28"/>
          <w:lang w:val="kk-KZ" w:eastAsia="ru-RU"/>
        </w:rPr>
        <w:t>57</w:t>
      </w:r>
      <w:r w:rsidRPr="001935D0">
        <w:rPr>
          <w:rFonts w:ascii="Times New Roman" w:eastAsia="Times New Roman" w:hAnsi="Times New Roman" w:cs="Times New Roman"/>
          <w:bCs/>
          <w:sz w:val="28"/>
          <w:szCs w:val="28"/>
          <w:lang w:eastAsia="ru-RU"/>
        </w:rPr>
        <w:t xml:space="preserve">], законы о мирных собраниях, прокуратуре и общественном контроле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Республики Казахстан [1</w:t>
      </w:r>
      <w:r w:rsidR="006172B5">
        <w:rPr>
          <w:rFonts w:ascii="Times New Roman" w:eastAsia="Times New Roman" w:hAnsi="Times New Roman" w:cs="Times New Roman"/>
          <w:bCs/>
          <w:sz w:val="28"/>
          <w:szCs w:val="28"/>
          <w:lang w:val="kk-KZ" w:eastAsia="ru-RU"/>
        </w:rPr>
        <w:t>58</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eastAsia="ru-RU"/>
        </w:rPr>
        <w:t>16</w:t>
      </w:r>
      <w:r w:rsidR="006172B5">
        <w:rPr>
          <w:rFonts w:ascii="Times New Roman" w:eastAsia="Times New Roman" w:hAnsi="Times New Roman" w:cs="Times New Roman"/>
          <w:bCs/>
          <w:sz w:val="28"/>
          <w:szCs w:val="28"/>
          <w:lang w:val="kk-KZ" w:eastAsia="ru-RU"/>
        </w:rPr>
        <w:t>2</w:t>
      </w:r>
      <w:r w:rsidRPr="001935D0">
        <w:rPr>
          <w:rFonts w:ascii="Times New Roman" w:eastAsia="Times New Roman" w:hAnsi="Times New Roman" w:cs="Times New Roman"/>
          <w:bCs/>
          <w:sz w:val="28"/>
          <w:szCs w:val="28"/>
          <w:lang w:eastAsia="ru-RU"/>
        </w:rPr>
        <w:t xml:space="preserve">], а национальный отчёт по UPR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Human Rights Council Working Group [16</w:t>
      </w:r>
      <w:r w:rsidR="006172B5">
        <w:rPr>
          <w:rFonts w:ascii="Times New Roman" w:eastAsia="Times New Roman" w:hAnsi="Times New Roman" w:cs="Times New Roman"/>
          <w:bCs/>
          <w:sz w:val="28"/>
          <w:szCs w:val="28"/>
          <w:lang w:val="kk-KZ" w:eastAsia="ru-RU"/>
        </w:rPr>
        <w:t>3</w:t>
      </w:r>
      <w:r w:rsidRPr="001935D0">
        <w:rPr>
          <w:rFonts w:ascii="Times New Roman" w:eastAsia="Times New Roman" w:hAnsi="Times New Roman" w:cs="Times New Roman"/>
          <w:bCs/>
          <w:sz w:val="28"/>
          <w:szCs w:val="28"/>
          <w:lang w:eastAsia="ru-RU"/>
        </w:rPr>
        <w:t>]. Закон о СМИ и Национальный план развития страны до 2029 года регулируют медиа и стратегическое развитие [16</w:t>
      </w:r>
      <w:r w:rsidR="006172B5">
        <w:rPr>
          <w:rFonts w:ascii="Times New Roman" w:eastAsia="Times New Roman" w:hAnsi="Times New Roman" w:cs="Times New Roman"/>
          <w:bCs/>
          <w:sz w:val="28"/>
          <w:szCs w:val="28"/>
          <w:lang w:val="kk-KZ" w:eastAsia="ru-RU"/>
        </w:rPr>
        <w:t>4</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1</w:t>
      </w:r>
      <w:r w:rsidR="006172B5">
        <w:rPr>
          <w:rFonts w:ascii="Times New Roman" w:eastAsia="Times New Roman" w:hAnsi="Times New Roman" w:cs="Times New Roman"/>
          <w:bCs/>
          <w:sz w:val="28"/>
          <w:szCs w:val="28"/>
          <w:lang w:val="kk-KZ" w:eastAsia="ru-RU"/>
        </w:rPr>
        <w:t>65</w:t>
      </w:r>
      <w:r w:rsidRPr="001935D0">
        <w:rPr>
          <w:rFonts w:ascii="Times New Roman" w:eastAsia="Times New Roman" w:hAnsi="Times New Roman" w:cs="Times New Roman"/>
          <w:bCs/>
          <w:sz w:val="28"/>
          <w:szCs w:val="28"/>
          <w:lang w:eastAsia="ru-RU"/>
        </w:rPr>
        <w:t xml:space="preserve">], а оценка нового закона о защите женщин </w:t>
      </w:r>
      <w:r w:rsidR="00593711">
        <w:rPr>
          <w:rFonts w:ascii="Times New Roman" w:eastAsia="Times New Roman" w:hAnsi="Times New Roman" w:cs="Times New Roman"/>
          <w:bCs/>
          <w:sz w:val="28"/>
          <w:szCs w:val="28"/>
          <w:lang w:eastAsia="ru-RU"/>
        </w:rPr>
        <w:t>–</w:t>
      </w:r>
      <w:r w:rsidRPr="001935D0">
        <w:rPr>
          <w:rFonts w:ascii="Times New Roman" w:eastAsia="Times New Roman" w:hAnsi="Times New Roman" w:cs="Times New Roman"/>
          <w:bCs/>
          <w:sz w:val="28"/>
          <w:szCs w:val="28"/>
          <w:lang w:eastAsia="ru-RU"/>
        </w:rPr>
        <w:t xml:space="preserve"> Human Rights Watch [1</w:t>
      </w:r>
      <w:r w:rsidR="006172B5">
        <w:rPr>
          <w:rFonts w:ascii="Times New Roman" w:eastAsia="Times New Roman" w:hAnsi="Times New Roman" w:cs="Times New Roman"/>
          <w:bCs/>
          <w:sz w:val="28"/>
          <w:szCs w:val="28"/>
          <w:lang w:val="kk-KZ" w:eastAsia="ru-RU"/>
        </w:rPr>
        <w:t>66</w:t>
      </w:r>
      <w:r w:rsidRPr="001935D0">
        <w:rPr>
          <w:rFonts w:ascii="Times New Roman" w:eastAsia="Times New Roman" w:hAnsi="Times New Roman" w:cs="Times New Roman"/>
          <w:bCs/>
          <w:sz w:val="28"/>
          <w:szCs w:val="28"/>
          <w:lang w:eastAsia="ru-RU"/>
        </w:rPr>
        <w:t>]; резолюции Совета ООН по правам человека и деятельность Конституционного суда отражают международные и национальные правовые процессы [1</w:t>
      </w:r>
      <w:r w:rsidR="006172B5">
        <w:rPr>
          <w:rFonts w:ascii="Times New Roman" w:eastAsia="Times New Roman" w:hAnsi="Times New Roman" w:cs="Times New Roman"/>
          <w:bCs/>
          <w:sz w:val="28"/>
          <w:szCs w:val="28"/>
          <w:lang w:val="kk-KZ" w:eastAsia="ru-RU"/>
        </w:rPr>
        <w:t>67</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1</w:t>
      </w:r>
      <w:r w:rsidR="006172B5">
        <w:rPr>
          <w:rFonts w:ascii="Times New Roman" w:eastAsia="Times New Roman" w:hAnsi="Times New Roman" w:cs="Times New Roman"/>
          <w:bCs/>
          <w:sz w:val="28"/>
          <w:szCs w:val="28"/>
          <w:lang w:val="kk-KZ" w:eastAsia="ru-RU"/>
        </w:rPr>
        <w:t>68</w:t>
      </w:r>
      <w:r w:rsidRPr="001935D0">
        <w:rPr>
          <w:rFonts w:ascii="Times New Roman" w:eastAsia="Times New Roman" w:hAnsi="Times New Roman" w:cs="Times New Roman"/>
          <w:bCs/>
          <w:sz w:val="28"/>
          <w:szCs w:val="28"/>
          <w:lang w:eastAsia="ru-RU"/>
        </w:rPr>
        <w:t>], а критика медиа-закона и международное признание реформ Казахстана освещены RSF и The Astana Times [1</w:t>
      </w:r>
      <w:r w:rsidR="006172B5">
        <w:rPr>
          <w:rFonts w:ascii="Times New Roman" w:eastAsia="Times New Roman" w:hAnsi="Times New Roman" w:cs="Times New Roman"/>
          <w:bCs/>
          <w:sz w:val="28"/>
          <w:szCs w:val="28"/>
          <w:lang w:val="kk-KZ" w:eastAsia="ru-RU"/>
        </w:rPr>
        <w:t>69</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17</w:t>
      </w:r>
      <w:r w:rsidR="006172B5">
        <w:rPr>
          <w:rFonts w:ascii="Times New Roman" w:eastAsia="Times New Roman" w:hAnsi="Times New Roman" w:cs="Times New Roman"/>
          <w:bCs/>
          <w:sz w:val="28"/>
          <w:szCs w:val="28"/>
          <w:lang w:val="kk-KZ" w:eastAsia="ru-RU"/>
        </w:rPr>
        <w:t>0</w:t>
      </w:r>
      <w:r w:rsidRPr="001935D0">
        <w:rPr>
          <w:rFonts w:ascii="Times New Roman" w:eastAsia="Times New Roman" w:hAnsi="Times New Roman" w:cs="Times New Roman"/>
          <w:bCs/>
          <w:sz w:val="28"/>
          <w:szCs w:val="28"/>
          <w:lang w:eastAsia="ru-RU"/>
        </w:rPr>
        <w:t>].</w:t>
      </w:r>
    </w:p>
    <w:p w14:paraId="277C5D94" w14:textId="76BF6306" w:rsidR="00A512CC" w:rsidRPr="001935D0" w:rsidRDefault="00A512CC"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val="kk-KZ" w:eastAsia="ru-RU"/>
        </w:rPr>
        <w:t>Закон Республики Казахстан о противодействии торговле людьми регулирует меры по защите граждан от эксплуатации [17</w:t>
      </w:r>
      <w:r w:rsidR="006172B5">
        <w:rPr>
          <w:rFonts w:ascii="Times New Roman" w:eastAsia="Times New Roman" w:hAnsi="Times New Roman" w:cs="Times New Roman"/>
          <w:bCs/>
          <w:sz w:val="28"/>
          <w:szCs w:val="28"/>
          <w:lang w:val="kk-KZ" w:eastAsia="ru-RU"/>
        </w:rPr>
        <w:t>1</w:t>
      </w:r>
      <w:r w:rsidRPr="001935D0">
        <w:rPr>
          <w:rFonts w:ascii="Times New Roman" w:eastAsia="Times New Roman" w:hAnsi="Times New Roman" w:cs="Times New Roman"/>
          <w:bCs/>
          <w:sz w:val="28"/>
          <w:szCs w:val="28"/>
          <w:lang w:val="kk-KZ" w:eastAsia="ru-RU"/>
        </w:rPr>
        <w:t>], а события 2024 года в Казахстане анализирует Human Rights Watch [17</w:t>
      </w:r>
      <w:r w:rsidR="006172B5">
        <w:rPr>
          <w:rFonts w:ascii="Times New Roman" w:eastAsia="Times New Roman" w:hAnsi="Times New Roman" w:cs="Times New Roman"/>
          <w:bCs/>
          <w:sz w:val="28"/>
          <w:szCs w:val="28"/>
          <w:lang w:val="kk-KZ" w:eastAsia="ru-RU"/>
        </w:rPr>
        <w:t>2</w:t>
      </w:r>
      <w:r w:rsidRPr="001935D0">
        <w:rPr>
          <w:rFonts w:ascii="Times New Roman" w:eastAsia="Times New Roman" w:hAnsi="Times New Roman" w:cs="Times New Roman"/>
          <w:bCs/>
          <w:sz w:val="28"/>
          <w:szCs w:val="28"/>
          <w:lang w:val="kk-KZ" w:eastAsia="ru-RU"/>
        </w:rPr>
        <w:t>]. Программу верховенства закона в Центральной Азии реализует EEAS совместно с Советом Европы [17</w:t>
      </w:r>
      <w:r w:rsidR="006172B5">
        <w:rPr>
          <w:rFonts w:ascii="Times New Roman" w:eastAsia="Times New Roman" w:hAnsi="Times New Roman" w:cs="Times New Roman"/>
          <w:bCs/>
          <w:sz w:val="28"/>
          <w:szCs w:val="28"/>
          <w:lang w:val="kk-KZ" w:eastAsia="ru-RU"/>
        </w:rPr>
        <w:t>3</w:t>
      </w:r>
      <w:r w:rsidRPr="001935D0">
        <w:rPr>
          <w:rFonts w:ascii="Times New Roman" w:eastAsia="Times New Roman" w:hAnsi="Times New Roman" w:cs="Times New Roman"/>
          <w:bCs/>
          <w:sz w:val="28"/>
          <w:szCs w:val="28"/>
          <w:lang w:val="kk-KZ" w:eastAsia="ru-RU"/>
        </w:rPr>
        <w:t>], а Форум «Гражданское общество на перепутье» в Алматы собрал ключевых участников по инициативе Университета Центральной Азии [17</w:t>
      </w:r>
      <w:r w:rsidR="006172B5">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val="kk-KZ" w:eastAsia="ru-RU"/>
        </w:rPr>
        <w:t>]. ODIHR подчеркивает необходимость дальнейших реформ для усиления прав на справедливое судебное разбирательство в Казахстане [1</w:t>
      </w:r>
      <w:r w:rsidR="006172B5">
        <w:rPr>
          <w:rFonts w:ascii="Times New Roman" w:eastAsia="Times New Roman" w:hAnsi="Times New Roman" w:cs="Times New Roman"/>
          <w:bCs/>
          <w:sz w:val="28"/>
          <w:szCs w:val="28"/>
          <w:lang w:val="kk-KZ" w:eastAsia="ru-RU"/>
        </w:rPr>
        <w:t>75</w:t>
      </w:r>
      <w:r w:rsidRPr="001935D0">
        <w:rPr>
          <w:rFonts w:ascii="Times New Roman" w:eastAsia="Times New Roman" w:hAnsi="Times New Roman" w:cs="Times New Roman"/>
          <w:bCs/>
          <w:sz w:val="28"/>
          <w:szCs w:val="28"/>
          <w:lang w:val="kk-KZ" w:eastAsia="ru-RU"/>
        </w:rPr>
        <w:t>], а парламент страны утвердил поправки, запрещающие ношение закрывающей лицо одежды [1</w:t>
      </w:r>
      <w:r w:rsidR="006172B5">
        <w:rPr>
          <w:rFonts w:ascii="Times New Roman" w:eastAsia="Times New Roman" w:hAnsi="Times New Roman" w:cs="Times New Roman"/>
          <w:bCs/>
          <w:sz w:val="28"/>
          <w:szCs w:val="28"/>
          <w:lang w:val="kk-KZ" w:eastAsia="ru-RU"/>
        </w:rPr>
        <w:t>76</w:t>
      </w:r>
      <w:r w:rsidRPr="001935D0">
        <w:rPr>
          <w:rFonts w:ascii="Times New Roman" w:eastAsia="Times New Roman" w:hAnsi="Times New Roman" w:cs="Times New Roman"/>
          <w:bCs/>
          <w:sz w:val="28"/>
          <w:szCs w:val="28"/>
          <w:lang w:val="kk-KZ" w:eastAsia="ru-RU"/>
        </w:rPr>
        <w:t>]. Позицию Казахстана в области прав человека как регионального примера освещает Euractiv [1</w:t>
      </w:r>
      <w:r w:rsidR="006172B5">
        <w:rPr>
          <w:rFonts w:ascii="Times New Roman" w:eastAsia="Times New Roman" w:hAnsi="Times New Roman" w:cs="Times New Roman"/>
          <w:bCs/>
          <w:sz w:val="28"/>
          <w:szCs w:val="28"/>
          <w:lang w:val="kk-KZ" w:eastAsia="ru-RU"/>
        </w:rPr>
        <w:t>77</w:t>
      </w:r>
      <w:r w:rsidRPr="001935D0">
        <w:rPr>
          <w:rFonts w:ascii="Times New Roman" w:eastAsia="Times New Roman" w:hAnsi="Times New Roman" w:cs="Times New Roman"/>
          <w:bCs/>
          <w:sz w:val="28"/>
          <w:szCs w:val="28"/>
          <w:lang w:val="kk-KZ" w:eastAsia="ru-RU"/>
        </w:rPr>
        <w:t>], а состояние гражданского общества мониторит ICNL [1</w:t>
      </w:r>
      <w:r w:rsidR="006172B5">
        <w:rPr>
          <w:rFonts w:ascii="Times New Roman" w:eastAsia="Times New Roman" w:hAnsi="Times New Roman" w:cs="Times New Roman"/>
          <w:bCs/>
          <w:sz w:val="28"/>
          <w:szCs w:val="28"/>
          <w:lang w:val="kk-KZ" w:eastAsia="ru-RU"/>
        </w:rPr>
        <w:t>78</w:t>
      </w:r>
      <w:r w:rsidRPr="001935D0">
        <w:rPr>
          <w:rFonts w:ascii="Times New Roman" w:eastAsia="Times New Roman" w:hAnsi="Times New Roman" w:cs="Times New Roman"/>
          <w:bCs/>
          <w:sz w:val="28"/>
          <w:szCs w:val="28"/>
          <w:lang w:val="kk-KZ" w:eastAsia="ru-RU"/>
        </w:rPr>
        <w:t>]; необходимость защиты пространства для гражданского общества подчеркивает Amnesty International [1</w:t>
      </w:r>
      <w:r w:rsidR="006172B5">
        <w:rPr>
          <w:rFonts w:ascii="Times New Roman" w:eastAsia="Times New Roman" w:hAnsi="Times New Roman" w:cs="Times New Roman"/>
          <w:bCs/>
          <w:sz w:val="28"/>
          <w:szCs w:val="28"/>
          <w:lang w:val="kk-KZ" w:eastAsia="ru-RU"/>
        </w:rPr>
        <w:t>79</w:t>
      </w:r>
      <w:r w:rsidRPr="001935D0">
        <w:rPr>
          <w:rFonts w:ascii="Times New Roman" w:eastAsia="Times New Roman" w:hAnsi="Times New Roman" w:cs="Times New Roman"/>
          <w:bCs/>
          <w:sz w:val="28"/>
          <w:szCs w:val="28"/>
          <w:lang w:val="kk-KZ" w:eastAsia="ru-RU"/>
        </w:rPr>
        <w:t xml:space="preserve">], а выполнение рекомендаций ООН </w:t>
      </w:r>
      <w:r w:rsidR="00593711">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val="kk-KZ" w:eastAsia="ru-RU"/>
        </w:rPr>
        <w:lastRenderedPageBreak/>
        <w:t>Human Rights Watch [18</w:t>
      </w:r>
      <w:r w:rsidR="006172B5">
        <w:rPr>
          <w:rFonts w:ascii="Times New Roman" w:eastAsia="Times New Roman" w:hAnsi="Times New Roman" w:cs="Times New Roman"/>
          <w:bCs/>
          <w:sz w:val="28"/>
          <w:szCs w:val="28"/>
          <w:lang w:val="kk-KZ" w:eastAsia="ru-RU"/>
        </w:rPr>
        <w:t>0</w:t>
      </w:r>
      <w:r w:rsidRPr="001935D0">
        <w:rPr>
          <w:rFonts w:ascii="Times New Roman" w:eastAsia="Times New Roman" w:hAnsi="Times New Roman" w:cs="Times New Roman"/>
          <w:bCs/>
          <w:sz w:val="28"/>
          <w:szCs w:val="28"/>
          <w:lang w:val="kk-KZ" w:eastAsia="ru-RU"/>
        </w:rPr>
        <w:t>]. Национальный доклад по UPR представлен ООН [18</w:t>
      </w:r>
      <w:r w:rsidR="006172B5">
        <w:rPr>
          <w:rFonts w:ascii="Times New Roman" w:eastAsia="Times New Roman" w:hAnsi="Times New Roman" w:cs="Times New Roman"/>
          <w:bCs/>
          <w:sz w:val="28"/>
          <w:szCs w:val="28"/>
          <w:lang w:val="kk-KZ" w:eastAsia="ru-RU"/>
        </w:rPr>
        <w:t>1</w:t>
      </w:r>
      <w:r w:rsidRPr="001935D0">
        <w:rPr>
          <w:rFonts w:ascii="Times New Roman" w:eastAsia="Times New Roman" w:hAnsi="Times New Roman" w:cs="Times New Roman"/>
          <w:bCs/>
          <w:sz w:val="28"/>
          <w:szCs w:val="28"/>
          <w:lang w:val="kk-KZ" w:eastAsia="ru-RU"/>
        </w:rPr>
        <w:t>], а Советом ЕС приняты решения о соглашении о расширенном партнерстве с Казахстаном [18</w:t>
      </w:r>
      <w:r w:rsidR="006172B5">
        <w:rPr>
          <w:rFonts w:ascii="Times New Roman" w:eastAsia="Times New Roman" w:hAnsi="Times New Roman" w:cs="Times New Roman"/>
          <w:bCs/>
          <w:sz w:val="28"/>
          <w:szCs w:val="28"/>
          <w:lang w:val="kk-KZ" w:eastAsia="ru-RU"/>
        </w:rPr>
        <w:t>2</w:t>
      </w:r>
      <w:r w:rsidRPr="001935D0">
        <w:rPr>
          <w:rFonts w:ascii="Times New Roman" w:eastAsia="Times New Roman" w:hAnsi="Times New Roman" w:cs="Times New Roman"/>
          <w:bCs/>
          <w:sz w:val="28"/>
          <w:szCs w:val="28"/>
          <w:lang w:val="kk-KZ" w:eastAsia="ru-RU"/>
        </w:rPr>
        <w:t>], в то время как критерии присоединения ЕС к странам и прозрачность оцениваются через соответствующие ресурсы EUR-Lex и Transparency International [18</w:t>
      </w:r>
      <w:r w:rsidR="006172B5">
        <w:rPr>
          <w:rFonts w:ascii="Times New Roman" w:eastAsia="Times New Roman" w:hAnsi="Times New Roman" w:cs="Times New Roman"/>
          <w:bCs/>
          <w:sz w:val="28"/>
          <w:szCs w:val="28"/>
          <w:lang w:val="kk-KZ" w:eastAsia="ru-RU"/>
        </w:rPr>
        <w:t>3</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val="kk-KZ" w:eastAsia="ru-RU"/>
        </w:rPr>
        <w:t>18</w:t>
      </w:r>
      <w:r w:rsidR="006172B5">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val="kk-KZ" w:eastAsia="ru-RU"/>
        </w:rPr>
        <w:t>]. Позиция Казахстана в Индексе верховенства закона анализируется The Astana Times и TheGlobalEconomy.com [1</w:t>
      </w:r>
      <w:r w:rsidR="006172B5">
        <w:rPr>
          <w:rFonts w:ascii="Times New Roman" w:eastAsia="Times New Roman" w:hAnsi="Times New Roman" w:cs="Times New Roman"/>
          <w:bCs/>
          <w:sz w:val="28"/>
          <w:szCs w:val="28"/>
          <w:lang w:val="kk-KZ" w:eastAsia="ru-RU"/>
        </w:rPr>
        <w:t>85</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val="kk-KZ" w:eastAsia="ru-RU"/>
        </w:rPr>
        <w:t>1</w:t>
      </w:r>
      <w:r w:rsidR="006172B5">
        <w:rPr>
          <w:rFonts w:ascii="Times New Roman" w:eastAsia="Times New Roman" w:hAnsi="Times New Roman" w:cs="Times New Roman"/>
          <w:bCs/>
          <w:sz w:val="28"/>
          <w:szCs w:val="28"/>
          <w:lang w:val="kk-KZ" w:eastAsia="ru-RU"/>
        </w:rPr>
        <w:t>86</w:t>
      </w:r>
      <w:r w:rsidRPr="001935D0">
        <w:rPr>
          <w:rFonts w:ascii="Times New Roman" w:eastAsia="Times New Roman" w:hAnsi="Times New Roman" w:cs="Times New Roman"/>
          <w:bCs/>
          <w:sz w:val="28"/>
          <w:szCs w:val="28"/>
          <w:lang w:val="kk-KZ" w:eastAsia="ru-RU"/>
        </w:rPr>
        <w:t xml:space="preserve">], а состояние свободы и экономики </w:t>
      </w:r>
      <w:r w:rsidR="00593711">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val="kk-KZ" w:eastAsia="ru-RU"/>
        </w:rPr>
        <w:t xml:space="preserve"> Freedom House, Bertelsmann Stiftung, World Justice Project и The Heritage Foundation [1</w:t>
      </w:r>
      <w:r w:rsidR="006172B5">
        <w:rPr>
          <w:rFonts w:ascii="Times New Roman" w:eastAsia="Times New Roman" w:hAnsi="Times New Roman" w:cs="Times New Roman"/>
          <w:bCs/>
          <w:sz w:val="28"/>
          <w:szCs w:val="28"/>
          <w:lang w:val="kk-KZ" w:eastAsia="ru-RU"/>
        </w:rPr>
        <w:t>87</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val="kk-KZ" w:eastAsia="ru-RU"/>
        </w:rPr>
        <w:t>19</w:t>
      </w:r>
      <w:r w:rsidR="006172B5">
        <w:rPr>
          <w:rFonts w:ascii="Times New Roman" w:eastAsia="Times New Roman" w:hAnsi="Times New Roman" w:cs="Times New Roman"/>
          <w:bCs/>
          <w:sz w:val="28"/>
          <w:szCs w:val="28"/>
          <w:lang w:val="kk-KZ" w:eastAsia="ru-RU"/>
        </w:rPr>
        <w:t>0</w:t>
      </w:r>
      <w:r w:rsidRPr="001935D0">
        <w:rPr>
          <w:rFonts w:ascii="Times New Roman" w:eastAsia="Times New Roman" w:hAnsi="Times New Roman" w:cs="Times New Roman"/>
          <w:bCs/>
          <w:sz w:val="28"/>
          <w:szCs w:val="28"/>
          <w:lang w:val="kk-KZ" w:eastAsia="ru-RU"/>
        </w:rPr>
        <w:t>]. Данные о регионе представляют U.S. Department of State и GlobalEdge [19</w:t>
      </w:r>
      <w:r w:rsidR="006172B5">
        <w:rPr>
          <w:rFonts w:ascii="Times New Roman" w:eastAsia="Times New Roman" w:hAnsi="Times New Roman" w:cs="Times New Roman"/>
          <w:bCs/>
          <w:sz w:val="28"/>
          <w:szCs w:val="28"/>
          <w:lang w:val="kk-KZ" w:eastAsia="ru-RU"/>
        </w:rPr>
        <w:t>1</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val="kk-KZ" w:eastAsia="ru-RU"/>
        </w:rPr>
        <w:t>19</w:t>
      </w:r>
      <w:r w:rsidR="006172B5">
        <w:rPr>
          <w:rFonts w:ascii="Times New Roman" w:eastAsia="Times New Roman" w:hAnsi="Times New Roman" w:cs="Times New Roman"/>
          <w:bCs/>
          <w:sz w:val="28"/>
          <w:szCs w:val="28"/>
          <w:lang w:val="kk-KZ" w:eastAsia="ru-RU"/>
        </w:rPr>
        <w:t>2</w:t>
      </w:r>
      <w:r w:rsidRPr="001935D0">
        <w:rPr>
          <w:rFonts w:ascii="Times New Roman" w:eastAsia="Times New Roman" w:hAnsi="Times New Roman" w:cs="Times New Roman"/>
          <w:bCs/>
          <w:sz w:val="28"/>
          <w:szCs w:val="28"/>
          <w:lang w:val="kk-KZ" w:eastAsia="ru-RU"/>
        </w:rPr>
        <w:t>], а ежегодные диалоги по правам человека и оценки ODIHR освещают EEAS и OHCHR [19</w:t>
      </w:r>
      <w:r w:rsidR="006172B5">
        <w:rPr>
          <w:rFonts w:ascii="Times New Roman" w:eastAsia="Times New Roman" w:hAnsi="Times New Roman" w:cs="Times New Roman"/>
          <w:bCs/>
          <w:sz w:val="28"/>
          <w:szCs w:val="28"/>
          <w:lang w:val="kk-KZ" w:eastAsia="ru-RU"/>
        </w:rPr>
        <w:t>3</w:t>
      </w:r>
      <w:r w:rsidR="002F78E3">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val="kk-KZ" w:eastAsia="ru-RU"/>
        </w:rPr>
        <w:t>19</w:t>
      </w:r>
      <w:r w:rsidR="006172B5">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val="kk-KZ" w:eastAsia="ru-RU"/>
        </w:rPr>
        <w:t xml:space="preserve">]. </w:t>
      </w:r>
    </w:p>
    <w:p w14:paraId="2CA3C32E" w14:textId="0734AD78" w:rsidR="00A512CC" w:rsidRPr="001935D0" w:rsidRDefault="00A512CC" w:rsidP="002F78E3">
      <w:pPr>
        <w:pStyle w:val="NoSpacing"/>
        <w:tabs>
          <w:tab w:val="left" w:pos="1134"/>
        </w:tabs>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val="kk-KZ" w:eastAsia="ru-RU"/>
        </w:rPr>
        <w:t xml:space="preserve">Вклад Венецианской комиссии в развитие института омбудсмена в Казахстане исследуют официальные документы и работы </w:t>
      </w:r>
      <w:r w:rsidR="00F0351F">
        <w:rPr>
          <w:rFonts w:ascii="Times New Roman" w:eastAsia="Times New Roman" w:hAnsi="Times New Roman" w:cs="Times New Roman"/>
          <w:bCs/>
          <w:sz w:val="28"/>
          <w:szCs w:val="28"/>
          <w:lang w:val="kk-KZ" w:eastAsia="ru-RU"/>
        </w:rPr>
        <w:t xml:space="preserve">А. </w:t>
      </w:r>
      <w:r w:rsidRPr="001935D0">
        <w:rPr>
          <w:rFonts w:ascii="Times New Roman" w:eastAsia="Times New Roman" w:hAnsi="Times New Roman" w:cs="Times New Roman"/>
          <w:bCs/>
          <w:sz w:val="28"/>
          <w:szCs w:val="28"/>
          <w:lang w:val="kk-KZ" w:eastAsia="ru-RU"/>
        </w:rPr>
        <w:t xml:space="preserve">Аширбековой, </w:t>
      </w:r>
      <w:r w:rsidR="00F0351F">
        <w:rPr>
          <w:rFonts w:ascii="Times New Roman" w:eastAsia="Times New Roman" w:hAnsi="Times New Roman" w:cs="Times New Roman"/>
          <w:bCs/>
          <w:sz w:val="28"/>
          <w:szCs w:val="28"/>
          <w:lang w:val="kk-KZ" w:eastAsia="ru-RU"/>
        </w:rPr>
        <w:t xml:space="preserve">Д. </w:t>
      </w:r>
      <w:r w:rsidRPr="001935D0">
        <w:rPr>
          <w:rFonts w:ascii="Times New Roman" w:eastAsia="Times New Roman" w:hAnsi="Times New Roman" w:cs="Times New Roman"/>
          <w:bCs/>
          <w:sz w:val="28"/>
          <w:szCs w:val="28"/>
          <w:lang w:val="kk-KZ" w:eastAsia="ru-RU"/>
        </w:rPr>
        <w:t xml:space="preserve">Бугибай и </w:t>
      </w:r>
      <w:r w:rsidR="00F0351F">
        <w:rPr>
          <w:rFonts w:ascii="Times New Roman" w:eastAsia="Times New Roman" w:hAnsi="Times New Roman" w:cs="Times New Roman"/>
          <w:bCs/>
          <w:sz w:val="28"/>
          <w:szCs w:val="28"/>
          <w:lang w:val="kk-KZ" w:eastAsia="ru-RU"/>
        </w:rPr>
        <w:t xml:space="preserve">В. </w:t>
      </w:r>
      <w:r w:rsidRPr="001935D0">
        <w:rPr>
          <w:rFonts w:ascii="Times New Roman" w:eastAsia="Times New Roman" w:hAnsi="Times New Roman" w:cs="Times New Roman"/>
          <w:bCs/>
          <w:sz w:val="28"/>
          <w:szCs w:val="28"/>
          <w:lang w:val="kk-KZ" w:eastAsia="ru-RU"/>
        </w:rPr>
        <w:t>Тапаковой [</w:t>
      </w:r>
      <w:r w:rsidR="006172B5">
        <w:rPr>
          <w:rFonts w:ascii="Times New Roman" w:eastAsia="Times New Roman" w:hAnsi="Times New Roman" w:cs="Times New Roman"/>
          <w:bCs/>
          <w:sz w:val="28"/>
          <w:szCs w:val="28"/>
          <w:lang w:val="kk-KZ" w:eastAsia="ru-RU"/>
        </w:rPr>
        <w:t>195</w:t>
      </w:r>
      <w:r w:rsidR="002F78E3">
        <w:rPr>
          <w:rFonts w:ascii="Times New Roman" w:eastAsia="Times New Roman" w:hAnsi="Times New Roman" w:cs="Times New Roman"/>
          <w:bCs/>
          <w:sz w:val="28"/>
          <w:szCs w:val="28"/>
          <w:lang w:val="kk-KZ" w:eastAsia="ru-RU"/>
        </w:rPr>
        <w:t>-</w:t>
      </w:r>
      <w:r w:rsidR="006172B5">
        <w:rPr>
          <w:rFonts w:ascii="Times New Roman" w:eastAsia="Times New Roman" w:hAnsi="Times New Roman" w:cs="Times New Roman"/>
          <w:bCs/>
          <w:sz w:val="28"/>
          <w:szCs w:val="28"/>
          <w:lang w:val="kk-KZ" w:eastAsia="ru-RU"/>
        </w:rPr>
        <w:t>197</w:t>
      </w:r>
      <w:r w:rsidRPr="001935D0">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Данные работы раскрывают значение международных правовых рекомендаций для национальных реформ, но не предлагают комплексной модели адаптации внешних правозащитных стандартов ЕС.</w:t>
      </w:r>
    </w:p>
    <w:p w14:paraId="4B8BA98A" w14:textId="6B36B3A0" w:rsidR="00A512CC" w:rsidRPr="001935D0" w:rsidRDefault="00A512CC"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val="kk-KZ" w:eastAsia="ru-RU"/>
        </w:rPr>
        <w:t>Регулирование противодействия коррупционным практикам за рубежом рассматривает Трофимов [</w:t>
      </w:r>
      <w:r w:rsidR="006172B5">
        <w:rPr>
          <w:rFonts w:ascii="Times New Roman" w:eastAsia="Times New Roman" w:hAnsi="Times New Roman" w:cs="Times New Roman"/>
          <w:bCs/>
          <w:sz w:val="28"/>
          <w:szCs w:val="28"/>
          <w:lang w:val="kk-KZ" w:eastAsia="ru-RU"/>
        </w:rPr>
        <w:t>198</w:t>
      </w:r>
      <w:r w:rsidRPr="001935D0">
        <w:rPr>
          <w:rFonts w:ascii="Times New Roman" w:eastAsia="Times New Roman" w:hAnsi="Times New Roman" w:cs="Times New Roman"/>
          <w:bCs/>
          <w:sz w:val="28"/>
          <w:szCs w:val="28"/>
          <w:lang w:val="kk-KZ" w:eastAsia="ru-RU"/>
        </w:rPr>
        <w:t>]. Советом Европы поддерживается создание «Нового Казахстана» и проводятся программы образования для юристов и правовых экспертов [</w:t>
      </w:r>
      <w:r w:rsidR="006172B5">
        <w:rPr>
          <w:rFonts w:ascii="Times New Roman" w:eastAsia="Times New Roman" w:hAnsi="Times New Roman" w:cs="Times New Roman"/>
          <w:bCs/>
          <w:sz w:val="28"/>
          <w:szCs w:val="28"/>
          <w:lang w:val="kk-KZ" w:eastAsia="ru-RU"/>
        </w:rPr>
        <w:t>199</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val="kk-KZ" w:eastAsia="ru-RU"/>
        </w:rPr>
        <w:t>2</w:t>
      </w:r>
      <w:r w:rsidR="006172B5">
        <w:rPr>
          <w:rFonts w:ascii="Times New Roman" w:eastAsia="Times New Roman" w:hAnsi="Times New Roman" w:cs="Times New Roman"/>
          <w:bCs/>
          <w:sz w:val="28"/>
          <w:szCs w:val="28"/>
          <w:lang w:val="kk-KZ" w:eastAsia="ru-RU"/>
        </w:rPr>
        <w:t>05</w:t>
      </w:r>
      <w:r w:rsidRPr="001935D0">
        <w:rPr>
          <w:rFonts w:ascii="Times New Roman" w:eastAsia="Times New Roman" w:hAnsi="Times New Roman" w:cs="Times New Roman"/>
          <w:bCs/>
          <w:sz w:val="28"/>
          <w:szCs w:val="28"/>
          <w:lang w:val="kk-KZ" w:eastAsia="ru-RU"/>
        </w:rPr>
        <w:t>], а приоритеты сотрудничества с Казахстаном установлены на 2024</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val="kk-KZ" w:eastAsia="ru-RU"/>
        </w:rPr>
        <w:t>2027 годы [2</w:t>
      </w:r>
      <w:r w:rsidR="006172B5">
        <w:rPr>
          <w:rFonts w:ascii="Times New Roman" w:eastAsia="Times New Roman" w:hAnsi="Times New Roman" w:cs="Times New Roman"/>
          <w:bCs/>
          <w:sz w:val="28"/>
          <w:szCs w:val="28"/>
          <w:lang w:val="kk-KZ" w:eastAsia="ru-RU"/>
        </w:rPr>
        <w:t>06</w:t>
      </w:r>
      <w:r w:rsidRPr="001935D0">
        <w:rPr>
          <w:rFonts w:ascii="Times New Roman" w:eastAsia="Times New Roman" w:hAnsi="Times New Roman" w:cs="Times New Roman"/>
          <w:bCs/>
          <w:sz w:val="28"/>
          <w:szCs w:val="28"/>
          <w:lang w:val="kk-KZ" w:eastAsia="ru-RU"/>
        </w:rPr>
        <w:t>]. Конкурсная и судебная деятельность страны освещены Омиргазым [2</w:t>
      </w:r>
      <w:r w:rsidR="006172B5">
        <w:rPr>
          <w:rFonts w:ascii="Times New Roman" w:eastAsia="Times New Roman" w:hAnsi="Times New Roman" w:cs="Times New Roman"/>
          <w:bCs/>
          <w:sz w:val="28"/>
          <w:szCs w:val="28"/>
          <w:lang w:val="kk-KZ" w:eastAsia="ru-RU"/>
        </w:rPr>
        <w:t>07</w:t>
      </w:r>
      <w:r w:rsidRPr="001935D0">
        <w:rPr>
          <w:rFonts w:ascii="Times New Roman" w:eastAsia="Times New Roman" w:hAnsi="Times New Roman" w:cs="Times New Roman"/>
          <w:bCs/>
          <w:sz w:val="28"/>
          <w:szCs w:val="28"/>
          <w:lang w:val="kk-KZ" w:eastAsia="ru-RU"/>
        </w:rPr>
        <w:t>], OECD [2</w:t>
      </w:r>
      <w:r w:rsidR="006172B5">
        <w:rPr>
          <w:rFonts w:ascii="Times New Roman" w:eastAsia="Times New Roman" w:hAnsi="Times New Roman" w:cs="Times New Roman"/>
          <w:bCs/>
          <w:sz w:val="28"/>
          <w:szCs w:val="28"/>
          <w:lang w:val="kk-KZ" w:eastAsia="ru-RU"/>
        </w:rPr>
        <w:t>08</w:t>
      </w:r>
      <w:r w:rsidRPr="001935D0">
        <w:rPr>
          <w:rFonts w:ascii="Times New Roman" w:eastAsia="Times New Roman" w:hAnsi="Times New Roman" w:cs="Times New Roman"/>
          <w:bCs/>
          <w:sz w:val="28"/>
          <w:szCs w:val="28"/>
          <w:lang w:val="kk-KZ" w:eastAsia="ru-RU"/>
        </w:rPr>
        <w:t>], CEPEJ [2</w:t>
      </w:r>
      <w:r w:rsidR="006172B5">
        <w:rPr>
          <w:rFonts w:ascii="Times New Roman" w:eastAsia="Times New Roman" w:hAnsi="Times New Roman" w:cs="Times New Roman"/>
          <w:bCs/>
          <w:sz w:val="28"/>
          <w:szCs w:val="28"/>
          <w:lang w:val="kk-KZ" w:eastAsia="ru-RU"/>
        </w:rPr>
        <w:t>09</w:t>
      </w:r>
      <w:r w:rsidRPr="001935D0">
        <w:rPr>
          <w:rFonts w:ascii="Times New Roman" w:eastAsia="Times New Roman" w:hAnsi="Times New Roman" w:cs="Times New Roman"/>
          <w:bCs/>
          <w:sz w:val="28"/>
          <w:szCs w:val="28"/>
          <w:lang w:val="kk-KZ" w:eastAsia="ru-RU"/>
        </w:rPr>
        <w:t>], а послание Президента К</w:t>
      </w:r>
      <w:r w:rsidR="005A37FB">
        <w:rPr>
          <w:rFonts w:ascii="Times New Roman" w:eastAsia="Times New Roman" w:hAnsi="Times New Roman" w:cs="Times New Roman"/>
          <w:bCs/>
          <w:sz w:val="28"/>
          <w:szCs w:val="28"/>
          <w:lang w:eastAsia="ru-RU"/>
        </w:rPr>
        <w:t>асым-</w:t>
      </w:r>
      <w:r w:rsidRPr="001935D0">
        <w:rPr>
          <w:rFonts w:ascii="Times New Roman" w:eastAsia="Times New Roman" w:hAnsi="Times New Roman" w:cs="Times New Roman"/>
          <w:bCs/>
          <w:sz w:val="28"/>
          <w:szCs w:val="28"/>
          <w:lang w:val="kk-KZ" w:eastAsia="ru-RU"/>
        </w:rPr>
        <w:t>Ж</w:t>
      </w:r>
      <w:r w:rsidR="005A37FB">
        <w:rPr>
          <w:rFonts w:ascii="Times New Roman" w:eastAsia="Times New Roman" w:hAnsi="Times New Roman" w:cs="Times New Roman"/>
          <w:bCs/>
          <w:sz w:val="28"/>
          <w:szCs w:val="28"/>
          <w:lang w:val="kk-KZ" w:eastAsia="ru-RU"/>
        </w:rPr>
        <w:t>омарта</w:t>
      </w:r>
      <w:r w:rsidRPr="001935D0">
        <w:rPr>
          <w:rFonts w:ascii="Times New Roman" w:eastAsia="Times New Roman" w:hAnsi="Times New Roman" w:cs="Times New Roman"/>
          <w:bCs/>
          <w:sz w:val="28"/>
          <w:szCs w:val="28"/>
          <w:lang w:val="kk-KZ" w:eastAsia="ru-RU"/>
        </w:rPr>
        <w:t xml:space="preserve"> Токаева отражает стратегические цели страны в области справедливости и экономического роста [21</w:t>
      </w:r>
      <w:r w:rsidR="006172B5">
        <w:rPr>
          <w:rFonts w:ascii="Times New Roman" w:eastAsia="Times New Roman" w:hAnsi="Times New Roman" w:cs="Times New Roman"/>
          <w:bCs/>
          <w:sz w:val="28"/>
          <w:szCs w:val="28"/>
          <w:lang w:val="kk-KZ" w:eastAsia="ru-RU"/>
        </w:rPr>
        <w:t>0</w:t>
      </w:r>
      <w:r w:rsidRPr="001935D0">
        <w:rPr>
          <w:rFonts w:ascii="Times New Roman" w:eastAsia="Times New Roman" w:hAnsi="Times New Roman" w:cs="Times New Roman"/>
          <w:bCs/>
          <w:sz w:val="28"/>
          <w:szCs w:val="28"/>
          <w:lang w:val="kk-KZ" w:eastAsia="ru-RU"/>
        </w:rPr>
        <w:t>]. Ежегодные отчёты ODIHR, мониторинг демократических процессов и соблюдения прав человека анализируют OSCE, Eurasianet и Open Dialogue Foundation [21</w:t>
      </w:r>
      <w:r w:rsidR="006172B5">
        <w:rPr>
          <w:rFonts w:ascii="Times New Roman" w:eastAsia="Times New Roman" w:hAnsi="Times New Roman" w:cs="Times New Roman"/>
          <w:bCs/>
          <w:sz w:val="28"/>
          <w:szCs w:val="28"/>
          <w:lang w:val="kk-KZ" w:eastAsia="ru-RU"/>
        </w:rPr>
        <w:t>1</w:t>
      </w:r>
      <w:r w:rsidR="002F78E3">
        <w:rPr>
          <w:rFonts w:ascii="Times New Roman" w:eastAsia="Times New Roman" w:hAnsi="Times New Roman" w:cs="Times New Roman"/>
          <w:bCs/>
          <w:sz w:val="28"/>
          <w:szCs w:val="28"/>
          <w:lang w:val="kk-KZ" w:eastAsia="ru-RU"/>
        </w:rPr>
        <w:t>-</w:t>
      </w:r>
      <w:r w:rsidRPr="001935D0">
        <w:rPr>
          <w:rFonts w:ascii="Times New Roman" w:eastAsia="Times New Roman" w:hAnsi="Times New Roman" w:cs="Times New Roman"/>
          <w:bCs/>
          <w:sz w:val="28"/>
          <w:szCs w:val="28"/>
          <w:lang w:val="kk-KZ" w:eastAsia="ru-RU"/>
        </w:rPr>
        <w:t>21</w:t>
      </w:r>
      <w:r w:rsidR="006172B5">
        <w:rPr>
          <w:rFonts w:ascii="Times New Roman" w:eastAsia="Times New Roman" w:hAnsi="Times New Roman" w:cs="Times New Roman"/>
          <w:bCs/>
          <w:sz w:val="28"/>
          <w:szCs w:val="28"/>
          <w:lang w:val="kk-KZ" w:eastAsia="ru-RU"/>
        </w:rPr>
        <w:t>4</w:t>
      </w:r>
      <w:r w:rsidRPr="001935D0">
        <w:rPr>
          <w:rFonts w:ascii="Times New Roman" w:eastAsia="Times New Roman" w:hAnsi="Times New Roman" w:cs="Times New Roman"/>
          <w:bCs/>
          <w:sz w:val="28"/>
          <w:szCs w:val="28"/>
          <w:lang w:val="kk-KZ" w:eastAsia="ru-RU"/>
        </w:rPr>
        <w:t>]. Конвенции Совета Европы по защите женщин и детей от насилия и эксплуатации закрепляют международные обязательства [2</w:t>
      </w:r>
      <w:r w:rsidR="006172B5">
        <w:rPr>
          <w:rFonts w:ascii="Times New Roman" w:eastAsia="Times New Roman" w:hAnsi="Times New Roman" w:cs="Times New Roman"/>
          <w:bCs/>
          <w:sz w:val="28"/>
          <w:szCs w:val="28"/>
          <w:lang w:val="kk-KZ" w:eastAsia="ru-RU"/>
        </w:rPr>
        <w:t>15, 216</w:t>
      </w:r>
      <w:r w:rsidRPr="001935D0">
        <w:rPr>
          <w:rFonts w:ascii="Times New Roman" w:eastAsia="Times New Roman" w:hAnsi="Times New Roman" w:cs="Times New Roman"/>
          <w:bCs/>
          <w:sz w:val="28"/>
          <w:szCs w:val="28"/>
          <w:lang w:val="kk-KZ" w:eastAsia="ru-RU"/>
        </w:rPr>
        <w:t>], а повестка устойчивого развития до 2030 года закреплена в Документе ООН [</w:t>
      </w:r>
      <w:r w:rsidR="006172B5">
        <w:rPr>
          <w:rFonts w:ascii="Times New Roman" w:eastAsia="Times New Roman" w:hAnsi="Times New Roman" w:cs="Times New Roman"/>
          <w:bCs/>
          <w:sz w:val="28"/>
          <w:szCs w:val="28"/>
          <w:lang w:val="kk-KZ" w:eastAsia="ru-RU"/>
        </w:rPr>
        <w:t>101</w:t>
      </w:r>
      <w:r w:rsidRPr="001935D0">
        <w:rPr>
          <w:rFonts w:ascii="Times New Roman" w:eastAsia="Times New Roman" w:hAnsi="Times New Roman" w:cs="Times New Roman"/>
          <w:bCs/>
          <w:sz w:val="28"/>
          <w:szCs w:val="28"/>
          <w:lang w:val="kk-KZ" w:eastAsia="ru-RU"/>
        </w:rPr>
        <w:t>].</w:t>
      </w:r>
    </w:p>
    <w:p w14:paraId="4D8A26BE" w14:textId="77777777" w:rsidR="005F7C41" w:rsidRPr="001935D0" w:rsidRDefault="005F7C41" w:rsidP="002F78E3">
      <w:pPr>
        <w:pStyle w:val="NoSpacing"/>
        <w:tabs>
          <w:tab w:val="left" w:pos="1134"/>
        </w:tabs>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Анализ институциональных реформ и функционирования органов правосудия в Республике Казахстан представлен в аналитических публикациях национальных исследовательских центров и экспертов, включая материалы Казахстанского института стратегических исследований, а также исследования, посвященные деятельности Конституционного суда и правоприменительной практике. Эти работы позволяют оценить внутренние трансформации правовой системы, однако не интегрируют их в сравнительный европейский правозащитный контекст.</w:t>
      </w:r>
    </w:p>
    <w:p w14:paraId="47FD1C5E" w14:textId="067FCE3F" w:rsidR="005F7C41" w:rsidRPr="001935D0" w:rsidRDefault="005F7C41" w:rsidP="002F78E3">
      <w:pPr>
        <w:pStyle w:val="NoSpacing"/>
        <w:tabs>
          <w:tab w:val="left" w:pos="1134"/>
        </w:tabs>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Таким образом, казахстанская научная литература характеризуется высоким уровнем проработки отдельных аспектов прав человека – нормативных, институциональных, социальных и экологиче</w:t>
      </w:r>
      <w:r w:rsidR="00AD6D54">
        <w:rPr>
          <w:rFonts w:ascii="Times New Roman" w:eastAsia="Times New Roman" w:hAnsi="Times New Roman" w:cs="Times New Roman"/>
          <w:bCs/>
          <w:sz w:val="28"/>
          <w:szCs w:val="28"/>
          <w:lang w:eastAsia="ru-RU"/>
        </w:rPr>
        <w:t xml:space="preserve">ских. Вместе с тем сохраняется </w:t>
      </w:r>
      <w:r w:rsidR="00AD6D54">
        <w:rPr>
          <w:rFonts w:ascii="Times New Roman" w:eastAsia="Times New Roman" w:hAnsi="Times New Roman" w:cs="Times New Roman"/>
          <w:bCs/>
          <w:sz w:val="28"/>
          <w:szCs w:val="28"/>
          <w:lang w:val="kk-KZ" w:eastAsia="ru-RU"/>
        </w:rPr>
        <w:t>пробел</w:t>
      </w:r>
      <w:r w:rsidRPr="001935D0">
        <w:rPr>
          <w:rFonts w:ascii="Times New Roman" w:eastAsia="Times New Roman" w:hAnsi="Times New Roman" w:cs="Times New Roman"/>
          <w:bCs/>
          <w:sz w:val="28"/>
          <w:szCs w:val="28"/>
          <w:lang w:eastAsia="ru-RU"/>
        </w:rPr>
        <w:t xml:space="preserve"> комплексных исследований, ориентированных на анализ механизмов имплементации и адаптации правозащитной модели Европейского </w:t>
      </w:r>
      <w:r w:rsidR="002064D8">
        <w:rPr>
          <w:rFonts w:ascii="Times New Roman" w:eastAsia="Times New Roman" w:hAnsi="Times New Roman" w:cs="Times New Roman"/>
          <w:bCs/>
          <w:sz w:val="28"/>
          <w:szCs w:val="28"/>
          <w:lang w:eastAsia="ru-RU"/>
        </w:rPr>
        <w:t>С</w:t>
      </w:r>
      <w:r w:rsidRPr="001935D0">
        <w:rPr>
          <w:rFonts w:ascii="Times New Roman" w:eastAsia="Times New Roman" w:hAnsi="Times New Roman" w:cs="Times New Roman"/>
          <w:bCs/>
          <w:sz w:val="28"/>
          <w:szCs w:val="28"/>
          <w:lang w:eastAsia="ru-RU"/>
        </w:rPr>
        <w:t xml:space="preserve">оюза к политико-правовой системе Республики Казахстан с учетом геополитических, </w:t>
      </w:r>
      <w:r w:rsidRPr="001935D0">
        <w:rPr>
          <w:rFonts w:ascii="Times New Roman" w:eastAsia="Times New Roman" w:hAnsi="Times New Roman" w:cs="Times New Roman"/>
          <w:bCs/>
          <w:sz w:val="28"/>
          <w:szCs w:val="28"/>
          <w:lang w:eastAsia="ru-RU"/>
        </w:rPr>
        <w:lastRenderedPageBreak/>
        <w:t>институциональных и внешнеполитических факторов, что и определяет научную новизну и актуальность настоящего диссертационного исследования.</w:t>
      </w:r>
    </w:p>
    <w:p w14:paraId="0F4F7C45" w14:textId="47660CD8" w:rsidR="00183C5B" w:rsidRPr="00966003" w:rsidRDefault="00183C5B"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bCs/>
          <w:sz w:val="28"/>
          <w:szCs w:val="28"/>
          <w:lang w:eastAsia="ru-RU"/>
        </w:rPr>
        <w:t xml:space="preserve">Анализ существующих исследований свидетельствует о том, что, несмотря на институционализированное позиционирование Европейского </w:t>
      </w:r>
      <w:r w:rsidR="002064D8">
        <w:rPr>
          <w:rFonts w:ascii="Times New Roman" w:eastAsia="Times New Roman" w:hAnsi="Times New Roman" w:cs="Times New Roman"/>
          <w:bCs/>
          <w:sz w:val="28"/>
          <w:szCs w:val="28"/>
          <w:lang w:eastAsia="ru-RU"/>
        </w:rPr>
        <w:t>С</w:t>
      </w:r>
      <w:r w:rsidRPr="001935D0">
        <w:rPr>
          <w:rFonts w:ascii="Times New Roman" w:eastAsia="Times New Roman" w:hAnsi="Times New Roman" w:cs="Times New Roman"/>
          <w:bCs/>
          <w:sz w:val="28"/>
          <w:szCs w:val="28"/>
          <w:lang w:eastAsia="ru-RU"/>
        </w:rPr>
        <w:t xml:space="preserve">оюза в качестве нормативного актора международных отношений, реализация его правозащитной политики сопровождается системными вызовами. Эти вызовы связаны как с ограниченной универсализацией ценностей в условиях нарастающей геополитической фрагментации, так и с необходимостью учитывать региональные, культурные и институциональные особенности стран-партнёров. Возникает потребность в переосмыслении инструментов внешнего воздействия, адаптации механизмов продвижения прав человека к новым контекстам, усилении дипломатических и согласующих стратегий, а также </w:t>
      </w:r>
      <w:r w:rsidRPr="00966003">
        <w:rPr>
          <w:rFonts w:ascii="Times New Roman" w:eastAsia="Times New Roman" w:hAnsi="Times New Roman" w:cs="Times New Roman"/>
          <w:bCs/>
          <w:sz w:val="28"/>
          <w:szCs w:val="28"/>
          <w:lang w:eastAsia="ru-RU"/>
        </w:rPr>
        <w:t>повышении внутрисоюзной нормативной когерентности.</w:t>
      </w:r>
    </w:p>
    <w:p w14:paraId="0523CB34" w14:textId="1C9EA4D7" w:rsidR="00C7589F" w:rsidRPr="00966003" w:rsidRDefault="00C7589F"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966003">
        <w:rPr>
          <w:rFonts w:ascii="Times New Roman" w:eastAsia="Times New Roman" w:hAnsi="Times New Roman" w:cs="Times New Roman"/>
          <w:bCs/>
          <w:sz w:val="28"/>
          <w:szCs w:val="28"/>
          <w:lang w:eastAsia="ru-RU"/>
        </w:rPr>
        <w:t xml:space="preserve">В этом контексте настоящее диссертационное исследование направлено на восполнение теоретико-прикладного </w:t>
      </w:r>
      <w:r w:rsidR="00AD6D54">
        <w:rPr>
          <w:rFonts w:ascii="Times New Roman" w:eastAsia="Times New Roman" w:hAnsi="Times New Roman" w:cs="Times New Roman"/>
          <w:bCs/>
          <w:sz w:val="28"/>
          <w:szCs w:val="28"/>
          <w:lang w:val="kk-KZ" w:eastAsia="ru-RU"/>
        </w:rPr>
        <w:t>пробела</w:t>
      </w:r>
      <w:r w:rsidRPr="00966003">
        <w:rPr>
          <w:rFonts w:ascii="Times New Roman" w:eastAsia="Times New Roman" w:hAnsi="Times New Roman" w:cs="Times New Roman"/>
          <w:bCs/>
          <w:sz w:val="28"/>
          <w:szCs w:val="28"/>
          <w:lang w:eastAsia="ru-RU"/>
        </w:rPr>
        <w:t xml:space="preserve"> в области анализа трансформации правозащитной политики Европейского Союза и оценки пределов универсализации его нормативных стандартов в условиях новой геополитической повестки.</w:t>
      </w:r>
    </w:p>
    <w:p w14:paraId="5E1D5290" w14:textId="62D69C04" w:rsidR="004519C8" w:rsidRPr="00966003" w:rsidRDefault="004519C8" w:rsidP="002F78E3">
      <w:pPr>
        <w:pStyle w:val="NoSpacing"/>
        <w:tabs>
          <w:tab w:val="left" w:pos="1134"/>
        </w:tabs>
        <w:ind w:firstLine="709"/>
        <w:jc w:val="both"/>
        <w:rPr>
          <w:rFonts w:ascii="Times New Roman" w:eastAsia="Times New Roman" w:hAnsi="Times New Roman" w:cs="Times New Roman"/>
          <w:bCs/>
          <w:sz w:val="28"/>
          <w:szCs w:val="28"/>
          <w:lang w:val="kk-KZ" w:eastAsia="ru-RU"/>
        </w:rPr>
      </w:pPr>
      <w:r w:rsidRPr="00966003">
        <w:rPr>
          <w:rFonts w:ascii="Times New Roman" w:eastAsia="Times New Roman" w:hAnsi="Times New Roman" w:cs="Times New Roman"/>
          <w:bCs/>
          <w:sz w:val="28"/>
          <w:szCs w:val="28"/>
          <w:lang w:val="kk-KZ" w:eastAsia="ru-RU"/>
        </w:rPr>
        <w:t>Республика Казахстан в настоящем исследовании выступает в качестве репрезентативного аналитического кейса (case study), позволяющего эмпирически определить пределы универсализации и адаптационный потенциал европейской правозащитной модели в условиях отличной политико-правовой и институциональной среды. Выбор Казахстана обусловлен динамикой его правовой модернизации, институциональной трансформацией и устойчивым форматом взаимодействия с Европейским Союзом в сфере прав человека.</w:t>
      </w:r>
    </w:p>
    <w:p w14:paraId="181B6B36" w14:textId="77777777" w:rsidR="00183C5B" w:rsidRPr="001935D0" w:rsidRDefault="00183C5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b/>
          <w:sz w:val="28"/>
          <w:szCs w:val="28"/>
        </w:rPr>
        <w:t>Объект исследования</w:t>
      </w:r>
      <w:r w:rsidRPr="001935D0">
        <w:rPr>
          <w:rFonts w:ascii="Times New Roman" w:hAnsi="Times New Roman" w:cs="Times New Roman"/>
          <w:sz w:val="28"/>
          <w:szCs w:val="28"/>
        </w:rPr>
        <w:t xml:space="preserve"> – политика Европейского Союза в области прав человека в условиях формирования новой геополитической повестки и трансформации глобального порядка.</w:t>
      </w:r>
    </w:p>
    <w:p w14:paraId="6EECB3FB" w14:textId="09F6F634" w:rsidR="00183C5B" w:rsidRPr="00966003" w:rsidRDefault="00183C5B" w:rsidP="002F78E3">
      <w:pPr>
        <w:pStyle w:val="NoSpacing"/>
        <w:tabs>
          <w:tab w:val="left" w:pos="1134"/>
        </w:tabs>
        <w:ind w:firstLine="709"/>
        <w:jc w:val="both"/>
        <w:rPr>
          <w:rFonts w:ascii="Times New Roman" w:hAnsi="Times New Roman" w:cs="Times New Roman"/>
          <w:sz w:val="28"/>
          <w:szCs w:val="28"/>
        </w:rPr>
      </w:pPr>
      <w:r w:rsidRPr="001935D0">
        <w:rPr>
          <w:rFonts w:ascii="Times New Roman" w:hAnsi="Times New Roman" w:cs="Times New Roman"/>
          <w:b/>
          <w:sz w:val="28"/>
          <w:szCs w:val="28"/>
        </w:rPr>
        <w:t>Предмет исследования</w:t>
      </w:r>
      <w:r w:rsidRPr="001935D0">
        <w:rPr>
          <w:rFonts w:ascii="Times New Roman" w:hAnsi="Times New Roman" w:cs="Times New Roman"/>
          <w:sz w:val="28"/>
          <w:szCs w:val="28"/>
        </w:rPr>
        <w:t xml:space="preserve"> – выступают инструменты, механизмы и нормативно-правовые основания реализации правозащитной политики Европейского </w:t>
      </w:r>
      <w:r w:rsidR="002064D8">
        <w:rPr>
          <w:rFonts w:ascii="Times New Roman" w:hAnsi="Times New Roman" w:cs="Times New Roman"/>
          <w:sz w:val="28"/>
          <w:szCs w:val="28"/>
        </w:rPr>
        <w:t>С</w:t>
      </w:r>
      <w:r w:rsidRPr="001935D0">
        <w:rPr>
          <w:rFonts w:ascii="Times New Roman" w:hAnsi="Times New Roman" w:cs="Times New Roman"/>
          <w:sz w:val="28"/>
          <w:szCs w:val="28"/>
        </w:rPr>
        <w:t xml:space="preserve">оюза, а также условия, факторы и потенциал их адаптации в странах с различными политико-правовыми системами, в частности в государствах Центральной </w:t>
      </w:r>
      <w:r w:rsidRPr="00966003">
        <w:rPr>
          <w:rFonts w:ascii="Times New Roman" w:hAnsi="Times New Roman" w:cs="Times New Roman"/>
          <w:sz w:val="28"/>
          <w:szCs w:val="28"/>
        </w:rPr>
        <w:t>Азии, включая Республику Казахстан.</w:t>
      </w:r>
    </w:p>
    <w:p w14:paraId="509514CE" w14:textId="7E5996AF" w:rsidR="00EC43F8" w:rsidRPr="00966003" w:rsidRDefault="00183C5B" w:rsidP="002F78E3">
      <w:pPr>
        <w:pStyle w:val="NoSpacing"/>
        <w:tabs>
          <w:tab w:val="left" w:pos="1134"/>
        </w:tabs>
        <w:ind w:firstLine="709"/>
        <w:jc w:val="both"/>
        <w:rPr>
          <w:rFonts w:ascii="Times New Roman" w:hAnsi="Times New Roman" w:cs="Times New Roman"/>
          <w:sz w:val="28"/>
          <w:szCs w:val="28"/>
          <w:lang w:val="kk-KZ"/>
        </w:rPr>
      </w:pPr>
      <w:r w:rsidRPr="00966003">
        <w:rPr>
          <w:rFonts w:ascii="Times New Roman" w:eastAsia="Times New Roman" w:hAnsi="Times New Roman" w:cs="Times New Roman"/>
          <w:b/>
          <w:bCs/>
          <w:sz w:val="28"/>
          <w:szCs w:val="28"/>
          <w:lang w:eastAsia="ru-RU"/>
        </w:rPr>
        <w:t>Цель</w:t>
      </w:r>
      <w:r w:rsidRPr="00966003">
        <w:rPr>
          <w:rFonts w:ascii="Times New Roman" w:eastAsia="Times New Roman" w:hAnsi="Times New Roman" w:cs="Times New Roman"/>
          <w:b/>
          <w:bCs/>
          <w:sz w:val="28"/>
          <w:szCs w:val="28"/>
          <w:lang w:val="uk-UA" w:eastAsia="ru-RU"/>
        </w:rPr>
        <w:t xml:space="preserve"> </w:t>
      </w:r>
      <w:r w:rsidRPr="00966003">
        <w:rPr>
          <w:rFonts w:ascii="Times New Roman" w:eastAsia="Times New Roman" w:hAnsi="Times New Roman" w:cs="Times New Roman"/>
          <w:b/>
          <w:bCs/>
          <w:sz w:val="28"/>
          <w:szCs w:val="28"/>
          <w:lang w:eastAsia="ru-RU"/>
        </w:rPr>
        <w:t>исследования</w:t>
      </w:r>
      <w:r w:rsidRPr="00966003">
        <w:rPr>
          <w:rFonts w:ascii="Times New Roman" w:eastAsia="Times New Roman" w:hAnsi="Times New Roman" w:cs="Times New Roman"/>
          <w:sz w:val="28"/>
          <w:szCs w:val="28"/>
          <w:lang w:eastAsia="ru-RU"/>
        </w:rPr>
        <w:t xml:space="preserve"> </w:t>
      </w:r>
      <w:r w:rsidRPr="00966003">
        <w:rPr>
          <w:rFonts w:ascii="Times New Roman" w:eastAsia="Times New Roman" w:hAnsi="Times New Roman" w:cs="Times New Roman"/>
          <w:sz w:val="28"/>
          <w:szCs w:val="28"/>
          <w:lang w:val="uk-UA" w:eastAsia="ru-RU"/>
        </w:rPr>
        <w:t xml:space="preserve">– </w:t>
      </w:r>
      <w:r w:rsidRPr="00966003">
        <w:rPr>
          <w:rFonts w:ascii="Times New Roman" w:hAnsi="Times New Roman" w:cs="Times New Roman"/>
          <w:sz w:val="28"/>
          <w:szCs w:val="28"/>
          <w:lang w:val="uk-UA"/>
        </w:rPr>
        <w:t>с</w:t>
      </w:r>
      <w:r w:rsidRPr="00966003">
        <w:rPr>
          <w:rFonts w:ascii="Times New Roman" w:hAnsi="Times New Roman" w:cs="Times New Roman"/>
          <w:sz w:val="28"/>
          <w:szCs w:val="28"/>
        </w:rPr>
        <w:t xml:space="preserve">формулировать и обосновать концептуальные подходы к оценке потенциала и ограничений реализации модели защиты прав человека Европейского </w:t>
      </w:r>
      <w:r w:rsidR="002064D8" w:rsidRPr="00966003">
        <w:rPr>
          <w:rFonts w:ascii="Times New Roman" w:hAnsi="Times New Roman" w:cs="Times New Roman"/>
          <w:sz w:val="28"/>
          <w:szCs w:val="28"/>
        </w:rPr>
        <w:t>С</w:t>
      </w:r>
      <w:r w:rsidRPr="00966003">
        <w:rPr>
          <w:rFonts w:ascii="Times New Roman" w:hAnsi="Times New Roman" w:cs="Times New Roman"/>
          <w:sz w:val="28"/>
          <w:szCs w:val="28"/>
        </w:rPr>
        <w:t xml:space="preserve">оюза в условиях новой геополитической повестки, </w:t>
      </w:r>
      <w:r w:rsidR="004519C8" w:rsidRPr="00966003">
        <w:rPr>
          <w:rFonts w:ascii="Times New Roman" w:hAnsi="Times New Roman" w:cs="Times New Roman"/>
          <w:sz w:val="28"/>
          <w:szCs w:val="28"/>
        </w:rPr>
        <w:t>и выявить условия, при которых данные стандарты могут быть адаптированы в государствах с отличной политико-правовой системой (на примере Республики Казахстан).</w:t>
      </w:r>
    </w:p>
    <w:p w14:paraId="63706B6F" w14:textId="77777777" w:rsidR="00183C5B" w:rsidRPr="001935D0" w:rsidRDefault="00183C5B" w:rsidP="002F78E3">
      <w:pPr>
        <w:pStyle w:val="NoSpacing"/>
        <w:tabs>
          <w:tab w:val="left" w:pos="1134"/>
        </w:tabs>
        <w:ind w:firstLine="709"/>
        <w:jc w:val="both"/>
        <w:rPr>
          <w:rFonts w:ascii="Times New Roman" w:eastAsia="Times New Roman" w:hAnsi="Times New Roman" w:cs="Times New Roman"/>
          <w:sz w:val="28"/>
          <w:szCs w:val="28"/>
          <w:lang w:eastAsia="ru-RU"/>
        </w:rPr>
      </w:pPr>
      <w:r w:rsidRPr="00966003">
        <w:rPr>
          <w:rFonts w:ascii="Times New Roman" w:eastAsia="Times New Roman" w:hAnsi="Times New Roman" w:cs="Times New Roman"/>
          <w:b/>
          <w:bCs/>
          <w:sz w:val="28"/>
          <w:szCs w:val="28"/>
          <w:lang w:eastAsia="ru-RU"/>
        </w:rPr>
        <w:t>Задачи</w:t>
      </w:r>
      <w:r w:rsidRPr="00966003">
        <w:rPr>
          <w:rFonts w:ascii="Times New Roman" w:eastAsia="Times New Roman" w:hAnsi="Times New Roman" w:cs="Times New Roman"/>
          <w:sz w:val="28"/>
          <w:szCs w:val="28"/>
          <w:lang w:eastAsia="ru-RU"/>
        </w:rPr>
        <w:t xml:space="preserve"> </w:t>
      </w:r>
      <w:r w:rsidRPr="00966003">
        <w:rPr>
          <w:rFonts w:ascii="Times New Roman" w:eastAsia="Times New Roman" w:hAnsi="Times New Roman" w:cs="Times New Roman"/>
          <w:b/>
          <w:bCs/>
          <w:sz w:val="28"/>
          <w:szCs w:val="28"/>
          <w:lang w:eastAsia="ru-RU"/>
        </w:rPr>
        <w:t>исследования</w:t>
      </w:r>
      <w:r w:rsidRPr="00966003">
        <w:rPr>
          <w:rFonts w:ascii="Times New Roman" w:eastAsia="Times New Roman" w:hAnsi="Times New Roman" w:cs="Times New Roman"/>
          <w:b/>
          <w:bCs/>
          <w:sz w:val="28"/>
          <w:szCs w:val="28"/>
          <w:lang w:val="uk-UA" w:eastAsia="ru-RU"/>
        </w:rPr>
        <w:t>:</w:t>
      </w:r>
      <w:r w:rsidRPr="001935D0">
        <w:rPr>
          <w:rFonts w:ascii="Times New Roman" w:eastAsia="Times New Roman" w:hAnsi="Times New Roman" w:cs="Times New Roman"/>
          <w:sz w:val="28"/>
          <w:szCs w:val="28"/>
          <w:lang w:eastAsia="ru-RU"/>
        </w:rPr>
        <w:t xml:space="preserve"> </w:t>
      </w:r>
    </w:p>
    <w:p w14:paraId="1F888CAA" w14:textId="77777777" w:rsidR="00C57BD3" w:rsidRPr="00C57BD3" w:rsidRDefault="00C57BD3" w:rsidP="00C57BD3">
      <w:pPr>
        <w:pStyle w:val="NoSpacing"/>
        <w:numPr>
          <w:ilvl w:val="0"/>
          <w:numId w:val="17"/>
        </w:numPr>
        <w:tabs>
          <w:tab w:val="left" w:pos="1134"/>
        </w:tabs>
        <w:ind w:left="0" w:firstLine="709"/>
        <w:jc w:val="both"/>
        <w:rPr>
          <w:rFonts w:ascii="Times New Roman" w:hAnsi="Times New Roman" w:cs="Times New Roman"/>
          <w:sz w:val="28"/>
          <w:szCs w:val="28"/>
        </w:rPr>
      </w:pPr>
      <w:r w:rsidRPr="00C57BD3">
        <w:rPr>
          <w:rFonts w:ascii="Times New Roman" w:hAnsi="Times New Roman" w:cs="Times New Roman"/>
          <w:sz w:val="28"/>
          <w:szCs w:val="28"/>
        </w:rPr>
        <w:t>Провести системный анализ нормативно-правовой и институциональной базы Европейского Союза в сфере защиты прав человека, включая ключевые документы (Хартия ЕС, Европейская социальная хартия, План действий ЕС по правам человека и демократии и др.).</w:t>
      </w:r>
    </w:p>
    <w:p w14:paraId="548909FB" w14:textId="77777777" w:rsidR="00C57BD3" w:rsidRPr="00C57BD3" w:rsidRDefault="00C57BD3" w:rsidP="00C57BD3">
      <w:pPr>
        <w:pStyle w:val="NoSpacing"/>
        <w:numPr>
          <w:ilvl w:val="0"/>
          <w:numId w:val="17"/>
        </w:numPr>
        <w:tabs>
          <w:tab w:val="left" w:pos="1134"/>
        </w:tabs>
        <w:ind w:left="0" w:firstLine="709"/>
        <w:jc w:val="both"/>
        <w:rPr>
          <w:rFonts w:ascii="Times New Roman" w:hAnsi="Times New Roman" w:cs="Times New Roman"/>
          <w:sz w:val="28"/>
          <w:szCs w:val="28"/>
        </w:rPr>
      </w:pPr>
      <w:r w:rsidRPr="00C57BD3">
        <w:rPr>
          <w:rFonts w:ascii="Times New Roman" w:hAnsi="Times New Roman" w:cs="Times New Roman"/>
          <w:sz w:val="28"/>
          <w:szCs w:val="28"/>
        </w:rPr>
        <w:lastRenderedPageBreak/>
        <w:t>Оценить современное состояние правозащитной политики в Республике Казахстан с использованием актуальных международных индексов (Rule of Law Index, Human Rights Reports) и национальных стратегических документов.</w:t>
      </w:r>
    </w:p>
    <w:p w14:paraId="2850D32D" w14:textId="77777777" w:rsidR="00C57BD3" w:rsidRPr="00C57BD3" w:rsidRDefault="00C57BD3" w:rsidP="00C57BD3">
      <w:pPr>
        <w:pStyle w:val="NoSpacing"/>
        <w:numPr>
          <w:ilvl w:val="0"/>
          <w:numId w:val="17"/>
        </w:numPr>
        <w:tabs>
          <w:tab w:val="left" w:pos="1134"/>
        </w:tabs>
        <w:ind w:left="0" w:firstLine="709"/>
        <w:jc w:val="both"/>
        <w:rPr>
          <w:rFonts w:ascii="Times New Roman" w:hAnsi="Times New Roman" w:cs="Times New Roman"/>
          <w:sz w:val="28"/>
          <w:szCs w:val="28"/>
        </w:rPr>
      </w:pPr>
      <w:r w:rsidRPr="00C57BD3">
        <w:rPr>
          <w:rFonts w:ascii="Times New Roman" w:hAnsi="Times New Roman" w:cs="Times New Roman"/>
          <w:sz w:val="28"/>
          <w:szCs w:val="28"/>
        </w:rPr>
        <w:t>Выполнить сравнительный анализ европейской и казахстанской моделей защиты прав человека, выявив структурные, содержательные и процедурные расхождения и точки соприкосновения.</w:t>
      </w:r>
    </w:p>
    <w:p w14:paraId="3FC23BE4" w14:textId="77777777" w:rsidR="00C57BD3" w:rsidRPr="00C57BD3" w:rsidRDefault="00C57BD3" w:rsidP="00C57BD3">
      <w:pPr>
        <w:pStyle w:val="NoSpacing"/>
        <w:numPr>
          <w:ilvl w:val="0"/>
          <w:numId w:val="17"/>
        </w:numPr>
        <w:tabs>
          <w:tab w:val="left" w:pos="1134"/>
        </w:tabs>
        <w:ind w:left="0" w:firstLine="709"/>
        <w:jc w:val="both"/>
        <w:rPr>
          <w:rFonts w:ascii="Times New Roman" w:hAnsi="Times New Roman" w:cs="Times New Roman"/>
          <w:sz w:val="28"/>
          <w:szCs w:val="28"/>
        </w:rPr>
      </w:pPr>
      <w:r w:rsidRPr="00C57BD3">
        <w:rPr>
          <w:rFonts w:ascii="Times New Roman" w:hAnsi="Times New Roman" w:cs="Times New Roman"/>
          <w:sz w:val="28"/>
          <w:szCs w:val="28"/>
        </w:rPr>
        <w:t>Применить копенгагенские критерии и иные стандарты ЕС как аналитическую рамку для оценки степени соответствия правозащитной системы Казахстана европейским требованиям.</w:t>
      </w:r>
    </w:p>
    <w:p w14:paraId="19806BCD" w14:textId="77777777" w:rsidR="00C57BD3" w:rsidRPr="00C57BD3" w:rsidRDefault="00C57BD3" w:rsidP="00C57BD3">
      <w:pPr>
        <w:pStyle w:val="NoSpacing"/>
        <w:numPr>
          <w:ilvl w:val="0"/>
          <w:numId w:val="17"/>
        </w:numPr>
        <w:tabs>
          <w:tab w:val="left" w:pos="1134"/>
        </w:tabs>
        <w:ind w:left="0" w:firstLine="709"/>
        <w:jc w:val="both"/>
        <w:rPr>
          <w:rFonts w:ascii="Times New Roman" w:hAnsi="Times New Roman" w:cs="Times New Roman"/>
          <w:sz w:val="28"/>
          <w:szCs w:val="28"/>
        </w:rPr>
      </w:pPr>
      <w:r w:rsidRPr="00C57BD3">
        <w:rPr>
          <w:rFonts w:ascii="Times New Roman" w:hAnsi="Times New Roman" w:cs="Times New Roman"/>
          <w:sz w:val="28"/>
          <w:szCs w:val="28"/>
        </w:rPr>
        <w:t>Идентифицировать институциональные, политико-правовые и культурно-социальные барьеры, препятствующие эффективной имплементации европейских стандартов прав человека в казахстанскую действительность.</w:t>
      </w:r>
    </w:p>
    <w:p w14:paraId="04F07C4A" w14:textId="2BAD8497" w:rsidR="004D613E" w:rsidRPr="004D613E" w:rsidRDefault="00C57BD3" w:rsidP="004D613E">
      <w:pPr>
        <w:pStyle w:val="NoSpacing"/>
        <w:numPr>
          <w:ilvl w:val="0"/>
          <w:numId w:val="17"/>
        </w:numPr>
        <w:tabs>
          <w:tab w:val="left" w:pos="1134"/>
        </w:tabs>
        <w:ind w:left="0" w:firstLine="709"/>
        <w:jc w:val="both"/>
        <w:rPr>
          <w:rFonts w:ascii="Times New Roman" w:hAnsi="Times New Roman" w:cs="Times New Roman"/>
          <w:sz w:val="28"/>
          <w:szCs w:val="28"/>
        </w:rPr>
      </w:pPr>
      <w:r w:rsidRPr="00C57BD3">
        <w:rPr>
          <w:rFonts w:ascii="Times New Roman" w:hAnsi="Times New Roman" w:cs="Times New Roman"/>
          <w:sz w:val="28"/>
          <w:szCs w:val="28"/>
        </w:rPr>
        <w:t>Разработать научно обоснованные рекомендации по адаптации и внедрению наиболее эффективных инструментов и практик ЕС в сферу защиты прав человека в Казахстане, с учётом национальных особенностей и международных обязательств.</w:t>
      </w:r>
    </w:p>
    <w:p w14:paraId="43B24D39" w14:textId="77777777" w:rsidR="004D613E" w:rsidRPr="001935D0" w:rsidRDefault="004D613E" w:rsidP="004D613E">
      <w:pPr>
        <w:pStyle w:val="NoSpacing"/>
        <w:tabs>
          <w:tab w:val="left" w:pos="1134"/>
        </w:tabs>
        <w:ind w:firstLine="709"/>
        <w:jc w:val="both"/>
        <w:rPr>
          <w:rFonts w:ascii="Times New Roman" w:eastAsia="Times New Roman" w:hAnsi="Times New Roman" w:cs="Times New Roman"/>
          <w:b/>
          <w:bCs/>
          <w:sz w:val="28"/>
          <w:szCs w:val="28"/>
          <w:lang w:val="kk-KZ" w:eastAsia="ru-RU"/>
        </w:rPr>
      </w:pPr>
      <w:r w:rsidRPr="001935D0">
        <w:rPr>
          <w:rFonts w:ascii="Times New Roman" w:eastAsia="Times New Roman" w:hAnsi="Times New Roman" w:cs="Times New Roman"/>
          <w:b/>
          <w:bCs/>
          <w:sz w:val="28"/>
          <w:szCs w:val="28"/>
          <w:lang w:val="kk-KZ" w:eastAsia="ru-RU"/>
        </w:rPr>
        <w:t>Гипотеза</w:t>
      </w:r>
    </w:p>
    <w:p w14:paraId="4989BA06" w14:textId="3AC46A6D" w:rsidR="004D613E" w:rsidRPr="004D613E" w:rsidRDefault="004D613E" w:rsidP="004D613E">
      <w:pPr>
        <w:pStyle w:val="NoSpacing"/>
        <w:tabs>
          <w:tab w:val="left" w:pos="1134"/>
        </w:tabs>
        <w:ind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eastAsia="ru-RU"/>
        </w:rPr>
        <w:t>Реализация политики Европейского Союза в области прав человека в условиях новой геополитической повестки ограничена институциональными, политико-правовыми и культурно-социальными факторами в странах с различными политико-правовыми системами. При этом адаптивное, селективное заимствование европейских стандартов и инструментов защиты прав человека, учитывающее национальные особенности и уровень институциональной зрелости государства (на примере Республики Казахстан), позволит повысить эффективность правозащитной политики, укрепить институты мониторинга и контроля, а также содействовать постепенной гармонизации национального законодательства с европейскими нормами без прямого переноса моделей ЕС.</w:t>
      </w:r>
    </w:p>
    <w:p w14:paraId="2FC9425E" w14:textId="312D9A00" w:rsidR="00183C5B" w:rsidRPr="001935D0" w:rsidRDefault="00183C5B" w:rsidP="002F78E3">
      <w:pPr>
        <w:pStyle w:val="NoSpacing"/>
        <w:tabs>
          <w:tab w:val="left" w:pos="1134"/>
        </w:tabs>
        <w:ind w:firstLine="709"/>
        <w:jc w:val="both"/>
        <w:rPr>
          <w:rFonts w:ascii="Times New Roman" w:eastAsia="Times New Roman" w:hAnsi="Times New Roman" w:cs="Times New Roman"/>
          <w:b/>
          <w:bCs/>
          <w:sz w:val="28"/>
          <w:szCs w:val="28"/>
          <w:lang w:eastAsia="ru-RU"/>
        </w:rPr>
      </w:pPr>
      <w:r w:rsidRPr="001935D0">
        <w:rPr>
          <w:rFonts w:ascii="Times New Roman" w:eastAsia="Times New Roman" w:hAnsi="Times New Roman" w:cs="Times New Roman"/>
          <w:b/>
          <w:bCs/>
          <w:sz w:val="28"/>
          <w:szCs w:val="28"/>
          <w:lang w:eastAsia="ru-RU"/>
        </w:rPr>
        <w:t>Методологическая основа и методы исследования</w:t>
      </w:r>
    </w:p>
    <w:p w14:paraId="5703CA11" w14:textId="30A06941" w:rsidR="00183C5B" w:rsidRPr="001935D0" w:rsidRDefault="00183C5B"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Методологическая основа настоящего диссертационного исследования опирается на междисциплинарный аналитический подход, интегрирующий правовые, политологические и международно-отношенческие парадигмы. Центральное место занимает системный подход, который позволяет рассматривать политику Европейского </w:t>
      </w:r>
      <w:r w:rsidR="002064D8">
        <w:rPr>
          <w:rFonts w:ascii="Times New Roman" w:eastAsia="Times New Roman" w:hAnsi="Times New Roman" w:cs="Times New Roman"/>
          <w:sz w:val="28"/>
          <w:szCs w:val="28"/>
          <w:lang w:eastAsia="ru-RU"/>
        </w:rPr>
        <w:t>С</w:t>
      </w:r>
      <w:r w:rsidRPr="001935D0">
        <w:rPr>
          <w:rFonts w:ascii="Times New Roman" w:eastAsia="Times New Roman" w:hAnsi="Times New Roman" w:cs="Times New Roman"/>
          <w:sz w:val="28"/>
          <w:szCs w:val="28"/>
          <w:lang w:eastAsia="ru-RU"/>
        </w:rPr>
        <w:t>оюза в сфере прав человека как комплексное образование, сочетающее институциональные структуры, нормативно-правовые положения и ценностные ориентации, реализуемые в рамках целостной геополитической стратегии.</w:t>
      </w:r>
    </w:p>
    <w:p w14:paraId="476BD7AD" w14:textId="77777777" w:rsidR="00183C5B" w:rsidRPr="001935D0" w:rsidRDefault="00183C5B"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Для оценки применимости правозащитных моделей ЕС в государствах с отличной политико-правовой системой, в частности в Республике Казахстан, применяется сравнительно-правовой метод. Он позволяет осуществить сопоставительный анализ институционального устройства, нормативных регуляторов и практических механизмов правовой защиты. Сравнение охватывает такие параметры, как статус омбудсмена, уровень доступа к правосудию, степень вовлеченности гражданского общества, независимость судебной системы и реализация свободы выражения мнений.</w:t>
      </w:r>
    </w:p>
    <w:p w14:paraId="53EFA2A9" w14:textId="3456C8EF" w:rsidR="00E123B1" w:rsidRPr="001935D0" w:rsidRDefault="00E123B1"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bCs/>
          <w:sz w:val="28"/>
          <w:szCs w:val="28"/>
          <w:lang w:eastAsia="ru-RU"/>
        </w:rPr>
        <w:lastRenderedPageBreak/>
        <w:t xml:space="preserve">Существенное значение в диссертационном исследовании придаётся контент-аналитическому методу, направленному на структурированное изучение ключевых нормативно-правовых актов Европейского </w:t>
      </w:r>
      <w:r w:rsidR="002064D8">
        <w:rPr>
          <w:rFonts w:ascii="Times New Roman" w:eastAsia="Times New Roman" w:hAnsi="Times New Roman" w:cs="Times New Roman"/>
          <w:bCs/>
          <w:sz w:val="28"/>
          <w:szCs w:val="28"/>
          <w:lang w:eastAsia="ru-RU"/>
        </w:rPr>
        <w:t>С</w:t>
      </w:r>
      <w:r w:rsidRPr="001935D0">
        <w:rPr>
          <w:rFonts w:ascii="Times New Roman" w:eastAsia="Times New Roman" w:hAnsi="Times New Roman" w:cs="Times New Roman"/>
          <w:bCs/>
          <w:sz w:val="28"/>
          <w:szCs w:val="28"/>
          <w:lang w:eastAsia="ru-RU"/>
        </w:rPr>
        <w:t xml:space="preserve">оюза и Республики Казахстан, а также международных правозащитных документов. В качестве эмпирической базы контент-анализа использовались Хартия основных прав Европейского </w:t>
      </w:r>
      <w:r w:rsidR="002064D8">
        <w:rPr>
          <w:rFonts w:ascii="Times New Roman" w:eastAsia="Times New Roman" w:hAnsi="Times New Roman" w:cs="Times New Roman"/>
          <w:bCs/>
          <w:sz w:val="28"/>
          <w:szCs w:val="28"/>
          <w:lang w:eastAsia="ru-RU"/>
        </w:rPr>
        <w:t>С</w:t>
      </w:r>
      <w:r w:rsidRPr="001935D0">
        <w:rPr>
          <w:rFonts w:ascii="Times New Roman" w:eastAsia="Times New Roman" w:hAnsi="Times New Roman" w:cs="Times New Roman"/>
          <w:bCs/>
          <w:sz w:val="28"/>
          <w:szCs w:val="28"/>
          <w:lang w:eastAsia="ru-RU"/>
        </w:rPr>
        <w:t xml:space="preserve">оюза, директивы и регламенты ЕС, План действий ЕС по правам человека и демократии на 2020–2027 гг., отчеты Европейской </w:t>
      </w:r>
      <w:r w:rsidR="002064D8">
        <w:rPr>
          <w:rFonts w:ascii="Times New Roman" w:eastAsia="Times New Roman" w:hAnsi="Times New Roman" w:cs="Times New Roman"/>
          <w:bCs/>
          <w:sz w:val="28"/>
          <w:szCs w:val="28"/>
          <w:lang w:eastAsia="ru-RU"/>
        </w:rPr>
        <w:t>К</w:t>
      </w:r>
      <w:r w:rsidRPr="001935D0">
        <w:rPr>
          <w:rFonts w:ascii="Times New Roman" w:eastAsia="Times New Roman" w:hAnsi="Times New Roman" w:cs="Times New Roman"/>
          <w:bCs/>
          <w:sz w:val="28"/>
          <w:szCs w:val="28"/>
          <w:lang w:eastAsia="ru-RU"/>
        </w:rPr>
        <w:t>омиссии и Европейской службы внешних действий (EEAS), а также национальные стратегические и нормативные акты Республики Казахстан, регламентирующие сферу прав человека.</w:t>
      </w:r>
    </w:p>
    <w:p w14:paraId="2B400FDA" w14:textId="77777777" w:rsidR="00E123B1" w:rsidRPr="001935D0" w:rsidRDefault="00E123B1"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bCs/>
          <w:sz w:val="28"/>
          <w:szCs w:val="28"/>
          <w:lang w:eastAsia="ru-RU"/>
        </w:rPr>
        <w:t>Процедура контент-анализа включала несколько этапов. На первом этапе была сформирована совокупность текстов анализа, обеспечивающая сопоставимость европейских и национальных нормативных подходов. На втором этапе была разработана система кодирования, основанная на выделении ключевых тематических категорий, таких как независимость судебной власти, институциональные гарантии прав человека, роль гражданского общества, механизмы мониторинга и отчетности, свобода выражения мнений, а также защита уязвимых групп населения. На третьем этапе осуществлялась качественная интерпретация частотности и контекстуального использования ключевых правовых понятий и формулировок, что позволило выявить институциональные приоритеты, нормативные расхождения и зоны потенциальной адаптации европейских правозащитных стандартов в казахстанской правовой системе.</w:t>
      </w:r>
    </w:p>
    <w:p w14:paraId="53ACEB98" w14:textId="77777777" w:rsidR="00E123B1" w:rsidRPr="001935D0" w:rsidRDefault="00E123B1"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bCs/>
          <w:sz w:val="28"/>
          <w:szCs w:val="28"/>
          <w:lang w:eastAsia="ru-RU"/>
        </w:rPr>
        <w:t>Контент-аналитический подход дополнялся анализом эмпирических показателей и международных рейтингов, включая Rule of Law Index, Freedom in the World, ежегодные отчеты ЕС по правам человека и материалы Универсального периодического обзора ООН, что обеспечило комплексное и объективное представление о текущем состоянии прав человека в национальном контексте.</w:t>
      </w:r>
    </w:p>
    <w:p w14:paraId="00010DC1" w14:textId="77777777" w:rsidR="00042608" w:rsidRPr="001935D0" w:rsidRDefault="00042608"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Эвристический потенциал диссертационного исследования усиливается за счёт применения метода case study, позволяющего выявить особенности адаптации европейских стандартов прав человека в условиях социально-политической трансформации. Анализ текущих институциональных практик, нормативных реформ и международных оценок даёт основание для обоснованного моделирования направлений правозащитного развития в Республике Казахстан. Такой подход обеспечивает комплексное понимание процессов сближения с европейской правовой рамкой и способствует формированию рекомендаций, основанных на сбалансированном учёте как национальной специфики, так и международных обязательств.</w:t>
      </w:r>
    </w:p>
    <w:p w14:paraId="2C24BE0F" w14:textId="4379597D" w:rsidR="00183C5B" w:rsidRPr="001935D0" w:rsidRDefault="00183C5B"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Для оценки перспектив адаптации европейских правозащитных стандартов в национальную систему используется метод сценарного моделирования. Он позволяет построить вероятностные прогнозы развития правозащитной политики в Казахстане с учётом различных сценариев: сохранение статус-кво, институциональная трансформация, переориентация внешнеполитического вектора. Применение данного метода способствует </w:t>
      </w:r>
      <w:r w:rsidRPr="001935D0">
        <w:rPr>
          <w:rFonts w:ascii="Times New Roman" w:eastAsia="Times New Roman" w:hAnsi="Times New Roman" w:cs="Times New Roman"/>
          <w:sz w:val="28"/>
          <w:szCs w:val="28"/>
          <w:lang w:eastAsia="ru-RU"/>
        </w:rPr>
        <w:lastRenderedPageBreak/>
        <w:t>выработке обоснованных рекомендаций в сфере согласования национальных правовых стратегий с международными обязательствами.</w:t>
      </w:r>
    </w:p>
    <w:p w14:paraId="0A4AA780" w14:textId="053F9CC6" w:rsidR="00E123B1" w:rsidRPr="001935D0" w:rsidRDefault="00E123B1" w:rsidP="002F78E3">
      <w:pPr>
        <w:pStyle w:val="NoSpacing"/>
        <w:tabs>
          <w:tab w:val="left" w:pos="1134"/>
        </w:tabs>
        <w:ind w:firstLine="709"/>
        <w:jc w:val="both"/>
        <w:rPr>
          <w:rFonts w:ascii="Times New Roman" w:eastAsia="Times New Roman" w:hAnsi="Times New Roman" w:cs="Times New Roman"/>
          <w:b/>
          <w:sz w:val="28"/>
          <w:szCs w:val="28"/>
          <w:lang w:eastAsia="ru-RU"/>
        </w:rPr>
      </w:pPr>
      <w:r w:rsidRPr="001935D0">
        <w:rPr>
          <w:rFonts w:ascii="Times New Roman" w:eastAsia="Times New Roman" w:hAnsi="Times New Roman" w:cs="Times New Roman"/>
          <w:b/>
          <w:sz w:val="28"/>
          <w:szCs w:val="28"/>
          <w:lang w:eastAsia="ru-RU"/>
        </w:rPr>
        <w:t>Теоретическая база исследования</w:t>
      </w:r>
    </w:p>
    <w:p w14:paraId="7F3A0047" w14:textId="3E790584" w:rsidR="00E123B1" w:rsidRPr="001935D0" w:rsidRDefault="00E123B1"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Теоретическую основу диссертационного исследования составляют концепции н</w:t>
      </w:r>
      <w:r w:rsidR="001A6DAB" w:rsidRPr="001935D0">
        <w:rPr>
          <w:rFonts w:ascii="Times New Roman" w:eastAsia="Times New Roman" w:hAnsi="Times New Roman" w:cs="Times New Roman"/>
          <w:sz w:val="28"/>
          <w:szCs w:val="28"/>
          <w:lang w:eastAsia="ru-RU"/>
        </w:rPr>
        <w:t xml:space="preserve">ормативной власти Европейского </w:t>
      </w:r>
      <w:r w:rsidR="001A6DAB" w:rsidRPr="001935D0">
        <w:rPr>
          <w:rFonts w:ascii="Times New Roman" w:eastAsia="Times New Roman" w:hAnsi="Times New Roman" w:cs="Times New Roman"/>
          <w:sz w:val="28"/>
          <w:szCs w:val="28"/>
          <w:lang w:val="kk-KZ" w:eastAsia="ru-RU"/>
        </w:rPr>
        <w:t>С</w:t>
      </w:r>
      <w:r w:rsidRPr="001935D0">
        <w:rPr>
          <w:rFonts w:ascii="Times New Roman" w:eastAsia="Times New Roman" w:hAnsi="Times New Roman" w:cs="Times New Roman"/>
          <w:sz w:val="28"/>
          <w:szCs w:val="28"/>
          <w:lang w:eastAsia="ru-RU"/>
        </w:rPr>
        <w:t>оюза (Normative Power Europe), институционализма и теории мягкой силы, а также современные подходы к анализу внешней политики и международных правозащитных режимов. В работе используется теория нормативного воздействия ЕС</w:t>
      </w:r>
      <w:r w:rsidR="001A6DAB" w:rsidRPr="001935D0">
        <w:rPr>
          <w:rFonts w:ascii="Times New Roman" w:eastAsia="Times New Roman" w:hAnsi="Times New Roman" w:cs="Times New Roman"/>
          <w:sz w:val="28"/>
          <w:szCs w:val="28"/>
          <w:lang w:eastAsia="ru-RU"/>
        </w:rPr>
        <w:t xml:space="preserve">, в рамках которой Европейский </w:t>
      </w:r>
      <w:r w:rsidR="001A6DAB" w:rsidRPr="001935D0">
        <w:rPr>
          <w:rFonts w:ascii="Times New Roman" w:eastAsia="Times New Roman" w:hAnsi="Times New Roman" w:cs="Times New Roman"/>
          <w:sz w:val="28"/>
          <w:szCs w:val="28"/>
          <w:lang w:val="kk-KZ" w:eastAsia="ru-RU"/>
        </w:rPr>
        <w:t>С</w:t>
      </w:r>
      <w:r w:rsidRPr="001935D0">
        <w:rPr>
          <w:rFonts w:ascii="Times New Roman" w:eastAsia="Times New Roman" w:hAnsi="Times New Roman" w:cs="Times New Roman"/>
          <w:sz w:val="28"/>
          <w:szCs w:val="28"/>
          <w:lang w:eastAsia="ru-RU"/>
        </w:rPr>
        <w:t>оюз рассматривается как особый тип международного актора, формирующий и транслирующий правовые и ценностные стандарты за пределами собственных границ посредством институционализации норм, правовых обязательств и механизмов внешней координации.</w:t>
      </w:r>
    </w:p>
    <w:p w14:paraId="2B06C513" w14:textId="413D360C" w:rsidR="00E123B1" w:rsidRPr="001935D0" w:rsidRDefault="00E123B1"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Важное теоретическое значение имеют концепции нормативной силы ЕС, стратегической автономии, а также подходы, заложенные в рамках Global Europe и EU Action Plan on Human Rights and Democracy 2020–2027, которые рассматриваются как элементы формирования внешнеполитиче</w:t>
      </w:r>
      <w:r w:rsidR="001A6DAB" w:rsidRPr="001935D0">
        <w:rPr>
          <w:rFonts w:ascii="Times New Roman" w:eastAsia="Times New Roman" w:hAnsi="Times New Roman" w:cs="Times New Roman"/>
          <w:sz w:val="28"/>
          <w:szCs w:val="28"/>
          <w:lang w:eastAsia="ru-RU"/>
        </w:rPr>
        <w:t xml:space="preserve">ской идентичности Европейского </w:t>
      </w:r>
      <w:r w:rsidR="001A6DAB" w:rsidRPr="001935D0">
        <w:rPr>
          <w:rFonts w:ascii="Times New Roman" w:eastAsia="Times New Roman" w:hAnsi="Times New Roman" w:cs="Times New Roman"/>
          <w:sz w:val="28"/>
          <w:szCs w:val="28"/>
          <w:lang w:val="kk-KZ" w:eastAsia="ru-RU"/>
        </w:rPr>
        <w:t>С</w:t>
      </w:r>
      <w:r w:rsidRPr="001935D0">
        <w:rPr>
          <w:rFonts w:ascii="Times New Roman" w:eastAsia="Times New Roman" w:hAnsi="Times New Roman" w:cs="Times New Roman"/>
          <w:sz w:val="28"/>
          <w:szCs w:val="28"/>
          <w:lang w:eastAsia="ru-RU"/>
        </w:rPr>
        <w:t>оюза. Указанные концепции позволяют анализировать права человека не только как предмет международно-правового регулирования, но и как инструмент внешнеполитического позиционирования и нормативного влияния ЕС.</w:t>
      </w:r>
    </w:p>
    <w:p w14:paraId="5B573763" w14:textId="69F466F3" w:rsidR="007E6700" w:rsidRPr="001935D0" w:rsidRDefault="007E6700" w:rsidP="002F78E3">
      <w:pPr>
        <w:pStyle w:val="NoSpacing"/>
        <w:tabs>
          <w:tab w:val="left" w:pos="1134"/>
        </w:tabs>
        <w:ind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eastAsia="ru-RU"/>
        </w:rPr>
        <w:t>Ключевое значение имеют положения концепции нормативной власти ЕС, разработанные И. Маннерсом и развитые в исследованиях Р. Янгса и Х.</w:t>
      </w:r>
      <w:r w:rsidR="002F78E3">
        <w:rPr>
          <w:rFonts w:ascii="Times New Roman" w:eastAsia="Times New Roman" w:hAnsi="Times New Roman" w:cs="Times New Roman"/>
          <w:sz w:val="28"/>
          <w:szCs w:val="28"/>
          <w:lang w:val="kk-KZ" w:eastAsia="ru-RU"/>
        </w:rPr>
        <w:t> </w:t>
      </w:r>
      <w:r w:rsidRPr="001935D0">
        <w:rPr>
          <w:rFonts w:ascii="Times New Roman" w:eastAsia="Times New Roman" w:hAnsi="Times New Roman" w:cs="Times New Roman"/>
          <w:sz w:val="28"/>
          <w:szCs w:val="28"/>
          <w:lang w:eastAsia="ru-RU"/>
        </w:rPr>
        <w:t>Туоминена, которые позволяют рассматривать права человека как элемент внешнеполитической идентичности Европейского Союза. Дополняющее значение имеют концепции, связанные с ограничениями европейской интеграции и институциональной фрагментацией, разработанные П.</w:t>
      </w:r>
      <w:r w:rsidR="002F78E3">
        <w:rPr>
          <w:rFonts w:ascii="Times New Roman" w:eastAsia="Times New Roman" w:hAnsi="Times New Roman" w:cs="Times New Roman"/>
          <w:sz w:val="28"/>
          <w:szCs w:val="28"/>
          <w:lang w:val="kk-KZ" w:eastAsia="ru-RU"/>
        </w:rPr>
        <w:t> </w:t>
      </w:r>
      <w:r w:rsidRPr="001935D0">
        <w:rPr>
          <w:rFonts w:ascii="Times New Roman" w:eastAsia="Times New Roman" w:hAnsi="Times New Roman" w:cs="Times New Roman"/>
          <w:sz w:val="28"/>
          <w:szCs w:val="28"/>
          <w:lang w:eastAsia="ru-RU"/>
        </w:rPr>
        <w:t>Мюллером, К. Поморской и Б. Тонра, которые используются для анализа факторов, влияющих на эффективность реализации правозащитной политики ЕС.</w:t>
      </w:r>
    </w:p>
    <w:p w14:paraId="0675286D" w14:textId="4EB9480D" w:rsidR="00E123B1" w:rsidRPr="001935D0" w:rsidRDefault="00F33B95"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Дополняющее значение имеют концепции, связанные с процессами адаптации европейских стандартов и институциональной фрагментацией</w:t>
      </w:r>
      <w:r w:rsidR="00E123B1" w:rsidRPr="001935D0">
        <w:rPr>
          <w:rFonts w:ascii="Times New Roman" w:eastAsia="Times New Roman" w:hAnsi="Times New Roman" w:cs="Times New Roman"/>
          <w:sz w:val="28"/>
          <w:szCs w:val="28"/>
          <w:lang w:eastAsia="ru-RU"/>
        </w:rPr>
        <w:t>, используемые для объяснения внутренних ограничений эффективности право</w:t>
      </w:r>
      <w:r w:rsidR="001A6DAB" w:rsidRPr="001935D0">
        <w:rPr>
          <w:rFonts w:ascii="Times New Roman" w:eastAsia="Times New Roman" w:hAnsi="Times New Roman" w:cs="Times New Roman"/>
          <w:sz w:val="28"/>
          <w:szCs w:val="28"/>
          <w:lang w:eastAsia="ru-RU"/>
        </w:rPr>
        <w:t xml:space="preserve">защитной политики Европейского </w:t>
      </w:r>
      <w:r w:rsidR="001A6DAB" w:rsidRPr="001935D0">
        <w:rPr>
          <w:rFonts w:ascii="Times New Roman" w:eastAsia="Times New Roman" w:hAnsi="Times New Roman" w:cs="Times New Roman"/>
          <w:sz w:val="28"/>
          <w:szCs w:val="28"/>
          <w:lang w:val="kk-KZ" w:eastAsia="ru-RU"/>
        </w:rPr>
        <w:t>С</w:t>
      </w:r>
      <w:r w:rsidR="00E123B1" w:rsidRPr="001935D0">
        <w:rPr>
          <w:rFonts w:ascii="Times New Roman" w:eastAsia="Times New Roman" w:hAnsi="Times New Roman" w:cs="Times New Roman"/>
          <w:sz w:val="28"/>
          <w:szCs w:val="28"/>
          <w:lang w:eastAsia="ru-RU"/>
        </w:rPr>
        <w:t>оюза в условиях усиления геополитической конкуренции и расхождения национальных приоритетов государств-членов.</w:t>
      </w:r>
    </w:p>
    <w:p w14:paraId="19AAC5F2" w14:textId="579C80BD" w:rsidR="00E123B1" w:rsidRPr="001935D0" w:rsidRDefault="00E123B1"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Теоретическая база исследования также опирается на положения институционального анализа, сравнительного правоведения и международного права прав человека, что позволяет рассматривать права человека как элемент институционального дизайна и анализировать условия адаптации европейских правозащитных стандартов в различных политико-правовых системах, включая Республику Казахстан.</w:t>
      </w:r>
    </w:p>
    <w:p w14:paraId="6C29134B" w14:textId="77777777" w:rsidR="00E123B1" w:rsidRPr="001935D0" w:rsidRDefault="00E123B1"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b/>
          <w:bCs/>
          <w:sz w:val="28"/>
          <w:szCs w:val="28"/>
          <w:lang w:eastAsia="ru-RU"/>
        </w:rPr>
        <w:t>Источниковая база исследования.</w:t>
      </w:r>
    </w:p>
    <w:p w14:paraId="06FC7F2C" w14:textId="77777777" w:rsidR="00F03A16" w:rsidRPr="001935D0" w:rsidRDefault="00F03A16" w:rsidP="00F03A16">
      <w:pPr>
        <w:pStyle w:val="NoSpacing"/>
        <w:tabs>
          <w:tab w:val="left" w:pos="1134"/>
        </w:tabs>
        <w:ind w:firstLine="709"/>
        <w:jc w:val="both"/>
        <w:rPr>
          <w:rFonts w:ascii="Times New Roman" w:eastAsia="Times New Roman" w:hAnsi="Times New Roman" w:cs="Times New Roman"/>
          <w:sz w:val="28"/>
          <w:szCs w:val="28"/>
          <w:lang w:val="uk-UA" w:eastAsia="ru-RU"/>
        </w:rPr>
      </w:pPr>
      <w:r w:rsidRPr="001935D0">
        <w:rPr>
          <w:rFonts w:ascii="Times New Roman" w:eastAsia="Times New Roman" w:hAnsi="Times New Roman" w:cs="Times New Roman"/>
          <w:sz w:val="28"/>
          <w:szCs w:val="28"/>
          <w:lang w:eastAsia="ru-RU"/>
        </w:rPr>
        <w:t>Источниковую базу диссертационного исследования составляют нормативно-правовые, аналитические и статистические материалы, которые условно могут быть классифицированы на несколько групп.</w:t>
      </w:r>
      <w:r w:rsidRPr="001935D0">
        <w:rPr>
          <w:rFonts w:ascii="Times New Roman" w:eastAsia="Times New Roman" w:hAnsi="Times New Roman" w:cs="Times New Roman"/>
          <w:sz w:val="28"/>
          <w:szCs w:val="28"/>
          <w:lang w:val="uk-UA" w:eastAsia="ru-RU"/>
        </w:rPr>
        <w:t xml:space="preserve"> </w:t>
      </w:r>
    </w:p>
    <w:p w14:paraId="1FA7797A" w14:textId="77777777" w:rsidR="00F03A16" w:rsidRPr="001935D0" w:rsidRDefault="00F03A16" w:rsidP="00F03A16">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lastRenderedPageBreak/>
        <w:t>Первую группу образуют международные и наднациональные нормативные акты, включая договоры и правовые документы Европейского Союза (Хартия основных прав ЕС, договоры ЕС, директивы и регламенты ЕС, документы Совета Европы и Организации Объединённых Наций [21</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43</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47</w:t>
      </w:r>
      <w:r>
        <w:rPr>
          <w:rFonts w:ascii="Times New Roman" w:eastAsia="Times New Roman" w:hAnsi="Times New Roman" w:cs="Times New Roman"/>
          <w:sz w:val="28"/>
          <w:szCs w:val="28"/>
          <w:lang w:val="kk-KZ" w:eastAsia="ru-RU"/>
        </w:rPr>
        <w:t xml:space="preserve">; 48; </w:t>
      </w:r>
      <w:r w:rsidRPr="001935D0">
        <w:rPr>
          <w:rFonts w:ascii="Times New Roman" w:eastAsia="Times New Roman" w:hAnsi="Times New Roman" w:cs="Times New Roman"/>
          <w:sz w:val="28"/>
          <w:szCs w:val="28"/>
          <w:lang w:eastAsia="ru-RU"/>
        </w:rPr>
        <w:t>49</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51</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57</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61</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63</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6</w:t>
      </w:r>
      <w:r>
        <w:rPr>
          <w:rFonts w:ascii="Times New Roman" w:eastAsia="Times New Roman" w:hAnsi="Times New Roman" w:cs="Times New Roman"/>
          <w:sz w:val="28"/>
          <w:szCs w:val="28"/>
          <w:lang w:val="kk-KZ" w:eastAsia="ru-RU"/>
        </w:rPr>
        <w:t>4;</w:t>
      </w:r>
      <w:r w:rsidRPr="001935D0">
        <w:rPr>
          <w:rFonts w:ascii="Times New Roman" w:eastAsia="Times New Roman" w:hAnsi="Times New Roman" w:cs="Times New Roman"/>
          <w:sz w:val="28"/>
          <w:szCs w:val="28"/>
          <w:lang w:eastAsia="ru-RU"/>
        </w:rPr>
        <w:t xml:space="preserve"> 6</w:t>
      </w:r>
      <w:r>
        <w:rPr>
          <w:rFonts w:ascii="Times New Roman" w:eastAsia="Times New Roman" w:hAnsi="Times New Roman" w:cs="Times New Roman"/>
          <w:sz w:val="28"/>
          <w:szCs w:val="28"/>
          <w:lang w:val="kk-KZ" w:eastAsia="ru-RU"/>
        </w:rPr>
        <w:t>5;</w:t>
      </w:r>
      <w:r w:rsidRPr="001935D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69;</w:t>
      </w:r>
      <w:r w:rsidRPr="001935D0">
        <w:rPr>
          <w:rFonts w:ascii="Times New Roman" w:eastAsia="Times New Roman" w:hAnsi="Times New Roman" w:cs="Times New Roman"/>
          <w:sz w:val="28"/>
          <w:szCs w:val="28"/>
          <w:lang w:eastAsia="ru-RU"/>
        </w:rPr>
        <w:t xml:space="preserve"> 7</w:t>
      </w:r>
      <w:r>
        <w:rPr>
          <w:rFonts w:ascii="Times New Roman" w:eastAsia="Times New Roman" w:hAnsi="Times New Roman" w:cs="Times New Roman"/>
          <w:sz w:val="28"/>
          <w:szCs w:val="28"/>
          <w:lang w:val="kk-KZ" w:eastAsia="ru-RU"/>
        </w:rPr>
        <w:t>0;</w:t>
      </w:r>
      <w:r w:rsidRPr="001935D0">
        <w:rPr>
          <w:rFonts w:ascii="Times New Roman" w:eastAsia="Times New Roman" w:hAnsi="Times New Roman" w:cs="Times New Roman"/>
          <w:sz w:val="28"/>
          <w:szCs w:val="28"/>
          <w:lang w:eastAsia="ru-RU"/>
        </w:rPr>
        <w:t xml:space="preserve"> 7</w:t>
      </w:r>
      <w:r>
        <w:rPr>
          <w:rFonts w:ascii="Times New Roman" w:eastAsia="Times New Roman" w:hAnsi="Times New Roman" w:cs="Times New Roman"/>
          <w:sz w:val="28"/>
          <w:szCs w:val="28"/>
          <w:lang w:val="kk-KZ" w:eastAsia="ru-RU"/>
        </w:rPr>
        <w:t xml:space="preserve">1; </w:t>
      </w:r>
      <w:r w:rsidRPr="001935D0">
        <w:rPr>
          <w:rFonts w:ascii="Times New Roman" w:eastAsia="Times New Roman" w:hAnsi="Times New Roman" w:cs="Times New Roman"/>
          <w:sz w:val="28"/>
          <w:szCs w:val="28"/>
          <w:lang w:val="kk-KZ" w:eastAsia="ru-RU"/>
        </w:rPr>
        <w:t>7</w:t>
      </w:r>
      <w:r>
        <w:rPr>
          <w:rFonts w:ascii="Times New Roman" w:eastAsia="Times New Roman" w:hAnsi="Times New Roman" w:cs="Times New Roman"/>
          <w:sz w:val="28"/>
          <w:szCs w:val="28"/>
          <w:lang w:val="kk-KZ" w:eastAsia="ru-RU"/>
        </w:rPr>
        <w:t>4; 78; 79; 80; 81; 82, р. 339-342; 83, р. 673-682; 84, р. 17-34; 85, р. 239-251; 86; 87; 88;</w:t>
      </w:r>
      <w:r w:rsidRPr="001935D0">
        <w:rPr>
          <w:rFonts w:ascii="Times New Roman" w:eastAsia="Times New Roman" w:hAnsi="Times New Roman" w:cs="Times New Roman"/>
          <w:sz w:val="28"/>
          <w:szCs w:val="28"/>
          <w:lang w:eastAsia="ru-RU"/>
        </w:rPr>
        <w:t xml:space="preserve"> 9</w:t>
      </w:r>
      <w:r>
        <w:rPr>
          <w:rFonts w:ascii="Times New Roman" w:eastAsia="Times New Roman" w:hAnsi="Times New Roman" w:cs="Times New Roman"/>
          <w:sz w:val="28"/>
          <w:szCs w:val="28"/>
          <w:lang w:val="kk-KZ" w:eastAsia="ru-RU"/>
        </w:rPr>
        <w:t>7;</w:t>
      </w:r>
      <w:r w:rsidRPr="001935D0">
        <w:rPr>
          <w:rFonts w:ascii="Times New Roman" w:eastAsia="Times New Roman" w:hAnsi="Times New Roman" w:cs="Times New Roman"/>
          <w:sz w:val="28"/>
          <w:szCs w:val="28"/>
          <w:lang w:eastAsia="ru-RU"/>
        </w:rPr>
        <w:t xml:space="preserve"> 10</w:t>
      </w:r>
      <w:r>
        <w:rPr>
          <w:rFonts w:ascii="Times New Roman" w:eastAsia="Times New Roman" w:hAnsi="Times New Roman" w:cs="Times New Roman"/>
          <w:sz w:val="28"/>
          <w:szCs w:val="28"/>
          <w:lang w:val="kk-KZ" w:eastAsia="ru-RU"/>
        </w:rPr>
        <w:t xml:space="preserve">1; </w:t>
      </w:r>
      <w:r w:rsidRPr="001935D0">
        <w:rPr>
          <w:rFonts w:ascii="Times New Roman" w:eastAsia="Times New Roman" w:hAnsi="Times New Roman" w:cs="Times New Roman"/>
          <w:sz w:val="28"/>
          <w:szCs w:val="28"/>
          <w:lang w:val="kk-KZ" w:eastAsia="ru-RU"/>
        </w:rPr>
        <w:t>14</w:t>
      </w:r>
      <w:r>
        <w:rPr>
          <w:rFonts w:ascii="Times New Roman" w:eastAsia="Times New Roman" w:hAnsi="Times New Roman" w:cs="Times New Roman"/>
          <w:sz w:val="28"/>
          <w:szCs w:val="28"/>
          <w:lang w:val="kk-KZ" w:eastAsia="ru-RU"/>
        </w:rPr>
        <w:t>4;</w:t>
      </w:r>
      <w:r w:rsidRPr="001935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147; 148; 149; 182; 183; 200; 215</w:t>
      </w:r>
      <w:r w:rsidRPr="001935D0">
        <w:rPr>
          <w:rFonts w:ascii="Times New Roman" w:eastAsia="Times New Roman" w:hAnsi="Times New Roman" w:cs="Times New Roman"/>
          <w:sz w:val="28"/>
          <w:szCs w:val="28"/>
          <w:lang w:eastAsia="ru-RU"/>
        </w:rPr>
        <w:t>].</w:t>
      </w:r>
    </w:p>
    <w:p w14:paraId="76EC0386" w14:textId="77777777" w:rsidR="00F03A16" w:rsidRPr="001935D0" w:rsidRDefault="00F03A16" w:rsidP="00F03A16">
      <w:pPr>
        <w:pStyle w:val="NoSpacing"/>
        <w:tabs>
          <w:tab w:val="left" w:pos="1134"/>
        </w:tabs>
        <w:ind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eastAsia="ru-RU"/>
        </w:rPr>
        <w:t>Вторую группу источников составляют официальные документы институтов ЕС (EEAS, Европейская комиссия, Европейский парламент), включая Планы действий, отчеты по правам человека, материалы правозащитных диалогов и country reports [1</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3</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5</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6, </w:t>
      </w:r>
      <w:r>
        <w:rPr>
          <w:rFonts w:ascii="Times New Roman" w:eastAsia="Times New Roman" w:hAnsi="Times New Roman" w:cs="Times New Roman"/>
          <w:sz w:val="28"/>
          <w:szCs w:val="28"/>
          <w:lang w:val="kk-KZ" w:eastAsia="ru-RU"/>
        </w:rPr>
        <w:t xml:space="preserve">р. 2-136; </w:t>
      </w:r>
      <w:r w:rsidRPr="001935D0">
        <w:rPr>
          <w:rFonts w:ascii="Times New Roman" w:eastAsia="Times New Roman" w:hAnsi="Times New Roman" w:cs="Times New Roman"/>
          <w:sz w:val="28"/>
          <w:szCs w:val="28"/>
          <w:lang w:eastAsia="ru-RU"/>
        </w:rPr>
        <w:t>18</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30</w:t>
      </w:r>
      <w:r>
        <w:rPr>
          <w:rFonts w:ascii="Times New Roman" w:eastAsia="Times New Roman" w:hAnsi="Times New Roman" w:cs="Times New Roman"/>
          <w:sz w:val="28"/>
          <w:szCs w:val="28"/>
          <w:lang w:val="kk-KZ" w:eastAsia="ru-RU"/>
        </w:rPr>
        <w:t xml:space="preserve">; </w:t>
      </w:r>
      <w:r w:rsidRPr="001935D0">
        <w:rPr>
          <w:rFonts w:ascii="Times New Roman" w:eastAsia="Times New Roman" w:hAnsi="Times New Roman" w:cs="Times New Roman"/>
          <w:sz w:val="28"/>
          <w:szCs w:val="28"/>
          <w:lang w:eastAsia="ru-RU"/>
        </w:rPr>
        <w:t>31</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33</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42</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 xml:space="preserve">45; </w:t>
      </w:r>
      <w:r w:rsidRPr="001935D0">
        <w:rPr>
          <w:rFonts w:ascii="Times New Roman" w:eastAsia="Times New Roman" w:hAnsi="Times New Roman" w:cs="Times New Roman"/>
          <w:sz w:val="28"/>
          <w:szCs w:val="28"/>
          <w:lang w:eastAsia="ru-RU"/>
        </w:rPr>
        <w:t>54</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55</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56</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62</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7</w:t>
      </w:r>
      <w:r>
        <w:rPr>
          <w:rFonts w:ascii="Times New Roman" w:eastAsia="Times New Roman" w:hAnsi="Times New Roman" w:cs="Times New Roman"/>
          <w:sz w:val="28"/>
          <w:szCs w:val="28"/>
          <w:lang w:val="kk-KZ" w:eastAsia="ru-RU"/>
        </w:rPr>
        <w:t>1;</w:t>
      </w:r>
      <w:r w:rsidRPr="001935D0">
        <w:rPr>
          <w:rFonts w:ascii="Times New Roman" w:eastAsia="Times New Roman" w:hAnsi="Times New Roman" w:cs="Times New Roman"/>
          <w:sz w:val="28"/>
          <w:szCs w:val="28"/>
          <w:lang w:eastAsia="ru-RU"/>
        </w:rPr>
        <w:t xml:space="preserve"> 9</w:t>
      </w:r>
      <w:r>
        <w:rPr>
          <w:rFonts w:ascii="Times New Roman" w:eastAsia="Times New Roman" w:hAnsi="Times New Roman" w:cs="Times New Roman"/>
          <w:sz w:val="28"/>
          <w:szCs w:val="28"/>
          <w:lang w:val="kk-KZ" w:eastAsia="ru-RU"/>
        </w:rPr>
        <w:t>4;</w:t>
      </w:r>
      <w:r w:rsidRPr="001935D0">
        <w:rPr>
          <w:rFonts w:ascii="Times New Roman" w:eastAsia="Times New Roman" w:hAnsi="Times New Roman" w:cs="Times New Roman"/>
          <w:sz w:val="28"/>
          <w:szCs w:val="28"/>
          <w:lang w:eastAsia="ru-RU"/>
        </w:rPr>
        <w:t xml:space="preserve"> 9</w:t>
      </w:r>
      <w:r>
        <w:rPr>
          <w:rFonts w:ascii="Times New Roman" w:eastAsia="Times New Roman" w:hAnsi="Times New Roman" w:cs="Times New Roman"/>
          <w:sz w:val="28"/>
          <w:szCs w:val="28"/>
          <w:lang w:val="kk-KZ" w:eastAsia="ru-RU"/>
        </w:rPr>
        <w:t>5;</w:t>
      </w:r>
      <w:r w:rsidRPr="001935D0">
        <w:rPr>
          <w:rFonts w:ascii="Times New Roman" w:eastAsia="Times New Roman" w:hAnsi="Times New Roman" w:cs="Times New Roman"/>
          <w:sz w:val="28"/>
          <w:szCs w:val="28"/>
          <w:lang w:eastAsia="ru-RU"/>
        </w:rPr>
        <w:t xml:space="preserve"> 9</w:t>
      </w:r>
      <w:r>
        <w:rPr>
          <w:rFonts w:ascii="Times New Roman" w:eastAsia="Times New Roman" w:hAnsi="Times New Roman" w:cs="Times New Roman"/>
          <w:sz w:val="28"/>
          <w:szCs w:val="28"/>
          <w:lang w:val="kk-KZ" w:eastAsia="ru-RU"/>
        </w:rPr>
        <w:t>8;</w:t>
      </w:r>
      <w:r w:rsidRPr="001935D0">
        <w:rPr>
          <w:rFonts w:ascii="Times New Roman" w:eastAsia="Times New Roman" w:hAnsi="Times New Roman" w:cs="Times New Roman"/>
          <w:sz w:val="28"/>
          <w:szCs w:val="28"/>
          <w:lang w:eastAsia="ru-RU"/>
        </w:rPr>
        <w:t xml:space="preserve"> 10</w:t>
      </w:r>
      <w:r>
        <w:rPr>
          <w:rFonts w:ascii="Times New Roman" w:eastAsia="Times New Roman" w:hAnsi="Times New Roman" w:cs="Times New Roman"/>
          <w:sz w:val="28"/>
          <w:szCs w:val="28"/>
          <w:lang w:val="kk-KZ" w:eastAsia="ru-RU"/>
        </w:rPr>
        <w:t>0;</w:t>
      </w:r>
      <w:r w:rsidRPr="001935D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 xml:space="preserve">102; 103; 104, р. 100438; 105, р. 105319; 106, р. 101965; </w:t>
      </w:r>
      <w:r w:rsidRPr="001935D0">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val="kk-KZ" w:eastAsia="ru-RU"/>
        </w:rPr>
        <w:t>4;</w:t>
      </w:r>
      <w:r w:rsidRPr="001935D0">
        <w:rPr>
          <w:rFonts w:ascii="Times New Roman" w:eastAsia="Times New Roman" w:hAnsi="Times New Roman" w:cs="Times New Roman"/>
          <w:sz w:val="28"/>
          <w:szCs w:val="28"/>
          <w:lang w:eastAsia="ru-RU"/>
        </w:rPr>
        <w:t xml:space="preserve"> 11</w:t>
      </w:r>
      <w:r>
        <w:rPr>
          <w:rFonts w:ascii="Times New Roman" w:eastAsia="Times New Roman" w:hAnsi="Times New Roman" w:cs="Times New Roman"/>
          <w:sz w:val="28"/>
          <w:szCs w:val="28"/>
          <w:lang w:val="kk-KZ" w:eastAsia="ru-RU"/>
        </w:rPr>
        <w:t>6;</w:t>
      </w:r>
      <w:r w:rsidRPr="001935D0">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val="kk-KZ" w:eastAsia="ru-RU"/>
        </w:rPr>
        <w:t>18;</w:t>
      </w:r>
      <w:r w:rsidRPr="001935D0">
        <w:rPr>
          <w:rFonts w:ascii="Times New Roman" w:eastAsia="Times New Roman" w:hAnsi="Times New Roman" w:cs="Times New Roman"/>
          <w:sz w:val="28"/>
          <w:szCs w:val="28"/>
          <w:lang w:eastAsia="ru-RU"/>
        </w:rPr>
        <w:t xml:space="preserve"> 14</w:t>
      </w:r>
      <w:r>
        <w:rPr>
          <w:rFonts w:ascii="Times New Roman" w:eastAsia="Times New Roman" w:hAnsi="Times New Roman" w:cs="Times New Roman"/>
          <w:sz w:val="28"/>
          <w:szCs w:val="28"/>
          <w:lang w:val="kk-KZ" w:eastAsia="ru-RU"/>
        </w:rPr>
        <w:t>2;</w:t>
      </w:r>
      <w:r w:rsidRPr="001935D0">
        <w:rPr>
          <w:rFonts w:ascii="Times New Roman" w:eastAsia="Times New Roman" w:hAnsi="Times New Roman" w:cs="Times New Roman"/>
          <w:sz w:val="28"/>
          <w:szCs w:val="28"/>
          <w:lang w:eastAsia="ru-RU"/>
        </w:rPr>
        <w:t xml:space="preserve"> 14</w:t>
      </w:r>
      <w:r>
        <w:rPr>
          <w:rFonts w:ascii="Times New Roman" w:eastAsia="Times New Roman" w:hAnsi="Times New Roman" w:cs="Times New Roman"/>
          <w:sz w:val="28"/>
          <w:szCs w:val="28"/>
          <w:lang w:val="kk-KZ" w:eastAsia="ru-RU"/>
        </w:rPr>
        <w:t>5;</w:t>
      </w:r>
      <w:r w:rsidRPr="001935D0">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val="kk-KZ" w:eastAsia="ru-RU"/>
        </w:rPr>
        <w:t>46;</w:t>
      </w:r>
      <w:r w:rsidRPr="001935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173; 174; 175; 176; 177;</w:t>
      </w:r>
      <w:r w:rsidRPr="001935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179;</w:t>
      </w:r>
      <w:r w:rsidRPr="001935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191; 192; 193; 194</w:t>
      </w:r>
      <w:r w:rsidRPr="001935D0">
        <w:rPr>
          <w:rFonts w:ascii="Times New Roman" w:eastAsia="Times New Roman" w:hAnsi="Times New Roman" w:cs="Times New Roman"/>
          <w:sz w:val="28"/>
          <w:szCs w:val="28"/>
          <w:lang w:eastAsia="ru-RU"/>
        </w:rPr>
        <w:t>]</w:t>
      </w:r>
      <w:r w:rsidRPr="001935D0">
        <w:rPr>
          <w:rFonts w:ascii="Times New Roman" w:eastAsia="Times New Roman" w:hAnsi="Times New Roman" w:cs="Times New Roman"/>
          <w:sz w:val="28"/>
          <w:szCs w:val="28"/>
          <w:lang w:val="kk-KZ" w:eastAsia="ru-RU"/>
        </w:rPr>
        <w:t>.</w:t>
      </w:r>
    </w:p>
    <w:p w14:paraId="57503373" w14:textId="77777777" w:rsidR="00F03A16" w:rsidRPr="001935D0" w:rsidRDefault="00F03A16" w:rsidP="00F03A16">
      <w:pPr>
        <w:pStyle w:val="NoSpacing"/>
        <w:tabs>
          <w:tab w:val="left" w:pos="1134"/>
        </w:tabs>
        <w:ind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eastAsia="ru-RU"/>
        </w:rPr>
        <w:t>Третью группу образуют национальные нормативные правовые акты и стратегические документы Республики Казахстан, включая Конституцию, законы, указы Президента, государственные программы и отчеты национальных правозащитных институтов [58</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60</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eastAsia="ru-RU"/>
        </w:rPr>
        <w:t xml:space="preserve"> 7</w:t>
      </w:r>
      <w:r>
        <w:rPr>
          <w:rFonts w:ascii="Times New Roman" w:eastAsia="Times New Roman" w:hAnsi="Times New Roman" w:cs="Times New Roman"/>
          <w:sz w:val="28"/>
          <w:szCs w:val="28"/>
          <w:lang w:val="kk-KZ" w:eastAsia="ru-RU"/>
        </w:rPr>
        <w:t>2;</w:t>
      </w:r>
      <w:r w:rsidRPr="001935D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73; 74; 75</w:t>
      </w:r>
      <w:r w:rsidRPr="007F4F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p</w:t>
      </w:r>
      <w:r w:rsidRPr="007F4FB6">
        <w:rPr>
          <w:rFonts w:ascii="Times New Roman" w:eastAsia="Times New Roman" w:hAnsi="Times New Roman" w:cs="Times New Roman"/>
          <w:sz w:val="28"/>
          <w:szCs w:val="28"/>
          <w:lang w:eastAsia="ru-RU"/>
        </w:rPr>
        <w:t>. 475-498</w:t>
      </w:r>
      <w:r>
        <w:rPr>
          <w:rFonts w:ascii="Times New Roman" w:eastAsia="Times New Roman" w:hAnsi="Times New Roman" w:cs="Times New Roman"/>
          <w:sz w:val="28"/>
          <w:szCs w:val="28"/>
          <w:lang w:val="kk-KZ" w:eastAsia="ru-RU"/>
        </w:rPr>
        <w:t>; 76; 77; 78; 79; 80; 81; 82, р. 339-342; 83, р. 673-682; 84, р. 17-34; 85, р. 239-251; 86; 87; 88; 89; 90</w:t>
      </w:r>
      <w:r w:rsidRPr="007F4F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p</w:t>
      </w:r>
      <w:r w:rsidRPr="007F4FB6">
        <w:rPr>
          <w:rFonts w:ascii="Times New Roman" w:eastAsia="Times New Roman" w:hAnsi="Times New Roman" w:cs="Times New Roman"/>
          <w:sz w:val="28"/>
          <w:szCs w:val="28"/>
          <w:lang w:eastAsia="ru-RU"/>
        </w:rPr>
        <w:t>. 137-165</w:t>
      </w:r>
      <w:r>
        <w:rPr>
          <w:rFonts w:ascii="Times New Roman" w:eastAsia="Times New Roman" w:hAnsi="Times New Roman" w:cs="Times New Roman"/>
          <w:sz w:val="28"/>
          <w:szCs w:val="28"/>
          <w:lang w:val="kk-KZ" w:eastAsia="ru-RU"/>
        </w:rPr>
        <w:t xml:space="preserve">; 91; 92; 93; 94; 95; 96; 97; 98; 99; 100; 152; 153; 155; 156; 158; 159; 160; 161; 162; 164; 165; </w:t>
      </w:r>
      <w:r w:rsidRPr="001935D0">
        <w:rPr>
          <w:rFonts w:ascii="Times New Roman" w:eastAsia="Times New Roman" w:hAnsi="Times New Roman" w:cs="Times New Roman"/>
          <w:sz w:val="28"/>
          <w:szCs w:val="28"/>
          <w:lang w:val="kk-KZ" w:eastAsia="ru-RU"/>
        </w:rPr>
        <w:t>17</w:t>
      </w:r>
      <w:r>
        <w:rPr>
          <w:rFonts w:ascii="Times New Roman" w:eastAsia="Times New Roman" w:hAnsi="Times New Roman" w:cs="Times New Roman"/>
          <w:sz w:val="28"/>
          <w:szCs w:val="28"/>
          <w:lang w:val="kk-KZ" w:eastAsia="ru-RU"/>
        </w:rPr>
        <w:t>1; 207; 208; 210</w:t>
      </w:r>
      <w:r w:rsidRPr="001935D0">
        <w:rPr>
          <w:rFonts w:ascii="Times New Roman" w:eastAsia="Times New Roman" w:hAnsi="Times New Roman" w:cs="Times New Roman"/>
          <w:sz w:val="28"/>
          <w:szCs w:val="28"/>
          <w:lang w:eastAsia="ru-RU"/>
        </w:rPr>
        <w:t>]</w:t>
      </w:r>
      <w:r w:rsidRPr="001935D0">
        <w:rPr>
          <w:rFonts w:ascii="Times New Roman" w:eastAsia="Times New Roman" w:hAnsi="Times New Roman" w:cs="Times New Roman"/>
          <w:sz w:val="28"/>
          <w:szCs w:val="28"/>
          <w:lang w:val="kk-KZ" w:eastAsia="ru-RU"/>
        </w:rPr>
        <w:t>.</w:t>
      </w:r>
    </w:p>
    <w:p w14:paraId="3AD2A1B6" w14:textId="77777777" w:rsidR="00F03A16" w:rsidRPr="001935D0" w:rsidRDefault="00F03A16" w:rsidP="00F03A16">
      <w:pPr>
        <w:pStyle w:val="NoSpacing"/>
        <w:tabs>
          <w:tab w:val="left" w:pos="1134"/>
        </w:tabs>
        <w:ind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val="kk-KZ" w:eastAsia="ru-RU"/>
        </w:rPr>
        <w:t>Четвертую группу составляют материалы международных и неправительственных организаций (OHCHR, Freedom House, Human Rights Watch, Amnesty International, World Justice Project), а также международные рейтинги и индексы [4</w:t>
      </w:r>
      <w:r>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6</w:t>
      </w:r>
      <w:r>
        <w:rPr>
          <w:rFonts w:ascii="Times New Roman" w:eastAsia="Times New Roman" w:hAnsi="Times New Roman" w:cs="Times New Roman"/>
          <w:sz w:val="28"/>
          <w:szCs w:val="28"/>
          <w:lang w:val="kk-KZ" w:eastAsia="ru-RU"/>
        </w:rPr>
        <w:t>3;</w:t>
      </w:r>
      <w:r w:rsidRPr="001935D0">
        <w:rPr>
          <w:rFonts w:ascii="Times New Roman" w:eastAsia="Times New Roman" w:hAnsi="Times New Roman" w:cs="Times New Roman"/>
          <w:sz w:val="28"/>
          <w:szCs w:val="28"/>
          <w:lang w:val="kk-KZ" w:eastAsia="ru-RU"/>
        </w:rPr>
        <w:t xml:space="preserve"> 6</w:t>
      </w:r>
      <w:r>
        <w:rPr>
          <w:rFonts w:ascii="Times New Roman" w:eastAsia="Times New Roman" w:hAnsi="Times New Roman" w:cs="Times New Roman"/>
          <w:sz w:val="28"/>
          <w:szCs w:val="28"/>
          <w:lang w:val="kk-KZ" w:eastAsia="ru-RU"/>
        </w:rPr>
        <w:t>7;</w:t>
      </w:r>
      <w:r w:rsidRPr="001935D0">
        <w:rPr>
          <w:rFonts w:ascii="Times New Roman" w:eastAsia="Times New Roman" w:hAnsi="Times New Roman" w:cs="Times New Roman"/>
          <w:sz w:val="28"/>
          <w:szCs w:val="28"/>
          <w:lang w:val="kk-KZ" w:eastAsia="ru-RU"/>
        </w:rPr>
        <w:t xml:space="preserve"> 6</w:t>
      </w:r>
      <w:r>
        <w:rPr>
          <w:rFonts w:ascii="Times New Roman" w:eastAsia="Times New Roman" w:hAnsi="Times New Roman" w:cs="Times New Roman"/>
          <w:sz w:val="28"/>
          <w:szCs w:val="28"/>
          <w:lang w:val="kk-KZ" w:eastAsia="ru-RU"/>
        </w:rPr>
        <w:t>8;</w:t>
      </w:r>
      <w:r w:rsidRPr="001935D0">
        <w:rPr>
          <w:rFonts w:ascii="Times New Roman" w:eastAsia="Times New Roman" w:hAnsi="Times New Roman" w:cs="Times New Roman"/>
          <w:sz w:val="28"/>
          <w:szCs w:val="28"/>
          <w:lang w:val="kk-KZ" w:eastAsia="ru-RU"/>
        </w:rPr>
        <w:t xml:space="preserve"> 7</w:t>
      </w:r>
      <w:r>
        <w:rPr>
          <w:rFonts w:ascii="Times New Roman" w:eastAsia="Times New Roman" w:hAnsi="Times New Roman" w:cs="Times New Roman"/>
          <w:sz w:val="28"/>
          <w:szCs w:val="28"/>
          <w:lang w:val="kk-KZ" w:eastAsia="ru-RU"/>
        </w:rPr>
        <w:t>1;</w:t>
      </w:r>
      <w:r w:rsidRPr="001935D0">
        <w:rPr>
          <w:rFonts w:ascii="Times New Roman" w:eastAsia="Times New Roman" w:hAnsi="Times New Roman" w:cs="Times New Roman"/>
          <w:sz w:val="28"/>
          <w:szCs w:val="28"/>
          <w:lang w:val="kk-KZ" w:eastAsia="ru-RU"/>
        </w:rPr>
        <w:t xml:space="preserve"> 7</w:t>
      </w:r>
      <w:r>
        <w:rPr>
          <w:rFonts w:ascii="Times New Roman" w:eastAsia="Times New Roman" w:hAnsi="Times New Roman" w:cs="Times New Roman"/>
          <w:sz w:val="28"/>
          <w:szCs w:val="28"/>
          <w:lang w:val="kk-KZ" w:eastAsia="ru-RU"/>
        </w:rPr>
        <w:t>2;</w:t>
      </w:r>
      <w:r w:rsidRPr="001935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99;</w:t>
      </w:r>
      <w:r w:rsidRPr="001935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151;</w:t>
      </w:r>
      <w:r w:rsidRPr="001935D0">
        <w:rPr>
          <w:rFonts w:ascii="Times New Roman" w:eastAsia="Times New Roman" w:hAnsi="Times New Roman" w:cs="Times New Roman"/>
          <w:sz w:val="28"/>
          <w:szCs w:val="28"/>
          <w:lang w:val="kk-KZ" w:eastAsia="ru-RU"/>
        </w:rPr>
        <w:t xml:space="preserve"> 15</w:t>
      </w:r>
      <w:r>
        <w:rPr>
          <w:rFonts w:ascii="Times New Roman" w:eastAsia="Times New Roman" w:hAnsi="Times New Roman" w:cs="Times New Roman"/>
          <w:sz w:val="28"/>
          <w:szCs w:val="28"/>
          <w:lang w:val="kk-KZ" w:eastAsia="ru-RU"/>
        </w:rPr>
        <w:t>4;</w:t>
      </w:r>
      <w:r w:rsidRPr="001935D0">
        <w:rPr>
          <w:rFonts w:ascii="Times New Roman" w:eastAsia="Times New Roman" w:hAnsi="Times New Roman" w:cs="Times New Roman"/>
          <w:sz w:val="28"/>
          <w:szCs w:val="28"/>
          <w:lang w:val="kk-KZ" w:eastAsia="ru-RU"/>
        </w:rPr>
        <w:t xml:space="preserve"> 1</w:t>
      </w:r>
      <w:r>
        <w:rPr>
          <w:rFonts w:ascii="Times New Roman" w:eastAsia="Times New Roman" w:hAnsi="Times New Roman" w:cs="Times New Roman"/>
          <w:sz w:val="28"/>
          <w:szCs w:val="28"/>
          <w:lang w:val="kk-KZ" w:eastAsia="ru-RU"/>
        </w:rPr>
        <w:t>57;</w:t>
      </w:r>
      <w:r w:rsidRPr="001935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166; 167; 168; 169; 170;</w:t>
      </w:r>
      <w:r w:rsidRPr="001935D0">
        <w:rPr>
          <w:rFonts w:ascii="Times New Roman" w:eastAsia="Times New Roman" w:hAnsi="Times New Roman" w:cs="Times New Roman"/>
          <w:sz w:val="28"/>
          <w:szCs w:val="28"/>
          <w:lang w:val="kk-KZ" w:eastAsia="ru-RU"/>
        </w:rPr>
        <w:t xml:space="preserve"> 17</w:t>
      </w:r>
      <w:r>
        <w:rPr>
          <w:rFonts w:ascii="Times New Roman" w:eastAsia="Times New Roman" w:hAnsi="Times New Roman" w:cs="Times New Roman"/>
          <w:sz w:val="28"/>
          <w:szCs w:val="28"/>
          <w:lang w:val="kk-KZ" w:eastAsia="ru-RU"/>
        </w:rPr>
        <w:t>2;</w:t>
      </w:r>
      <w:r w:rsidRPr="001935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178; 180; 181; 185; 186; 187; 188; 189; 190;</w:t>
      </w:r>
      <w:r w:rsidRPr="001935D0">
        <w:rPr>
          <w:rFonts w:ascii="Times New Roman" w:eastAsia="Times New Roman" w:hAnsi="Times New Roman" w:cs="Times New Roman"/>
          <w:sz w:val="28"/>
          <w:szCs w:val="28"/>
          <w:lang w:val="kk-KZ" w:eastAsia="ru-RU"/>
        </w:rPr>
        <w:t xml:space="preserve"> 20</w:t>
      </w:r>
      <w:r>
        <w:rPr>
          <w:rFonts w:ascii="Times New Roman" w:eastAsia="Times New Roman" w:hAnsi="Times New Roman" w:cs="Times New Roman"/>
          <w:sz w:val="28"/>
          <w:szCs w:val="28"/>
          <w:lang w:val="kk-KZ" w:eastAsia="ru-RU"/>
        </w:rPr>
        <w:t>1;</w:t>
      </w:r>
      <w:r w:rsidRPr="001935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211; 212; 213; 214</w:t>
      </w:r>
      <w:r w:rsidRPr="001935D0">
        <w:rPr>
          <w:rFonts w:ascii="Times New Roman" w:eastAsia="Times New Roman" w:hAnsi="Times New Roman" w:cs="Times New Roman"/>
          <w:sz w:val="28"/>
          <w:szCs w:val="28"/>
          <w:lang w:val="kk-KZ" w:eastAsia="ru-RU"/>
        </w:rPr>
        <w:t>].</w:t>
      </w:r>
    </w:p>
    <w:p w14:paraId="3D92A247" w14:textId="77777777" w:rsidR="00F03A16" w:rsidRPr="001935D0" w:rsidRDefault="00F03A16" w:rsidP="00F03A16">
      <w:pPr>
        <w:pStyle w:val="NoSpacing"/>
        <w:tabs>
          <w:tab w:val="left" w:pos="1134"/>
        </w:tabs>
        <w:ind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eastAsia="ru-RU"/>
        </w:rPr>
        <w:t>Пятую группу источников образуют научные публикации зарубежных и казахстанских исследователей, представленные в монографиях, рецензируемых научных журналах и материалах международных конференций [6</w:t>
      </w:r>
      <w:r>
        <w:rPr>
          <w:rFonts w:ascii="Times New Roman" w:eastAsia="Times New Roman" w:hAnsi="Times New Roman" w:cs="Times New Roman"/>
          <w:sz w:val="28"/>
          <w:szCs w:val="28"/>
          <w:lang w:val="kk-KZ" w:eastAsia="ru-RU"/>
        </w:rPr>
        <w:t xml:space="preserve">, р. 2-136; 7, р. 263-279; 8, р. 103183; </w:t>
      </w:r>
      <w:r w:rsidRPr="007E7AB0">
        <w:rPr>
          <w:rFonts w:ascii="Times New Roman" w:eastAsia="Times New Roman" w:hAnsi="Times New Roman" w:cs="Times New Roman"/>
          <w:sz w:val="28"/>
          <w:szCs w:val="28"/>
          <w:lang w:val="kk-KZ" w:eastAsia="ru-RU"/>
        </w:rPr>
        <w:t xml:space="preserve">9, </w:t>
      </w:r>
      <w:r>
        <w:rPr>
          <w:rFonts w:ascii="Times New Roman" w:eastAsia="Times New Roman" w:hAnsi="Times New Roman" w:cs="Times New Roman"/>
          <w:sz w:val="28"/>
          <w:szCs w:val="28"/>
          <w:lang w:val="kk-KZ" w:eastAsia="ru-RU"/>
        </w:rPr>
        <w:t xml:space="preserve">р. 102585; 11, р. 519-533; 12; 13, с. 97-98; 14, с. 33-45; 15, с. 38-43; </w:t>
      </w:r>
      <w:r w:rsidRPr="007E7AB0">
        <w:rPr>
          <w:rFonts w:ascii="Times New Roman" w:eastAsia="Times New Roman" w:hAnsi="Times New Roman" w:cs="Times New Roman"/>
          <w:sz w:val="28"/>
          <w:szCs w:val="28"/>
          <w:lang w:val="kk-KZ" w:eastAsia="ru-RU"/>
        </w:rPr>
        <w:t>16</w:t>
      </w:r>
      <w:r>
        <w:rPr>
          <w:rFonts w:ascii="Times New Roman" w:eastAsia="Times New Roman" w:hAnsi="Times New Roman" w:cs="Times New Roman"/>
          <w:sz w:val="28"/>
          <w:szCs w:val="28"/>
          <w:lang w:val="kk-KZ" w:eastAsia="ru-RU"/>
        </w:rPr>
        <w:t>;</w:t>
      </w:r>
      <w:r w:rsidRPr="007E7AB0">
        <w:rPr>
          <w:rFonts w:ascii="Times New Roman" w:eastAsia="Times New Roman" w:hAnsi="Times New Roman" w:cs="Times New Roman"/>
          <w:sz w:val="28"/>
          <w:szCs w:val="28"/>
          <w:lang w:val="kk-KZ" w:eastAsia="ru-RU"/>
        </w:rPr>
        <w:t xml:space="preserve"> 17</w:t>
      </w:r>
      <w:r>
        <w:rPr>
          <w:rFonts w:ascii="Times New Roman" w:eastAsia="Times New Roman" w:hAnsi="Times New Roman" w:cs="Times New Roman"/>
          <w:sz w:val="28"/>
          <w:szCs w:val="28"/>
          <w:lang w:val="kk-KZ" w:eastAsia="ru-RU"/>
        </w:rPr>
        <w:t xml:space="preserve">, р. 4-510; 18; </w:t>
      </w:r>
      <w:r w:rsidRPr="007E7AB0">
        <w:rPr>
          <w:rFonts w:ascii="Times New Roman" w:eastAsia="Times New Roman" w:hAnsi="Times New Roman" w:cs="Times New Roman"/>
          <w:sz w:val="28"/>
          <w:szCs w:val="28"/>
          <w:lang w:val="kk-KZ" w:eastAsia="ru-RU"/>
        </w:rPr>
        <w:t>19</w:t>
      </w:r>
      <w:r>
        <w:rPr>
          <w:rFonts w:ascii="Times New Roman" w:eastAsia="Times New Roman" w:hAnsi="Times New Roman" w:cs="Times New Roman"/>
          <w:sz w:val="28"/>
          <w:szCs w:val="28"/>
          <w:lang w:val="kk-KZ" w:eastAsia="ru-RU"/>
        </w:rPr>
        <w:t>;</w:t>
      </w:r>
      <w:r w:rsidRPr="007E7AB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23, р. 93-116; 24, р. 903-920; 25, р. 1-1</w:t>
      </w:r>
      <w:r w:rsidRPr="0090282C">
        <w:rPr>
          <w:rFonts w:ascii="Times New Roman" w:eastAsia="Times New Roman" w:hAnsi="Times New Roman" w:cs="Times New Roman"/>
          <w:sz w:val="28"/>
          <w:szCs w:val="28"/>
          <w:lang w:val="kk-KZ" w:eastAsia="ru-RU"/>
        </w:rPr>
        <w:t>4</w:t>
      </w:r>
      <w:r>
        <w:rPr>
          <w:rFonts w:ascii="Times New Roman" w:eastAsia="Times New Roman" w:hAnsi="Times New Roman" w:cs="Times New Roman"/>
          <w:sz w:val="28"/>
          <w:szCs w:val="28"/>
          <w:lang w:val="kk-KZ" w:eastAsia="ru-RU"/>
        </w:rPr>
        <w:t xml:space="preserve">; 26, р. 1-15; 27; 28; 29, р. </w:t>
      </w:r>
      <w:r w:rsidRPr="0090282C">
        <w:rPr>
          <w:rFonts w:ascii="Times New Roman" w:eastAsia="Times New Roman" w:hAnsi="Times New Roman" w:cs="Times New Roman"/>
          <w:sz w:val="28"/>
          <w:szCs w:val="28"/>
          <w:lang w:val="kk-KZ" w:eastAsia="ru-RU"/>
        </w:rPr>
        <w:t>440-458</w:t>
      </w:r>
      <w:r>
        <w:rPr>
          <w:rFonts w:ascii="Times New Roman" w:eastAsia="Times New Roman" w:hAnsi="Times New Roman" w:cs="Times New Roman"/>
          <w:sz w:val="28"/>
          <w:szCs w:val="28"/>
          <w:lang w:val="kk-KZ" w:eastAsia="ru-RU"/>
        </w:rPr>
        <w:t xml:space="preserve">; 31; 32; 33; 34; </w:t>
      </w:r>
      <w:r w:rsidRPr="007E7AB0">
        <w:rPr>
          <w:rFonts w:ascii="Times New Roman" w:eastAsia="Times New Roman" w:hAnsi="Times New Roman" w:cs="Times New Roman"/>
          <w:sz w:val="28"/>
          <w:szCs w:val="28"/>
          <w:lang w:val="kk-KZ" w:eastAsia="ru-RU"/>
        </w:rPr>
        <w:t xml:space="preserve">41, </w:t>
      </w:r>
      <w:r>
        <w:rPr>
          <w:rFonts w:ascii="Times New Roman" w:eastAsia="Times New Roman" w:hAnsi="Times New Roman" w:cs="Times New Roman"/>
          <w:sz w:val="28"/>
          <w:szCs w:val="28"/>
          <w:lang w:val="kk-KZ" w:eastAsia="ru-RU"/>
        </w:rPr>
        <w:t xml:space="preserve">р. 1298-1318; </w:t>
      </w:r>
      <w:r w:rsidRPr="007E7AB0">
        <w:rPr>
          <w:rFonts w:ascii="Times New Roman" w:eastAsia="Times New Roman" w:hAnsi="Times New Roman" w:cs="Times New Roman"/>
          <w:sz w:val="28"/>
          <w:szCs w:val="28"/>
          <w:lang w:val="kk-KZ" w:eastAsia="ru-RU"/>
        </w:rPr>
        <w:t>42</w:t>
      </w:r>
      <w:r>
        <w:rPr>
          <w:rFonts w:ascii="Times New Roman" w:eastAsia="Times New Roman" w:hAnsi="Times New Roman" w:cs="Times New Roman"/>
          <w:sz w:val="28"/>
          <w:szCs w:val="28"/>
          <w:lang w:val="kk-KZ" w:eastAsia="ru-RU"/>
        </w:rPr>
        <w:t>;</w:t>
      </w:r>
      <w:r w:rsidRPr="007E7AB0">
        <w:rPr>
          <w:rFonts w:ascii="Times New Roman" w:eastAsia="Times New Roman" w:hAnsi="Times New Roman" w:cs="Times New Roman"/>
          <w:sz w:val="28"/>
          <w:szCs w:val="28"/>
          <w:lang w:val="kk-KZ" w:eastAsia="ru-RU"/>
        </w:rPr>
        <w:t xml:space="preserve"> 45</w:t>
      </w:r>
      <w:r>
        <w:rPr>
          <w:rFonts w:ascii="Times New Roman" w:eastAsia="Times New Roman" w:hAnsi="Times New Roman" w:cs="Times New Roman"/>
          <w:sz w:val="28"/>
          <w:szCs w:val="28"/>
          <w:lang w:val="kk-KZ" w:eastAsia="ru-RU"/>
        </w:rPr>
        <w:t>;</w:t>
      </w:r>
      <w:r w:rsidRPr="007E7AB0">
        <w:rPr>
          <w:rFonts w:ascii="Times New Roman" w:eastAsia="Times New Roman" w:hAnsi="Times New Roman" w:cs="Times New Roman"/>
          <w:sz w:val="28"/>
          <w:szCs w:val="28"/>
          <w:lang w:val="kk-KZ" w:eastAsia="ru-RU"/>
        </w:rPr>
        <w:t xml:space="preserve"> 49</w:t>
      </w:r>
      <w:r>
        <w:rPr>
          <w:rFonts w:ascii="Times New Roman" w:eastAsia="Times New Roman" w:hAnsi="Times New Roman" w:cs="Times New Roman"/>
          <w:sz w:val="28"/>
          <w:szCs w:val="28"/>
          <w:lang w:val="kk-KZ" w:eastAsia="ru-RU"/>
        </w:rPr>
        <w:t>;</w:t>
      </w:r>
      <w:r w:rsidRPr="007E7AB0">
        <w:rPr>
          <w:rFonts w:ascii="Times New Roman" w:eastAsia="Times New Roman" w:hAnsi="Times New Roman" w:cs="Times New Roman"/>
          <w:sz w:val="28"/>
          <w:szCs w:val="28"/>
          <w:lang w:val="kk-KZ" w:eastAsia="ru-RU"/>
        </w:rPr>
        <w:t xml:space="preserve"> 50</w:t>
      </w:r>
      <w:r>
        <w:rPr>
          <w:rFonts w:ascii="Times New Roman" w:eastAsia="Times New Roman" w:hAnsi="Times New Roman" w:cs="Times New Roman"/>
          <w:sz w:val="28"/>
          <w:szCs w:val="28"/>
          <w:lang w:val="kk-KZ" w:eastAsia="ru-RU"/>
        </w:rPr>
        <w:t>;</w:t>
      </w:r>
      <w:r w:rsidRPr="007E7AB0">
        <w:rPr>
          <w:rFonts w:ascii="Times New Roman" w:eastAsia="Times New Roman" w:hAnsi="Times New Roman" w:cs="Times New Roman"/>
          <w:sz w:val="28"/>
          <w:szCs w:val="28"/>
          <w:lang w:val="kk-KZ" w:eastAsia="ru-RU"/>
        </w:rPr>
        <w:t xml:space="preserve"> 54</w:t>
      </w:r>
      <w:r>
        <w:rPr>
          <w:rFonts w:ascii="Times New Roman" w:eastAsia="Times New Roman" w:hAnsi="Times New Roman" w:cs="Times New Roman"/>
          <w:sz w:val="28"/>
          <w:szCs w:val="28"/>
          <w:lang w:val="kk-KZ" w:eastAsia="ru-RU"/>
        </w:rPr>
        <w:t>;</w:t>
      </w:r>
      <w:r w:rsidRPr="007E7AB0">
        <w:rPr>
          <w:rFonts w:ascii="Times New Roman" w:eastAsia="Times New Roman" w:hAnsi="Times New Roman" w:cs="Times New Roman"/>
          <w:sz w:val="28"/>
          <w:szCs w:val="28"/>
          <w:lang w:val="kk-KZ" w:eastAsia="ru-RU"/>
        </w:rPr>
        <w:t xml:space="preserve"> 55</w:t>
      </w:r>
      <w:r>
        <w:rPr>
          <w:rFonts w:ascii="Times New Roman" w:eastAsia="Times New Roman" w:hAnsi="Times New Roman" w:cs="Times New Roman"/>
          <w:sz w:val="28"/>
          <w:szCs w:val="28"/>
          <w:lang w:val="kk-KZ" w:eastAsia="ru-RU"/>
        </w:rPr>
        <w:t>;</w:t>
      </w:r>
      <w:r w:rsidRPr="007E7AB0">
        <w:rPr>
          <w:rFonts w:ascii="Times New Roman" w:eastAsia="Times New Roman" w:hAnsi="Times New Roman" w:cs="Times New Roman"/>
          <w:sz w:val="28"/>
          <w:szCs w:val="28"/>
          <w:lang w:val="kk-KZ" w:eastAsia="ru-RU"/>
        </w:rPr>
        <w:t xml:space="preserve"> 59</w:t>
      </w:r>
      <w:r>
        <w:rPr>
          <w:rFonts w:ascii="Times New Roman" w:eastAsia="Times New Roman" w:hAnsi="Times New Roman" w:cs="Times New Roman"/>
          <w:sz w:val="28"/>
          <w:szCs w:val="28"/>
          <w:lang w:val="kk-KZ" w:eastAsia="ru-RU"/>
        </w:rPr>
        <w:t>;</w:t>
      </w:r>
      <w:r w:rsidRPr="007E7AB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61; </w:t>
      </w:r>
      <w:r w:rsidRPr="007E7AB0">
        <w:rPr>
          <w:rFonts w:ascii="Times New Roman" w:eastAsia="Times New Roman" w:hAnsi="Times New Roman" w:cs="Times New Roman"/>
          <w:sz w:val="28"/>
          <w:szCs w:val="28"/>
          <w:lang w:val="kk-KZ" w:eastAsia="ru-RU"/>
        </w:rPr>
        <w:t>62</w:t>
      </w:r>
      <w:r>
        <w:rPr>
          <w:rFonts w:ascii="Times New Roman" w:eastAsia="Times New Roman" w:hAnsi="Times New Roman" w:cs="Times New Roman"/>
          <w:sz w:val="28"/>
          <w:szCs w:val="28"/>
          <w:lang w:val="kk-KZ" w:eastAsia="ru-RU"/>
        </w:rPr>
        <w:t xml:space="preserve">; </w:t>
      </w:r>
      <w:r w:rsidRPr="007E7AB0">
        <w:rPr>
          <w:rFonts w:ascii="Times New Roman" w:eastAsia="Times New Roman" w:hAnsi="Times New Roman" w:cs="Times New Roman"/>
          <w:sz w:val="28"/>
          <w:szCs w:val="28"/>
          <w:lang w:val="kk-KZ" w:eastAsia="ru-RU"/>
        </w:rPr>
        <w:t>6</w:t>
      </w:r>
      <w:r>
        <w:rPr>
          <w:rFonts w:ascii="Times New Roman" w:eastAsia="Times New Roman" w:hAnsi="Times New Roman" w:cs="Times New Roman"/>
          <w:sz w:val="28"/>
          <w:szCs w:val="28"/>
          <w:lang w:val="kk-KZ" w:eastAsia="ru-RU"/>
        </w:rPr>
        <w:t>6;</w:t>
      </w:r>
      <w:r w:rsidRPr="007E7AB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69;</w:t>
      </w:r>
      <w:r w:rsidRPr="007E7AB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71; 72; 73;</w:t>
      </w:r>
      <w:r w:rsidRPr="007E7AB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75</w:t>
      </w:r>
      <w:r w:rsidRPr="0090282C">
        <w:rPr>
          <w:rFonts w:ascii="Times New Roman" w:eastAsia="Times New Roman" w:hAnsi="Times New Roman" w:cs="Times New Roman"/>
          <w:sz w:val="28"/>
          <w:szCs w:val="28"/>
          <w:lang w:val="kk-KZ" w:eastAsia="ru-RU"/>
        </w:rPr>
        <w:t>, p. 475-498</w:t>
      </w:r>
      <w:r>
        <w:rPr>
          <w:rFonts w:ascii="Times New Roman" w:eastAsia="Times New Roman" w:hAnsi="Times New Roman" w:cs="Times New Roman"/>
          <w:sz w:val="28"/>
          <w:szCs w:val="28"/>
          <w:lang w:val="kk-KZ" w:eastAsia="ru-RU"/>
        </w:rPr>
        <w:t>; 76; 77; 80;</w:t>
      </w:r>
      <w:r w:rsidRPr="007E7AB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81; 82, р. 339-342; 83, р. 673-682; 84, р. 17-34; 85, р. 239-251; 89; 90, р. 137-165; 91; 92; 93; 103; 104, р.</w:t>
      </w:r>
      <w:r w:rsidRPr="0090282C">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100438; 105, р. 105319; 106, р. 101965; 107, р. 102716; 108; 109, р. 105857; 110; 111; 112; 113; 114; 115; 116; 117; 118; 119; 120</w:t>
      </w:r>
      <w:r w:rsidRPr="0090282C">
        <w:rPr>
          <w:rFonts w:ascii="Times New Roman" w:eastAsia="Times New Roman" w:hAnsi="Times New Roman" w:cs="Times New Roman"/>
          <w:sz w:val="28"/>
          <w:szCs w:val="28"/>
          <w:lang w:val="kk-KZ" w:eastAsia="ru-RU"/>
        </w:rPr>
        <w:t>, p. 7</w:t>
      </w:r>
      <w:r w:rsidRPr="0090282C">
        <w:rPr>
          <w:rFonts w:ascii="Times New Roman" w:eastAsia="Times New Roman" w:hAnsi="Times New Roman" w:cs="Times New Roman"/>
          <w:sz w:val="28"/>
          <w:szCs w:val="28"/>
          <w:lang w:eastAsia="ru-RU"/>
        </w:rPr>
        <w:t>34-758</w:t>
      </w:r>
      <w:r>
        <w:rPr>
          <w:rFonts w:ascii="Times New Roman" w:eastAsia="Times New Roman" w:hAnsi="Times New Roman" w:cs="Times New Roman"/>
          <w:sz w:val="28"/>
          <w:szCs w:val="28"/>
          <w:lang w:val="kk-KZ" w:eastAsia="ru-RU"/>
        </w:rPr>
        <w:t>; 121; 122, р. 19-23; 123; 124; 125; 126, р. 255-268; 127, р. 784-793; 128, р. 331-355; 129, р. 61-83; 130, р. 207-214; 131, р. 1-19; 132, р. 63-69; 133, р. 71-74; 134, р. 169-174; 135, р.</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val="kk-KZ" w:eastAsia="ru-RU"/>
        </w:rPr>
        <w:t>207-222; 136, р. 2-59; 137, р. 9-14; 138, р. 617-637; 139, р. 291-306;195; 196, р.</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val="kk-KZ" w:eastAsia="ru-RU"/>
        </w:rPr>
        <w:t>42-58; 197; 198; 199;</w:t>
      </w:r>
      <w:r w:rsidRPr="001935D0">
        <w:rPr>
          <w:rFonts w:ascii="Times New Roman" w:eastAsia="Times New Roman" w:hAnsi="Times New Roman" w:cs="Times New Roman"/>
          <w:sz w:val="28"/>
          <w:szCs w:val="28"/>
          <w:lang w:val="kk-KZ" w:eastAsia="ru-RU"/>
        </w:rPr>
        <w:t xml:space="preserve"> 20</w:t>
      </w:r>
      <w:r>
        <w:rPr>
          <w:rFonts w:ascii="Times New Roman" w:eastAsia="Times New Roman" w:hAnsi="Times New Roman" w:cs="Times New Roman"/>
          <w:sz w:val="28"/>
          <w:szCs w:val="28"/>
          <w:lang w:val="kk-KZ" w:eastAsia="ru-RU"/>
        </w:rPr>
        <w:t>2</w:t>
      </w:r>
      <w:r w:rsidRPr="007E7AB0">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w:t>
      </w:r>
    </w:p>
    <w:p w14:paraId="5A80EC71" w14:textId="2BC4BF68" w:rsidR="007F7C93" w:rsidRPr="001935D0" w:rsidRDefault="007F7C93" w:rsidP="004D613E">
      <w:pPr>
        <w:pStyle w:val="NoSpacing"/>
        <w:tabs>
          <w:tab w:val="left" w:pos="1134"/>
        </w:tabs>
        <w:ind w:firstLine="709"/>
        <w:jc w:val="both"/>
        <w:rPr>
          <w:rFonts w:ascii="Times New Roman" w:eastAsia="Times New Roman" w:hAnsi="Times New Roman" w:cs="Times New Roman"/>
          <w:b/>
          <w:sz w:val="28"/>
          <w:szCs w:val="28"/>
          <w:lang w:eastAsia="ru-RU"/>
        </w:rPr>
      </w:pPr>
      <w:r w:rsidRPr="001935D0">
        <w:rPr>
          <w:rFonts w:ascii="Times New Roman" w:eastAsia="Times New Roman" w:hAnsi="Times New Roman" w:cs="Times New Roman"/>
          <w:b/>
          <w:sz w:val="28"/>
          <w:szCs w:val="28"/>
          <w:lang w:eastAsia="ru-RU"/>
        </w:rPr>
        <w:t>Положения, выносимые на защиту</w:t>
      </w:r>
    </w:p>
    <w:p w14:paraId="0DFC7B5D" w14:textId="4136D538" w:rsidR="007F7C93" w:rsidRPr="001935D0" w:rsidRDefault="00CF4B99" w:rsidP="002F78E3">
      <w:pPr>
        <w:pStyle w:val="NoSpacing"/>
        <w:numPr>
          <w:ilvl w:val="0"/>
          <w:numId w:val="14"/>
        </w:numPr>
        <w:tabs>
          <w:tab w:val="left" w:pos="851"/>
          <w:tab w:val="left" w:pos="1134"/>
        </w:tabs>
        <w:ind w:left="0"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П</w:t>
      </w:r>
      <w:r w:rsidR="007F7C93" w:rsidRPr="001935D0">
        <w:rPr>
          <w:rFonts w:ascii="Times New Roman" w:eastAsia="Times New Roman" w:hAnsi="Times New Roman" w:cs="Times New Roman"/>
          <w:sz w:val="28"/>
          <w:szCs w:val="28"/>
          <w:lang w:eastAsia="ru-RU"/>
        </w:rPr>
        <w:t>рава че</w:t>
      </w:r>
      <w:r w:rsidR="001A6DAB" w:rsidRPr="001935D0">
        <w:rPr>
          <w:rFonts w:ascii="Times New Roman" w:eastAsia="Times New Roman" w:hAnsi="Times New Roman" w:cs="Times New Roman"/>
          <w:sz w:val="28"/>
          <w:szCs w:val="28"/>
          <w:lang w:eastAsia="ru-RU"/>
        </w:rPr>
        <w:t xml:space="preserve">ловека в политике Европейского </w:t>
      </w:r>
      <w:r w:rsidR="001A6DAB" w:rsidRPr="001935D0">
        <w:rPr>
          <w:rFonts w:ascii="Times New Roman" w:eastAsia="Times New Roman" w:hAnsi="Times New Roman" w:cs="Times New Roman"/>
          <w:sz w:val="28"/>
          <w:szCs w:val="28"/>
          <w:lang w:val="kk-KZ" w:eastAsia="ru-RU"/>
        </w:rPr>
        <w:t>С</w:t>
      </w:r>
      <w:r w:rsidR="007F7C93" w:rsidRPr="001935D0">
        <w:rPr>
          <w:rFonts w:ascii="Times New Roman" w:eastAsia="Times New Roman" w:hAnsi="Times New Roman" w:cs="Times New Roman"/>
          <w:sz w:val="28"/>
          <w:szCs w:val="28"/>
          <w:lang w:eastAsia="ru-RU"/>
        </w:rPr>
        <w:t xml:space="preserve">оюза рассматриваются не только как универсальная правовая ценность, но и как элемент внешнеполитической идентичности и инструмент нормативного воздействия, что позволяет использовать правозащитную политику ЕС в качестве </w:t>
      </w:r>
      <w:r w:rsidR="007F7C93" w:rsidRPr="001935D0">
        <w:rPr>
          <w:rFonts w:ascii="Times New Roman" w:eastAsia="Times New Roman" w:hAnsi="Times New Roman" w:cs="Times New Roman"/>
          <w:sz w:val="28"/>
          <w:szCs w:val="28"/>
          <w:lang w:eastAsia="ru-RU"/>
        </w:rPr>
        <w:lastRenderedPageBreak/>
        <w:t xml:space="preserve">аналитической рамки при оценке направлений модернизации национальной правозащитной системы Республики Казахстан в контексте сотрудничества с Европейским </w:t>
      </w:r>
      <w:r w:rsidR="001A6DAB" w:rsidRPr="001935D0">
        <w:rPr>
          <w:rFonts w:ascii="Times New Roman" w:eastAsia="Times New Roman" w:hAnsi="Times New Roman" w:cs="Times New Roman"/>
          <w:sz w:val="28"/>
          <w:szCs w:val="28"/>
          <w:lang w:val="kk-KZ" w:eastAsia="ru-RU"/>
        </w:rPr>
        <w:t>С</w:t>
      </w:r>
      <w:r w:rsidR="007F7C93" w:rsidRPr="001935D0">
        <w:rPr>
          <w:rFonts w:ascii="Times New Roman" w:eastAsia="Times New Roman" w:hAnsi="Times New Roman" w:cs="Times New Roman"/>
          <w:sz w:val="28"/>
          <w:szCs w:val="28"/>
          <w:lang w:eastAsia="ru-RU"/>
        </w:rPr>
        <w:t>оюзом.</w:t>
      </w:r>
    </w:p>
    <w:p w14:paraId="11A527A0" w14:textId="6D5F59B8" w:rsidR="007F7C93" w:rsidRPr="001935D0" w:rsidRDefault="00CF4B99" w:rsidP="002F78E3">
      <w:pPr>
        <w:pStyle w:val="NoSpacing"/>
        <w:numPr>
          <w:ilvl w:val="0"/>
          <w:numId w:val="14"/>
        </w:numPr>
        <w:tabs>
          <w:tab w:val="left" w:pos="1134"/>
        </w:tabs>
        <w:ind w:left="0"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Р</w:t>
      </w:r>
      <w:r w:rsidR="007F7C93" w:rsidRPr="001935D0">
        <w:rPr>
          <w:rFonts w:ascii="Times New Roman" w:eastAsia="Times New Roman" w:hAnsi="Times New Roman" w:cs="Times New Roman"/>
          <w:sz w:val="28"/>
          <w:szCs w:val="28"/>
          <w:lang w:eastAsia="ru-RU"/>
        </w:rPr>
        <w:t>еализация правозащитной политики ЕС во внешнем контуре осуществляется в условиях институциональных и геополитических ограничений, что обусловливает целесообразность адаптационного, а не прямого заимствования европейских правозащитных стандартов с учетом правовой системы, институциональной структуры и социально-политической специфики Республики Казахстан.</w:t>
      </w:r>
    </w:p>
    <w:p w14:paraId="4922CE8F" w14:textId="47ADED3D" w:rsidR="007F7C93" w:rsidRPr="001935D0" w:rsidRDefault="00CF4B99" w:rsidP="002F78E3">
      <w:pPr>
        <w:pStyle w:val="NoSpacing"/>
        <w:numPr>
          <w:ilvl w:val="0"/>
          <w:numId w:val="14"/>
        </w:numPr>
        <w:tabs>
          <w:tab w:val="left" w:pos="1134"/>
        </w:tabs>
        <w:ind w:left="0"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Р</w:t>
      </w:r>
      <w:r w:rsidR="007F7C93" w:rsidRPr="001935D0">
        <w:rPr>
          <w:rFonts w:ascii="Times New Roman" w:eastAsia="Times New Roman" w:hAnsi="Times New Roman" w:cs="Times New Roman"/>
          <w:sz w:val="28"/>
          <w:szCs w:val="28"/>
          <w:lang w:eastAsia="ru-RU"/>
        </w:rPr>
        <w:t>азвитие правозащитной системы Республики Казахстан характеризуется сочетанием нормативной модернизации и институциональных особенностей, что актуализирует необходимость поэтапного укрепления механизмов реализации прав человека, включая судебную систему, институт Уполномоченного по правам человека и инструменты независимого мониторинга.</w:t>
      </w:r>
    </w:p>
    <w:p w14:paraId="348B4C1F" w14:textId="77777777" w:rsidR="00CF4B99" w:rsidRPr="001935D0" w:rsidRDefault="00CF4B99" w:rsidP="002F78E3">
      <w:pPr>
        <w:pStyle w:val="NoSpacing"/>
        <w:numPr>
          <w:ilvl w:val="0"/>
          <w:numId w:val="14"/>
        </w:numPr>
        <w:tabs>
          <w:tab w:val="left" w:pos="1134"/>
        </w:tabs>
        <w:ind w:left="0"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Адаптация европейских правозащитных механизмов в национальный контекст Республики Казахстан возможна в селективном формате, предусматривающем развитие института омбудсмена, внедрение процедур ex ante оценки проектов нормативных правовых актов на предмет соблюдения прав человека, расширение форматов правозащитного диалога и усиление роли институтов гражданского общества в мониторинговых процессах.</w:t>
      </w:r>
    </w:p>
    <w:p w14:paraId="7C6E20F7" w14:textId="48670DDA" w:rsidR="00CF4B99" w:rsidRPr="001935D0" w:rsidRDefault="00CF4B99" w:rsidP="002F78E3">
      <w:pPr>
        <w:pStyle w:val="NoSpacing"/>
        <w:numPr>
          <w:ilvl w:val="0"/>
          <w:numId w:val="14"/>
        </w:numPr>
        <w:tabs>
          <w:tab w:val="left" w:pos="1134"/>
        </w:tabs>
        <w:ind w:left="0"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Оценка имплементационного потенциала европейских правозащитных стандартов требует применения комплексного аналитического инструментария, что обосновывает предложенную авторскую модель, направленную на структурирование институциональных рисков, нормативных барьеров и возможных сценариев сближения правозащитной политики Республики Казахстан с европейскими стандартами в рамках международных обязательств и стратегического партнерства.</w:t>
      </w:r>
    </w:p>
    <w:p w14:paraId="189C0A16" w14:textId="7B8D727D" w:rsidR="00183C5B" w:rsidRPr="001935D0" w:rsidRDefault="00183C5B" w:rsidP="002F78E3">
      <w:pPr>
        <w:pStyle w:val="NoSpacing"/>
        <w:tabs>
          <w:tab w:val="left" w:pos="1134"/>
        </w:tabs>
        <w:ind w:firstLine="709"/>
        <w:jc w:val="both"/>
        <w:rPr>
          <w:rFonts w:ascii="Times New Roman" w:eastAsia="Times New Roman" w:hAnsi="Times New Roman" w:cs="Times New Roman"/>
          <w:sz w:val="28"/>
          <w:szCs w:val="28"/>
          <w:lang w:val="uk-UA" w:eastAsia="ru-RU"/>
        </w:rPr>
      </w:pPr>
      <w:r w:rsidRPr="001935D0">
        <w:rPr>
          <w:rFonts w:ascii="Times New Roman" w:eastAsia="Times New Roman" w:hAnsi="Times New Roman" w:cs="Times New Roman"/>
          <w:b/>
          <w:bCs/>
          <w:sz w:val="28"/>
          <w:szCs w:val="28"/>
          <w:lang w:eastAsia="ru-RU"/>
        </w:rPr>
        <w:t>Научная новизна исследования</w:t>
      </w:r>
      <w:r w:rsidRPr="001935D0">
        <w:rPr>
          <w:rFonts w:ascii="Times New Roman" w:eastAsia="Times New Roman" w:hAnsi="Times New Roman" w:cs="Times New Roman"/>
          <w:b/>
          <w:bCs/>
          <w:sz w:val="28"/>
          <w:szCs w:val="28"/>
          <w:lang w:val="uk-UA" w:eastAsia="ru-RU"/>
        </w:rPr>
        <w:t>.</w:t>
      </w:r>
    </w:p>
    <w:p w14:paraId="353BB028" w14:textId="6B964061" w:rsidR="00183C5B" w:rsidRPr="001935D0" w:rsidRDefault="00183C5B" w:rsidP="002F78E3">
      <w:pPr>
        <w:pStyle w:val="NoSpacing"/>
        <w:tabs>
          <w:tab w:val="left" w:pos="1134"/>
        </w:tabs>
        <w:ind w:firstLine="709"/>
        <w:jc w:val="both"/>
        <w:rPr>
          <w:rFonts w:ascii="Times New Roman" w:hAnsi="Times New Roman" w:cs="Times New Roman"/>
          <w:sz w:val="28"/>
          <w:szCs w:val="28"/>
          <w:lang w:val="uk-UA" w:eastAsia="ru-RU"/>
        </w:rPr>
      </w:pPr>
      <w:r w:rsidRPr="001935D0">
        <w:rPr>
          <w:rFonts w:ascii="Times New Roman" w:eastAsia="Times New Roman" w:hAnsi="Times New Roman" w:cs="Times New Roman"/>
          <w:sz w:val="28"/>
          <w:szCs w:val="28"/>
          <w:lang w:eastAsia="ru-RU"/>
        </w:rPr>
        <w:t>Научная новизна диссертационного исследования заключается в комплексной концептуализации и эмпирической операционализации правоз</w:t>
      </w:r>
      <w:r w:rsidR="001A6DAB" w:rsidRPr="001935D0">
        <w:rPr>
          <w:rFonts w:ascii="Times New Roman" w:eastAsia="Times New Roman" w:hAnsi="Times New Roman" w:cs="Times New Roman"/>
          <w:sz w:val="28"/>
          <w:szCs w:val="28"/>
          <w:lang w:eastAsia="ru-RU"/>
        </w:rPr>
        <w:t xml:space="preserve">ащитной стратегии Европейского </w:t>
      </w:r>
      <w:r w:rsidR="001A6DAB" w:rsidRPr="001935D0">
        <w:rPr>
          <w:rFonts w:ascii="Times New Roman" w:eastAsia="Times New Roman" w:hAnsi="Times New Roman" w:cs="Times New Roman"/>
          <w:sz w:val="28"/>
          <w:szCs w:val="28"/>
          <w:lang w:val="kk-KZ" w:eastAsia="ru-RU"/>
        </w:rPr>
        <w:t>С</w:t>
      </w:r>
      <w:r w:rsidRPr="001935D0">
        <w:rPr>
          <w:rFonts w:ascii="Times New Roman" w:eastAsia="Times New Roman" w:hAnsi="Times New Roman" w:cs="Times New Roman"/>
          <w:sz w:val="28"/>
          <w:szCs w:val="28"/>
          <w:lang w:eastAsia="ru-RU"/>
        </w:rPr>
        <w:t xml:space="preserve">оюза </w:t>
      </w:r>
      <w:r w:rsidR="008D7565" w:rsidRPr="001935D0">
        <w:rPr>
          <w:rFonts w:ascii="Times New Roman" w:eastAsia="Times New Roman" w:hAnsi="Times New Roman" w:cs="Times New Roman"/>
          <w:sz w:val="28"/>
          <w:szCs w:val="28"/>
          <w:lang w:eastAsia="ru-RU"/>
        </w:rPr>
        <w:t>применительно к политико-правовой системе Республики Казахстан с учётом её институциональных особенностей и контекста национальной политико-правовой практики. В частности:</w:t>
      </w:r>
    </w:p>
    <w:p w14:paraId="4DE1B0EB" w14:textId="28E1D111" w:rsidR="00183C5B" w:rsidRPr="001935D0" w:rsidRDefault="00D45D84" w:rsidP="002F78E3">
      <w:pPr>
        <w:pStyle w:val="NoSpacing"/>
        <w:numPr>
          <w:ilvl w:val="0"/>
          <w:numId w:val="2"/>
        </w:numPr>
        <w:tabs>
          <w:tab w:val="left" w:pos="1134"/>
        </w:tabs>
        <w:ind w:left="0"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в </w:t>
      </w:r>
      <w:r w:rsidR="008D7565" w:rsidRPr="001935D0">
        <w:rPr>
          <w:rFonts w:ascii="Times New Roman" w:eastAsia="Times New Roman" w:hAnsi="Times New Roman" w:cs="Times New Roman"/>
          <w:sz w:val="28"/>
          <w:szCs w:val="28"/>
          <w:lang w:eastAsia="ru-RU"/>
        </w:rPr>
        <w:t>научный оборот введено понятие имплементационного потенциала как ключевого критерия оценки применимости внешних правозащитных стандартов в условиях различных институциональных и политико-правовых контекстов.</w:t>
      </w:r>
      <w:r w:rsidR="008D7565" w:rsidRPr="001935D0">
        <w:rPr>
          <w:rFonts w:ascii="Times New Roman" w:eastAsia="Times New Roman" w:hAnsi="Times New Roman" w:cs="Times New Roman"/>
          <w:sz w:val="28"/>
          <w:szCs w:val="28"/>
          <w:lang w:val="kk-KZ" w:eastAsia="ru-RU"/>
        </w:rPr>
        <w:t xml:space="preserve"> </w:t>
      </w:r>
      <w:r w:rsidR="00183C5B" w:rsidRPr="001935D0">
        <w:rPr>
          <w:rFonts w:ascii="Times New Roman" w:eastAsia="Times New Roman" w:hAnsi="Times New Roman" w:cs="Times New Roman"/>
          <w:sz w:val="28"/>
          <w:szCs w:val="28"/>
          <w:lang w:eastAsia="ru-RU"/>
        </w:rPr>
        <w:t>В рамках данного подхода права человека рассматриваются не только как универсальная юридическая категория, но и как инструмент внешнеполитической легитимации, мягкой силы и институциональной трансформации</w:t>
      </w:r>
      <w:r>
        <w:rPr>
          <w:rFonts w:ascii="Times New Roman" w:eastAsia="Times New Roman" w:hAnsi="Times New Roman" w:cs="Times New Roman"/>
          <w:sz w:val="28"/>
          <w:szCs w:val="28"/>
          <w:lang w:val="kk-KZ" w:eastAsia="ru-RU"/>
        </w:rPr>
        <w:t>;</w:t>
      </w:r>
    </w:p>
    <w:p w14:paraId="664CFEA9" w14:textId="62CE8A36" w:rsidR="00183C5B" w:rsidRPr="001935D0" w:rsidRDefault="00183C5B" w:rsidP="002F78E3">
      <w:pPr>
        <w:pStyle w:val="NoSpacing"/>
        <w:numPr>
          <w:ilvl w:val="0"/>
          <w:numId w:val="2"/>
        </w:numPr>
        <w:tabs>
          <w:tab w:val="left" w:pos="1134"/>
        </w:tabs>
        <w:ind w:left="0"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осуществлён детализированный структурно-функциональный </w:t>
      </w:r>
      <w:r w:rsidR="001A6DAB" w:rsidRPr="001935D0">
        <w:rPr>
          <w:rFonts w:ascii="Times New Roman" w:eastAsia="Times New Roman" w:hAnsi="Times New Roman" w:cs="Times New Roman"/>
          <w:sz w:val="28"/>
          <w:szCs w:val="28"/>
          <w:lang w:eastAsia="ru-RU"/>
        </w:rPr>
        <w:t xml:space="preserve">анализ механизмов Европейского </w:t>
      </w:r>
      <w:r w:rsidR="001A6DAB" w:rsidRPr="001935D0">
        <w:rPr>
          <w:rFonts w:ascii="Times New Roman" w:eastAsia="Times New Roman" w:hAnsi="Times New Roman" w:cs="Times New Roman"/>
          <w:sz w:val="28"/>
          <w:szCs w:val="28"/>
          <w:lang w:val="kk-KZ" w:eastAsia="ru-RU"/>
        </w:rPr>
        <w:t>С</w:t>
      </w:r>
      <w:r w:rsidRPr="001935D0">
        <w:rPr>
          <w:rFonts w:ascii="Times New Roman" w:eastAsia="Times New Roman" w:hAnsi="Times New Roman" w:cs="Times New Roman"/>
          <w:sz w:val="28"/>
          <w:szCs w:val="28"/>
          <w:lang w:eastAsia="ru-RU"/>
        </w:rPr>
        <w:t xml:space="preserve">оюза по защите прав человека, включающих инструменты мягкого права (soft law), мониторинговые и отчётные процедуры, </w:t>
      </w:r>
      <w:r w:rsidRPr="001935D0">
        <w:rPr>
          <w:rFonts w:ascii="Times New Roman" w:eastAsia="Times New Roman" w:hAnsi="Times New Roman" w:cs="Times New Roman"/>
          <w:sz w:val="28"/>
          <w:szCs w:val="28"/>
          <w:lang w:eastAsia="ru-RU"/>
        </w:rPr>
        <w:lastRenderedPageBreak/>
        <w:t xml:space="preserve">диалоговые форматы, country reports, а также институциональную архитектуру с участием EEAS, Совета ЕС и Европейского </w:t>
      </w:r>
      <w:r w:rsidR="004A3405">
        <w:rPr>
          <w:rFonts w:ascii="Times New Roman" w:eastAsia="Times New Roman" w:hAnsi="Times New Roman" w:cs="Times New Roman"/>
          <w:sz w:val="28"/>
          <w:szCs w:val="28"/>
          <w:lang w:eastAsia="ru-RU"/>
        </w:rPr>
        <w:t>П</w:t>
      </w:r>
      <w:r w:rsidRPr="001935D0">
        <w:rPr>
          <w:rFonts w:ascii="Times New Roman" w:eastAsia="Times New Roman" w:hAnsi="Times New Roman" w:cs="Times New Roman"/>
          <w:sz w:val="28"/>
          <w:szCs w:val="28"/>
          <w:lang w:eastAsia="ru-RU"/>
        </w:rPr>
        <w:t>арламента. Такой подход позволил выявить системную взаимосвязь между правовыми нормами и механизмами их внешнеполитического воспроизведения</w:t>
      </w:r>
      <w:r w:rsidR="00D45D84">
        <w:rPr>
          <w:rFonts w:ascii="Times New Roman" w:eastAsia="Times New Roman" w:hAnsi="Times New Roman" w:cs="Times New Roman"/>
          <w:sz w:val="28"/>
          <w:szCs w:val="28"/>
          <w:lang w:val="kk-KZ" w:eastAsia="ru-RU"/>
        </w:rPr>
        <w:t>;</w:t>
      </w:r>
    </w:p>
    <w:p w14:paraId="32D28AB0" w14:textId="08428F66" w:rsidR="00183C5B" w:rsidRPr="001935D0" w:rsidRDefault="00183C5B" w:rsidP="002F78E3">
      <w:pPr>
        <w:pStyle w:val="NoSpacing"/>
        <w:numPr>
          <w:ilvl w:val="0"/>
          <w:numId w:val="2"/>
        </w:numPr>
        <w:tabs>
          <w:tab w:val="left" w:pos="1134"/>
        </w:tabs>
        <w:ind w:left="0"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разработана и концептуально обоснована авторская модель оценки соответствия правозащитной практики Республики Казахстан основным индикаторам прав человека, зафиксированным в стандартах ЕС (Копенгагенские критерии, Хартия основных прав, Стратегический план 2020–2027 гг.). Модель включает в себя индикативную шкалу соответствий, типологию барьеров, метод оценки институциональных рисков и сценарные траектории правовой адаптации</w:t>
      </w:r>
      <w:r w:rsidR="00D45D84">
        <w:rPr>
          <w:rFonts w:ascii="Times New Roman" w:eastAsia="Times New Roman" w:hAnsi="Times New Roman" w:cs="Times New Roman"/>
          <w:sz w:val="28"/>
          <w:szCs w:val="28"/>
          <w:lang w:val="kk-KZ" w:eastAsia="ru-RU"/>
        </w:rPr>
        <w:t>;</w:t>
      </w:r>
    </w:p>
    <w:p w14:paraId="521F4DFD" w14:textId="77777777" w:rsidR="00183C5B" w:rsidRPr="001935D0" w:rsidRDefault="00183C5B" w:rsidP="002F78E3">
      <w:pPr>
        <w:pStyle w:val="NoSpacing"/>
        <w:numPr>
          <w:ilvl w:val="0"/>
          <w:numId w:val="2"/>
        </w:numPr>
        <w:tabs>
          <w:tab w:val="left" w:pos="1134"/>
        </w:tabs>
        <w:ind w:left="0"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сформулированы прикладные рекомендации по институциональному заимствованию элементов европейской правозащитной практики, включая укрепление института омбудсмена, развитие механизмов независимого мониторинга и публичной отчетности, институционализацию гражданского участия, а также внедрение процедур ex ante анализа проектов нормативных актов на предмет соблюдения прав человека.</w:t>
      </w:r>
    </w:p>
    <w:p w14:paraId="15FFCAC3" w14:textId="77777777" w:rsidR="00183C5B" w:rsidRPr="001935D0" w:rsidRDefault="00183C5B" w:rsidP="002F78E3">
      <w:pPr>
        <w:pStyle w:val="NoSpacing"/>
        <w:tabs>
          <w:tab w:val="left" w:pos="1134"/>
        </w:tabs>
        <w:ind w:firstLine="709"/>
        <w:jc w:val="both"/>
        <w:rPr>
          <w:rFonts w:ascii="Times New Roman" w:eastAsia="Times New Roman" w:hAnsi="Times New Roman" w:cs="Times New Roman"/>
          <w:b/>
          <w:sz w:val="28"/>
          <w:szCs w:val="28"/>
          <w:lang w:eastAsia="ru-RU"/>
        </w:rPr>
      </w:pPr>
      <w:r w:rsidRPr="001935D0">
        <w:rPr>
          <w:rFonts w:ascii="Times New Roman" w:hAnsi="Times New Roman" w:cs="Times New Roman"/>
          <w:b/>
          <w:sz w:val="28"/>
          <w:szCs w:val="28"/>
          <w:lang w:eastAsia="ru-RU"/>
        </w:rPr>
        <w:t>Практическая значимость исследования</w:t>
      </w:r>
    </w:p>
    <w:p w14:paraId="11126B3E" w14:textId="1325F11B" w:rsidR="00183C5B" w:rsidRPr="001935D0" w:rsidRDefault="00183C5B" w:rsidP="002F78E3">
      <w:pPr>
        <w:pStyle w:val="NoSpacing"/>
        <w:tabs>
          <w:tab w:val="left" w:pos="1134"/>
        </w:tabs>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Результаты исследования обладают прикладной ценностью и могут быть использованы:</w:t>
      </w:r>
    </w:p>
    <w:p w14:paraId="0AA8D92E" w14:textId="77777777" w:rsidR="00183C5B" w:rsidRPr="001935D0" w:rsidRDefault="00183C5B" w:rsidP="002F78E3">
      <w:pPr>
        <w:pStyle w:val="NoSpacing"/>
        <w:numPr>
          <w:ilvl w:val="0"/>
          <w:numId w:val="3"/>
        </w:numPr>
        <w:tabs>
          <w:tab w:val="left" w:pos="851"/>
          <w:tab w:val="left" w:pos="993"/>
          <w:tab w:val="left" w:pos="1134"/>
        </w:tabs>
        <w:ind w:left="0"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На уровне государственной политики – при пересмотре и актуализации национальной стратегии в области прав человека, в том числе в контексте реализации Плана по правовой модернизации Казахстана и рекомендаций ООН/ОБСЕ.</w:t>
      </w:r>
    </w:p>
    <w:p w14:paraId="0AA08145" w14:textId="674B872E" w:rsidR="00183C5B" w:rsidRPr="001935D0" w:rsidRDefault="00183C5B" w:rsidP="002F78E3">
      <w:pPr>
        <w:pStyle w:val="NoSpacing"/>
        <w:numPr>
          <w:ilvl w:val="0"/>
          <w:numId w:val="3"/>
        </w:numPr>
        <w:tabs>
          <w:tab w:val="left" w:pos="851"/>
          <w:tab w:val="left" w:pos="993"/>
          <w:tab w:val="left" w:pos="1134"/>
        </w:tabs>
        <w:ind w:left="0"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В рамках международного диалога – в переговорах между Казахстаном и Европейским </w:t>
      </w:r>
      <w:r w:rsidR="007F7C93"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оюзом, включая форматы двустороннего сотрудничества в области прав человека, диалога высокого уровня, программы technical assistance, адаптации законодательства, обмена best practices.</w:t>
      </w:r>
    </w:p>
    <w:p w14:paraId="4A8BF973" w14:textId="77777777" w:rsidR="00183C5B" w:rsidRPr="001935D0" w:rsidRDefault="00183C5B" w:rsidP="002F78E3">
      <w:pPr>
        <w:pStyle w:val="NoSpacing"/>
        <w:numPr>
          <w:ilvl w:val="0"/>
          <w:numId w:val="3"/>
        </w:numPr>
        <w:tabs>
          <w:tab w:val="left" w:pos="851"/>
          <w:tab w:val="left" w:pos="993"/>
          <w:tab w:val="left" w:pos="1134"/>
        </w:tabs>
        <w:ind w:left="0"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Для правозащитных и мониторинговых организаций – как инструмент структурированной оценки состояния прав человека, обоснования адвокационных стратегий, подготовки альтернативных (теневых) отчетов по обязательствам Казахстана в рамках международных договоров.</w:t>
      </w:r>
    </w:p>
    <w:p w14:paraId="76ED9242" w14:textId="77777777" w:rsidR="00183C5B" w:rsidRPr="001935D0" w:rsidRDefault="00183C5B" w:rsidP="002F78E3">
      <w:pPr>
        <w:pStyle w:val="NoSpacing"/>
        <w:numPr>
          <w:ilvl w:val="0"/>
          <w:numId w:val="3"/>
        </w:numPr>
        <w:tabs>
          <w:tab w:val="left" w:pos="851"/>
          <w:tab w:val="left" w:pos="993"/>
          <w:tab w:val="left" w:pos="1134"/>
        </w:tabs>
        <w:ind w:left="0"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 образовательной сфере – при подготовке специалистов в области международного права, сравнительного правоведения, глобальной политики и прав человека, в том числе для магистерских та аспірантських програм.</w:t>
      </w:r>
    </w:p>
    <w:p w14:paraId="1310D3E2" w14:textId="77777777" w:rsidR="00183C5B" w:rsidRPr="001935D0" w:rsidRDefault="00183C5B" w:rsidP="002F78E3">
      <w:pPr>
        <w:pStyle w:val="NoSpacing"/>
        <w:numPr>
          <w:ilvl w:val="0"/>
          <w:numId w:val="3"/>
        </w:numPr>
        <w:tabs>
          <w:tab w:val="left" w:pos="851"/>
          <w:tab w:val="left" w:pos="993"/>
          <w:tab w:val="left" w:pos="1134"/>
        </w:tabs>
        <w:ind w:left="0"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Для экспертного сообщества и think tank-структур – как теоретическая основа для дальнейших исследований о трансформации международных стандартов прав человека в условиях геополитической турбулентности и суверенного сопротивления.</w:t>
      </w:r>
    </w:p>
    <w:p w14:paraId="079D39C8" w14:textId="77777777" w:rsidR="00183C5B" w:rsidRPr="001935D0" w:rsidRDefault="00183C5B" w:rsidP="002F78E3">
      <w:pPr>
        <w:pStyle w:val="NoSpacing"/>
        <w:tabs>
          <w:tab w:val="left" w:pos="851"/>
          <w:tab w:val="left" w:pos="1134"/>
        </w:tabs>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Таким образом, диссертация объединяет теоретическую и прикладную составляющую, обеспечивая научное и прагматичное обоснование возможностей и ограничений трансляции правозащитной модели ЕС на постсоветское пространство.</w:t>
      </w:r>
    </w:p>
    <w:p w14:paraId="35BE555F" w14:textId="10F36CD6" w:rsidR="00183C5B" w:rsidRPr="001935D0" w:rsidRDefault="00183C5B" w:rsidP="002F78E3">
      <w:pPr>
        <w:pStyle w:val="NoSpacing"/>
        <w:tabs>
          <w:tab w:val="left" w:pos="1134"/>
        </w:tabs>
        <w:ind w:firstLine="709"/>
        <w:jc w:val="both"/>
        <w:rPr>
          <w:rFonts w:ascii="Times New Roman" w:eastAsia="Times New Roman" w:hAnsi="Times New Roman" w:cs="Times New Roman"/>
          <w:b/>
          <w:bCs/>
          <w:sz w:val="28"/>
          <w:szCs w:val="28"/>
          <w:lang w:val="kk-KZ" w:eastAsia="ru-RU"/>
        </w:rPr>
      </w:pPr>
      <w:r w:rsidRPr="001935D0">
        <w:rPr>
          <w:rFonts w:ascii="Times New Roman" w:eastAsia="Times New Roman" w:hAnsi="Times New Roman" w:cs="Times New Roman"/>
          <w:b/>
          <w:bCs/>
          <w:sz w:val="28"/>
          <w:szCs w:val="28"/>
          <w:lang w:eastAsia="ru-RU"/>
        </w:rPr>
        <w:t>Апробация результатов и публикации</w:t>
      </w:r>
      <w:r w:rsidR="00067BB2" w:rsidRPr="001935D0">
        <w:rPr>
          <w:rFonts w:ascii="Times New Roman" w:eastAsia="Times New Roman" w:hAnsi="Times New Roman" w:cs="Times New Roman"/>
          <w:b/>
          <w:bCs/>
          <w:sz w:val="28"/>
          <w:szCs w:val="28"/>
          <w:lang w:val="kk-KZ" w:eastAsia="ru-RU"/>
        </w:rPr>
        <w:t xml:space="preserve"> </w:t>
      </w:r>
    </w:p>
    <w:p w14:paraId="556EA8CC" w14:textId="7843F5D6" w:rsidR="00C52505" w:rsidRPr="001935D0" w:rsidRDefault="007F7C93"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lastRenderedPageBreak/>
        <w:t>Основные положения и результаты диссертационного исследования прошли апробацию в ходе научно-исследовательской и публикационной деятельности автора и были отражены в ряде научных публикаций, а также представлены на международных и республиканских научных мероприятиях.</w:t>
      </w:r>
    </w:p>
    <w:p w14:paraId="3ED8194C" w14:textId="75B74070" w:rsidR="007E6B84" w:rsidRPr="001935D0" w:rsidRDefault="00C52505" w:rsidP="002F78E3">
      <w:pPr>
        <w:pStyle w:val="ListParagraph"/>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val="kk-KZ" w:eastAsia="ru-RU"/>
        </w:rPr>
        <w:t>The European Union and Central Asian Countries’ Activities in the Field of Human Rights: Peculiarities and Directions</w:t>
      </w:r>
      <w:r w:rsidR="003975C3">
        <w:rPr>
          <w:rFonts w:ascii="Times New Roman" w:eastAsia="Times New Roman" w:hAnsi="Times New Roman" w:cs="Times New Roman"/>
          <w:sz w:val="28"/>
          <w:szCs w:val="28"/>
          <w:lang w:val="kk-KZ" w:eastAsia="ru-RU"/>
        </w:rPr>
        <w:t xml:space="preserve"> </w:t>
      </w:r>
      <w:r w:rsidRPr="001935D0">
        <w:rPr>
          <w:rFonts w:ascii="Times New Roman" w:eastAsia="Times New Roman" w:hAnsi="Times New Roman" w:cs="Times New Roman"/>
          <w:sz w:val="28"/>
          <w:szCs w:val="28"/>
          <w:lang w:val="kk-KZ" w:eastAsia="ru-RU"/>
        </w:rPr>
        <w:t xml:space="preserve">// European Review.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2024.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w:t>
      </w:r>
      <w:r w:rsidR="00582385">
        <w:rPr>
          <w:rFonts w:ascii="Times New Roman" w:eastAsia="Times New Roman" w:hAnsi="Times New Roman" w:cs="Times New Roman"/>
          <w:sz w:val="28"/>
          <w:szCs w:val="28"/>
          <w:lang w:val="en-US" w:eastAsia="ru-RU"/>
        </w:rPr>
        <w:t>Vol</w:t>
      </w:r>
      <w:r w:rsidRPr="001935D0">
        <w:rPr>
          <w:rFonts w:ascii="Times New Roman" w:eastAsia="Times New Roman" w:hAnsi="Times New Roman" w:cs="Times New Roman"/>
          <w:sz w:val="28"/>
          <w:szCs w:val="28"/>
          <w:lang w:val="kk-KZ" w:eastAsia="ru-RU"/>
        </w:rPr>
        <w:t xml:space="preserve">. 32, </w:t>
      </w:r>
      <w:r w:rsidR="00582385">
        <w:rPr>
          <w:rFonts w:ascii="Times New Roman" w:eastAsia="Times New Roman" w:hAnsi="Times New Roman" w:cs="Times New Roman"/>
          <w:sz w:val="28"/>
          <w:szCs w:val="28"/>
          <w:lang w:val="en-US" w:eastAsia="ru-RU"/>
        </w:rPr>
        <w:t>Issue</w:t>
      </w:r>
      <w:r w:rsidRPr="001935D0">
        <w:rPr>
          <w:rFonts w:ascii="Times New Roman" w:eastAsia="Times New Roman" w:hAnsi="Times New Roman" w:cs="Times New Roman"/>
          <w:sz w:val="28"/>
          <w:szCs w:val="28"/>
          <w:lang w:val="kk-KZ" w:eastAsia="ru-RU"/>
        </w:rPr>
        <w:t xml:space="preserve"> 3.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w:t>
      </w:r>
      <w:r w:rsidR="00582385">
        <w:rPr>
          <w:rFonts w:ascii="Times New Roman" w:eastAsia="Times New Roman" w:hAnsi="Times New Roman" w:cs="Times New Roman"/>
          <w:sz w:val="28"/>
          <w:szCs w:val="28"/>
          <w:lang w:val="en-US" w:eastAsia="ru-RU"/>
        </w:rPr>
        <w:t>P</w:t>
      </w:r>
      <w:r w:rsidRPr="001935D0">
        <w:rPr>
          <w:rFonts w:ascii="Times New Roman" w:eastAsia="Times New Roman" w:hAnsi="Times New Roman" w:cs="Times New Roman"/>
          <w:sz w:val="28"/>
          <w:szCs w:val="28"/>
          <w:lang w:val="kk-KZ" w:eastAsia="ru-RU"/>
        </w:rPr>
        <w:t>. 291</w:t>
      </w:r>
      <w:r w:rsidR="00582385">
        <w:rPr>
          <w:rFonts w:ascii="Times New Roman" w:eastAsia="Times New Roman" w:hAnsi="Times New Roman" w:cs="Times New Roman"/>
          <w:sz w:val="28"/>
          <w:szCs w:val="28"/>
          <w:lang w:val="en-US" w:eastAsia="ru-RU"/>
        </w:rPr>
        <w:t>-</w:t>
      </w:r>
      <w:r w:rsidRPr="001935D0">
        <w:rPr>
          <w:rFonts w:ascii="Times New Roman" w:eastAsia="Times New Roman" w:hAnsi="Times New Roman" w:cs="Times New Roman"/>
          <w:sz w:val="28"/>
          <w:szCs w:val="28"/>
          <w:lang w:val="kk-KZ" w:eastAsia="ru-RU"/>
        </w:rPr>
        <w:t>307.</w:t>
      </w:r>
    </w:p>
    <w:p w14:paraId="60015109" w14:textId="63084030" w:rsidR="007E6B84" w:rsidRPr="001935D0" w:rsidRDefault="007E6B84" w:rsidP="002F78E3">
      <w:pPr>
        <w:pStyle w:val="ListParagraph"/>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val="kk-KZ" w:eastAsia="ru-RU"/>
        </w:rPr>
        <w:t xml:space="preserve">Assessing the role of human rights in the </w:t>
      </w:r>
      <w:r w:rsidRPr="001935D0">
        <w:rPr>
          <w:rFonts w:ascii="Times New Roman" w:eastAsia="Times New Roman" w:hAnsi="Times New Roman" w:cs="Times New Roman"/>
          <w:sz w:val="28"/>
          <w:szCs w:val="28"/>
          <w:lang w:val="en-US" w:eastAsia="ru-RU"/>
        </w:rPr>
        <w:t>E</w:t>
      </w:r>
      <w:r w:rsidRPr="001935D0">
        <w:rPr>
          <w:rFonts w:ascii="Times New Roman" w:eastAsia="Times New Roman" w:hAnsi="Times New Roman" w:cs="Times New Roman"/>
          <w:sz w:val="28"/>
          <w:szCs w:val="28"/>
          <w:lang w:val="kk-KZ" w:eastAsia="ru-RU"/>
        </w:rPr>
        <w:t xml:space="preserve">uropean </w:t>
      </w:r>
      <w:r w:rsidRPr="001935D0">
        <w:rPr>
          <w:rFonts w:ascii="Times New Roman" w:eastAsia="Times New Roman" w:hAnsi="Times New Roman" w:cs="Times New Roman"/>
          <w:sz w:val="28"/>
          <w:szCs w:val="28"/>
          <w:lang w:val="en-US" w:eastAsia="ru-RU"/>
        </w:rPr>
        <w:t>U</w:t>
      </w:r>
      <w:r w:rsidRPr="001935D0">
        <w:rPr>
          <w:rFonts w:ascii="Times New Roman" w:eastAsia="Times New Roman" w:hAnsi="Times New Roman" w:cs="Times New Roman"/>
          <w:sz w:val="28"/>
          <w:szCs w:val="28"/>
          <w:lang w:val="kk-KZ" w:eastAsia="ru-RU"/>
        </w:rPr>
        <w:t xml:space="preserve">nion's enlargement policy towards candidate countries </w:t>
      </w:r>
      <w:r w:rsidR="00C52505" w:rsidRPr="001935D0">
        <w:rPr>
          <w:rFonts w:ascii="Times New Roman" w:eastAsia="Times New Roman" w:hAnsi="Times New Roman" w:cs="Times New Roman"/>
          <w:sz w:val="28"/>
          <w:szCs w:val="28"/>
          <w:lang w:val="kk-KZ" w:eastAsia="ru-RU"/>
        </w:rPr>
        <w:t xml:space="preserve">// </w:t>
      </w:r>
      <w:r w:rsidR="00447223" w:rsidRPr="001935D0">
        <w:rPr>
          <w:rFonts w:ascii="Times New Roman" w:eastAsia="Times New Roman" w:hAnsi="Times New Roman" w:cs="Times New Roman"/>
          <w:sz w:val="28"/>
          <w:szCs w:val="28"/>
          <w:lang w:val="kk-KZ" w:eastAsia="ru-RU"/>
        </w:rPr>
        <w:t xml:space="preserve">Казахстан-Спектр. </w:t>
      </w:r>
      <w:r w:rsidR="00593711">
        <w:rPr>
          <w:rFonts w:ascii="Times New Roman" w:eastAsia="Times New Roman" w:hAnsi="Times New Roman" w:cs="Times New Roman"/>
          <w:sz w:val="28"/>
          <w:szCs w:val="28"/>
          <w:lang w:val="kk-KZ" w:eastAsia="ru-RU"/>
        </w:rPr>
        <w:t>–</w:t>
      </w:r>
      <w:r w:rsidR="00447223" w:rsidRPr="001935D0">
        <w:rPr>
          <w:rFonts w:ascii="Times New Roman" w:eastAsia="Times New Roman" w:hAnsi="Times New Roman" w:cs="Times New Roman"/>
          <w:sz w:val="28"/>
          <w:szCs w:val="28"/>
          <w:lang w:val="kk-KZ" w:eastAsia="ru-RU"/>
        </w:rPr>
        <w:t xml:space="preserve"> 2024. </w:t>
      </w:r>
      <w:r w:rsidR="00593711">
        <w:rPr>
          <w:rFonts w:ascii="Times New Roman" w:eastAsia="Times New Roman" w:hAnsi="Times New Roman" w:cs="Times New Roman"/>
          <w:sz w:val="28"/>
          <w:szCs w:val="28"/>
          <w:lang w:val="kk-KZ" w:eastAsia="ru-RU"/>
        </w:rPr>
        <w:t>–</w:t>
      </w:r>
      <w:r w:rsidR="00447223" w:rsidRPr="001935D0">
        <w:rPr>
          <w:rFonts w:ascii="Times New Roman" w:eastAsia="Times New Roman" w:hAnsi="Times New Roman" w:cs="Times New Roman"/>
          <w:sz w:val="28"/>
          <w:szCs w:val="28"/>
          <w:lang w:val="kk-KZ" w:eastAsia="ru-RU"/>
        </w:rPr>
        <w:t xml:space="preserve"> №2(110). </w:t>
      </w:r>
      <w:r w:rsidR="00593711">
        <w:rPr>
          <w:rFonts w:ascii="Times New Roman" w:eastAsia="Times New Roman" w:hAnsi="Times New Roman" w:cs="Times New Roman"/>
          <w:sz w:val="28"/>
          <w:szCs w:val="28"/>
          <w:lang w:val="kk-KZ" w:eastAsia="ru-RU"/>
        </w:rPr>
        <w:t>–</w:t>
      </w:r>
      <w:r w:rsidR="00447223" w:rsidRPr="001935D0">
        <w:rPr>
          <w:rFonts w:ascii="Times New Roman" w:eastAsia="Times New Roman" w:hAnsi="Times New Roman" w:cs="Times New Roman"/>
          <w:sz w:val="28"/>
          <w:szCs w:val="28"/>
          <w:lang w:val="kk-KZ" w:eastAsia="ru-RU"/>
        </w:rPr>
        <w:t xml:space="preserve"> С.</w:t>
      </w:r>
      <w:r w:rsidR="00B9455D">
        <w:rPr>
          <w:rFonts w:ascii="Times New Roman" w:eastAsia="Times New Roman" w:hAnsi="Times New Roman" w:cs="Times New Roman"/>
          <w:sz w:val="28"/>
          <w:szCs w:val="28"/>
          <w:lang w:val="en-US" w:eastAsia="ru-RU"/>
        </w:rPr>
        <w:t> </w:t>
      </w:r>
      <w:r w:rsidR="00447223" w:rsidRPr="001935D0">
        <w:rPr>
          <w:rFonts w:ascii="Times New Roman" w:eastAsia="Times New Roman" w:hAnsi="Times New Roman" w:cs="Times New Roman"/>
          <w:sz w:val="28"/>
          <w:szCs w:val="28"/>
          <w:lang w:val="kk-KZ" w:eastAsia="ru-RU"/>
        </w:rPr>
        <w:t>37</w:t>
      </w:r>
      <w:r w:rsidR="00B9455D">
        <w:rPr>
          <w:rFonts w:ascii="Times New Roman" w:eastAsia="Times New Roman" w:hAnsi="Times New Roman" w:cs="Times New Roman"/>
          <w:sz w:val="28"/>
          <w:szCs w:val="28"/>
          <w:lang w:val="en-US" w:eastAsia="ru-RU"/>
        </w:rPr>
        <w:t>-</w:t>
      </w:r>
      <w:r w:rsidR="00447223" w:rsidRPr="001935D0">
        <w:rPr>
          <w:rFonts w:ascii="Times New Roman" w:eastAsia="Times New Roman" w:hAnsi="Times New Roman" w:cs="Times New Roman"/>
          <w:sz w:val="28"/>
          <w:szCs w:val="28"/>
          <w:lang w:val="kk-KZ" w:eastAsia="ru-RU"/>
        </w:rPr>
        <w:t xml:space="preserve">50. </w:t>
      </w:r>
    </w:p>
    <w:p w14:paraId="0B639188" w14:textId="66E0A0B2" w:rsidR="007E6B84" w:rsidRPr="001935D0" w:rsidRDefault="00C52505" w:rsidP="002F78E3">
      <w:pPr>
        <w:pStyle w:val="ListParagraph"/>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val="kk-KZ" w:eastAsia="ru-RU"/>
        </w:rPr>
        <w:t>The European system for the protection of children’s rights: experience for Kazakhstan // Вестник Евразийского национального университета имени Л.Н.</w:t>
      </w:r>
      <w:r w:rsidR="00B9455D" w:rsidRPr="00B9455D">
        <w:rPr>
          <w:rFonts w:ascii="Times New Roman" w:eastAsia="Times New Roman" w:hAnsi="Times New Roman" w:cs="Times New Roman"/>
          <w:sz w:val="28"/>
          <w:szCs w:val="28"/>
          <w:lang w:val="kk-KZ" w:eastAsia="ru-RU"/>
        </w:rPr>
        <w:t> </w:t>
      </w:r>
      <w:r w:rsidRPr="001935D0">
        <w:rPr>
          <w:rFonts w:ascii="Times New Roman" w:eastAsia="Times New Roman" w:hAnsi="Times New Roman" w:cs="Times New Roman"/>
          <w:sz w:val="28"/>
          <w:szCs w:val="28"/>
          <w:lang w:val="kk-KZ" w:eastAsia="ru-RU"/>
        </w:rPr>
        <w:t xml:space="preserve">Гумилёва. Серия: Политические науки. Регионоведение. Востоковедение. Тюркология.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2023.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w:t>
      </w:r>
      <w:r w:rsidR="00B9455D">
        <w:rPr>
          <w:rFonts w:ascii="Times New Roman" w:eastAsia="Times New Roman" w:hAnsi="Times New Roman" w:cs="Times New Roman"/>
          <w:sz w:val="28"/>
          <w:szCs w:val="28"/>
          <w:lang w:val="kk-KZ" w:eastAsia="ru-RU"/>
        </w:rPr>
        <w:t>2</w:t>
      </w:r>
      <w:r w:rsidRPr="001935D0">
        <w:rPr>
          <w:rFonts w:ascii="Times New Roman" w:eastAsia="Times New Roman" w:hAnsi="Times New Roman" w:cs="Times New Roman"/>
          <w:sz w:val="28"/>
          <w:szCs w:val="28"/>
          <w:lang w:val="kk-KZ" w:eastAsia="ru-RU"/>
        </w:rPr>
        <w:t xml:space="preserve">(143).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С. 59</w:t>
      </w:r>
      <w:r w:rsidR="00B9455D">
        <w:rPr>
          <w:rFonts w:ascii="Times New Roman" w:eastAsia="Times New Roman" w:hAnsi="Times New Roman" w:cs="Times New Roman"/>
          <w:sz w:val="28"/>
          <w:szCs w:val="28"/>
          <w:lang w:val="en-US" w:eastAsia="ru-RU"/>
        </w:rPr>
        <w:t>-</w:t>
      </w:r>
      <w:r w:rsidRPr="001935D0">
        <w:rPr>
          <w:rFonts w:ascii="Times New Roman" w:eastAsia="Times New Roman" w:hAnsi="Times New Roman" w:cs="Times New Roman"/>
          <w:sz w:val="28"/>
          <w:szCs w:val="28"/>
          <w:lang w:val="kk-KZ" w:eastAsia="ru-RU"/>
        </w:rPr>
        <w:t>69.</w:t>
      </w:r>
    </w:p>
    <w:p w14:paraId="53D89AAF" w14:textId="6DA4A609" w:rsidR="007E6B84" w:rsidRPr="001935D0" w:rsidRDefault="00C52505" w:rsidP="002F78E3">
      <w:pPr>
        <w:pStyle w:val="ListParagraph"/>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val="kk-KZ" w:eastAsia="ru-RU"/>
        </w:rPr>
        <w:t xml:space="preserve">Parameters and prospects for the involvement of the European Union in resolving the Myanmar crisis // Вестник Евразийского национального университета имени Л.Н. Гумилёва. </w:t>
      </w:r>
      <w:r w:rsidR="00B9455D" w:rsidRPr="001935D0">
        <w:rPr>
          <w:rFonts w:ascii="Times New Roman" w:eastAsia="Times New Roman" w:hAnsi="Times New Roman" w:cs="Times New Roman"/>
          <w:sz w:val="28"/>
          <w:szCs w:val="28"/>
          <w:lang w:val="kk-KZ" w:eastAsia="ru-RU"/>
        </w:rPr>
        <w:t>Секция: Международные отношения.</w:t>
      </w:r>
      <w:r w:rsidR="00B9455D">
        <w:rPr>
          <w:rFonts w:ascii="Times New Roman" w:eastAsia="Times New Roman" w:hAnsi="Times New Roman" w:cs="Times New Roman"/>
          <w:sz w:val="28"/>
          <w:szCs w:val="28"/>
          <w:lang w:val="en-US" w:eastAsia="ru-RU"/>
        </w:rPr>
        <w:t xml:space="preserve">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2022.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№2(139).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С. 65</w:t>
      </w:r>
      <w:r w:rsidR="00B9455D">
        <w:rPr>
          <w:rFonts w:ascii="Times New Roman" w:eastAsia="Times New Roman" w:hAnsi="Times New Roman" w:cs="Times New Roman"/>
          <w:sz w:val="28"/>
          <w:szCs w:val="28"/>
          <w:lang w:val="en-US" w:eastAsia="ru-RU"/>
        </w:rPr>
        <w:t>-</w:t>
      </w:r>
      <w:r w:rsidRPr="001935D0">
        <w:rPr>
          <w:rFonts w:ascii="Times New Roman" w:eastAsia="Times New Roman" w:hAnsi="Times New Roman" w:cs="Times New Roman"/>
          <w:sz w:val="28"/>
          <w:szCs w:val="28"/>
          <w:lang w:val="kk-KZ" w:eastAsia="ru-RU"/>
        </w:rPr>
        <w:t>76.</w:t>
      </w:r>
    </w:p>
    <w:p w14:paraId="2F74F82D" w14:textId="132444DB" w:rsidR="007E6B84" w:rsidRPr="001935D0" w:rsidRDefault="00447223" w:rsidP="002F78E3">
      <w:pPr>
        <w:pStyle w:val="ListParagraph"/>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val="kk-KZ" w:eastAsia="ru-RU"/>
        </w:rPr>
        <w:t xml:space="preserve">Effective mechanisms of interaction between EU and Central </w:t>
      </w:r>
      <w:r w:rsidRPr="001935D0">
        <w:rPr>
          <w:rFonts w:ascii="Times New Roman" w:eastAsia="Times New Roman" w:hAnsi="Times New Roman" w:cs="Times New Roman"/>
          <w:sz w:val="28"/>
          <w:szCs w:val="28"/>
          <w:lang w:val="en-US" w:eastAsia="ru-RU"/>
        </w:rPr>
        <w:t>A</w:t>
      </w:r>
      <w:r w:rsidRPr="001935D0">
        <w:rPr>
          <w:rFonts w:ascii="Times New Roman" w:eastAsia="Times New Roman" w:hAnsi="Times New Roman" w:cs="Times New Roman"/>
          <w:sz w:val="28"/>
          <w:szCs w:val="28"/>
          <w:lang w:val="kk-KZ" w:eastAsia="ru-RU"/>
        </w:rPr>
        <w:t>sia in the field of human rights</w:t>
      </w:r>
      <w:r w:rsidR="00C52505" w:rsidRPr="001935D0">
        <w:rPr>
          <w:rFonts w:ascii="Times New Roman" w:eastAsia="Times New Roman" w:hAnsi="Times New Roman" w:cs="Times New Roman"/>
          <w:sz w:val="28"/>
          <w:szCs w:val="28"/>
          <w:lang w:val="kk-KZ" w:eastAsia="ru-RU"/>
        </w:rPr>
        <w:t xml:space="preserve"> </w:t>
      </w:r>
      <w:r w:rsidRPr="001935D0">
        <w:rPr>
          <w:rFonts w:ascii="Times New Roman" w:eastAsia="Times New Roman" w:hAnsi="Times New Roman" w:cs="Times New Roman"/>
          <w:sz w:val="28"/>
          <w:szCs w:val="28"/>
          <w:lang w:val="kk-KZ" w:eastAsia="ru-RU"/>
        </w:rPr>
        <w:t xml:space="preserve">// </w:t>
      </w:r>
      <w:r w:rsidRPr="001935D0">
        <w:rPr>
          <w:rFonts w:ascii="Times New Roman" w:eastAsia="Times New Roman" w:hAnsi="Times New Roman" w:cs="Times New Roman"/>
          <w:sz w:val="28"/>
          <w:szCs w:val="28"/>
          <w:lang w:val="en-US" w:eastAsia="ru-RU"/>
        </w:rPr>
        <w:t>G</w:t>
      </w:r>
      <w:r w:rsidRPr="001935D0">
        <w:rPr>
          <w:rFonts w:ascii="Times New Roman" w:eastAsia="Times New Roman" w:hAnsi="Times New Roman" w:cs="Times New Roman"/>
          <w:sz w:val="28"/>
          <w:szCs w:val="28"/>
          <w:lang w:val="kk-KZ" w:eastAsia="ru-RU"/>
        </w:rPr>
        <w:t>ylym jáne bilim</w:t>
      </w:r>
      <w:r w:rsidR="00C52505" w:rsidRPr="001935D0">
        <w:rPr>
          <w:rFonts w:ascii="Times New Roman" w:eastAsia="Times New Roman" w:hAnsi="Times New Roman" w:cs="Times New Roman"/>
          <w:sz w:val="28"/>
          <w:szCs w:val="28"/>
          <w:lang w:val="kk-KZ" w:eastAsia="ru-RU"/>
        </w:rPr>
        <w:t xml:space="preserve"> – 2022: материалы </w:t>
      </w:r>
      <w:r w:rsidR="00B9455D" w:rsidRPr="001935D0">
        <w:rPr>
          <w:rFonts w:ascii="Times New Roman" w:eastAsia="Times New Roman" w:hAnsi="Times New Roman" w:cs="Times New Roman"/>
          <w:sz w:val="28"/>
          <w:szCs w:val="28"/>
          <w:lang w:val="kk-KZ" w:eastAsia="ru-RU"/>
        </w:rPr>
        <w:t>м</w:t>
      </w:r>
      <w:r w:rsidR="00C52505" w:rsidRPr="001935D0">
        <w:rPr>
          <w:rFonts w:ascii="Times New Roman" w:eastAsia="Times New Roman" w:hAnsi="Times New Roman" w:cs="Times New Roman"/>
          <w:sz w:val="28"/>
          <w:szCs w:val="28"/>
          <w:lang w:val="kk-KZ" w:eastAsia="ru-RU"/>
        </w:rPr>
        <w:t xml:space="preserve">еждународной научной конференции (12 апреля 2022 г.). </w:t>
      </w:r>
      <w:r w:rsidR="00593711">
        <w:rPr>
          <w:rFonts w:ascii="Times New Roman" w:eastAsia="Times New Roman" w:hAnsi="Times New Roman" w:cs="Times New Roman"/>
          <w:sz w:val="28"/>
          <w:szCs w:val="28"/>
          <w:lang w:val="kk-KZ" w:eastAsia="ru-RU"/>
        </w:rPr>
        <w:t>–</w:t>
      </w:r>
      <w:r w:rsidR="00C52505" w:rsidRPr="001935D0">
        <w:rPr>
          <w:rFonts w:ascii="Times New Roman" w:eastAsia="Times New Roman" w:hAnsi="Times New Roman" w:cs="Times New Roman"/>
          <w:sz w:val="28"/>
          <w:szCs w:val="28"/>
          <w:lang w:val="kk-KZ" w:eastAsia="ru-RU"/>
        </w:rPr>
        <w:t xml:space="preserve"> 2022. </w:t>
      </w:r>
      <w:r w:rsidR="00593711">
        <w:rPr>
          <w:rFonts w:ascii="Times New Roman" w:eastAsia="Times New Roman" w:hAnsi="Times New Roman" w:cs="Times New Roman"/>
          <w:sz w:val="28"/>
          <w:szCs w:val="28"/>
          <w:lang w:val="kk-KZ" w:eastAsia="ru-RU"/>
        </w:rPr>
        <w:t>–</w:t>
      </w:r>
      <w:r w:rsidR="00C52505" w:rsidRPr="001935D0">
        <w:rPr>
          <w:rFonts w:ascii="Times New Roman" w:eastAsia="Times New Roman" w:hAnsi="Times New Roman" w:cs="Times New Roman"/>
          <w:sz w:val="28"/>
          <w:szCs w:val="28"/>
          <w:lang w:val="kk-KZ" w:eastAsia="ru-RU"/>
        </w:rPr>
        <w:t xml:space="preserve"> Секция 5: </w:t>
      </w:r>
      <w:r w:rsidR="00B9455D" w:rsidRPr="001935D0">
        <w:rPr>
          <w:rFonts w:ascii="Times New Roman" w:eastAsia="Times New Roman" w:hAnsi="Times New Roman" w:cs="Times New Roman"/>
          <w:sz w:val="28"/>
          <w:szCs w:val="28"/>
          <w:lang w:val="kk-KZ" w:eastAsia="ru-RU"/>
        </w:rPr>
        <w:t>м</w:t>
      </w:r>
      <w:r w:rsidR="00C52505" w:rsidRPr="001935D0">
        <w:rPr>
          <w:rFonts w:ascii="Times New Roman" w:eastAsia="Times New Roman" w:hAnsi="Times New Roman" w:cs="Times New Roman"/>
          <w:sz w:val="28"/>
          <w:szCs w:val="28"/>
          <w:lang w:val="kk-KZ" w:eastAsia="ru-RU"/>
        </w:rPr>
        <w:t xml:space="preserve">еждународные отношения. </w:t>
      </w:r>
      <w:r w:rsidR="00593711">
        <w:rPr>
          <w:rFonts w:ascii="Times New Roman" w:eastAsia="Times New Roman" w:hAnsi="Times New Roman" w:cs="Times New Roman"/>
          <w:sz w:val="28"/>
          <w:szCs w:val="28"/>
          <w:lang w:val="kk-KZ" w:eastAsia="ru-RU"/>
        </w:rPr>
        <w:t>–</w:t>
      </w:r>
      <w:r w:rsidR="00C52505" w:rsidRPr="001935D0">
        <w:rPr>
          <w:rFonts w:ascii="Times New Roman" w:eastAsia="Times New Roman" w:hAnsi="Times New Roman" w:cs="Times New Roman"/>
          <w:sz w:val="28"/>
          <w:szCs w:val="28"/>
          <w:lang w:val="kk-KZ" w:eastAsia="ru-RU"/>
        </w:rPr>
        <w:t xml:space="preserve"> С. 2159</w:t>
      </w:r>
      <w:r w:rsidR="00B9455D">
        <w:rPr>
          <w:rFonts w:ascii="Times New Roman" w:eastAsia="Times New Roman" w:hAnsi="Times New Roman" w:cs="Times New Roman"/>
          <w:sz w:val="28"/>
          <w:szCs w:val="28"/>
          <w:lang w:val="en-US" w:eastAsia="ru-RU"/>
        </w:rPr>
        <w:t>-</w:t>
      </w:r>
      <w:r w:rsidR="00C52505" w:rsidRPr="001935D0">
        <w:rPr>
          <w:rFonts w:ascii="Times New Roman" w:eastAsia="Times New Roman" w:hAnsi="Times New Roman" w:cs="Times New Roman"/>
          <w:sz w:val="28"/>
          <w:szCs w:val="28"/>
          <w:lang w:val="kk-KZ" w:eastAsia="ru-RU"/>
        </w:rPr>
        <w:t>2162.</w:t>
      </w:r>
    </w:p>
    <w:p w14:paraId="739D9610" w14:textId="5920D745" w:rsidR="00C52505" w:rsidRPr="001935D0" w:rsidRDefault="00C52505" w:rsidP="002F78E3">
      <w:pPr>
        <w:pStyle w:val="ListParagraph"/>
        <w:numPr>
          <w:ilvl w:val="0"/>
          <w:numId w:val="15"/>
        </w:numPr>
        <w:tabs>
          <w:tab w:val="left" w:pos="1134"/>
        </w:tabs>
        <w:spacing w:after="0" w:line="240" w:lineRule="auto"/>
        <w:ind w:left="0"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val="kk-KZ" w:eastAsia="ru-RU"/>
        </w:rPr>
        <w:t xml:space="preserve">Сотрудничество Европейского союза и Республики Казахстан в области прав человека // Актуальные вопросы внешней политики Казахстана на восточном и западном направлениях: материалы научной конференции.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2022.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Секция 1. </w:t>
      </w:r>
      <w:r w:rsidR="00593711">
        <w:rPr>
          <w:rFonts w:ascii="Times New Roman" w:eastAsia="Times New Roman" w:hAnsi="Times New Roman" w:cs="Times New Roman"/>
          <w:sz w:val="28"/>
          <w:szCs w:val="28"/>
          <w:lang w:val="kk-KZ" w:eastAsia="ru-RU"/>
        </w:rPr>
        <w:t>–</w:t>
      </w:r>
      <w:r w:rsidRPr="001935D0">
        <w:rPr>
          <w:rFonts w:ascii="Times New Roman" w:eastAsia="Times New Roman" w:hAnsi="Times New Roman" w:cs="Times New Roman"/>
          <w:sz w:val="28"/>
          <w:szCs w:val="28"/>
          <w:lang w:val="kk-KZ" w:eastAsia="ru-RU"/>
        </w:rPr>
        <w:t xml:space="preserve"> С. 47</w:t>
      </w:r>
      <w:r w:rsidR="00163957" w:rsidRPr="00163957">
        <w:rPr>
          <w:rFonts w:ascii="Times New Roman" w:eastAsia="Times New Roman" w:hAnsi="Times New Roman" w:cs="Times New Roman"/>
          <w:sz w:val="28"/>
          <w:szCs w:val="28"/>
          <w:lang w:eastAsia="ru-RU"/>
        </w:rPr>
        <w:t>-</w:t>
      </w:r>
      <w:r w:rsidRPr="001935D0">
        <w:rPr>
          <w:rFonts w:ascii="Times New Roman" w:eastAsia="Times New Roman" w:hAnsi="Times New Roman" w:cs="Times New Roman"/>
          <w:sz w:val="28"/>
          <w:szCs w:val="28"/>
          <w:lang w:val="kk-KZ" w:eastAsia="ru-RU"/>
        </w:rPr>
        <w:t>51.</w:t>
      </w:r>
    </w:p>
    <w:p w14:paraId="7D1994E0" w14:textId="73D3C659" w:rsidR="00EC43F8" w:rsidRPr="001935D0" w:rsidRDefault="00183C5B"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b/>
          <w:bCs/>
          <w:sz w:val="28"/>
          <w:szCs w:val="28"/>
          <w:lang w:eastAsia="ru-RU"/>
        </w:rPr>
        <w:t>Структура и объём диссертации</w:t>
      </w:r>
      <w:r w:rsidR="00084BCB" w:rsidRPr="001935D0">
        <w:rPr>
          <w:rFonts w:ascii="Times New Roman" w:eastAsia="Times New Roman" w:hAnsi="Times New Roman" w:cs="Times New Roman"/>
          <w:b/>
          <w:bCs/>
          <w:sz w:val="28"/>
          <w:szCs w:val="28"/>
          <w:lang w:val="uk-UA" w:eastAsia="ru-RU"/>
        </w:rPr>
        <w:t xml:space="preserve"> </w:t>
      </w:r>
    </w:p>
    <w:p w14:paraId="4000816E" w14:textId="032D012E" w:rsidR="00183C5B" w:rsidRPr="001935D0" w:rsidRDefault="00EC43F8" w:rsidP="002F78E3">
      <w:pPr>
        <w:pStyle w:val="NoSpacing"/>
        <w:tabs>
          <w:tab w:val="left" w:pos="1134"/>
        </w:tabs>
        <w:ind w:firstLine="709"/>
        <w:jc w:val="both"/>
        <w:rPr>
          <w:rFonts w:ascii="Times New Roman" w:eastAsia="Times New Roman" w:hAnsi="Times New Roman" w:cs="Times New Roman"/>
          <w:sz w:val="28"/>
          <w:szCs w:val="28"/>
          <w:lang w:eastAsia="ru-RU"/>
        </w:rPr>
      </w:pPr>
      <w:r w:rsidRPr="001935D0">
        <w:rPr>
          <w:rFonts w:ascii="Times New Roman" w:hAnsi="Times New Roman" w:cs="Times New Roman"/>
          <w:sz w:val="28"/>
          <w:szCs w:val="28"/>
        </w:rPr>
        <w:t xml:space="preserve">Диссертация состоит из введения, трех </w:t>
      </w:r>
      <w:r w:rsidR="00593711">
        <w:rPr>
          <w:rFonts w:ascii="Times New Roman" w:hAnsi="Times New Roman" w:cs="Times New Roman"/>
          <w:sz w:val="28"/>
          <w:szCs w:val="28"/>
          <w:lang w:val="kk-KZ"/>
        </w:rPr>
        <w:t>разделов</w:t>
      </w:r>
      <w:r w:rsidRPr="001935D0">
        <w:rPr>
          <w:rFonts w:ascii="Times New Roman" w:hAnsi="Times New Roman" w:cs="Times New Roman"/>
          <w:sz w:val="28"/>
          <w:szCs w:val="28"/>
        </w:rPr>
        <w:t xml:space="preserve">, заключения, списка использованных источников. Общий объем работы составляет </w:t>
      </w:r>
      <w:r w:rsidR="008C65D5" w:rsidRPr="001935D0">
        <w:rPr>
          <w:rFonts w:ascii="Times New Roman" w:hAnsi="Times New Roman" w:cs="Times New Roman"/>
          <w:sz w:val="28"/>
          <w:szCs w:val="28"/>
          <w:lang w:val="uk-UA"/>
        </w:rPr>
        <w:t>1</w:t>
      </w:r>
      <w:r w:rsidR="00163957" w:rsidRPr="00C57BD3">
        <w:rPr>
          <w:rFonts w:ascii="Times New Roman" w:hAnsi="Times New Roman" w:cs="Times New Roman"/>
          <w:sz w:val="28"/>
          <w:szCs w:val="28"/>
        </w:rPr>
        <w:t>81</w:t>
      </w:r>
      <w:r w:rsidR="008C65D5" w:rsidRPr="001935D0">
        <w:rPr>
          <w:rFonts w:ascii="Times New Roman" w:hAnsi="Times New Roman" w:cs="Times New Roman"/>
          <w:sz w:val="28"/>
          <w:szCs w:val="28"/>
          <w:lang w:val="uk-UA"/>
        </w:rPr>
        <w:t xml:space="preserve"> </w:t>
      </w:r>
      <w:r w:rsidRPr="001935D0">
        <w:rPr>
          <w:rFonts w:ascii="Times New Roman" w:hAnsi="Times New Roman" w:cs="Times New Roman"/>
          <w:sz w:val="28"/>
          <w:szCs w:val="28"/>
        </w:rPr>
        <w:t>страниц</w:t>
      </w:r>
      <w:r w:rsidR="00163957">
        <w:rPr>
          <w:rFonts w:ascii="Times New Roman" w:hAnsi="Times New Roman" w:cs="Times New Roman"/>
          <w:sz w:val="28"/>
          <w:szCs w:val="28"/>
        </w:rPr>
        <w:t>а</w:t>
      </w:r>
      <w:r w:rsidRPr="001935D0">
        <w:rPr>
          <w:rFonts w:ascii="Times New Roman" w:hAnsi="Times New Roman" w:cs="Times New Roman"/>
          <w:sz w:val="28"/>
          <w:szCs w:val="28"/>
        </w:rPr>
        <w:t xml:space="preserve">. Список использованных источников включает </w:t>
      </w:r>
      <w:r w:rsidRPr="001935D0">
        <w:rPr>
          <w:rFonts w:ascii="Times New Roman" w:hAnsi="Times New Roman" w:cs="Times New Roman"/>
          <w:bCs/>
          <w:sz w:val="28"/>
          <w:szCs w:val="28"/>
        </w:rPr>
        <w:t>2</w:t>
      </w:r>
      <w:r w:rsidR="00163957" w:rsidRPr="00163957">
        <w:rPr>
          <w:rFonts w:ascii="Times New Roman" w:hAnsi="Times New Roman" w:cs="Times New Roman"/>
          <w:bCs/>
          <w:sz w:val="28"/>
          <w:szCs w:val="28"/>
        </w:rPr>
        <w:t>16</w:t>
      </w:r>
      <w:r w:rsidRPr="001935D0">
        <w:rPr>
          <w:rFonts w:ascii="Times New Roman" w:hAnsi="Times New Roman" w:cs="Times New Roman"/>
          <w:bCs/>
          <w:sz w:val="28"/>
          <w:szCs w:val="28"/>
        </w:rPr>
        <w:t xml:space="preserve"> наименования</w:t>
      </w:r>
      <w:r w:rsidRPr="001935D0">
        <w:rPr>
          <w:rFonts w:ascii="Times New Roman" w:hAnsi="Times New Roman" w:cs="Times New Roman"/>
          <w:sz w:val="28"/>
          <w:szCs w:val="28"/>
        </w:rPr>
        <w:t>, в том числе международные нормативные акты, официальные док</w:t>
      </w:r>
      <w:r w:rsidR="001A6DAB" w:rsidRPr="001935D0">
        <w:rPr>
          <w:rFonts w:ascii="Times New Roman" w:hAnsi="Times New Roman" w:cs="Times New Roman"/>
          <w:sz w:val="28"/>
          <w:szCs w:val="28"/>
        </w:rPr>
        <w:t xml:space="preserve">ументы институтов Европейского </w:t>
      </w:r>
      <w:r w:rsidR="001A6DAB" w:rsidRPr="001935D0">
        <w:rPr>
          <w:rFonts w:ascii="Times New Roman" w:hAnsi="Times New Roman" w:cs="Times New Roman"/>
          <w:sz w:val="28"/>
          <w:szCs w:val="28"/>
          <w:lang w:val="kk-KZ"/>
        </w:rPr>
        <w:t>С</w:t>
      </w:r>
      <w:r w:rsidRPr="001935D0">
        <w:rPr>
          <w:rFonts w:ascii="Times New Roman" w:hAnsi="Times New Roman" w:cs="Times New Roman"/>
          <w:sz w:val="28"/>
          <w:szCs w:val="28"/>
        </w:rPr>
        <w:t>оюза, национальное законодательство Республики Казахстан, а также научные публикации зарубежных и отечественных исследователей.</w:t>
      </w:r>
    </w:p>
    <w:p w14:paraId="6E723485" w14:textId="77777777" w:rsidR="00EF3FF2" w:rsidRPr="001935D0" w:rsidRDefault="00EF3FF2" w:rsidP="002F78E3">
      <w:pPr>
        <w:pStyle w:val="NoSpacing"/>
        <w:tabs>
          <w:tab w:val="left" w:pos="1134"/>
        </w:tabs>
        <w:ind w:firstLine="709"/>
        <w:jc w:val="center"/>
        <w:rPr>
          <w:rFonts w:ascii="Times New Roman" w:hAnsi="Times New Roman" w:cs="Times New Roman"/>
          <w:b/>
          <w:sz w:val="28"/>
          <w:szCs w:val="28"/>
        </w:rPr>
      </w:pPr>
    </w:p>
    <w:p w14:paraId="2E55D12C" w14:textId="77777777" w:rsidR="00183C5B" w:rsidRPr="001935D0" w:rsidRDefault="00183C5B" w:rsidP="00593711">
      <w:pPr>
        <w:pStyle w:val="NoSpacing"/>
        <w:ind w:firstLine="567"/>
        <w:jc w:val="center"/>
        <w:rPr>
          <w:rFonts w:ascii="Times New Roman" w:hAnsi="Times New Roman" w:cs="Times New Roman"/>
          <w:b/>
          <w:sz w:val="28"/>
          <w:szCs w:val="28"/>
        </w:rPr>
      </w:pPr>
    </w:p>
    <w:p w14:paraId="05EBAAD8" w14:textId="77777777" w:rsidR="008F6DF4" w:rsidRDefault="008F6DF4" w:rsidP="00593711">
      <w:pPr>
        <w:pStyle w:val="NoSpacing"/>
        <w:rPr>
          <w:rFonts w:ascii="Times New Roman" w:hAnsi="Times New Roman" w:cs="Times New Roman"/>
          <w:b/>
          <w:sz w:val="28"/>
          <w:szCs w:val="28"/>
          <w:lang w:val="kk-KZ"/>
        </w:rPr>
      </w:pPr>
    </w:p>
    <w:p w14:paraId="16125422" w14:textId="77777777" w:rsidR="00593711" w:rsidRDefault="00593711" w:rsidP="00593711">
      <w:pPr>
        <w:pStyle w:val="NoSpacing"/>
        <w:rPr>
          <w:rFonts w:ascii="Times New Roman" w:hAnsi="Times New Roman" w:cs="Times New Roman"/>
          <w:b/>
          <w:sz w:val="28"/>
          <w:szCs w:val="28"/>
          <w:lang w:val="kk-KZ"/>
        </w:rPr>
      </w:pPr>
    </w:p>
    <w:p w14:paraId="5832585E" w14:textId="77777777" w:rsidR="00593711" w:rsidRDefault="00593711" w:rsidP="00593711">
      <w:pPr>
        <w:pStyle w:val="NoSpacing"/>
        <w:rPr>
          <w:rFonts w:ascii="Times New Roman" w:hAnsi="Times New Roman" w:cs="Times New Roman"/>
          <w:b/>
          <w:sz w:val="28"/>
          <w:szCs w:val="28"/>
          <w:lang w:val="kk-KZ"/>
        </w:rPr>
      </w:pPr>
    </w:p>
    <w:p w14:paraId="1E74FAF2" w14:textId="77777777" w:rsidR="00593711" w:rsidRDefault="00593711" w:rsidP="00593711">
      <w:pPr>
        <w:pStyle w:val="NoSpacing"/>
        <w:rPr>
          <w:rFonts w:ascii="Times New Roman" w:hAnsi="Times New Roman" w:cs="Times New Roman"/>
          <w:b/>
          <w:sz w:val="28"/>
          <w:szCs w:val="28"/>
          <w:lang w:val="kk-KZ"/>
        </w:rPr>
      </w:pPr>
    </w:p>
    <w:p w14:paraId="08CBE5DE" w14:textId="77777777" w:rsidR="00593711" w:rsidRDefault="00593711" w:rsidP="00593711">
      <w:pPr>
        <w:pStyle w:val="NoSpacing"/>
        <w:rPr>
          <w:rFonts w:ascii="Times New Roman" w:hAnsi="Times New Roman" w:cs="Times New Roman"/>
          <w:b/>
          <w:sz w:val="28"/>
          <w:szCs w:val="28"/>
          <w:lang w:val="kk-KZ"/>
        </w:rPr>
      </w:pPr>
    </w:p>
    <w:p w14:paraId="113E21DC" w14:textId="77777777" w:rsidR="00593711" w:rsidRDefault="00593711" w:rsidP="00593711">
      <w:pPr>
        <w:pStyle w:val="NoSpacing"/>
        <w:rPr>
          <w:rFonts w:ascii="Times New Roman" w:hAnsi="Times New Roman" w:cs="Times New Roman"/>
          <w:b/>
          <w:sz w:val="28"/>
          <w:szCs w:val="28"/>
          <w:lang w:val="kk-KZ"/>
        </w:rPr>
      </w:pPr>
    </w:p>
    <w:p w14:paraId="17A5AED8" w14:textId="77777777" w:rsidR="00593711" w:rsidRDefault="00593711" w:rsidP="00593711">
      <w:pPr>
        <w:pStyle w:val="NoSpacing"/>
        <w:rPr>
          <w:rFonts w:ascii="Times New Roman" w:hAnsi="Times New Roman" w:cs="Times New Roman"/>
          <w:b/>
          <w:sz w:val="28"/>
          <w:szCs w:val="28"/>
          <w:lang w:val="kk-KZ"/>
        </w:rPr>
      </w:pPr>
    </w:p>
    <w:p w14:paraId="05A7DE5B" w14:textId="77777777" w:rsidR="00593711" w:rsidRDefault="00593711" w:rsidP="00593711">
      <w:pPr>
        <w:pStyle w:val="NoSpacing"/>
        <w:rPr>
          <w:rFonts w:ascii="Times New Roman" w:hAnsi="Times New Roman" w:cs="Times New Roman"/>
          <w:b/>
          <w:sz w:val="28"/>
          <w:szCs w:val="28"/>
          <w:lang w:val="kk-KZ"/>
        </w:rPr>
      </w:pPr>
    </w:p>
    <w:p w14:paraId="140A0E72" w14:textId="77777777" w:rsidR="00593711" w:rsidRDefault="00593711" w:rsidP="00593711">
      <w:pPr>
        <w:pStyle w:val="NoSpacing"/>
        <w:rPr>
          <w:rFonts w:ascii="Times New Roman" w:hAnsi="Times New Roman" w:cs="Times New Roman"/>
          <w:b/>
          <w:sz w:val="28"/>
          <w:szCs w:val="28"/>
          <w:lang w:val="kk-KZ"/>
        </w:rPr>
      </w:pPr>
    </w:p>
    <w:p w14:paraId="3CDA0670" w14:textId="3345D703" w:rsidR="00EF3FF2" w:rsidRPr="001935D0" w:rsidRDefault="00EF3FF2" w:rsidP="0027189F">
      <w:pPr>
        <w:pStyle w:val="NoSpacing"/>
        <w:ind w:firstLine="709"/>
        <w:jc w:val="both"/>
        <w:rPr>
          <w:rFonts w:ascii="Times New Roman" w:hAnsi="Times New Roman" w:cs="Times New Roman"/>
          <w:b/>
          <w:sz w:val="28"/>
          <w:szCs w:val="28"/>
        </w:rPr>
      </w:pPr>
      <w:r w:rsidRPr="001935D0">
        <w:rPr>
          <w:rFonts w:ascii="Times New Roman" w:hAnsi="Times New Roman" w:cs="Times New Roman"/>
          <w:b/>
          <w:sz w:val="28"/>
          <w:szCs w:val="28"/>
        </w:rPr>
        <w:lastRenderedPageBreak/>
        <w:t>1 ПРАВА ЧЕЛОВЕКА В НОВОЙ ГЕОПОЛИТИЧЕСКОЙ ПОВЕСТКЕ ЕС: ТЕОРЕТИЧЕСКИЙ И МЕТОДОЛОГИЧЕСКИЙ КОНТЕКСТ</w:t>
      </w:r>
    </w:p>
    <w:p w14:paraId="1335DBEB" w14:textId="77777777" w:rsidR="00EF3FF2" w:rsidRPr="001935D0" w:rsidRDefault="00EF3FF2" w:rsidP="0027189F">
      <w:pPr>
        <w:pStyle w:val="NoSpacing"/>
        <w:ind w:firstLine="709"/>
        <w:jc w:val="center"/>
        <w:rPr>
          <w:rFonts w:ascii="Times New Roman" w:hAnsi="Times New Roman" w:cs="Times New Roman"/>
          <w:b/>
          <w:sz w:val="28"/>
          <w:szCs w:val="28"/>
        </w:rPr>
      </w:pPr>
    </w:p>
    <w:p w14:paraId="1442890F" w14:textId="19566862" w:rsidR="00EF3FF2" w:rsidRPr="001935D0" w:rsidRDefault="00EF3FF2" w:rsidP="0027189F">
      <w:pPr>
        <w:pStyle w:val="NoSpacing"/>
        <w:ind w:firstLine="709"/>
        <w:jc w:val="both"/>
        <w:rPr>
          <w:rFonts w:ascii="Times New Roman" w:hAnsi="Times New Roman" w:cs="Times New Roman"/>
          <w:b/>
          <w:sz w:val="28"/>
          <w:szCs w:val="28"/>
        </w:rPr>
      </w:pPr>
      <w:r w:rsidRPr="001935D0">
        <w:rPr>
          <w:rFonts w:ascii="Times New Roman" w:hAnsi="Times New Roman" w:cs="Times New Roman"/>
          <w:b/>
          <w:sz w:val="28"/>
          <w:szCs w:val="28"/>
        </w:rPr>
        <w:t>1.1 Трансформация приоритетов Европейского Союза в XXI веке: роль прав человека</w:t>
      </w:r>
    </w:p>
    <w:p w14:paraId="7051CC78" w14:textId="2D528925" w:rsidR="00E655BC" w:rsidRPr="001935D0" w:rsidRDefault="00EF3FF2" w:rsidP="0027189F">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С начала XXI века Европейский </w:t>
      </w:r>
      <w:r w:rsidR="007F7C93"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 xml:space="preserve">оюз демонстрирует структурную трансформацию своих внешне- и внутриполитических ориентиров, отражающую необходимость адаптации к новым параметрам глобального порядка. Приоритеты </w:t>
      </w:r>
      <w:r w:rsidR="00CF2560" w:rsidRPr="001935D0">
        <w:rPr>
          <w:rFonts w:ascii="Times New Roman" w:eastAsia="Times New Roman" w:hAnsi="Times New Roman" w:cs="Times New Roman"/>
          <w:sz w:val="28"/>
          <w:szCs w:val="28"/>
          <w:lang w:eastAsia="ru-RU"/>
        </w:rPr>
        <w:t>Европейск</w:t>
      </w:r>
      <w:r w:rsidR="00CF2560" w:rsidRPr="001935D0">
        <w:rPr>
          <w:rFonts w:ascii="Times New Roman" w:eastAsia="Times New Roman" w:hAnsi="Times New Roman" w:cs="Times New Roman"/>
          <w:sz w:val="28"/>
          <w:szCs w:val="28"/>
          <w:lang w:val="uk-UA" w:eastAsia="ru-RU"/>
        </w:rPr>
        <w:t xml:space="preserve">ого </w:t>
      </w:r>
      <w:r w:rsidRPr="001935D0">
        <w:rPr>
          <w:rFonts w:ascii="Times New Roman" w:eastAsia="Times New Roman" w:hAnsi="Times New Roman" w:cs="Times New Roman"/>
          <w:sz w:val="28"/>
          <w:szCs w:val="28"/>
          <w:lang w:eastAsia="ru-RU"/>
        </w:rPr>
        <w:t xml:space="preserve">Союза всё в большей степени смещаются от сугубо экономических и интеграционных задач к укреплению ценностного измерения политики – прежде всего в сферах прав человека, демократии и верховенства права. </w:t>
      </w:r>
      <w:r w:rsidR="00E655BC" w:rsidRPr="001935D0">
        <w:rPr>
          <w:rFonts w:ascii="Times New Roman" w:eastAsia="Times New Roman" w:hAnsi="Times New Roman" w:cs="Times New Roman"/>
          <w:sz w:val="28"/>
          <w:szCs w:val="28"/>
          <w:lang w:eastAsia="ru-RU"/>
        </w:rPr>
        <w:t xml:space="preserve">Такая эволюция является институциональным ответом на усиливающиеся глобальные вызовы, включая фрагментацию международного правопорядка, трансформацию характера международных конфликтов, расширение киберпространства как арены конкуренции, а также рост нестабильности в различных регионах мира. В новых условиях Европейский </w:t>
      </w:r>
      <w:r w:rsidR="00CF2560" w:rsidRPr="001935D0">
        <w:rPr>
          <w:rFonts w:ascii="Times New Roman" w:eastAsia="Times New Roman" w:hAnsi="Times New Roman" w:cs="Times New Roman"/>
          <w:sz w:val="28"/>
          <w:szCs w:val="28"/>
          <w:lang w:val="uk-UA" w:eastAsia="ru-RU"/>
        </w:rPr>
        <w:t>С</w:t>
      </w:r>
      <w:r w:rsidR="00E655BC" w:rsidRPr="001935D0">
        <w:rPr>
          <w:rFonts w:ascii="Times New Roman" w:eastAsia="Times New Roman" w:hAnsi="Times New Roman" w:cs="Times New Roman"/>
          <w:sz w:val="28"/>
          <w:szCs w:val="28"/>
          <w:lang w:eastAsia="ru-RU"/>
        </w:rPr>
        <w:t>оюз стремится не только к защите своих фундаментальных ценностей внутри Союза, но и к их продвижению на международной арене через инструменты внешнеполитического взаимодействия, включая стратегическое партнёрство, программную поддержку и институциональный диалог.</w:t>
      </w:r>
    </w:p>
    <w:p w14:paraId="6209BE00" w14:textId="63501086" w:rsidR="00EF3FF2" w:rsidRPr="001935D0" w:rsidRDefault="00EF3FF2" w:rsidP="0027189F">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Одним из ключевых программных документов последнего десятилетия, отражающим эволюцию ценностно ориентированной внешней политики Европейского </w:t>
      </w:r>
      <w:r w:rsidR="00CF2560"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оюза, является План действий ЕС в области прав человека и демократии на 2020–2024 годы (European Action Plan on Human Rights and Democracy 2020–2024)</w:t>
      </w:r>
      <w:r w:rsidR="00750E98" w:rsidRPr="001935D0">
        <w:rPr>
          <w:rFonts w:ascii="Times New Roman" w:eastAsia="Times New Roman" w:hAnsi="Times New Roman" w:cs="Times New Roman"/>
          <w:sz w:val="28"/>
          <w:szCs w:val="28"/>
          <w:lang w:eastAsia="ru-RU"/>
        </w:rPr>
        <w:t xml:space="preserve"> [1]</w:t>
      </w:r>
      <w:r w:rsidRPr="001935D0">
        <w:rPr>
          <w:rFonts w:ascii="Times New Roman" w:eastAsia="Times New Roman" w:hAnsi="Times New Roman" w:cs="Times New Roman"/>
          <w:sz w:val="28"/>
          <w:szCs w:val="28"/>
          <w:lang w:eastAsia="ru-RU"/>
        </w:rPr>
        <w:t xml:space="preserve">. Как отмечают </w:t>
      </w:r>
      <w:r w:rsidR="00750E98" w:rsidRPr="001935D0">
        <w:rPr>
          <w:rFonts w:ascii="Times New Roman" w:eastAsia="Times New Roman" w:hAnsi="Times New Roman" w:cs="Times New Roman"/>
          <w:sz w:val="28"/>
          <w:szCs w:val="28"/>
          <w:lang w:eastAsia="ru-RU"/>
        </w:rPr>
        <w:t>Р. Янгс та И. Вентура</w:t>
      </w:r>
      <w:r w:rsidRPr="001935D0">
        <w:rPr>
          <w:rFonts w:ascii="Times New Roman" w:eastAsia="Times New Roman" w:hAnsi="Times New Roman" w:cs="Times New Roman"/>
          <w:sz w:val="28"/>
          <w:szCs w:val="28"/>
          <w:lang w:eastAsia="ru-RU"/>
        </w:rPr>
        <w:t>, данный документ знаменует собой переход к новой фазе стратегической концептуализации прав человека, в рамках которой они интерпретируются не только как этическое обязательство, но и как инструмент формирования устойчивых международных партнёрств, управления миграционными процессами, цифрового регулирования и расширения политико-правового влияния ЕС</w:t>
      </w:r>
      <w:r w:rsidR="00750E98" w:rsidRPr="001935D0">
        <w:rPr>
          <w:rFonts w:ascii="Times New Roman" w:eastAsia="Times New Roman" w:hAnsi="Times New Roman" w:cs="Times New Roman"/>
          <w:sz w:val="28"/>
          <w:szCs w:val="28"/>
          <w:lang w:eastAsia="ru-RU"/>
        </w:rPr>
        <w:t xml:space="preserve"> [16]</w:t>
      </w:r>
      <w:r w:rsidRPr="001935D0">
        <w:rPr>
          <w:rFonts w:ascii="Times New Roman" w:eastAsia="Times New Roman" w:hAnsi="Times New Roman" w:cs="Times New Roman"/>
          <w:sz w:val="28"/>
          <w:szCs w:val="28"/>
          <w:lang w:eastAsia="ru-RU"/>
        </w:rPr>
        <w:t>.</w:t>
      </w:r>
    </w:p>
    <w:p w14:paraId="2ACADFC4" w14:textId="39045AD8" w:rsidR="00EF3FF2" w:rsidRPr="001935D0" w:rsidRDefault="00EF3FF2" w:rsidP="0027189F">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val="uk-UA" w:eastAsia="ru-RU"/>
        </w:rPr>
        <w:t>В</w:t>
      </w:r>
      <w:r w:rsidRPr="001935D0">
        <w:rPr>
          <w:rFonts w:ascii="Times New Roman" w:eastAsia="Times New Roman" w:hAnsi="Times New Roman" w:cs="Times New Roman"/>
          <w:sz w:val="28"/>
          <w:szCs w:val="28"/>
          <w:lang w:eastAsia="ru-RU"/>
        </w:rPr>
        <w:t xml:space="preserve"> политике Европейского </w:t>
      </w:r>
      <w:r w:rsidR="00CF2560"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оюза правам человека в XXI веке придаётся статус многофункциональной стратегической категории, сочетающей нормативный потенциал и прагматическое применение. Это находит выражение в таких институциональных механизмах, как санкционный режим в рамках Глобального режима ЕС по правам человека (EU Global Human Rights Sanctions Regime)</w:t>
      </w:r>
      <w:r w:rsidR="00750E98" w:rsidRPr="001935D0">
        <w:rPr>
          <w:rFonts w:ascii="Times New Roman" w:eastAsia="Times New Roman" w:hAnsi="Times New Roman" w:cs="Times New Roman"/>
          <w:sz w:val="28"/>
          <w:szCs w:val="28"/>
          <w:lang w:eastAsia="ru-RU"/>
        </w:rPr>
        <w:t xml:space="preserve"> [3]</w:t>
      </w:r>
      <w:r w:rsidRPr="001935D0">
        <w:rPr>
          <w:rFonts w:ascii="Times New Roman" w:eastAsia="Times New Roman" w:hAnsi="Times New Roman" w:cs="Times New Roman"/>
          <w:sz w:val="28"/>
          <w:szCs w:val="28"/>
          <w:lang w:eastAsia="ru-RU"/>
        </w:rPr>
        <w:t xml:space="preserve">, миссиях наблюдения, политике гендерного равенства, интеграции правозащитной повестки в климатическую и торговую дипломатию, а также в программах поддержки гражданского общества в третьих странах. </w:t>
      </w:r>
      <w:r w:rsidR="00750E98" w:rsidRPr="001935D0">
        <w:rPr>
          <w:rFonts w:ascii="Times New Roman" w:eastAsia="Times New Roman" w:hAnsi="Times New Roman" w:cs="Times New Roman"/>
          <w:sz w:val="28"/>
          <w:szCs w:val="28"/>
          <w:lang w:eastAsia="ru-RU"/>
        </w:rPr>
        <w:t>Э</w:t>
      </w:r>
      <w:r w:rsidRPr="001935D0">
        <w:rPr>
          <w:rFonts w:ascii="Times New Roman" w:eastAsia="Times New Roman" w:hAnsi="Times New Roman" w:cs="Times New Roman"/>
          <w:sz w:val="28"/>
          <w:szCs w:val="28"/>
          <w:lang w:eastAsia="ru-RU"/>
        </w:rPr>
        <w:t>ти элементы укрепляют позицию ЕС как нормативного актора в условиях растущей геополитической конкуренции</w:t>
      </w:r>
      <w:r w:rsidR="00750E98" w:rsidRPr="001935D0">
        <w:rPr>
          <w:rFonts w:ascii="Times New Roman" w:eastAsia="Times New Roman" w:hAnsi="Times New Roman" w:cs="Times New Roman"/>
          <w:sz w:val="28"/>
          <w:szCs w:val="28"/>
          <w:lang w:eastAsia="ru-RU"/>
        </w:rPr>
        <w:t xml:space="preserve"> как в своих работах отмечают С. Кёкелир, Т. Дельрё [17</w:t>
      </w:r>
      <w:r w:rsidR="003975C3">
        <w:rPr>
          <w:rFonts w:ascii="Times New Roman" w:eastAsia="Times New Roman" w:hAnsi="Times New Roman" w:cs="Times New Roman"/>
          <w:sz w:val="28"/>
          <w:szCs w:val="28"/>
          <w:lang w:val="kk-KZ" w:eastAsia="ru-RU"/>
        </w:rPr>
        <w:t>, р. 3-510</w:t>
      </w:r>
      <w:r w:rsidR="00750E98" w:rsidRPr="001935D0">
        <w:rPr>
          <w:rFonts w:ascii="Times New Roman" w:eastAsia="Times New Roman" w:hAnsi="Times New Roman" w:cs="Times New Roman"/>
          <w:sz w:val="28"/>
          <w:szCs w:val="28"/>
          <w:lang w:eastAsia="ru-RU"/>
        </w:rPr>
        <w:t>].</w:t>
      </w:r>
    </w:p>
    <w:p w14:paraId="43F72CE8" w14:textId="77777777" w:rsidR="00EF3FF2" w:rsidRPr="001935D0" w:rsidRDefault="00EF3FF2" w:rsidP="0027189F">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В то же время, как следует из Промежуточного обзора реализации Плана действий ЕС по правам человека и демократии за 2023 год (Mid-Term Review, </w:t>
      </w:r>
      <w:r w:rsidRPr="001935D0">
        <w:rPr>
          <w:rFonts w:ascii="Times New Roman" w:eastAsia="Times New Roman" w:hAnsi="Times New Roman" w:cs="Times New Roman"/>
          <w:sz w:val="28"/>
          <w:szCs w:val="28"/>
          <w:lang w:eastAsia="ru-RU"/>
        </w:rPr>
        <w:lastRenderedPageBreak/>
        <w:t>EEAS, 2023), текущая стратегия характеризуется ограниченной операционализацией: в ней не определены чёткие показатели эффективности, механизмы ответственности исполнителей и детализированные временные ориентиры</w:t>
      </w:r>
      <w:r w:rsidR="00750E98" w:rsidRPr="001935D0">
        <w:rPr>
          <w:rFonts w:ascii="Times New Roman" w:eastAsia="Times New Roman" w:hAnsi="Times New Roman" w:cs="Times New Roman"/>
          <w:sz w:val="28"/>
          <w:szCs w:val="28"/>
          <w:lang w:eastAsia="ru-RU"/>
        </w:rPr>
        <w:t xml:space="preserve"> [18]</w:t>
      </w:r>
      <w:r w:rsidRPr="001935D0">
        <w:rPr>
          <w:rFonts w:ascii="Times New Roman" w:eastAsia="Times New Roman" w:hAnsi="Times New Roman" w:cs="Times New Roman"/>
          <w:sz w:val="28"/>
          <w:szCs w:val="28"/>
          <w:lang w:eastAsia="ru-RU"/>
        </w:rPr>
        <w:t>. Несмотря на заявленные амбициозные цели, наблюдается определённый разрыв между программной риторикой и практической реализацией, что подчеркивает необходимость разработки более согласованной и функциональной стратегии ЕС в сфере прав человека и демократии на период после 2027 года.</w:t>
      </w:r>
    </w:p>
    <w:p w14:paraId="7C829DCA" w14:textId="5B7D8656" w:rsidR="00173777" w:rsidRPr="001935D0" w:rsidRDefault="00EF3FF2" w:rsidP="0027189F">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Следовательно, исследование трансформации приоритетов Европейского </w:t>
      </w:r>
      <w:r w:rsidR="00CF2560"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оюза в XXI веке требует анализа не только содержательной направленности стратегических документов, но и институциональных механизмов их реализации. Такой подход позволяет проследить, каким образом права человека трансформировались из морально-декларативной категории в структурный элемент геополитической субъектности ЕС.</w:t>
      </w:r>
    </w:p>
    <w:p w14:paraId="39EC4299" w14:textId="0E731248" w:rsidR="00BE2BCE" w:rsidRPr="001935D0" w:rsidRDefault="00BE2BCE"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процессе европейской интеграции XX-XXI веков Европейский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 постепенно трансформировался из экономического объединения в политическое сообщество, основанное на общих ценностях, правовых нормах и институциональных принципах. Одной из ключевых вех в этом процессе стало подписание Лиссабонского договора 2007 года, который вступил в силу 1 декабря 2009 года. Этот договор существенно расширил политические полномочия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Pr="001935D0">
        <w:rPr>
          <w:rFonts w:ascii="Times New Roman" w:hAnsi="Times New Roman" w:cs="Times New Roman"/>
          <w:sz w:val="28"/>
          <w:szCs w:val="28"/>
        </w:rPr>
        <w:t xml:space="preserve">, закрепил его правосубъектность, придал юридическую силу Хартии основных прав Европейского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и чётко обозначил механизмы демократического управления.</w:t>
      </w:r>
    </w:p>
    <w:p w14:paraId="37C3B6EF" w14:textId="01467C08" w:rsidR="00BE2BCE" w:rsidRPr="001935D0" w:rsidRDefault="00BE2BCE"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Хартия основных прав ЕС, провозглашённая в Ницце в 2000 году и подтверждённая в 2007 году, приобрела юридическую обязательность после вступления в силу Лиссабонского договора</w:t>
      </w:r>
      <w:r w:rsidR="00750E98" w:rsidRPr="001935D0">
        <w:rPr>
          <w:rFonts w:ascii="Times New Roman" w:hAnsi="Times New Roman" w:cs="Times New Roman"/>
          <w:sz w:val="28"/>
          <w:szCs w:val="28"/>
        </w:rPr>
        <w:t xml:space="preserve"> [</w:t>
      </w:r>
      <w:r w:rsidR="00F7638F" w:rsidRPr="001935D0">
        <w:rPr>
          <w:rFonts w:ascii="Times New Roman" w:hAnsi="Times New Roman" w:cs="Times New Roman"/>
          <w:sz w:val="28"/>
          <w:szCs w:val="28"/>
        </w:rPr>
        <w:t>19</w:t>
      </w:r>
      <w:r w:rsidR="003975C3">
        <w:rPr>
          <w:rFonts w:ascii="Times New Roman" w:hAnsi="Times New Roman" w:cs="Times New Roman"/>
          <w:sz w:val="28"/>
          <w:szCs w:val="28"/>
          <w:lang w:val="kk-KZ"/>
        </w:rPr>
        <w:t xml:space="preserve">; </w:t>
      </w:r>
      <w:r w:rsidR="00F7638F" w:rsidRPr="001935D0">
        <w:rPr>
          <w:rFonts w:ascii="Times New Roman" w:hAnsi="Times New Roman" w:cs="Times New Roman"/>
          <w:sz w:val="28"/>
          <w:szCs w:val="28"/>
        </w:rPr>
        <w:t>20</w:t>
      </w:r>
      <w:r w:rsidR="00750E98" w:rsidRPr="001935D0">
        <w:rPr>
          <w:rFonts w:ascii="Times New Roman" w:hAnsi="Times New Roman" w:cs="Times New Roman"/>
          <w:sz w:val="28"/>
          <w:szCs w:val="28"/>
        </w:rPr>
        <w:t>]</w:t>
      </w:r>
      <w:r w:rsidRPr="001935D0">
        <w:rPr>
          <w:rFonts w:ascii="Times New Roman" w:hAnsi="Times New Roman" w:cs="Times New Roman"/>
          <w:sz w:val="28"/>
          <w:szCs w:val="28"/>
        </w:rPr>
        <w:t xml:space="preserve">. Согласно статье 6(1) Договора о Европейском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оюзе, Хартия имеет такую же юридическую силу, как и учредительные договоры</w:t>
      </w:r>
      <w:r w:rsidR="00F7638F" w:rsidRPr="001935D0">
        <w:rPr>
          <w:rFonts w:ascii="Times New Roman" w:hAnsi="Times New Roman" w:cs="Times New Roman"/>
          <w:sz w:val="28"/>
          <w:szCs w:val="28"/>
        </w:rPr>
        <w:t xml:space="preserve"> [21]</w:t>
      </w:r>
      <w:r w:rsidRPr="001935D0">
        <w:rPr>
          <w:rFonts w:ascii="Times New Roman" w:hAnsi="Times New Roman" w:cs="Times New Roman"/>
          <w:sz w:val="28"/>
          <w:szCs w:val="28"/>
        </w:rPr>
        <w:t xml:space="preserve">. В документе права и свободы сгруппированы по шести разделам: достоинство, свободы, равенство, солидарность, права граждан и правосудие. Её положения распространяются как на институты ЕС, так и на государства-члены – в пределах применения права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Pr="001935D0">
        <w:rPr>
          <w:rFonts w:ascii="Times New Roman" w:hAnsi="Times New Roman" w:cs="Times New Roman"/>
          <w:sz w:val="28"/>
          <w:szCs w:val="28"/>
        </w:rPr>
        <w:t>.</w:t>
      </w:r>
    </w:p>
    <w:p w14:paraId="6A4DB002" w14:textId="0875CFFA" w:rsidR="00BE2BCE" w:rsidRPr="001935D0" w:rsidRDefault="00BE2BCE"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На основе Лиссабонского договора также были зафиксированы изменения, которые превратили ЕС в полноценный политический субъект международного права с расширенными полномочиями Европейского </w:t>
      </w:r>
      <w:r w:rsidR="004A3405">
        <w:rPr>
          <w:rFonts w:ascii="Times New Roman" w:hAnsi="Times New Roman" w:cs="Times New Roman"/>
          <w:sz w:val="28"/>
          <w:szCs w:val="28"/>
        </w:rPr>
        <w:t>П</w:t>
      </w:r>
      <w:r w:rsidRPr="001935D0">
        <w:rPr>
          <w:rFonts w:ascii="Times New Roman" w:hAnsi="Times New Roman" w:cs="Times New Roman"/>
          <w:sz w:val="28"/>
          <w:szCs w:val="28"/>
        </w:rPr>
        <w:t>арламента, демократическими механизмами участия граждан и структурированной политикой в сфере безопасности и защиты прав человека.</w:t>
      </w:r>
    </w:p>
    <w:p w14:paraId="41663DFA" w14:textId="50B57914" w:rsidR="00BE2BCE" w:rsidRDefault="00BE2BCE" w:rsidP="0067561B">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lang w:val="uk-UA"/>
        </w:rPr>
        <w:t>В</w:t>
      </w:r>
      <w:r w:rsidRPr="001935D0">
        <w:rPr>
          <w:rFonts w:ascii="Times New Roman" w:hAnsi="Times New Roman" w:cs="Times New Roman"/>
          <w:sz w:val="28"/>
          <w:szCs w:val="28"/>
        </w:rPr>
        <w:t xml:space="preserve"> таблиц</w:t>
      </w:r>
      <w:r w:rsidRPr="001935D0">
        <w:rPr>
          <w:rFonts w:ascii="Times New Roman" w:hAnsi="Times New Roman" w:cs="Times New Roman"/>
          <w:sz w:val="28"/>
          <w:szCs w:val="28"/>
          <w:lang w:val="uk-UA"/>
        </w:rPr>
        <w:t>е 1.1</w:t>
      </w:r>
      <w:r w:rsidRPr="001935D0">
        <w:rPr>
          <w:rFonts w:ascii="Times New Roman" w:hAnsi="Times New Roman" w:cs="Times New Roman"/>
          <w:sz w:val="28"/>
          <w:szCs w:val="28"/>
        </w:rPr>
        <w:t xml:space="preserve"> систематизированы ключевые нововведения Лиссабонского договора и дана их оценка с точки зрения формирования ценностно-ориентированной политической идентичности Европейского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w:t>
      </w:r>
    </w:p>
    <w:p w14:paraId="2171B876" w14:textId="77777777" w:rsidR="0067561B" w:rsidRPr="001935D0" w:rsidRDefault="0067561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Представленные структурные положения Лиссабонского договора способствовали не только модернизации институциональной архитектуры Европейского </w:t>
      </w:r>
      <w:r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 xml:space="preserve">оюза, но и отразили глубокую трансформацию его политико-правовой идентичности. Прежде всего следует отметить, что впервые в истории европейской интеграции на уровне первичного права были чётко зафиксированы основные демократические принципы: демократическое равенство, </w:t>
      </w:r>
      <w:r w:rsidRPr="001935D0">
        <w:rPr>
          <w:rFonts w:ascii="Times New Roman" w:hAnsi="Times New Roman" w:cs="Times New Roman"/>
          <w:sz w:val="28"/>
          <w:szCs w:val="28"/>
          <w:lang w:eastAsia="ru-RU"/>
        </w:rPr>
        <w:lastRenderedPageBreak/>
        <w:t>представительная демократия и участие граждан. Это означает, что легитимность решений институтов ЕС должна основываться не исключительно на консенсусе государств-членов, но и на прямом участии европейского демоса как субъекта права.</w:t>
      </w:r>
    </w:p>
    <w:p w14:paraId="2AC01224" w14:textId="77777777" w:rsidR="0027189F" w:rsidRPr="0027189F" w:rsidRDefault="0027189F" w:rsidP="00593711">
      <w:pPr>
        <w:pStyle w:val="NoSpacing"/>
        <w:ind w:firstLine="567"/>
        <w:jc w:val="both"/>
        <w:rPr>
          <w:rFonts w:ascii="Times New Roman" w:hAnsi="Times New Roman" w:cs="Times New Roman"/>
          <w:sz w:val="28"/>
          <w:szCs w:val="28"/>
          <w:lang w:val="kk-KZ"/>
        </w:rPr>
      </w:pPr>
    </w:p>
    <w:p w14:paraId="0A648653" w14:textId="5CE4DF07" w:rsidR="00BE2BCE" w:rsidRDefault="00BE2BCE" w:rsidP="0027189F">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1.1 </w:t>
      </w:r>
      <w:r w:rsidR="0027189F">
        <w:rPr>
          <w:rFonts w:ascii="Times New Roman" w:hAnsi="Times New Roman" w:cs="Times New Roman"/>
          <w:sz w:val="28"/>
          <w:szCs w:val="28"/>
        </w:rPr>
        <w:t>‒</w:t>
      </w:r>
      <w:r w:rsidR="0027189F">
        <w:rPr>
          <w:rFonts w:ascii="Times New Roman" w:hAnsi="Times New Roman" w:cs="Times New Roman"/>
          <w:sz w:val="28"/>
          <w:szCs w:val="28"/>
          <w:lang w:val="kk-KZ"/>
        </w:rPr>
        <w:t xml:space="preserve"> </w:t>
      </w:r>
      <w:r w:rsidRPr="001935D0">
        <w:rPr>
          <w:rFonts w:ascii="Times New Roman" w:hAnsi="Times New Roman" w:cs="Times New Roman"/>
          <w:sz w:val="28"/>
          <w:szCs w:val="28"/>
        </w:rPr>
        <w:t xml:space="preserve">Ключевые положения Лиссабонского договора в контексте становления политико-ценностной идентичности Европейского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w:t>
      </w:r>
    </w:p>
    <w:p w14:paraId="2584CBFE" w14:textId="77777777" w:rsidR="0027189F" w:rsidRPr="0027189F" w:rsidRDefault="0027189F" w:rsidP="0027189F">
      <w:pPr>
        <w:pStyle w:val="NoSpacing"/>
        <w:jc w:val="both"/>
        <w:rPr>
          <w:rFonts w:ascii="Times New Roman" w:hAnsi="Times New Roman" w:cs="Times New Roman"/>
          <w:sz w:val="16"/>
          <w:szCs w:val="16"/>
          <w:lang w:val="kk-KZ"/>
        </w:rPr>
      </w:pPr>
    </w:p>
    <w:tbl>
      <w:tblPr>
        <w:tblStyle w:val="TableGrid"/>
        <w:tblW w:w="0" w:type="auto"/>
        <w:jc w:val="center"/>
        <w:tblLook w:val="04A0" w:firstRow="1" w:lastRow="0" w:firstColumn="1" w:lastColumn="0" w:noHBand="0" w:noVBand="1"/>
      </w:tblPr>
      <w:tblGrid>
        <w:gridCol w:w="2835"/>
        <w:gridCol w:w="6656"/>
      </w:tblGrid>
      <w:tr w:rsidR="00C11870" w:rsidRPr="0027189F" w14:paraId="68DB962B" w14:textId="77777777" w:rsidTr="0067561B">
        <w:trPr>
          <w:jc w:val="center"/>
        </w:trPr>
        <w:tc>
          <w:tcPr>
            <w:tcW w:w="2835" w:type="dxa"/>
            <w:vAlign w:val="center"/>
          </w:tcPr>
          <w:p w14:paraId="4D81E436" w14:textId="77777777" w:rsidR="00BE2BCE" w:rsidRPr="0027189F" w:rsidRDefault="00BE2BCE" w:rsidP="00593711">
            <w:pPr>
              <w:jc w:val="center"/>
              <w:rPr>
                <w:rFonts w:ascii="Times New Roman" w:hAnsi="Times New Roman" w:cs="Times New Roman"/>
                <w:bCs/>
                <w:sz w:val="24"/>
                <w:szCs w:val="24"/>
              </w:rPr>
            </w:pPr>
            <w:r w:rsidRPr="0027189F">
              <w:rPr>
                <w:rStyle w:val="Strong"/>
                <w:rFonts w:ascii="Times New Roman" w:hAnsi="Times New Roman" w:cs="Times New Roman"/>
                <w:b w:val="0"/>
                <w:sz w:val="24"/>
                <w:szCs w:val="24"/>
              </w:rPr>
              <w:t>Направление</w:t>
            </w:r>
          </w:p>
        </w:tc>
        <w:tc>
          <w:tcPr>
            <w:tcW w:w="6656" w:type="dxa"/>
            <w:vAlign w:val="center"/>
          </w:tcPr>
          <w:p w14:paraId="0B1CBF17" w14:textId="77777777" w:rsidR="00BE2BCE" w:rsidRPr="0027189F" w:rsidRDefault="00BE2BCE" w:rsidP="00593711">
            <w:pPr>
              <w:jc w:val="center"/>
              <w:rPr>
                <w:rFonts w:ascii="Times New Roman" w:hAnsi="Times New Roman" w:cs="Times New Roman"/>
                <w:bCs/>
                <w:sz w:val="24"/>
                <w:szCs w:val="24"/>
              </w:rPr>
            </w:pPr>
            <w:r w:rsidRPr="0027189F">
              <w:rPr>
                <w:rStyle w:val="Strong"/>
                <w:rFonts w:ascii="Times New Roman" w:hAnsi="Times New Roman" w:cs="Times New Roman"/>
                <w:b w:val="0"/>
                <w:sz w:val="24"/>
                <w:szCs w:val="24"/>
              </w:rPr>
              <w:t>Ключевые изменения по Лиссабонскому договору</w:t>
            </w:r>
          </w:p>
        </w:tc>
      </w:tr>
      <w:tr w:rsidR="00C11870" w:rsidRPr="001935D0" w14:paraId="73FC13DA" w14:textId="77777777" w:rsidTr="0067561B">
        <w:trPr>
          <w:jc w:val="center"/>
        </w:trPr>
        <w:tc>
          <w:tcPr>
            <w:tcW w:w="2835" w:type="dxa"/>
            <w:vAlign w:val="center"/>
          </w:tcPr>
          <w:p w14:paraId="4B1CCE08" w14:textId="77777777" w:rsidR="00BE2BCE" w:rsidRPr="001935D0" w:rsidRDefault="00BE2BCE" w:rsidP="00593711">
            <w:pPr>
              <w:rPr>
                <w:rFonts w:ascii="Times New Roman" w:hAnsi="Times New Roman" w:cs="Times New Roman"/>
                <w:sz w:val="24"/>
                <w:szCs w:val="24"/>
              </w:rPr>
            </w:pPr>
            <w:r w:rsidRPr="001935D0">
              <w:rPr>
                <w:rFonts w:ascii="Times New Roman" w:hAnsi="Times New Roman" w:cs="Times New Roman"/>
                <w:sz w:val="24"/>
                <w:szCs w:val="24"/>
              </w:rPr>
              <w:t>Институциональная структура</w:t>
            </w:r>
          </w:p>
        </w:tc>
        <w:tc>
          <w:tcPr>
            <w:tcW w:w="6656" w:type="dxa"/>
            <w:vAlign w:val="center"/>
          </w:tcPr>
          <w:p w14:paraId="2B18DDA7" w14:textId="4D2A37D6" w:rsidR="00BE2BCE" w:rsidRPr="001935D0" w:rsidRDefault="00BE2BCE" w:rsidP="00593711">
            <w:pPr>
              <w:jc w:val="both"/>
              <w:rPr>
                <w:rFonts w:ascii="Times New Roman" w:hAnsi="Times New Roman" w:cs="Times New Roman"/>
                <w:sz w:val="24"/>
                <w:szCs w:val="24"/>
              </w:rPr>
            </w:pPr>
            <w:r w:rsidRPr="001935D0">
              <w:rPr>
                <w:rFonts w:ascii="Times New Roman" w:hAnsi="Times New Roman" w:cs="Times New Roman"/>
                <w:sz w:val="24"/>
                <w:szCs w:val="24"/>
              </w:rPr>
              <w:t xml:space="preserve">Закрепление Европейскому </w:t>
            </w:r>
            <w:r w:rsidR="004A3405">
              <w:rPr>
                <w:rFonts w:ascii="Times New Roman" w:hAnsi="Times New Roman" w:cs="Times New Roman"/>
                <w:sz w:val="24"/>
                <w:szCs w:val="24"/>
              </w:rPr>
              <w:t>С</w:t>
            </w:r>
            <w:r w:rsidRPr="001935D0">
              <w:rPr>
                <w:rFonts w:ascii="Times New Roman" w:hAnsi="Times New Roman" w:cs="Times New Roman"/>
                <w:sz w:val="24"/>
                <w:szCs w:val="24"/>
              </w:rPr>
              <w:t xml:space="preserve">овету официального статуса; учреждение должности Председателя Совета; усиление полномочий Европейского </w:t>
            </w:r>
            <w:r w:rsidR="004A3405">
              <w:rPr>
                <w:rFonts w:ascii="Times New Roman" w:hAnsi="Times New Roman" w:cs="Times New Roman"/>
                <w:sz w:val="24"/>
                <w:szCs w:val="24"/>
              </w:rPr>
              <w:t>П</w:t>
            </w:r>
            <w:r w:rsidRPr="001935D0">
              <w:rPr>
                <w:rFonts w:ascii="Times New Roman" w:hAnsi="Times New Roman" w:cs="Times New Roman"/>
                <w:sz w:val="24"/>
                <w:szCs w:val="24"/>
              </w:rPr>
              <w:t>арламента.</w:t>
            </w:r>
          </w:p>
        </w:tc>
      </w:tr>
      <w:tr w:rsidR="00C11870" w:rsidRPr="001935D0" w14:paraId="2F89F069" w14:textId="77777777" w:rsidTr="0067561B">
        <w:trPr>
          <w:jc w:val="center"/>
        </w:trPr>
        <w:tc>
          <w:tcPr>
            <w:tcW w:w="2835" w:type="dxa"/>
            <w:vAlign w:val="center"/>
          </w:tcPr>
          <w:p w14:paraId="28927746" w14:textId="77777777" w:rsidR="00BE2BCE" w:rsidRPr="001935D0" w:rsidRDefault="00BE2BCE" w:rsidP="00593711">
            <w:pPr>
              <w:rPr>
                <w:rFonts w:ascii="Times New Roman" w:hAnsi="Times New Roman" w:cs="Times New Roman"/>
                <w:sz w:val="24"/>
                <w:szCs w:val="24"/>
              </w:rPr>
            </w:pPr>
            <w:r w:rsidRPr="001935D0">
              <w:rPr>
                <w:rFonts w:ascii="Times New Roman" w:hAnsi="Times New Roman" w:cs="Times New Roman"/>
                <w:sz w:val="24"/>
                <w:szCs w:val="24"/>
              </w:rPr>
              <w:t>Права человека</w:t>
            </w:r>
          </w:p>
        </w:tc>
        <w:tc>
          <w:tcPr>
            <w:tcW w:w="6656" w:type="dxa"/>
            <w:vAlign w:val="center"/>
          </w:tcPr>
          <w:p w14:paraId="15F6939F" w14:textId="77777777" w:rsidR="00BE2BCE" w:rsidRPr="001935D0" w:rsidRDefault="00BE2BCE" w:rsidP="00593711">
            <w:pPr>
              <w:jc w:val="both"/>
              <w:rPr>
                <w:rFonts w:ascii="Times New Roman" w:hAnsi="Times New Roman" w:cs="Times New Roman"/>
                <w:sz w:val="24"/>
                <w:szCs w:val="24"/>
              </w:rPr>
            </w:pPr>
            <w:r w:rsidRPr="001935D0">
              <w:rPr>
                <w:rFonts w:ascii="Times New Roman" w:hAnsi="Times New Roman" w:cs="Times New Roman"/>
                <w:sz w:val="24"/>
                <w:szCs w:val="24"/>
              </w:rPr>
              <w:t>Закрепление Хартии основных прав юридической силы (ст. 6(1) ДЕС); приравнивание её к учредительным договорам ЕС.</w:t>
            </w:r>
          </w:p>
        </w:tc>
      </w:tr>
      <w:tr w:rsidR="00C11870" w:rsidRPr="001935D0" w14:paraId="1DEAA0AD" w14:textId="77777777" w:rsidTr="0067561B">
        <w:trPr>
          <w:jc w:val="center"/>
        </w:trPr>
        <w:tc>
          <w:tcPr>
            <w:tcW w:w="2835" w:type="dxa"/>
            <w:vAlign w:val="center"/>
          </w:tcPr>
          <w:p w14:paraId="59D8C815" w14:textId="77777777" w:rsidR="00BE2BCE" w:rsidRPr="001935D0" w:rsidRDefault="00BE2BCE" w:rsidP="00593711">
            <w:pPr>
              <w:rPr>
                <w:rFonts w:ascii="Times New Roman" w:hAnsi="Times New Roman" w:cs="Times New Roman"/>
                <w:sz w:val="24"/>
                <w:szCs w:val="24"/>
              </w:rPr>
            </w:pPr>
            <w:r w:rsidRPr="001935D0">
              <w:rPr>
                <w:rFonts w:ascii="Times New Roman" w:hAnsi="Times New Roman" w:cs="Times New Roman"/>
                <w:sz w:val="24"/>
                <w:szCs w:val="24"/>
              </w:rPr>
              <w:t>Правосубъектность ЕС</w:t>
            </w:r>
          </w:p>
        </w:tc>
        <w:tc>
          <w:tcPr>
            <w:tcW w:w="6656" w:type="dxa"/>
            <w:vAlign w:val="center"/>
          </w:tcPr>
          <w:p w14:paraId="6C80A298" w14:textId="77777777" w:rsidR="00BE2BCE" w:rsidRPr="001935D0" w:rsidRDefault="00BE2BCE" w:rsidP="00593711">
            <w:pPr>
              <w:jc w:val="both"/>
              <w:rPr>
                <w:rFonts w:ascii="Times New Roman" w:hAnsi="Times New Roman" w:cs="Times New Roman"/>
                <w:sz w:val="24"/>
                <w:szCs w:val="24"/>
              </w:rPr>
            </w:pPr>
            <w:r w:rsidRPr="001935D0">
              <w:rPr>
                <w:rFonts w:ascii="Times New Roman" w:hAnsi="Times New Roman" w:cs="Times New Roman"/>
                <w:sz w:val="24"/>
                <w:szCs w:val="24"/>
              </w:rPr>
              <w:t>Признание полной международной правосубъектности; возможность заключения международных соглашений и членства в международных организациях.</w:t>
            </w:r>
          </w:p>
        </w:tc>
      </w:tr>
      <w:tr w:rsidR="00C11870" w:rsidRPr="001935D0" w14:paraId="232E0A93" w14:textId="77777777" w:rsidTr="0067561B">
        <w:trPr>
          <w:jc w:val="center"/>
        </w:trPr>
        <w:tc>
          <w:tcPr>
            <w:tcW w:w="2835" w:type="dxa"/>
            <w:vAlign w:val="center"/>
          </w:tcPr>
          <w:p w14:paraId="4D22BF46" w14:textId="77777777" w:rsidR="00BE2BCE" w:rsidRPr="001935D0" w:rsidRDefault="00BE2BCE" w:rsidP="00593711">
            <w:pPr>
              <w:rPr>
                <w:rFonts w:ascii="Times New Roman" w:hAnsi="Times New Roman" w:cs="Times New Roman"/>
                <w:sz w:val="24"/>
                <w:szCs w:val="24"/>
              </w:rPr>
            </w:pPr>
            <w:r w:rsidRPr="001935D0">
              <w:rPr>
                <w:rFonts w:ascii="Times New Roman" w:hAnsi="Times New Roman" w:cs="Times New Roman"/>
                <w:sz w:val="24"/>
                <w:szCs w:val="24"/>
              </w:rPr>
              <w:t>Типы компетенций</w:t>
            </w:r>
          </w:p>
        </w:tc>
        <w:tc>
          <w:tcPr>
            <w:tcW w:w="6656" w:type="dxa"/>
            <w:vAlign w:val="center"/>
          </w:tcPr>
          <w:p w14:paraId="4910C3A2" w14:textId="31B660AF" w:rsidR="00BE2BCE" w:rsidRPr="0067561B" w:rsidRDefault="00BE2BCE" w:rsidP="00593711">
            <w:pPr>
              <w:jc w:val="both"/>
              <w:rPr>
                <w:rFonts w:ascii="Times New Roman" w:hAnsi="Times New Roman" w:cs="Times New Roman"/>
                <w:sz w:val="24"/>
                <w:szCs w:val="24"/>
                <w:lang w:val="kk-KZ"/>
              </w:rPr>
            </w:pPr>
            <w:r w:rsidRPr="001935D0">
              <w:rPr>
                <w:rFonts w:ascii="Times New Roman" w:hAnsi="Times New Roman" w:cs="Times New Roman"/>
                <w:sz w:val="24"/>
                <w:szCs w:val="24"/>
              </w:rPr>
              <w:t>Закрепление трёх типов компетенций: исключительные (толь</w:t>
            </w:r>
            <w:r w:rsidR="0067561B">
              <w:rPr>
                <w:rFonts w:ascii="Times New Roman" w:hAnsi="Times New Roman" w:cs="Times New Roman"/>
                <w:sz w:val="24"/>
                <w:szCs w:val="24"/>
                <w:lang w:val="kk-KZ"/>
              </w:rPr>
              <w:t xml:space="preserve"> </w:t>
            </w:r>
            <w:r w:rsidRPr="001935D0">
              <w:rPr>
                <w:rFonts w:ascii="Times New Roman" w:hAnsi="Times New Roman" w:cs="Times New Roman"/>
                <w:sz w:val="24"/>
                <w:szCs w:val="24"/>
              </w:rPr>
              <w:t>ко ЕС), совместные (совместно с государствами-членами) и поддерживающие (до</w:t>
            </w:r>
            <w:r w:rsidR="0067561B">
              <w:rPr>
                <w:rFonts w:ascii="Times New Roman" w:hAnsi="Times New Roman" w:cs="Times New Roman"/>
                <w:sz w:val="24"/>
                <w:szCs w:val="24"/>
              </w:rPr>
              <w:t>полнение национальной политики)</w:t>
            </w:r>
          </w:p>
        </w:tc>
      </w:tr>
      <w:tr w:rsidR="00C11870" w:rsidRPr="001935D0" w14:paraId="21974D28" w14:textId="77777777" w:rsidTr="0067561B">
        <w:trPr>
          <w:jc w:val="center"/>
        </w:trPr>
        <w:tc>
          <w:tcPr>
            <w:tcW w:w="2835" w:type="dxa"/>
            <w:vAlign w:val="center"/>
          </w:tcPr>
          <w:p w14:paraId="38587262" w14:textId="77777777" w:rsidR="00BE2BCE" w:rsidRPr="001935D0" w:rsidRDefault="00BE2BCE" w:rsidP="00593711">
            <w:pPr>
              <w:rPr>
                <w:rFonts w:ascii="Times New Roman" w:hAnsi="Times New Roman" w:cs="Times New Roman"/>
                <w:sz w:val="24"/>
                <w:szCs w:val="24"/>
              </w:rPr>
            </w:pPr>
            <w:r w:rsidRPr="001935D0">
              <w:rPr>
                <w:rFonts w:ascii="Times New Roman" w:hAnsi="Times New Roman" w:cs="Times New Roman"/>
                <w:sz w:val="24"/>
                <w:szCs w:val="24"/>
              </w:rPr>
              <w:t>Процедура выхода из ЕС</w:t>
            </w:r>
          </w:p>
        </w:tc>
        <w:tc>
          <w:tcPr>
            <w:tcW w:w="6656" w:type="dxa"/>
            <w:vAlign w:val="center"/>
          </w:tcPr>
          <w:p w14:paraId="3428F04B" w14:textId="77777777" w:rsidR="00BE2BCE" w:rsidRPr="001935D0" w:rsidRDefault="00BE2BCE" w:rsidP="00593711">
            <w:pPr>
              <w:jc w:val="both"/>
              <w:rPr>
                <w:rFonts w:ascii="Times New Roman" w:hAnsi="Times New Roman" w:cs="Times New Roman"/>
                <w:sz w:val="24"/>
                <w:szCs w:val="24"/>
              </w:rPr>
            </w:pPr>
            <w:r w:rsidRPr="001935D0">
              <w:rPr>
                <w:rFonts w:ascii="Times New Roman" w:hAnsi="Times New Roman" w:cs="Times New Roman"/>
                <w:sz w:val="24"/>
                <w:szCs w:val="24"/>
              </w:rPr>
              <w:t>Впервые закреплена возможность добровольного выхода государства-члена (ст. 50 Договора о ЕС).</w:t>
            </w:r>
          </w:p>
        </w:tc>
      </w:tr>
      <w:tr w:rsidR="00C11870" w:rsidRPr="001935D0" w14:paraId="57F22F74" w14:textId="77777777" w:rsidTr="0067561B">
        <w:trPr>
          <w:jc w:val="center"/>
        </w:trPr>
        <w:tc>
          <w:tcPr>
            <w:tcW w:w="2835" w:type="dxa"/>
            <w:vAlign w:val="center"/>
          </w:tcPr>
          <w:p w14:paraId="4477BE30" w14:textId="77777777" w:rsidR="00BE2BCE" w:rsidRPr="001935D0" w:rsidRDefault="00BE2BCE" w:rsidP="00593711">
            <w:pPr>
              <w:rPr>
                <w:rFonts w:ascii="Times New Roman" w:hAnsi="Times New Roman" w:cs="Times New Roman"/>
                <w:sz w:val="24"/>
                <w:szCs w:val="24"/>
              </w:rPr>
            </w:pPr>
            <w:r w:rsidRPr="001935D0">
              <w:rPr>
                <w:rFonts w:ascii="Times New Roman" w:hAnsi="Times New Roman" w:cs="Times New Roman"/>
                <w:sz w:val="24"/>
                <w:szCs w:val="24"/>
              </w:rPr>
              <w:t>Роль Европарламента</w:t>
            </w:r>
          </w:p>
        </w:tc>
        <w:tc>
          <w:tcPr>
            <w:tcW w:w="6656" w:type="dxa"/>
            <w:vAlign w:val="center"/>
          </w:tcPr>
          <w:p w14:paraId="40C81C4B" w14:textId="6EF1557B" w:rsidR="00BE2BCE" w:rsidRPr="001935D0" w:rsidRDefault="00BE2BCE" w:rsidP="00593711">
            <w:pPr>
              <w:jc w:val="both"/>
              <w:rPr>
                <w:rFonts w:ascii="Times New Roman" w:hAnsi="Times New Roman" w:cs="Times New Roman"/>
                <w:sz w:val="24"/>
                <w:szCs w:val="24"/>
              </w:rPr>
            </w:pPr>
            <w:r w:rsidRPr="001935D0">
              <w:rPr>
                <w:rFonts w:ascii="Times New Roman" w:hAnsi="Times New Roman" w:cs="Times New Roman"/>
                <w:sz w:val="24"/>
                <w:szCs w:val="24"/>
              </w:rPr>
              <w:t xml:space="preserve">Право избирать Председателя Европейской </w:t>
            </w:r>
            <w:r w:rsidR="004A3405">
              <w:rPr>
                <w:rFonts w:ascii="Times New Roman" w:hAnsi="Times New Roman" w:cs="Times New Roman"/>
                <w:sz w:val="24"/>
                <w:szCs w:val="24"/>
              </w:rPr>
              <w:t>К</w:t>
            </w:r>
            <w:r w:rsidRPr="001935D0">
              <w:rPr>
                <w:rFonts w:ascii="Times New Roman" w:hAnsi="Times New Roman" w:cs="Times New Roman"/>
                <w:sz w:val="24"/>
                <w:szCs w:val="24"/>
              </w:rPr>
              <w:t>омиссии; полное участие в законодательном процессе, формировании бюджета и ратификации соглашений.</w:t>
            </w:r>
          </w:p>
        </w:tc>
      </w:tr>
      <w:tr w:rsidR="00C11870" w:rsidRPr="001935D0" w14:paraId="4559A5E8" w14:textId="77777777" w:rsidTr="0067561B">
        <w:trPr>
          <w:jc w:val="center"/>
        </w:trPr>
        <w:tc>
          <w:tcPr>
            <w:tcW w:w="2835" w:type="dxa"/>
            <w:vAlign w:val="center"/>
          </w:tcPr>
          <w:p w14:paraId="0113568D" w14:textId="77777777" w:rsidR="00BE2BCE" w:rsidRPr="001935D0" w:rsidRDefault="00BE2BCE" w:rsidP="00593711">
            <w:pPr>
              <w:rPr>
                <w:rFonts w:ascii="Times New Roman" w:hAnsi="Times New Roman" w:cs="Times New Roman"/>
                <w:sz w:val="24"/>
                <w:szCs w:val="24"/>
              </w:rPr>
            </w:pPr>
            <w:r w:rsidRPr="001935D0">
              <w:rPr>
                <w:rFonts w:ascii="Times New Roman" w:hAnsi="Times New Roman" w:cs="Times New Roman"/>
                <w:sz w:val="24"/>
                <w:szCs w:val="24"/>
              </w:rPr>
              <w:t>Голосование в Совете ЕС</w:t>
            </w:r>
          </w:p>
        </w:tc>
        <w:tc>
          <w:tcPr>
            <w:tcW w:w="6656" w:type="dxa"/>
            <w:vAlign w:val="center"/>
          </w:tcPr>
          <w:p w14:paraId="5DEC17CB" w14:textId="77777777" w:rsidR="00BE2BCE" w:rsidRPr="001935D0" w:rsidRDefault="00BE2BCE" w:rsidP="00593711">
            <w:pPr>
              <w:jc w:val="both"/>
              <w:rPr>
                <w:rFonts w:ascii="Times New Roman" w:hAnsi="Times New Roman" w:cs="Times New Roman"/>
                <w:sz w:val="24"/>
                <w:szCs w:val="24"/>
              </w:rPr>
            </w:pPr>
            <w:r w:rsidRPr="001935D0">
              <w:rPr>
                <w:rFonts w:ascii="Times New Roman" w:hAnsi="Times New Roman" w:cs="Times New Roman"/>
                <w:sz w:val="24"/>
                <w:szCs w:val="24"/>
              </w:rPr>
              <w:t>Введение правила двойного большинства (55% стран, представляющих 65% населения ЕС).</w:t>
            </w:r>
          </w:p>
        </w:tc>
      </w:tr>
      <w:tr w:rsidR="00C11870" w:rsidRPr="001935D0" w14:paraId="6C441632" w14:textId="77777777" w:rsidTr="0067561B">
        <w:trPr>
          <w:jc w:val="center"/>
        </w:trPr>
        <w:tc>
          <w:tcPr>
            <w:tcW w:w="2835" w:type="dxa"/>
            <w:vAlign w:val="center"/>
          </w:tcPr>
          <w:p w14:paraId="1B3E8E73" w14:textId="77777777" w:rsidR="00BE2BCE" w:rsidRPr="001935D0" w:rsidRDefault="00BE2BCE" w:rsidP="00593711">
            <w:pPr>
              <w:rPr>
                <w:rFonts w:ascii="Times New Roman" w:hAnsi="Times New Roman" w:cs="Times New Roman"/>
                <w:sz w:val="24"/>
                <w:szCs w:val="24"/>
              </w:rPr>
            </w:pPr>
            <w:r w:rsidRPr="001935D0">
              <w:rPr>
                <w:rFonts w:ascii="Times New Roman" w:hAnsi="Times New Roman" w:cs="Times New Roman"/>
                <w:sz w:val="24"/>
                <w:szCs w:val="24"/>
              </w:rPr>
              <w:t>Гражданская инициатива</w:t>
            </w:r>
          </w:p>
        </w:tc>
        <w:tc>
          <w:tcPr>
            <w:tcW w:w="6656" w:type="dxa"/>
            <w:vAlign w:val="center"/>
          </w:tcPr>
          <w:p w14:paraId="49EB8B19" w14:textId="77777777" w:rsidR="00BE2BCE" w:rsidRPr="001935D0" w:rsidRDefault="00BE2BCE" w:rsidP="00593711">
            <w:pPr>
              <w:jc w:val="both"/>
              <w:rPr>
                <w:rFonts w:ascii="Times New Roman" w:hAnsi="Times New Roman" w:cs="Times New Roman"/>
                <w:sz w:val="24"/>
                <w:szCs w:val="24"/>
              </w:rPr>
            </w:pPr>
            <w:r w:rsidRPr="001935D0">
              <w:rPr>
                <w:rFonts w:ascii="Times New Roman" w:hAnsi="Times New Roman" w:cs="Times New Roman"/>
                <w:sz w:val="24"/>
                <w:szCs w:val="24"/>
              </w:rPr>
              <w:t>Впервые закреплён механизм Европейской гражданской инициативы как форма прямой демократии.</w:t>
            </w:r>
          </w:p>
        </w:tc>
      </w:tr>
      <w:tr w:rsidR="00C11870" w:rsidRPr="001935D0" w14:paraId="21DDBE6B" w14:textId="77777777" w:rsidTr="0067561B">
        <w:trPr>
          <w:jc w:val="center"/>
        </w:trPr>
        <w:tc>
          <w:tcPr>
            <w:tcW w:w="2835" w:type="dxa"/>
            <w:vAlign w:val="center"/>
          </w:tcPr>
          <w:p w14:paraId="0B146D62" w14:textId="77777777" w:rsidR="00BE2BCE" w:rsidRPr="001935D0" w:rsidRDefault="00BE2BCE" w:rsidP="00593711">
            <w:pPr>
              <w:rPr>
                <w:rFonts w:ascii="Times New Roman" w:hAnsi="Times New Roman" w:cs="Times New Roman"/>
                <w:sz w:val="24"/>
                <w:szCs w:val="24"/>
              </w:rPr>
            </w:pPr>
            <w:r w:rsidRPr="001935D0">
              <w:rPr>
                <w:rFonts w:ascii="Times New Roman" w:hAnsi="Times New Roman" w:cs="Times New Roman"/>
                <w:sz w:val="24"/>
                <w:szCs w:val="24"/>
              </w:rPr>
              <w:t>Безопасность и оборона</w:t>
            </w:r>
          </w:p>
        </w:tc>
        <w:tc>
          <w:tcPr>
            <w:tcW w:w="6656" w:type="dxa"/>
            <w:vAlign w:val="center"/>
          </w:tcPr>
          <w:p w14:paraId="29B50DC3" w14:textId="77777777" w:rsidR="00BE2BCE" w:rsidRPr="001935D0" w:rsidRDefault="00BE2BCE" w:rsidP="00593711">
            <w:pPr>
              <w:jc w:val="both"/>
              <w:rPr>
                <w:rFonts w:ascii="Times New Roman" w:hAnsi="Times New Roman" w:cs="Times New Roman"/>
                <w:sz w:val="24"/>
                <w:szCs w:val="24"/>
              </w:rPr>
            </w:pPr>
            <w:r w:rsidRPr="001935D0">
              <w:rPr>
                <w:rFonts w:ascii="Times New Roman" w:hAnsi="Times New Roman" w:cs="Times New Roman"/>
                <w:sz w:val="24"/>
                <w:szCs w:val="24"/>
              </w:rPr>
              <w:t>Создание механизма постоянного структурированного сотрудничества в сфере обороны; закрепление положений о взаимной обороне и солидарности.</w:t>
            </w:r>
          </w:p>
        </w:tc>
      </w:tr>
      <w:tr w:rsidR="00C11870" w:rsidRPr="0067561B" w14:paraId="0748B21D" w14:textId="77777777" w:rsidTr="0067561B">
        <w:trPr>
          <w:jc w:val="center"/>
        </w:trPr>
        <w:tc>
          <w:tcPr>
            <w:tcW w:w="2835" w:type="dxa"/>
            <w:vAlign w:val="center"/>
          </w:tcPr>
          <w:p w14:paraId="52DEDAC6" w14:textId="77777777" w:rsidR="00BE2BCE" w:rsidRPr="001935D0" w:rsidRDefault="00BE2BCE" w:rsidP="00593711">
            <w:pPr>
              <w:rPr>
                <w:rFonts w:ascii="Times New Roman" w:hAnsi="Times New Roman" w:cs="Times New Roman"/>
                <w:sz w:val="24"/>
                <w:szCs w:val="24"/>
              </w:rPr>
            </w:pPr>
            <w:r w:rsidRPr="001935D0">
              <w:rPr>
                <w:rFonts w:ascii="Times New Roman" w:hAnsi="Times New Roman" w:cs="Times New Roman"/>
                <w:sz w:val="24"/>
                <w:szCs w:val="24"/>
              </w:rPr>
              <w:t>Демократические принципы</w:t>
            </w:r>
          </w:p>
        </w:tc>
        <w:tc>
          <w:tcPr>
            <w:tcW w:w="6656" w:type="dxa"/>
            <w:vAlign w:val="center"/>
          </w:tcPr>
          <w:p w14:paraId="4A7BB7D8" w14:textId="125A395F" w:rsidR="00BE2BCE" w:rsidRPr="0067561B" w:rsidRDefault="00BE2BCE" w:rsidP="00593711">
            <w:pPr>
              <w:jc w:val="both"/>
              <w:rPr>
                <w:rFonts w:ascii="Times New Roman" w:hAnsi="Times New Roman" w:cs="Times New Roman"/>
                <w:sz w:val="24"/>
                <w:szCs w:val="24"/>
                <w:lang w:val="kk-KZ"/>
              </w:rPr>
            </w:pPr>
            <w:r w:rsidRPr="001935D0">
              <w:rPr>
                <w:rFonts w:ascii="Times New Roman" w:hAnsi="Times New Roman" w:cs="Times New Roman"/>
                <w:sz w:val="24"/>
                <w:szCs w:val="24"/>
              </w:rPr>
              <w:t>Усиление представительной и партисипативной демократии; участие граждан через институты, инициативы, общественные обс</w:t>
            </w:r>
            <w:r w:rsidR="0067561B">
              <w:rPr>
                <w:rFonts w:ascii="Times New Roman" w:hAnsi="Times New Roman" w:cs="Times New Roman"/>
                <w:sz w:val="24"/>
                <w:szCs w:val="24"/>
              </w:rPr>
              <w:t>уждения и политические процессы</w:t>
            </w:r>
          </w:p>
        </w:tc>
      </w:tr>
      <w:tr w:rsidR="0067561B" w:rsidRPr="0067561B" w14:paraId="373486C3" w14:textId="77777777" w:rsidTr="00634764">
        <w:trPr>
          <w:jc w:val="center"/>
        </w:trPr>
        <w:tc>
          <w:tcPr>
            <w:tcW w:w="9491" w:type="dxa"/>
            <w:gridSpan w:val="2"/>
            <w:vAlign w:val="center"/>
          </w:tcPr>
          <w:p w14:paraId="2D3DCED5" w14:textId="2206B82B" w:rsidR="0067561B" w:rsidRPr="0067561B" w:rsidRDefault="00F03A16" w:rsidP="003975C3">
            <w:pPr>
              <w:pStyle w:val="NoSpacing"/>
              <w:ind w:firstLine="52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[19</w:t>
            </w:r>
            <w:r>
              <w:rPr>
                <w:rFonts w:ascii="Times New Roman" w:hAnsi="Times New Roman" w:cs="Times New Roman"/>
                <w:sz w:val="24"/>
                <w:szCs w:val="24"/>
                <w:lang w:val="kk-KZ"/>
              </w:rPr>
              <w:t xml:space="preserve">; 20; </w:t>
            </w:r>
            <w:r w:rsidRPr="001935D0">
              <w:rPr>
                <w:rFonts w:ascii="Times New Roman" w:hAnsi="Times New Roman" w:cs="Times New Roman"/>
                <w:sz w:val="24"/>
                <w:szCs w:val="24"/>
              </w:rPr>
              <w:t>21]</w:t>
            </w:r>
          </w:p>
        </w:tc>
      </w:tr>
    </w:tbl>
    <w:p w14:paraId="28D50AA7" w14:textId="77777777" w:rsidR="00CE7D5C" w:rsidRPr="001935D0" w:rsidRDefault="00CE7D5C" w:rsidP="00593711">
      <w:pPr>
        <w:pStyle w:val="NoSpacing"/>
        <w:ind w:firstLine="567"/>
        <w:jc w:val="both"/>
        <w:rPr>
          <w:rFonts w:ascii="Times New Roman" w:hAnsi="Times New Roman" w:cs="Times New Roman"/>
          <w:sz w:val="28"/>
          <w:szCs w:val="28"/>
          <w:lang w:eastAsia="ru-RU"/>
        </w:rPr>
      </w:pPr>
    </w:p>
    <w:p w14:paraId="6226054A" w14:textId="3F640003" w:rsidR="00CE7D5C" w:rsidRPr="001935D0" w:rsidRDefault="00CE7D5C"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Юридическая имплементация Хартии основных прав, которая с момента вступления в силу Лиссабонского договора приобрела статус источника первичного права ЕС, стала принципиально новым этапом в развитии правовой системы Союза. Права человека отныне представляют собой не только декларируемую ценность, но и неотъемлемую часть обязательной правовой конструкции, распространяющейся как на деятельность институтов ЕС, так и на государства-члены в рамках реализации права Союза</w:t>
      </w:r>
      <w:r w:rsidR="00F7638F" w:rsidRPr="001935D0">
        <w:rPr>
          <w:rFonts w:ascii="Times New Roman" w:hAnsi="Times New Roman" w:cs="Times New Roman"/>
          <w:sz w:val="28"/>
          <w:szCs w:val="28"/>
          <w:lang w:eastAsia="ru-RU"/>
        </w:rPr>
        <w:t xml:space="preserve"> [19</w:t>
      </w:r>
      <w:r w:rsidR="003975C3">
        <w:rPr>
          <w:rFonts w:ascii="Times New Roman" w:hAnsi="Times New Roman" w:cs="Times New Roman"/>
          <w:sz w:val="28"/>
          <w:szCs w:val="28"/>
          <w:lang w:val="kk-KZ" w:eastAsia="ru-RU"/>
        </w:rPr>
        <w:t>;</w:t>
      </w:r>
      <w:r w:rsidR="0067561B">
        <w:rPr>
          <w:rFonts w:ascii="Times New Roman" w:hAnsi="Times New Roman" w:cs="Times New Roman"/>
          <w:sz w:val="28"/>
          <w:szCs w:val="28"/>
          <w:lang w:val="kk-KZ" w:eastAsia="ru-RU"/>
        </w:rPr>
        <w:t xml:space="preserve"> </w:t>
      </w:r>
      <w:r w:rsidR="00F7638F" w:rsidRPr="001935D0">
        <w:rPr>
          <w:rFonts w:ascii="Times New Roman" w:hAnsi="Times New Roman" w:cs="Times New Roman"/>
          <w:sz w:val="28"/>
          <w:szCs w:val="28"/>
          <w:lang w:eastAsia="ru-RU"/>
        </w:rPr>
        <w:t>20]</w:t>
      </w:r>
      <w:r w:rsidRPr="001935D0">
        <w:rPr>
          <w:rFonts w:ascii="Times New Roman" w:hAnsi="Times New Roman" w:cs="Times New Roman"/>
          <w:sz w:val="28"/>
          <w:szCs w:val="28"/>
          <w:lang w:eastAsia="ru-RU"/>
        </w:rPr>
        <w:t>.</w:t>
      </w:r>
    </w:p>
    <w:p w14:paraId="67A5CAA3" w14:textId="32D7732A" w:rsidR="00CE7D5C" w:rsidRPr="001935D0" w:rsidRDefault="00CE7D5C"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Институциональные изменения – в частности, формализация статуса Европейского </w:t>
      </w:r>
      <w:r w:rsidR="004A3405">
        <w:rPr>
          <w:rFonts w:ascii="Times New Roman" w:hAnsi="Times New Roman" w:cs="Times New Roman"/>
          <w:sz w:val="28"/>
          <w:szCs w:val="28"/>
          <w:lang w:eastAsia="ru-RU"/>
        </w:rPr>
        <w:t>С</w:t>
      </w:r>
      <w:r w:rsidRPr="001935D0">
        <w:rPr>
          <w:rFonts w:ascii="Times New Roman" w:hAnsi="Times New Roman" w:cs="Times New Roman"/>
          <w:sz w:val="28"/>
          <w:szCs w:val="28"/>
          <w:lang w:eastAsia="ru-RU"/>
        </w:rPr>
        <w:t xml:space="preserve">овета, усиление роли Европейского </w:t>
      </w:r>
      <w:r w:rsidR="004A3405">
        <w:rPr>
          <w:rFonts w:ascii="Times New Roman" w:hAnsi="Times New Roman" w:cs="Times New Roman"/>
          <w:sz w:val="28"/>
          <w:szCs w:val="28"/>
          <w:lang w:eastAsia="ru-RU"/>
        </w:rPr>
        <w:t>П</w:t>
      </w:r>
      <w:r w:rsidRPr="001935D0">
        <w:rPr>
          <w:rFonts w:ascii="Times New Roman" w:hAnsi="Times New Roman" w:cs="Times New Roman"/>
          <w:sz w:val="28"/>
          <w:szCs w:val="28"/>
          <w:lang w:eastAsia="ru-RU"/>
        </w:rPr>
        <w:t>арламента, новая система голосования в Совете – обладают стратегическим значением с точки зрения обеспечения прозрачности, подотчётности и эффективности политического процесса в условиях наднационального управления.</w:t>
      </w:r>
    </w:p>
    <w:p w14:paraId="5E5BB87D" w14:textId="26AC1F0F" w:rsidR="00CE7D5C" w:rsidRPr="001935D0" w:rsidRDefault="00CE7D5C"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lastRenderedPageBreak/>
        <w:t>Особое теоретико-правовое значение приобретает закрепление процедуры добровольного выхода из ЕС (ст</w:t>
      </w:r>
      <w:r w:rsidR="001A6DAB" w:rsidRPr="001935D0">
        <w:rPr>
          <w:rFonts w:ascii="Times New Roman" w:hAnsi="Times New Roman" w:cs="Times New Roman"/>
          <w:sz w:val="28"/>
          <w:szCs w:val="28"/>
          <w:lang w:eastAsia="ru-RU"/>
        </w:rPr>
        <w:t xml:space="preserve">атья 50 Договора о Европейском </w:t>
      </w:r>
      <w:r w:rsidR="001A6DAB" w:rsidRPr="001935D0">
        <w:rPr>
          <w:rFonts w:ascii="Times New Roman" w:hAnsi="Times New Roman" w:cs="Times New Roman"/>
          <w:sz w:val="28"/>
          <w:szCs w:val="28"/>
          <w:lang w:val="kk-KZ" w:eastAsia="ru-RU"/>
        </w:rPr>
        <w:t>С</w:t>
      </w:r>
      <w:r w:rsidRPr="001935D0">
        <w:rPr>
          <w:rFonts w:ascii="Times New Roman" w:hAnsi="Times New Roman" w:cs="Times New Roman"/>
          <w:sz w:val="28"/>
          <w:szCs w:val="28"/>
          <w:lang w:eastAsia="ru-RU"/>
        </w:rPr>
        <w:t>оюзе), что свидетельствует о признании обратимости интеграционного процесса</w:t>
      </w:r>
      <w:r w:rsidR="00F7638F" w:rsidRPr="001935D0">
        <w:rPr>
          <w:rFonts w:ascii="Times New Roman" w:hAnsi="Times New Roman" w:cs="Times New Roman"/>
          <w:sz w:val="28"/>
          <w:szCs w:val="28"/>
          <w:lang w:eastAsia="ru-RU"/>
        </w:rPr>
        <w:t xml:space="preserve"> [21]</w:t>
      </w:r>
      <w:r w:rsidRPr="001935D0">
        <w:rPr>
          <w:rFonts w:ascii="Times New Roman" w:hAnsi="Times New Roman" w:cs="Times New Roman"/>
          <w:sz w:val="28"/>
          <w:szCs w:val="28"/>
          <w:lang w:eastAsia="ru-RU"/>
        </w:rPr>
        <w:t>. Тем самым ЕС институционализирует принцип уважения суверенитета государств-членов, что способствует укреплению доверия к наднациональным структурам.</w:t>
      </w:r>
    </w:p>
    <w:p w14:paraId="7FC1751D" w14:textId="1019DB25" w:rsidR="00CE7D5C" w:rsidRPr="001935D0" w:rsidRDefault="00CE7D5C"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В обобщающем измерении Лиссабонский договор представляет собой ключевой этап конституционализации ценностного порядка ЕС, в рамках которого Европейский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 окончательно утвердился как политическое сообщество, функционирующее не только на основе экономической целесообразности, но прежде всего – на основе совместно разделяемых нормативных принципов. Эта трансформация заложила основу для становления ЕС в качестве субъекта нормативной силы (</w:t>
      </w:r>
      <w:r w:rsidRPr="001935D0">
        <w:rPr>
          <w:rFonts w:ascii="Times New Roman" w:hAnsi="Times New Roman" w:cs="Times New Roman"/>
          <w:i/>
          <w:iCs/>
          <w:sz w:val="28"/>
          <w:szCs w:val="28"/>
          <w:lang w:eastAsia="ru-RU"/>
        </w:rPr>
        <w:t>normative power</w:t>
      </w:r>
      <w:r w:rsidRPr="001935D0">
        <w:rPr>
          <w:rFonts w:ascii="Times New Roman" w:hAnsi="Times New Roman" w:cs="Times New Roman"/>
          <w:sz w:val="28"/>
          <w:szCs w:val="28"/>
          <w:lang w:eastAsia="ru-RU"/>
        </w:rPr>
        <w:t>), способного транслировать собственные ценности в глобальном пространстве посредством инструментов мягкой силы, межинституциональных партнёрств и правовых механизмов экстерриториального действия.</w:t>
      </w:r>
    </w:p>
    <w:p w14:paraId="3BB6D458" w14:textId="7DC3827F" w:rsidR="00CE7D5C" w:rsidRPr="001935D0" w:rsidRDefault="00CE7D5C"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Формирование политической идентичности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 xml:space="preserve">оюза в XXI веке не может быть полноценно проанализировано вне рамок теории нормативной силы, которая выступает как концептуальная основа внешнеполитического позиционирования ЕС и как аналитический инструмент исследования его институциональной специфики. Суть данного подхода заключается в способности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оказывать влияние на международные отношения преимущественно через проецирование собственных нормативных установок, правовых стандартов и ценностных ориентиров, а не посредством прямого использования военных или экономических рычагов давления.</w:t>
      </w:r>
    </w:p>
    <w:p w14:paraId="6FFD02B7" w14:textId="6664D993" w:rsidR="00CE7D5C" w:rsidRPr="001935D0" w:rsidRDefault="001A6DA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Нормативная сила Европейского </w:t>
      </w:r>
      <w:r w:rsidRPr="001935D0">
        <w:rPr>
          <w:rFonts w:ascii="Times New Roman" w:hAnsi="Times New Roman" w:cs="Times New Roman"/>
          <w:sz w:val="28"/>
          <w:szCs w:val="28"/>
          <w:lang w:val="kk-KZ" w:eastAsia="ru-RU"/>
        </w:rPr>
        <w:t>С</w:t>
      </w:r>
      <w:r w:rsidR="00CE7D5C" w:rsidRPr="001935D0">
        <w:rPr>
          <w:rFonts w:ascii="Times New Roman" w:hAnsi="Times New Roman" w:cs="Times New Roman"/>
          <w:sz w:val="28"/>
          <w:szCs w:val="28"/>
          <w:lang w:eastAsia="ru-RU"/>
        </w:rPr>
        <w:t xml:space="preserve">оюза выражается в его стремлении продвигать ключевые ценности – демократию, верховенство права, права человека, гендерное равенство, устойчивое развитие, социальную справедливость. Указанные категории не являются лишь декларациями: они институционализированы в первичном праве </w:t>
      </w:r>
      <w:r w:rsidR="00E655BC" w:rsidRPr="001935D0">
        <w:rPr>
          <w:rFonts w:ascii="Times New Roman" w:hAnsi="Times New Roman" w:cs="Times New Roman"/>
          <w:sz w:val="28"/>
          <w:szCs w:val="28"/>
          <w:lang w:eastAsia="ru-RU"/>
        </w:rPr>
        <w:t>Е</w:t>
      </w:r>
      <w:r w:rsidR="00CE7D5C" w:rsidRPr="001935D0">
        <w:rPr>
          <w:rFonts w:ascii="Times New Roman" w:hAnsi="Times New Roman" w:cs="Times New Roman"/>
          <w:sz w:val="28"/>
          <w:szCs w:val="28"/>
          <w:lang w:eastAsia="ru-RU"/>
        </w:rPr>
        <w:t xml:space="preserve">С, зафиксированы в учредительных договорах и Хартии основных прав Европейского </w:t>
      </w:r>
      <w:r w:rsidR="00CF2560" w:rsidRPr="001935D0">
        <w:rPr>
          <w:rFonts w:ascii="Times New Roman" w:hAnsi="Times New Roman" w:cs="Times New Roman"/>
          <w:sz w:val="28"/>
          <w:szCs w:val="28"/>
          <w:lang w:val="uk-UA" w:eastAsia="ru-RU"/>
        </w:rPr>
        <w:t>С</w:t>
      </w:r>
      <w:r w:rsidR="00CE7D5C" w:rsidRPr="001935D0">
        <w:rPr>
          <w:rFonts w:ascii="Times New Roman" w:hAnsi="Times New Roman" w:cs="Times New Roman"/>
          <w:sz w:val="28"/>
          <w:szCs w:val="28"/>
          <w:lang w:eastAsia="ru-RU"/>
        </w:rPr>
        <w:t>оюза, а также поддерживаются системой специализированных институтов и механизмов реализации.</w:t>
      </w:r>
    </w:p>
    <w:p w14:paraId="585E2303" w14:textId="77777777" w:rsidR="00CE7D5C" w:rsidRPr="001935D0" w:rsidRDefault="00CE7D5C"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Тем не менее, диссертационное исследование требует не только нормативного утверждения модели ЕС как носителя универсальных ценностей, но и критического анализа её применимости и ограничений. На практике реализация концепции нормативной силы сопровождается целым рядом противоречий, обусловленных, в частности, расхождением между провозглашённой риторикой и конкретными действиями ЕС в сфере внешней политики. Это расхождение во многом определяется конфликтом между общесоюзными ценностями и национальными интересами государств-членов, особенно в таких чувствительных сферах, как энергетическая безопасность, внешнеэкономические отношения и вопросы стратегического партнёрства с авторитарными режимами.</w:t>
      </w:r>
    </w:p>
    <w:p w14:paraId="2E71FFBC" w14:textId="14BD5DDB" w:rsidR="00CE7D5C" w:rsidRPr="001935D0" w:rsidRDefault="00CE7D5C"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lastRenderedPageBreak/>
        <w:t xml:space="preserve">В условиях </w:t>
      </w:r>
      <w:r w:rsidR="00CA0909" w:rsidRPr="001935D0">
        <w:rPr>
          <w:rFonts w:ascii="Times New Roman" w:hAnsi="Times New Roman" w:cs="Times New Roman"/>
          <w:sz w:val="28"/>
          <w:szCs w:val="28"/>
          <w:lang w:eastAsia="ru-RU"/>
        </w:rPr>
        <w:t>нарастающих глобальных вызовов –</w:t>
      </w:r>
      <w:r w:rsidRPr="001935D0">
        <w:rPr>
          <w:rFonts w:ascii="Times New Roman" w:hAnsi="Times New Roman" w:cs="Times New Roman"/>
          <w:sz w:val="28"/>
          <w:szCs w:val="28"/>
          <w:lang w:eastAsia="ru-RU"/>
        </w:rPr>
        <w:t xml:space="preserve"> эрозии международного права, роста авторитаризма, масштабных гуманитарных к</w:t>
      </w:r>
      <w:r w:rsidR="00CA0909" w:rsidRPr="001935D0">
        <w:rPr>
          <w:rFonts w:ascii="Times New Roman" w:hAnsi="Times New Roman" w:cs="Times New Roman"/>
          <w:sz w:val="28"/>
          <w:szCs w:val="28"/>
          <w:lang w:eastAsia="ru-RU"/>
        </w:rPr>
        <w:t>ризисов –</w:t>
      </w:r>
      <w:r w:rsidRPr="001935D0">
        <w:rPr>
          <w:rFonts w:ascii="Times New Roman" w:hAnsi="Times New Roman" w:cs="Times New Roman"/>
          <w:sz w:val="28"/>
          <w:szCs w:val="28"/>
          <w:lang w:eastAsia="ru-RU"/>
        </w:rPr>
        <w:t xml:space="preserve"> способность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функционировать как носителя универсальных норм приобретает особую значимость. Однако такая функция требует высокой степени внутренней когерентности, согласованности между государствами-членами в отношении стратегических приоритетов, институциональной устойчивости и нормативной последовательности. В противном случае формируемая политическая идентичность</w:t>
      </w:r>
      <w:r w:rsidR="00CF2560" w:rsidRPr="001935D0">
        <w:rPr>
          <w:rFonts w:ascii="Times New Roman" w:hAnsi="Times New Roman" w:cs="Times New Roman"/>
          <w:sz w:val="28"/>
          <w:szCs w:val="28"/>
          <w:lang w:val="uk-UA" w:eastAsia="ru-RU"/>
        </w:rPr>
        <w:t xml:space="preserve">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Pr="001935D0">
        <w:rPr>
          <w:rFonts w:ascii="Times New Roman" w:hAnsi="Times New Roman" w:cs="Times New Roman"/>
          <w:sz w:val="28"/>
          <w:szCs w:val="28"/>
          <w:lang w:eastAsia="ru-RU"/>
        </w:rPr>
        <w:t xml:space="preserve"> оказывается фрагментированной, </w:t>
      </w:r>
      <w:r w:rsidR="00F7638F" w:rsidRPr="001935D0">
        <w:rPr>
          <w:rFonts w:ascii="Times New Roman" w:hAnsi="Times New Roman" w:cs="Times New Roman"/>
          <w:sz w:val="28"/>
          <w:szCs w:val="28"/>
          <w:lang w:eastAsia="ru-RU"/>
        </w:rPr>
        <w:t>а его нормативная легитимность –</w:t>
      </w:r>
      <w:r w:rsidRPr="001935D0">
        <w:rPr>
          <w:rFonts w:ascii="Times New Roman" w:hAnsi="Times New Roman" w:cs="Times New Roman"/>
          <w:sz w:val="28"/>
          <w:szCs w:val="28"/>
          <w:lang w:eastAsia="ru-RU"/>
        </w:rPr>
        <w:t xml:space="preserve"> уязвимой</w:t>
      </w:r>
      <w:r w:rsidR="00F7638F" w:rsidRPr="001935D0">
        <w:rPr>
          <w:rFonts w:ascii="Times New Roman" w:hAnsi="Times New Roman" w:cs="Times New Roman"/>
          <w:sz w:val="28"/>
          <w:szCs w:val="28"/>
          <w:lang w:eastAsia="ru-RU"/>
        </w:rPr>
        <w:t xml:space="preserve"> [22]</w:t>
      </w:r>
      <w:r w:rsidRPr="001935D0">
        <w:rPr>
          <w:rFonts w:ascii="Times New Roman" w:hAnsi="Times New Roman" w:cs="Times New Roman"/>
          <w:sz w:val="28"/>
          <w:szCs w:val="28"/>
          <w:lang w:eastAsia="ru-RU"/>
        </w:rPr>
        <w:t>.</w:t>
      </w:r>
    </w:p>
    <w:p w14:paraId="666C9A5F" w14:textId="35C65FC7" w:rsidR="00CA0909" w:rsidRPr="001935D0" w:rsidRDefault="00CA0909"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val="uk-UA" w:eastAsia="ru-RU"/>
        </w:rPr>
        <w:t>Т</w:t>
      </w:r>
      <w:r w:rsidR="00CE7D5C" w:rsidRPr="001935D0">
        <w:rPr>
          <w:rFonts w:ascii="Times New Roman" w:hAnsi="Times New Roman" w:cs="Times New Roman"/>
          <w:sz w:val="28"/>
          <w:szCs w:val="28"/>
          <w:lang w:eastAsia="ru-RU"/>
        </w:rPr>
        <w:t xml:space="preserve">еория нормативной силы позволяет интерпретировать эволюцию политической субъектности Европейского </w:t>
      </w:r>
      <w:r w:rsidR="00CF2560" w:rsidRPr="001935D0">
        <w:rPr>
          <w:rFonts w:ascii="Times New Roman" w:hAnsi="Times New Roman" w:cs="Times New Roman"/>
          <w:sz w:val="28"/>
          <w:szCs w:val="28"/>
          <w:lang w:val="uk-UA" w:eastAsia="ru-RU"/>
        </w:rPr>
        <w:t>С</w:t>
      </w:r>
      <w:r w:rsidR="00CE7D5C" w:rsidRPr="001935D0">
        <w:rPr>
          <w:rFonts w:ascii="Times New Roman" w:hAnsi="Times New Roman" w:cs="Times New Roman"/>
          <w:sz w:val="28"/>
          <w:szCs w:val="28"/>
          <w:lang w:eastAsia="ru-RU"/>
        </w:rPr>
        <w:t xml:space="preserve">оюза как процесс поэтапной институционализации ценностной матрицы, в рамках которой строится как внутренняя легитимность интеграционного проекта, так и внешнеполитическая стратегия ЕС. Эта теория акцентирует уникальный характер Европейского </w:t>
      </w:r>
      <w:r w:rsidR="00CF2560" w:rsidRPr="001935D0">
        <w:rPr>
          <w:rFonts w:ascii="Times New Roman" w:hAnsi="Times New Roman" w:cs="Times New Roman"/>
          <w:sz w:val="28"/>
          <w:szCs w:val="28"/>
          <w:lang w:val="uk-UA" w:eastAsia="ru-RU"/>
        </w:rPr>
        <w:t>С</w:t>
      </w:r>
      <w:r w:rsidR="00CE7D5C" w:rsidRPr="001935D0">
        <w:rPr>
          <w:rFonts w:ascii="Times New Roman" w:hAnsi="Times New Roman" w:cs="Times New Roman"/>
          <w:sz w:val="28"/>
          <w:szCs w:val="28"/>
          <w:lang w:eastAsia="ru-RU"/>
        </w:rPr>
        <w:t>оюза как транснационального образования, совмещающего черты международной организации и политического сообщества, а также задаёт критерии оценки действенности его вклада в глобальную нормат</w:t>
      </w:r>
      <w:r w:rsidRPr="001935D0">
        <w:rPr>
          <w:rFonts w:ascii="Times New Roman" w:hAnsi="Times New Roman" w:cs="Times New Roman"/>
          <w:sz w:val="28"/>
          <w:szCs w:val="28"/>
          <w:lang w:eastAsia="ru-RU"/>
        </w:rPr>
        <w:t>ивную архитектуру.</w:t>
      </w:r>
    </w:p>
    <w:p w14:paraId="6F6B2EDC" w14:textId="43B64B6C" w:rsidR="00CE7D5C" w:rsidRPr="001935D0" w:rsidRDefault="00CE7D5C"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Следовательно, политическая идентичность ЕС как носителя нормативной силы представляет собой не статическую категорию, а динамическую конструкцию, формирующуюся в результате взаимодействия между амбициями и институциональными ограничениями, между провозглашёнными принципами и вынужденными компромиссами, между универсализмом норм и плюрализмом интересов. Исследование этих дихотомий необходимо для формирования сбалансированной и концептуально завершённой мо</w:t>
      </w:r>
      <w:r w:rsidR="001A6DAB" w:rsidRPr="001935D0">
        <w:rPr>
          <w:rFonts w:ascii="Times New Roman" w:hAnsi="Times New Roman" w:cs="Times New Roman"/>
          <w:sz w:val="28"/>
          <w:szCs w:val="28"/>
          <w:lang w:eastAsia="ru-RU"/>
        </w:rPr>
        <w:t xml:space="preserve">дели будущей роли Европейского </w:t>
      </w:r>
      <w:r w:rsidR="001A6DAB" w:rsidRPr="001935D0">
        <w:rPr>
          <w:rFonts w:ascii="Times New Roman" w:hAnsi="Times New Roman" w:cs="Times New Roman"/>
          <w:sz w:val="28"/>
          <w:szCs w:val="28"/>
          <w:lang w:val="kk-KZ" w:eastAsia="ru-RU"/>
        </w:rPr>
        <w:t>С</w:t>
      </w:r>
      <w:r w:rsidRPr="001935D0">
        <w:rPr>
          <w:rFonts w:ascii="Times New Roman" w:hAnsi="Times New Roman" w:cs="Times New Roman"/>
          <w:sz w:val="28"/>
          <w:szCs w:val="28"/>
          <w:lang w:eastAsia="ru-RU"/>
        </w:rPr>
        <w:t>оюза в мировой системе как ответственного и ценностно ориентированного политического актора.</w:t>
      </w:r>
    </w:p>
    <w:p w14:paraId="7DF1B3E4" w14:textId="5D1D9B99" w:rsidR="00CA0909" w:rsidRPr="001935D0" w:rsidRDefault="00CA0909"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Формирование политической идентичности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в XXI веке невозможно без обращения к теории нормативной силы, которая представляет собой как теоретико-концептуальную рамку, так и практический ориентир внешнеполитического позиционирования ЕС. Центральным положением данной концепции является предположение о способности Союза оказывать влияние на международную среду преимущественно посредством проецирования собственных правовых и ценностных установок, в противовес применению инструментов военно-политического или экономического доминирования.</w:t>
      </w:r>
    </w:p>
    <w:p w14:paraId="3C8F2957" w14:textId="67F7297E" w:rsidR="00CA0909" w:rsidRPr="001935D0" w:rsidRDefault="00CA0909"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Нормативная сила ЕС реализуется через продвижение таких универсализированных ценностей, как демократия, верховенство права, права человека, устойчивое развитие и социальная справедливость. Эти принципы институционализированы в системе первичного права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Pr="001935D0">
        <w:rPr>
          <w:rFonts w:ascii="Times New Roman" w:hAnsi="Times New Roman" w:cs="Times New Roman"/>
          <w:sz w:val="28"/>
          <w:szCs w:val="28"/>
          <w:lang w:eastAsia="ru-RU"/>
        </w:rPr>
        <w:t>, зафиксированы в его учредительных актах и Хартии основных прав, а также подкреплены соответствующими механизмами реализации. В этом контексте ЕС конструирует свою идентичность как нормативный международный актор, ориентированный на экспорт модели правопорядка, основанной на универсальных правовых и этико-политических стандартах</w:t>
      </w:r>
      <w:r w:rsidR="00F7638F" w:rsidRPr="001935D0">
        <w:rPr>
          <w:rFonts w:ascii="Times New Roman" w:hAnsi="Times New Roman" w:cs="Times New Roman"/>
          <w:sz w:val="28"/>
          <w:szCs w:val="28"/>
          <w:lang w:eastAsia="ru-RU"/>
        </w:rPr>
        <w:t xml:space="preserve"> [22]</w:t>
      </w:r>
      <w:r w:rsidRPr="001935D0">
        <w:rPr>
          <w:rFonts w:ascii="Times New Roman" w:hAnsi="Times New Roman" w:cs="Times New Roman"/>
          <w:sz w:val="28"/>
          <w:szCs w:val="28"/>
          <w:lang w:eastAsia="ru-RU"/>
        </w:rPr>
        <w:t>.</w:t>
      </w:r>
    </w:p>
    <w:p w14:paraId="5B31BDA7" w14:textId="0220249E" w:rsidR="00CA0909" w:rsidRPr="001935D0" w:rsidRDefault="00CA0909"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lastRenderedPageBreak/>
        <w:t>Как отмечает А.-К. Йонассон, отказ от активной институциональной защиты данных норм и ценностей может поставить под угрозу не только международную репутацию ЕС, но и устойчивость самого проекта европейской интеграции</w:t>
      </w:r>
      <w:r w:rsidR="00F7638F" w:rsidRPr="001935D0">
        <w:rPr>
          <w:rFonts w:ascii="Times New Roman" w:hAnsi="Times New Roman" w:cs="Times New Roman"/>
          <w:sz w:val="28"/>
          <w:szCs w:val="28"/>
          <w:lang w:eastAsia="ru-RU"/>
        </w:rPr>
        <w:t xml:space="preserve"> [2</w:t>
      </w:r>
      <w:r w:rsidR="005452E9" w:rsidRPr="001935D0">
        <w:rPr>
          <w:rFonts w:ascii="Times New Roman" w:hAnsi="Times New Roman" w:cs="Times New Roman"/>
          <w:sz w:val="28"/>
          <w:szCs w:val="28"/>
          <w:lang w:eastAsia="ru-RU"/>
        </w:rPr>
        <w:t>3</w:t>
      </w:r>
      <w:r w:rsidR="003975C3">
        <w:rPr>
          <w:rFonts w:ascii="Times New Roman" w:hAnsi="Times New Roman" w:cs="Times New Roman"/>
          <w:sz w:val="28"/>
          <w:szCs w:val="28"/>
          <w:lang w:val="kk-KZ" w:eastAsia="ru-RU"/>
        </w:rPr>
        <w:t>, р. 93-116</w:t>
      </w:r>
      <w:r w:rsidR="00F7638F" w:rsidRPr="001935D0">
        <w:rPr>
          <w:rFonts w:ascii="Times New Roman" w:hAnsi="Times New Roman" w:cs="Times New Roman"/>
          <w:sz w:val="28"/>
          <w:szCs w:val="28"/>
          <w:lang w:eastAsia="ru-RU"/>
        </w:rPr>
        <w:t>]</w:t>
      </w:r>
      <w:r w:rsidRPr="001935D0">
        <w:rPr>
          <w:rFonts w:ascii="Times New Roman" w:hAnsi="Times New Roman" w:cs="Times New Roman"/>
          <w:sz w:val="28"/>
          <w:szCs w:val="28"/>
          <w:lang w:eastAsia="ru-RU"/>
        </w:rPr>
        <w:t xml:space="preserve">. В условиях глобальных вызовов – подрыва многостороннего правопорядка, распространения авторитарных практик, деградации механизмов защиты прав человека – сохранение нормативной легитимности требует не декларативной, а институциональной состоятельности. Несоблюдение данного требования чревато утратой как внешней дееспособности, так и внутренней когерентности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Pr="001935D0">
        <w:rPr>
          <w:rFonts w:ascii="Times New Roman" w:hAnsi="Times New Roman" w:cs="Times New Roman"/>
          <w:sz w:val="28"/>
          <w:szCs w:val="28"/>
          <w:lang w:eastAsia="ru-RU"/>
        </w:rPr>
        <w:t>.</w:t>
      </w:r>
    </w:p>
    <w:p w14:paraId="1E45A1B6" w14:textId="47EADC29" w:rsidR="00CA0909" w:rsidRPr="001935D0" w:rsidRDefault="00CA0909"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Исследования Х. Туоминен акцентируют внимание на проблеме непоследовательности ЕС как глобального актора, особенно в рамках многосторонних институций, включая Совет ООН по правам человека</w:t>
      </w:r>
      <w:r w:rsidR="00F7638F" w:rsidRPr="001935D0">
        <w:rPr>
          <w:rFonts w:ascii="Times New Roman" w:hAnsi="Times New Roman" w:cs="Times New Roman"/>
          <w:sz w:val="28"/>
          <w:szCs w:val="28"/>
          <w:lang w:eastAsia="ru-RU"/>
        </w:rPr>
        <w:t xml:space="preserve"> [2</w:t>
      </w:r>
      <w:r w:rsidR="005452E9" w:rsidRPr="001935D0">
        <w:rPr>
          <w:rFonts w:ascii="Times New Roman" w:hAnsi="Times New Roman" w:cs="Times New Roman"/>
          <w:sz w:val="28"/>
          <w:szCs w:val="28"/>
          <w:lang w:eastAsia="ru-RU"/>
        </w:rPr>
        <w:t>4</w:t>
      </w:r>
      <w:r w:rsidR="003975C3">
        <w:rPr>
          <w:rFonts w:ascii="Times New Roman" w:hAnsi="Times New Roman" w:cs="Times New Roman"/>
          <w:sz w:val="28"/>
          <w:szCs w:val="28"/>
          <w:lang w:val="kk-KZ" w:eastAsia="ru-RU"/>
        </w:rPr>
        <w:t>, р.</w:t>
      </w:r>
      <w:r w:rsidR="00EF6EE8">
        <w:rPr>
          <w:rFonts w:ascii="Times New Roman" w:hAnsi="Times New Roman" w:cs="Times New Roman"/>
          <w:sz w:val="28"/>
          <w:szCs w:val="28"/>
          <w:lang w:val="kk-KZ" w:eastAsia="ru-RU"/>
        </w:rPr>
        <w:t> 903-920</w:t>
      </w:r>
      <w:r w:rsidR="00F7638F" w:rsidRPr="001935D0">
        <w:rPr>
          <w:rFonts w:ascii="Times New Roman" w:hAnsi="Times New Roman" w:cs="Times New Roman"/>
          <w:sz w:val="28"/>
          <w:szCs w:val="28"/>
          <w:lang w:eastAsia="ru-RU"/>
        </w:rPr>
        <w:t>]</w:t>
      </w:r>
      <w:r w:rsidRPr="001935D0">
        <w:rPr>
          <w:rFonts w:ascii="Times New Roman" w:hAnsi="Times New Roman" w:cs="Times New Roman"/>
          <w:sz w:val="28"/>
          <w:szCs w:val="28"/>
          <w:lang w:eastAsia="ru-RU"/>
        </w:rPr>
        <w:t xml:space="preserve">. Несмотря на наличие когнитивного лидерства, потенциал ЕС в переговорах и институциональном посредничестве ограничен </w:t>
      </w:r>
      <w:bookmarkStart w:id="0" w:name="_GoBack"/>
      <w:r w:rsidRPr="001935D0">
        <w:rPr>
          <w:rFonts w:ascii="Times New Roman" w:hAnsi="Times New Roman" w:cs="Times New Roman"/>
          <w:sz w:val="28"/>
          <w:szCs w:val="28"/>
          <w:lang w:eastAsia="ru-RU"/>
        </w:rPr>
        <w:t>дефицит</w:t>
      </w:r>
      <w:bookmarkEnd w:id="0"/>
      <w:r w:rsidRPr="001935D0">
        <w:rPr>
          <w:rFonts w:ascii="Times New Roman" w:hAnsi="Times New Roman" w:cs="Times New Roman"/>
          <w:sz w:val="28"/>
          <w:szCs w:val="28"/>
          <w:lang w:eastAsia="ru-RU"/>
        </w:rPr>
        <w:t>ом единой позиции государств-членов, что ослабляет признание нормативной легитимности его стратегии на глобальном уровне.</w:t>
      </w:r>
    </w:p>
    <w:p w14:paraId="70598820" w14:textId="470E0E4E" w:rsidR="00CA0909" w:rsidRPr="001935D0" w:rsidRDefault="00CA0909"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Сравнительный анализ, представленный Э. Йылдырымчакаром, выявляет различие в логике нормативного влияния ЕС и Китая. ЕС действует преимущественно через правовые и договірні механизмы, интегрируя ценности в соглашения о партнёрстве и политику соседства, в то время как КНР использует экономические важели и прагматичную дипломатическую стратегію</w:t>
      </w:r>
      <w:r w:rsidR="005452E9" w:rsidRPr="001935D0">
        <w:rPr>
          <w:rFonts w:ascii="Times New Roman" w:hAnsi="Times New Roman" w:cs="Times New Roman"/>
          <w:sz w:val="28"/>
          <w:szCs w:val="28"/>
          <w:lang w:eastAsia="ru-RU"/>
        </w:rPr>
        <w:t xml:space="preserve"> [25</w:t>
      </w:r>
      <w:r w:rsidR="00EF6EE8">
        <w:rPr>
          <w:rFonts w:ascii="Times New Roman" w:hAnsi="Times New Roman" w:cs="Times New Roman"/>
          <w:sz w:val="28"/>
          <w:szCs w:val="28"/>
          <w:lang w:val="kk-KZ" w:eastAsia="ru-RU"/>
        </w:rPr>
        <w:t>, р. 1-1</w:t>
      </w:r>
      <w:r w:rsidR="0090282C" w:rsidRPr="00C57BD3">
        <w:rPr>
          <w:rFonts w:ascii="Times New Roman" w:hAnsi="Times New Roman" w:cs="Times New Roman"/>
          <w:sz w:val="28"/>
          <w:szCs w:val="28"/>
          <w:lang w:eastAsia="ru-RU"/>
        </w:rPr>
        <w:t>4</w:t>
      </w:r>
      <w:r w:rsidR="005452E9" w:rsidRPr="001935D0">
        <w:rPr>
          <w:rFonts w:ascii="Times New Roman" w:hAnsi="Times New Roman" w:cs="Times New Roman"/>
          <w:sz w:val="28"/>
          <w:szCs w:val="28"/>
          <w:lang w:eastAsia="ru-RU"/>
        </w:rPr>
        <w:t>]</w:t>
      </w:r>
      <w:r w:rsidRPr="001935D0">
        <w:rPr>
          <w:rFonts w:ascii="Times New Roman" w:hAnsi="Times New Roman" w:cs="Times New Roman"/>
          <w:sz w:val="28"/>
          <w:szCs w:val="28"/>
          <w:lang w:eastAsia="ru-RU"/>
        </w:rPr>
        <w:t>. Подобное сопоставление демонстрирует уникальность ЕС как постнационального субъекта, чья нормативная сила опирается на институционализированную правовую базу.</w:t>
      </w:r>
    </w:p>
    <w:p w14:paraId="35C818A1" w14:textId="6E0EDD08" w:rsidR="00CA0909" w:rsidRPr="001935D0" w:rsidRDefault="00CA0909"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С. Булус и соавторы исследуют, как представление ЕС как нормативного актора воспроизводится во внутреннем публичном дискурсе, включая национальные медиа</w:t>
      </w:r>
      <w:r w:rsidR="005452E9" w:rsidRPr="001935D0">
        <w:rPr>
          <w:rFonts w:ascii="Times New Roman" w:hAnsi="Times New Roman" w:cs="Times New Roman"/>
          <w:sz w:val="28"/>
          <w:szCs w:val="28"/>
          <w:lang w:eastAsia="ru-RU"/>
        </w:rPr>
        <w:t xml:space="preserve"> [26</w:t>
      </w:r>
      <w:r w:rsidR="00EF6EE8">
        <w:rPr>
          <w:rFonts w:ascii="Times New Roman" w:hAnsi="Times New Roman" w:cs="Times New Roman"/>
          <w:sz w:val="28"/>
          <w:szCs w:val="28"/>
          <w:lang w:val="kk-KZ" w:eastAsia="ru-RU"/>
        </w:rPr>
        <w:t>, р. 1-15</w:t>
      </w:r>
      <w:r w:rsidR="005452E9" w:rsidRPr="001935D0">
        <w:rPr>
          <w:rFonts w:ascii="Times New Roman" w:hAnsi="Times New Roman" w:cs="Times New Roman"/>
          <w:sz w:val="28"/>
          <w:szCs w:val="28"/>
          <w:lang w:eastAsia="ru-RU"/>
        </w:rPr>
        <w:t>]</w:t>
      </w:r>
      <w:r w:rsidRPr="001935D0">
        <w:rPr>
          <w:rFonts w:ascii="Times New Roman" w:hAnsi="Times New Roman" w:cs="Times New Roman"/>
          <w:sz w:val="28"/>
          <w:szCs w:val="28"/>
          <w:lang w:eastAsia="ru-RU"/>
        </w:rPr>
        <w:t>. На примере испанского информационного пространства они показывают, что ценности ЕС – прежде всего права человека и верховенство закона – выступают не только внешнеполитическим активом, но и элементом внутрисоюзной легитимации.</w:t>
      </w:r>
    </w:p>
    <w:p w14:paraId="5865ACA2" w14:textId="0E7420FC" w:rsidR="00CA0909" w:rsidRPr="001935D0" w:rsidRDefault="00CA0909"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 свою очередь, Т. Пальм трактует нормативную силу как компонент стратегической автономии ЄС.</w:t>
      </w:r>
      <w:r w:rsidR="005452E9" w:rsidRPr="001935D0">
        <w:rPr>
          <w:rFonts w:ascii="Times New Roman" w:hAnsi="Times New Roman" w:cs="Times New Roman"/>
          <w:sz w:val="28"/>
          <w:szCs w:val="28"/>
          <w:lang w:eastAsia="ru-RU"/>
        </w:rPr>
        <w:t xml:space="preserve"> [27]</w:t>
      </w:r>
      <w:r w:rsidR="00AE47D3" w:rsidRPr="001935D0">
        <w:rPr>
          <w:rFonts w:ascii="Times New Roman" w:hAnsi="Times New Roman" w:cs="Times New Roman"/>
          <w:sz w:val="28"/>
          <w:szCs w:val="28"/>
          <w:lang w:val="uk-UA" w:eastAsia="ru-RU"/>
        </w:rPr>
        <w:t>.</w:t>
      </w:r>
      <w:r w:rsidRPr="001935D0">
        <w:rPr>
          <w:rFonts w:ascii="Times New Roman" w:hAnsi="Times New Roman" w:cs="Times New Roman"/>
          <w:sz w:val="28"/>
          <w:szCs w:val="28"/>
          <w:lang w:eastAsia="ru-RU"/>
        </w:rPr>
        <w:t xml:space="preserve"> По её мнению, </w:t>
      </w:r>
      <w:r w:rsidR="00CF2560" w:rsidRPr="001935D0">
        <w:rPr>
          <w:rFonts w:ascii="Times New Roman" w:eastAsia="Times New Roman" w:hAnsi="Times New Roman" w:cs="Times New Roman"/>
          <w:sz w:val="28"/>
          <w:szCs w:val="28"/>
          <w:lang w:eastAsia="ru-RU"/>
        </w:rPr>
        <w:t>Европейск</w:t>
      </w:r>
      <w:r w:rsidR="00CF2560" w:rsidRPr="001935D0">
        <w:rPr>
          <w:rFonts w:ascii="Times New Roman" w:eastAsia="Times New Roman" w:hAnsi="Times New Roman" w:cs="Times New Roman"/>
          <w:sz w:val="28"/>
          <w:szCs w:val="28"/>
          <w:lang w:val="uk-UA" w:eastAsia="ru-RU"/>
        </w:rPr>
        <w:t>ий</w:t>
      </w:r>
      <w:r w:rsidR="00CF2560" w:rsidRPr="001935D0">
        <w:rPr>
          <w:rFonts w:ascii="Times New Roman" w:eastAsia="Times New Roman" w:hAnsi="Times New Roman" w:cs="Times New Roman"/>
          <w:sz w:val="28"/>
          <w:szCs w:val="28"/>
          <w:lang w:eastAsia="ru-RU"/>
        </w:rPr>
        <w:t xml:space="preserve">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w:t>
      </w:r>
      <w:r w:rsidRPr="001935D0">
        <w:rPr>
          <w:rFonts w:ascii="Times New Roman" w:hAnsi="Times New Roman" w:cs="Times New Roman"/>
          <w:sz w:val="28"/>
          <w:szCs w:val="28"/>
          <w:lang w:eastAsia="ru-RU"/>
        </w:rPr>
        <w:t xml:space="preserve"> не может ограничиваться исключительно этическим позиционированием в условиях нарастающей глобальной конкуренции. Нормативная идентичность должна сочетаться с институциональной способностью к самостоятельному принятию решений и обладанием необходимыми ресурсами для проецирования своих стандартов в мировой политике.</w:t>
      </w:r>
    </w:p>
    <w:p w14:paraId="4F9C9C04" w14:textId="3C85338C" w:rsidR="00CA0909" w:rsidRPr="001935D0" w:rsidRDefault="00CA0909"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Практическое измерение реализации нормативного влияния раскрывается в работах С. Фрейна, который вводит концепт «многосторонности 2.0» и подчёркивает важность модели «лидерства из-за кулис» в отношениях ЕС с Африкой</w:t>
      </w:r>
      <w:r w:rsidR="005452E9" w:rsidRPr="001935D0">
        <w:rPr>
          <w:rFonts w:ascii="Times New Roman" w:hAnsi="Times New Roman" w:cs="Times New Roman"/>
          <w:sz w:val="28"/>
          <w:szCs w:val="28"/>
          <w:lang w:eastAsia="ru-RU"/>
        </w:rPr>
        <w:t xml:space="preserve"> [28]</w:t>
      </w:r>
      <w:r w:rsidRPr="001935D0">
        <w:rPr>
          <w:rFonts w:ascii="Times New Roman" w:hAnsi="Times New Roman" w:cs="Times New Roman"/>
          <w:sz w:val="28"/>
          <w:szCs w:val="28"/>
          <w:lang w:eastAsia="ru-RU"/>
        </w:rPr>
        <w:t>. Эффективность нормотворчества в таком контексте, по его мнению, возможна только при условии высокого уровня локального участия и институциональной подотчётности принимающих сторон.</w:t>
      </w:r>
    </w:p>
    <w:p w14:paraId="461A2523" w14:textId="7F86FDDB" w:rsidR="00B27DB3" w:rsidRPr="001935D0" w:rsidRDefault="00CA0909"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Критическую перспективу предлагает В. Бахманн и С. Моисио, которые рассматривают ЕС как функциональную производную глобального </w:t>
      </w:r>
      <w:r w:rsidRPr="001935D0">
        <w:rPr>
          <w:rFonts w:ascii="Times New Roman" w:hAnsi="Times New Roman" w:cs="Times New Roman"/>
          <w:sz w:val="28"/>
          <w:szCs w:val="28"/>
          <w:lang w:eastAsia="ru-RU"/>
        </w:rPr>
        <w:lastRenderedPageBreak/>
        <w:t>капиталистического порядка</w:t>
      </w:r>
      <w:r w:rsidR="005452E9" w:rsidRPr="001935D0">
        <w:rPr>
          <w:rFonts w:ascii="Times New Roman" w:hAnsi="Times New Roman" w:cs="Times New Roman"/>
          <w:sz w:val="28"/>
          <w:szCs w:val="28"/>
          <w:lang w:eastAsia="ru-RU"/>
        </w:rPr>
        <w:t xml:space="preserve"> [29</w:t>
      </w:r>
      <w:r w:rsidR="00EF6EE8">
        <w:rPr>
          <w:rFonts w:ascii="Times New Roman" w:hAnsi="Times New Roman" w:cs="Times New Roman"/>
          <w:sz w:val="28"/>
          <w:szCs w:val="28"/>
          <w:lang w:val="kk-KZ" w:eastAsia="ru-RU"/>
        </w:rPr>
        <w:t xml:space="preserve">, р. </w:t>
      </w:r>
      <w:r w:rsidR="0090282C" w:rsidRPr="00B91B61">
        <w:rPr>
          <w:rFonts w:ascii="Times New Roman" w:hAnsi="Times New Roman" w:cs="Times New Roman"/>
          <w:sz w:val="28"/>
          <w:szCs w:val="28"/>
          <w:lang w:eastAsia="ru-RU"/>
        </w:rPr>
        <w:t>440-458</w:t>
      </w:r>
      <w:r w:rsidR="005452E9" w:rsidRPr="001935D0">
        <w:rPr>
          <w:rFonts w:ascii="Times New Roman" w:hAnsi="Times New Roman" w:cs="Times New Roman"/>
          <w:sz w:val="28"/>
          <w:szCs w:val="28"/>
          <w:lang w:eastAsia="ru-RU"/>
        </w:rPr>
        <w:t>]</w:t>
      </w:r>
      <w:r w:rsidRPr="001935D0">
        <w:rPr>
          <w:rFonts w:ascii="Times New Roman" w:hAnsi="Times New Roman" w:cs="Times New Roman"/>
          <w:sz w:val="28"/>
          <w:szCs w:val="28"/>
          <w:lang w:eastAsia="ru-RU"/>
        </w:rPr>
        <w:t>. Несмотря на прогрессивную риторику, они ставят под сомнение возможность продвижения универсальных ценностей без элементов скрытого имперского дискурса. Исходя из методологии Франкфуртской школы, авторы подчеркивают необходимость «деимпериализации» как теоретического концепта и как условия практической состоятельности правозащитной внешней политики ЕС.</w:t>
      </w:r>
    </w:p>
    <w:p w14:paraId="740F87D4" w14:textId="0E1607E7" w:rsidR="00B27DB3" w:rsidRPr="001935D0" w:rsidRDefault="00B27DB3"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Таким образом, в современной научной литературе прослеживается тенденция к концептуализации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как нормативного актора, опирающегося на универсальные ценности и правовые стандарты. Несмотря на разнообразие подходов – от когнитивного лидерства до критических интерпретаций нормативной силы как производного элемента глобального порядка – общим остаётся признание ключевой роли прав человека в архитектуре внешней идентичности ЕС.</w:t>
      </w:r>
    </w:p>
    <w:p w14:paraId="12DAC13C" w14:textId="77777777" w:rsidR="00B27DB3" w:rsidRPr="001935D0" w:rsidRDefault="00B27DB3"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Тем не менее, большинство существующих моделей акцентируют внимание преимущественно на внешнеполитической проекции ценностей, в то время как внутренняя нормативная консистентность, институциональное воспроизводство норм и взаимосвязь между правами человека и политической субъектностью ЕС остаются недостаточно исследованными. Кроме того, преобладающие теоретические конструкции редко обеспечивают целостную рамку анализа, способную объединить ценностный, институциональный и геостратегический уровни в единую логическую систему.</w:t>
      </w:r>
    </w:p>
    <w:p w14:paraId="6D33DFF4" w14:textId="7ABE79C2" w:rsidR="00B27DB3" w:rsidRDefault="00B27DB3" w:rsidP="0067561B">
      <w:pPr>
        <w:pStyle w:val="NoSpacing"/>
        <w:ind w:firstLine="709"/>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 xml:space="preserve">В этой связи в диссертационном исследовании предлагается авторская аналитическая модель, основанная на трактовке прав человека как «первичного кода» в политико-правовой архитектуре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В отличие от функциональных или институциональных интерпретаций, данная модель рассматривает права человека как онтологическое основание субъектности ЕС – как внутри, так и за пределами Союза</w:t>
      </w:r>
      <w:r w:rsidR="00EF3C7D" w:rsidRPr="001935D0">
        <w:rPr>
          <w:rFonts w:ascii="Times New Roman" w:hAnsi="Times New Roman" w:cs="Times New Roman"/>
          <w:sz w:val="28"/>
          <w:szCs w:val="28"/>
          <w:lang w:val="uk-UA" w:eastAsia="ru-RU"/>
        </w:rPr>
        <w:t xml:space="preserve"> (рис</w:t>
      </w:r>
      <w:r w:rsidR="0067561B">
        <w:rPr>
          <w:rFonts w:ascii="Times New Roman" w:hAnsi="Times New Roman" w:cs="Times New Roman"/>
          <w:sz w:val="28"/>
          <w:szCs w:val="28"/>
          <w:lang w:val="uk-UA" w:eastAsia="ru-RU"/>
        </w:rPr>
        <w:t>унок</w:t>
      </w:r>
      <w:r w:rsidR="00EF3C7D" w:rsidRPr="001935D0">
        <w:rPr>
          <w:rFonts w:ascii="Times New Roman" w:hAnsi="Times New Roman" w:cs="Times New Roman"/>
          <w:sz w:val="28"/>
          <w:szCs w:val="28"/>
          <w:lang w:val="uk-UA" w:eastAsia="ru-RU"/>
        </w:rPr>
        <w:t xml:space="preserve"> 1.1)</w:t>
      </w:r>
      <w:r w:rsidRPr="001935D0">
        <w:rPr>
          <w:rFonts w:ascii="Times New Roman" w:hAnsi="Times New Roman" w:cs="Times New Roman"/>
          <w:sz w:val="28"/>
          <w:szCs w:val="28"/>
          <w:lang w:eastAsia="ru-RU"/>
        </w:rPr>
        <w:t>.</w:t>
      </w:r>
    </w:p>
    <w:p w14:paraId="21DDB28C" w14:textId="77777777" w:rsidR="0067561B" w:rsidRPr="001935D0" w:rsidRDefault="0067561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val="uk-UA" w:eastAsia="ru-RU"/>
        </w:rPr>
        <w:t>М</w:t>
      </w:r>
      <w:r w:rsidRPr="001935D0">
        <w:rPr>
          <w:rFonts w:ascii="Times New Roman" w:hAnsi="Times New Roman" w:cs="Times New Roman"/>
          <w:sz w:val="28"/>
          <w:szCs w:val="28"/>
          <w:lang w:eastAsia="ru-RU"/>
        </w:rPr>
        <w:t xml:space="preserve">одель </w:t>
      </w:r>
      <w:r w:rsidRPr="001935D0">
        <w:rPr>
          <w:rFonts w:ascii="Times New Roman" w:hAnsi="Times New Roman" w:cs="Times New Roman"/>
          <w:sz w:val="28"/>
          <w:szCs w:val="28"/>
        </w:rPr>
        <w:t xml:space="preserve">нормативной идентичности </w:t>
      </w:r>
      <w:r w:rsidRPr="001935D0">
        <w:rPr>
          <w:rFonts w:ascii="Times New Roman" w:hAnsi="Times New Roman" w:cs="Times New Roman"/>
          <w:sz w:val="28"/>
          <w:szCs w:val="28"/>
          <w:lang w:eastAsia="ru-RU"/>
        </w:rPr>
        <w:t>способствует выведению анализа за пределы традиционного правового или институционального подхода, задавая параметры для междисциплинарного осмысления ЕС как постнационального актора, способного конструировать нормативную среду в условиях глобальной конкуренции за ценностное лидерство.</w:t>
      </w:r>
    </w:p>
    <w:p w14:paraId="5117690B" w14:textId="77777777" w:rsidR="0067561B" w:rsidRPr="001935D0" w:rsidRDefault="0067561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 xml:space="preserve">Целесообразно также уточнить, что ключевые ценности, положенные в основу модели, закреплены в ряде нормативных актов ЕС. Так, достоинство, свободы, равенство и солидарность структурно зафиксированы в разделах Хартии основных прав Европейского </w:t>
      </w:r>
      <w:r w:rsidRPr="001935D0">
        <w:rPr>
          <w:rFonts w:ascii="Times New Roman" w:hAnsi="Times New Roman" w:cs="Times New Roman"/>
          <w:bCs/>
          <w:sz w:val="28"/>
          <w:szCs w:val="28"/>
          <w:lang w:val="uk-UA" w:eastAsia="ru-RU"/>
        </w:rPr>
        <w:t>С</w:t>
      </w:r>
      <w:r w:rsidRPr="001935D0">
        <w:rPr>
          <w:rFonts w:ascii="Times New Roman" w:hAnsi="Times New Roman" w:cs="Times New Roman"/>
          <w:bCs/>
          <w:sz w:val="28"/>
          <w:szCs w:val="28"/>
          <w:lang w:eastAsia="ru-RU"/>
        </w:rPr>
        <w:t xml:space="preserve">оюза. </w:t>
      </w:r>
      <w:r w:rsidRPr="001935D0">
        <w:rPr>
          <w:rFonts w:ascii="Times New Roman" w:hAnsi="Times New Roman" w:cs="Times New Roman"/>
          <w:bCs/>
          <w:sz w:val="28"/>
          <w:szCs w:val="28"/>
          <w:lang w:val="uk-UA" w:eastAsia="ru-RU"/>
        </w:rPr>
        <w:t>Д</w:t>
      </w:r>
      <w:r w:rsidRPr="001935D0">
        <w:rPr>
          <w:rFonts w:ascii="Times New Roman" w:hAnsi="Times New Roman" w:cs="Times New Roman"/>
          <w:bCs/>
          <w:sz w:val="28"/>
          <w:szCs w:val="28"/>
          <w:lang w:eastAsia="ru-RU"/>
        </w:rPr>
        <w:t xml:space="preserve">емократия и права человека обозначены как базовые ценности в статье 2 Договора о Европейском </w:t>
      </w:r>
      <w:r w:rsidRPr="001935D0">
        <w:rPr>
          <w:rFonts w:ascii="Times New Roman" w:hAnsi="Times New Roman" w:cs="Times New Roman"/>
          <w:bCs/>
          <w:sz w:val="28"/>
          <w:szCs w:val="28"/>
          <w:lang w:val="uk-UA" w:eastAsia="ru-RU"/>
        </w:rPr>
        <w:t>С</w:t>
      </w:r>
      <w:r w:rsidRPr="001935D0">
        <w:rPr>
          <w:rFonts w:ascii="Times New Roman" w:hAnsi="Times New Roman" w:cs="Times New Roman"/>
          <w:bCs/>
          <w:sz w:val="28"/>
          <w:szCs w:val="28"/>
          <w:lang w:eastAsia="ru-RU"/>
        </w:rPr>
        <w:t xml:space="preserve">оюзе; а их внешнеполитическая реализация подробно отражена в Стратегии ЕС по правам человека и демократии [21]. Таким образом, правовая легитимация этих норм </w:t>
      </w:r>
      <w:r w:rsidRPr="001935D0">
        <w:rPr>
          <w:rFonts w:ascii="Times New Roman" w:hAnsi="Times New Roman" w:cs="Times New Roman"/>
          <w:bCs/>
          <w:sz w:val="28"/>
          <w:szCs w:val="28"/>
          <w:lang w:val="uk-UA" w:eastAsia="ru-RU"/>
        </w:rPr>
        <w:t>подрозумивает</w:t>
      </w:r>
      <w:r w:rsidRPr="001935D0">
        <w:rPr>
          <w:rFonts w:ascii="Times New Roman" w:hAnsi="Times New Roman" w:cs="Times New Roman"/>
          <w:bCs/>
          <w:sz w:val="28"/>
          <w:szCs w:val="28"/>
          <w:lang w:eastAsia="ru-RU"/>
        </w:rPr>
        <w:t xml:space="preserve"> системный и многоуровневый характер, что подтверждает их статус в качестве онтологической основы политико-правовой идентичности Союза.</w:t>
      </w:r>
    </w:p>
    <w:p w14:paraId="3FEECE2E" w14:textId="77777777" w:rsidR="00B27DB3" w:rsidRPr="0067561B" w:rsidRDefault="00B27DB3" w:rsidP="0067561B">
      <w:pPr>
        <w:spacing w:after="0" w:line="240" w:lineRule="auto"/>
        <w:ind w:firstLine="709"/>
        <w:jc w:val="center"/>
        <w:rPr>
          <w:rFonts w:ascii="Times New Roman" w:eastAsia="Times New Roman" w:hAnsi="Times New Roman" w:cs="Times New Roman"/>
          <w:sz w:val="28"/>
          <w:szCs w:val="28"/>
          <w:lang w:eastAsia="ru-RU"/>
        </w:rPr>
      </w:pPr>
    </w:p>
    <w:p w14:paraId="4768A2A3" w14:textId="77777777" w:rsidR="00B27DB3" w:rsidRPr="001935D0" w:rsidRDefault="00B311C8" w:rsidP="0067561B">
      <w:pPr>
        <w:spacing w:after="0" w:line="240" w:lineRule="auto"/>
        <w:ind w:firstLine="567"/>
        <w:rPr>
          <w:rFonts w:ascii="Times New Roman" w:eastAsia="Times New Roman" w:hAnsi="Times New Roman" w:cs="Times New Roman"/>
          <w:sz w:val="24"/>
          <w:szCs w:val="24"/>
          <w:lang w:eastAsia="ru-RU"/>
        </w:rPr>
      </w:pPr>
      <w:r w:rsidRPr="001935D0">
        <w:rPr>
          <w:rFonts w:ascii="Times New Roman" w:eastAsia="Times New Roman" w:hAnsi="Times New Roman" w:cs="Times New Roman"/>
          <w:noProof/>
          <w:sz w:val="24"/>
          <w:szCs w:val="24"/>
          <w:lang w:eastAsia="ru-RU"/>
        </w:rPr>
        <w:lastRenderedPageBreak/>
        <w:drawing>
          <wp:inline distT="0" distB="0" distL="0" distR="0" wp14:anchorId="2EF37295" wp14:editId="3C460134">
            <wp:extent cx="5486400" cy="2618842"/>
            <wp:effectExtent l="57150" t="38100" r="57150" b="6731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182ACCC" w14:textId="77777777" w:rsidR="0067561B" w:rsidRPr="0067561B" w:rsidRDefault="0067561B" w:rsidP="00593711">
      <w:pPr>
        <w:pStyle w:val="NoSpacing"/>
        <w:ind w:firstLine="567"/>
        <w:jc w:val="both"/>
        <w:rPr>
          <w:rFonts w:ascii="Times New Roman" w:hAnsi="Times New Roman" w:cs="Times New Roman"/>
          <w:sz w:val="16"/>
          <w:szCs w:val="16"/>
          <w:lang w:val="kk-KZ"/>
        </w:rPr>
      </w:pPr>
    </w:p>
    <w:p w14:paraId="14341E96" w14:textId="2327FFD7" w:rsidR="00B311C8" w:rsidRPr="001935D0" w:rsidRDefault="00365605" w:rsidP="0067561B">
      <w:pPr>
        <w:pStyle w:val="NoSpacing"/>
        <w:jc w:val="center"/>
        <w:rPr>
          <w:rFonts w:ascii="Times New Roman" w:hAnsi="Times New Roman" w:cs="Times New Roman"/>
          <w:sz w:val="28"/>
          <w:szCs w:val="28"/>
          <w:lang w:eastAsia="ru-RU"/>
        </w:rPr>
      </w:pPr>
      <w:r w:rsidRPr="001935D0">
        <w:rPr>
          <w:rFonts w:ascii="Times New Roman" w:hAnsi="Times New Roman" w:cs="Times New Roman"/>
          <w:sz w:val="28"/>
          <w:szCs w:val="28"/>
        </w:rPr>
        <w:t>Рис</w:t>
      </w:r>
      <w:r w:rsidR="0067561B">
        <w:rPr>
          <w:rFonts w:ascii="Times New Roman" w:hAnsi="Times New Roman" w:cs="Times New Roman"/>
          <w:sz w:val="28"/>
          <w:szCs w:val="28"/>
          <w:lang w:val="kk-KZ"/>
        </w:rPr>
        <w:t>унок</w:t>
      </w:r>
      <w:r w:rsidRPr="001935D0">
        <w:rPr>
          <w:rFonts w:ascii="Times New Roman" w:hAnsi="Times New Roman" w:cs="Times New Roman"/>
          <w:sz w:val="28"/>
          <w:szCs w:val="28"/>
        </w:rPr>
        <w:t xml:space="preserve"> 1.1 </w:t>
      </w:r>
      <w:r w:rsidR="0067561B">
        <w:rPr>
          <w:rFonts w:ascii="Times New Roman" w:hAnsi="Times New Roman" w:cs="Times New Roman"/>
          <w:sz w:val="28"/>
          <w:szCs w:val="28"/>
          <w:lang w:val="kk-KZ"/>
        </w:rPr>
        <w:t xml:space="preserve">– </w:t>
      </w:r>
      <w:r w:rsidRPr="001935D0">
        <w:rPr>
          <w:rFonts w:ascii="Times New Roman" w:hAnsi="Times New Roman" w:cs="Times New Roman"/>
          <w:sz w:val="28"/>
          <w:szCs w:val="28"/>
        </w:rPr>
        <w:t>М</w:t>
      </w:r>
      <w:r w:rsidR="00B311C8" w:rsidRPr="001935D0">
        <w:rPr>
          <w:rFonts w:ascii="Times New Roman" w:hAnsi="Times New Roman" w:cs="Times New Roman"/>
          <w:sz w:val="28"/>
          <w:szCs w:val="28"/>
        </w:rPr>
        <w:t>одель нормативной идентичности ЕС на основе «первичного кода» прав человека</w:t>
      </w:r>
    </w:p>
    <w:p w14:paraId="39F31DD7" w14:textId="77777777" w:rsidR="0067561B" w:rsidRPr="0067561B" w:rsidRDefault="0067561B" w:rsidP="00593711">
      <w:pPr>
        <w:spacing w:after="0" w:line="240" w:lineRule="auto"/>
        <w:rPr>
          <w:rFonts w:ascii="Times New Roman" w:eastAsia="Times New Roman" w:hAnsi="Times New Roman" w:cs="Times New Roman"/>
          <w:sz w:val="16"/>
          <w:szCs w:val="16"/>
          <w:lang w:val="kk-KZ" w:eastAsia="ru-RU"/>
        </w:rPr>
      </w:pPr>
    </w:p>
    <w:p w14:paraId="2E860C07" w14:textId="083E8645" w:rsidR="001837A7" w:rsidRPr="001935D0" w:rsidRDefault="0067561B" w:rsidP="0067561B">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Примечание – </w:t>
      </w:r>
      <w:r w:rsidRPr="001935D0">
        <w:rPr>
          <w:rFonts w:ascii="Times New Roman" w:hAnsi="Times New Roman" w:cs="Times New Roman"/>
          <w:sz w:val="24"/>
          <w:szCs w:val="24"/>
        </w:rPr>
        <w:t xml:space="preserve">Составлено </w:t>
      </w:r>
      <w:r w:rsidR="000E5EC7" w:rsidRPr="001935D0">
        <w:rPr>
          <w:rFonts w:ascii="Times New Roman" w:hAnsi="Times New Roman" w:cs="Times New Roman"/>
          <w:sz w:val="24"/>
          <w:szCs w:val="24"/>
        </w:rPr>
        <w:t xml:space="preserve">автором </w:t>
      </w:r>
    </w:p>
    <w:p w14:paraId="67883079" w14:textId="77777777" w:rsidR="00B27DB3" w:rsidRPr="001935D0" w:rsidRDefault="00B27DB3" w:rsidP="00593711">
      <w:pPr>
        <w:spacing w:after="0" w:line="240" w:lineRule="auto"/>
        <w:rPr>
          <w:rFonts w:ascii="Times New Roman" w:eastAsia="Times New Roman" w:hAnsi="Times New Roman" w:cs="Times New Roman"/>
          <w:sz w:val="24"/>
          <w:szCs w:val="24"/>
          <w:lang w:eastAsia="ru-RU"/>
        </w:rPr>
      </w:pPr>
    </w:p>
    <w:p w14:paraId="0A3A3735" w14:textId="77777777" w:rsidR="002E347B" w:rsidRPr="001935D0" w:rsidRDefault="002E347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Анализ трансформации приоритетов Европейского Союза в сфере прав человека в XXI веке позволяет выделить три качественно различных этапа, которые формируют авторскую типологию развития данной политики: декларативный этап, адаптационный этап и интервенционный этап. Каждый из них характеризуется собственным институциональным и стратегическим контекстом, а также спецификой соотношения между ценностями прав человека и реалиями геополитической повестки.</w:t>
      </w:r>
    </w:p>
    <w:p w14:paraId="0CF1BEE0" w14:textId="77777777" w:rsidR="005452E9" w:rsidRPr="001935D0" w:rsidRDefault="005452E9" w:rsidP="00593711">
      <w:pPr>
        <w:pStyle w:val="NoSpacing"/>
        <w:ind w:firstLine="567"/>
        <w:jc w:val="both"/>
        <w:rPr>
          <w:rFonts w:ascii="Times New Roman" w:hAnsi="Times New Roman" w:cs="Times New Roman"/>
          <w:sz w:val="28"/>
          <w:szCs w:val="28"/>
          <w:lang w:eastAsia="ru-RU"/>
        </w:rPr>
      </w:pPr>
    </w:p>
    <w:p w14:paraId="31345F62" w14:textId="56131959" w:rsidR="002E347B" w:rsidRDefault="005452E9" w:rsidP="0067561B">
      <w:pPr>
        <w:pStyle w:val="NoSpacing"/>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 xml:space="preserve">Таблица 1.2 </w:t>
      </w:r>
      <w:r w:rsidR="0067561B">
        <w:rPr>
          <w:rFonts w:ascii="Times New Roman" w:hAnsi="Times New Roman" w:cs="Times New Roman"/>
          <w:sz w:val="28"/>
          <w:szCs w:val="28"/>
          <w:lang w:eastAsia="ru-RU"/>
        </w:rPr>
        <w:t>‒</w:t>
      </w:r>
      <w:r w:rsidR="0067561B">
        <w:rPr>
          <w:rFonts w:ascii="Times New Roman" w:hAnsi="Times New Roman" w:cs="Times New Roman"/>
          <w:sz w:val="28"/>
          <w:szCs w:val="28"/>
          <w:lang w:val="kk-KZ" w:eastAsia="ru-RU"/>
        </w:rPr>
        <w:t xml:space="preserve"> </w:t>
      </w:r>
      <w:r w:rsidRPr="001935D0">
        <w:rPr>
          <w:rFonts w:ascii="Times New Roman" w:hAnsi="Times New Roman" w:cs="Times New Roman"/>
          <w:sz w:val="28"/>
          <w:szCs w:val="28"/>
          <w:lang w:eastAsia="ru-RU"/>
        </w:rPr>
        <w:t>Авторская типология –</w:t>
      </w:r>
      <w:r w:rsidR="002E347B" w:rsidRPr="001935D0">
        <w:rPr>
          <w:rFonts w:ascii="Times New Roman" w:hAnsi="Times New Roman" w:cs="Times New Roman"/>
          <w:sz w:val="28"/>
          <w:szCs w:val="28"/>
          <w:lang w:eastAsia="ru-RU"/>
        </w:rPr>
        <w:t xml:space="preserve"> трёхфазная модель трансформации политики прав человека ЕС</w:t>
      </w:r>
    </w:p>
    <w:p w14:paraId="61B1B0AC" w14:textId="77777777" w:rsidR="0067561B" w:rsidRPr="0067561B" w:rsidRDefault="0067561B" w:rsidP="0067561B">
      <w:pPr>
        <w:pStyle w:val="NoSpacing"/>
        <w:jc w:val="right"/>
        <w:rPr>
          <w:rFonts w:ascii="Times New Roman" w:hAnsi="Times New Roman" w:cs="Times New Roman"/>
          <w:sz w:val="16"/>
          <w:szCs w:val="16"/>
          <w:lang w:val="kk-KZ" w:eastAsia="ru-RU"/>
        </w:rPr>
      </w:pPr>
    </w:p>
    <w:tbl>
      <w:tblPr>
        <w:tblStyle w:val="TableGrid"/>
        <w:tblW w:w="0" w:type="auto"/>
        <w:jc w:val="center"/>
        <w:tblLayout w:type="fixed"/>
        <w:tblLook w:val="04A0" w:firstRow="1" w:lastRow="0" w:firstColumn="1" w:lastColumn="0" w:noHBand="0" w:noVBand="1"/>
      </w:tblPr>
      <w:tblGrid>
        <w:gridCol w:w="1776"/>
        <w:gridCol w:w="1260"/>
        <w:gridCol w:w="2464"/>
        <w:gridCol w:w="2127"/>
        <w:gridCol w:w="2007"/>
      </w:tblGrid>
      <w:tr w:rsidR="00C11870" w:rsidRPr="0067561B" w14:paraId="4E3721DB" w14:textId="77777777" w:rsidTr="0067561B">
        <w:trPr>
          <w:trHeight w:val="815"/>
          <w:jc w:val="center"/>
        </w:trPr>
        <w:tc>
          <w:tcPr>
            <w:tcW w:w="1776" w:type="dxa"/>
            <w:vAlign w:val="center"/>
          </w:tcPr>
          <w:p w14:paraId="413BFB6F" w14:textId="77777777" w:rsidR="00EC1324" w:rsidRPr="0067561B" w:rsidRDefault="00EC1324" w:rsidP="0067561B">
            <w:pPr>
              <w:jc w:val="center"/>
              <w:rPr>
                <w:rFonts w:ascii="Times New Roman" w:eastAsia="Times New Roman" w:hAnsi="Times New Roman" w:cs="Times New Roman"/>
                <w:bCs/>
                <w:sz w:val="24"/>
                <w:szCs w:val="24"/>
                <w:lang w:eastAsia="ru-RU"/>
              </w:rPr>
            </w:pPr>
            <w:r w:rsidRPr="0067561B">
              <w:rPr>
                <w:rFonts w:ascii="Times New Roman" w:eastAsia="Times New Roman" w:hAnsi="Times New Roman" w:cs="Times New Roman"/>
                <w:bCs/>
                <w:sz w:val="24"/>
                <w:szCs w:val="24"/>
                <w:lang w:eastAsia="ru-RU"/>
              </w:rPr>
              <w:t>Фаза</w:t>
            </w:r>
          </w:p>
        </w:tc>
        <w:tc>
          <w:tcPr>
            <w:tcW w:w="1260" w:type="dxa"/>
            <w:vAlign w:val="center"/>
          </w:tcPr>
          <w:p w14:paraId="35299A15" w14:textId="77777777" w:rsidR="00EC1324" w:rsidRPr="0067561B" w:rsidRDefault="00EC1324" w:rsidP="0067561B">
            <w:pPr>
              <w:jc w:val="center"/>
              <w:rPr>
                <w:rFonts w:ascii="Times New Roman" w:eastAsia="Times New Roman" w:hAnsi="Times New Roman" w:cs="Times New Roman"/>
                <w:bCs/>
                <w:sz w:val="24"/>
                <w:szCs w:val="24"/>
                <w:lang w:eastAsia="ru-RU"/>
              </w:rPr>
            </w:pPr>
            <w:r w:rsidRPr="0067561B">
              <w:rPr>
                <w:rFonts w:ascii="Times New Roman" w:eastAsia="Times New Roman" w:hAnsi="Times New Roman" w:cs="Times New Roman"/>
                <w:bCs/>
                <w:sz w:val="24"/>
                <w:szCs w:val="24"/>
                <w:lang w:eastAsia="ru-RU"/>
              </w:rPr>
              <w:t>Период</w:t>
            </w:r>
          </w:p>
        </w:tc>
        <w:tc>
          <w:tcPr>
            <w:tcW w:w="2464" w:type="dxa"/>
            <w:vAlign w:val="center"/>
          </w:tcPr>
          <w:p w14:paraId="1808D96B" w14:textId="77777777" w:rsidR="00EC1324" w:rsidRPr="0067561B" w:rsidRDefault="00EC1324" w:rsidP="0067561B">
            <w:pPr>
              <w:jc w:val="center"/>
              <w:rPr>
                <w:rFonts w:ascii="Times New Roman" w:eastAsia="Times New Roman" w:hAnsi="Times New Roman" w:cs="Times New Roman"/>
                <w:bCs/>
                <w:sz w:val="24"/>
                <w:szCs w:val="24"/>
                <w:lang w:eastAsia="ru-RU"/>
              </w:rPr>
            </w:pPr>
            <w:r w:rsidRPr="0067561B">
              <w:rPr>
                <w:rFonts w:ascii="Times New Roman" w:eastAsia="Times New Roman" w:hAnsi="Times New Roman" w:cs="Times New Roman"/>
                <w:bCs/>
                <w:sz w:val="24"/>
                <w:szCs w:val="24"/>
                <w:lang w:eastAsia="ru-RU"/>
              </w:rPr>
              <w:t>Основная характеристика</w:t>
            </w:r>
          </w:p>
        </w:tc>
        <w:tc>
          <w:tcPr>
            <w:tcW w:w="2127" w:type="dxa"/>
            <w:vAlign w:val="center"/>
          </w:tcPr>
          <w:p w14:paraId="2689A3C8" w14:textId="77777777" w:rsidR="00EC1324" w:rsidRPr="0067561B" w:rsidRDefault="00EC1324" w:rsidP="0067561B">
            <w:pPr>
              <w:jc w:val="center"/>
              <w:rPr>
                <w:rFonts w:ascii="Times New Roman" w:eastAsia="Times New Roman" w:hAnsi="Times New Roman" w:cs="Times New Roman"/>
                <w:bCs/>
                <w:sz w:val="24"/>
                <w:szCs w:val="24"/>
                <w:lang w:eastAsia="ru-RU"/>
              </w:rPr>
            </w:pPr>
            <w:r w:rsidRPr="0067561B">
              <w:rPr>
                <w:rFonts w:ascii="Times New Roman" w:eastAsia="Times New Roman" w:hAnsi="Times New Roman" w:cs="Times New Roman"/>
                <w:bCs/>
                <w:sz w:val="24"/>
                <w:szCs w:val="24"/>
                <w:lang w:eastAsia="ru-RU"/>
              </w:rPr>
              <w:t>Инструменты влияния</w:t>
            </w:r>
          </w:p>
        </w:tc>
        <w:tc>
          <w:tcPr>
            <w:tcW w:w="2007" w:type="dxa"/>
            <w:vAlign w:val="center"/>
          </w:tcPr>
          <w:p w14:paraId="095CF532" w14:textId="77777777" w:rsidR="00EC1324" w:rsidRPr="0067561B" w:rsidRDefault="00EC1324" w:rsidP="0067561B">
            <w:pPr>
              <w:jc w:val="center"/>
              <w:rPr>
                <w:rFonts w:ascii="Times New Roman" w:eastAsia="Times New Roman" w:hAnsi="Times New Roman" w:cs="Times New Roman"/>
                <w:bCs/>
                <w:sz w:val="24"/>
                <w:szCs w:val="24"/>
                <w:lang w:eastAsia="ru-RU"/>
              </w:rPr>
            </w:pPr>
            <w:r w:rsidRPr="0067561B">
              <w:rPr>
                <w:rFonts w:ascii="Times New Roman" w:eastAsia="Times New Roman" w:hAnsi="Times New Roman" w:cs="Times New Roman"/>
                <w:bCs/>
                <w:sz w:val="24"/>
                <w:szCs w:val="24"/>
                <w:lang w:eastAsia="ru-RU"/>
              </w:rPr>
              <w:t>Контекст</w:t>
            </w:r>
          </w:p>
        </w:tc>
      </w:tr>
      <w:tr w:rsidR="00C11870" w:rsidRPr="001935D0" w14:paraId="3560A216" w14:textId="77777777" w:rsidTr="0067561B">
        <w:trPr>
          <w:jc w:val="center"/>
        </w:trPr>
        <w:tc>
          <w:tcPr>
            <w:tcW w:w="1776" w:type="dxa"/>
            <w:vAlign w:val="center"/>
          </w:tcPr>
          <w:p w14:paraId="341AAC38" w14:textId="77777777"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Декларативная</w:t>
            </w:r>
          </w:p>
        </w:tc>
        <w:tc>
          <w:tcPr>
            <w:tcW w:w="1260" w:type="dxa"/>
            <w:vAlign w:val="center"/>
          </w:tcPr>
          <w:p w14:paraId="07372B63" w14:textId="77777777" w:rsidR="00EC1324" w:rsidRPr="001935D0" w:rsidRDefault="00EC1324" w:rsidP="0067561B">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2001-2010</w:t>
            </w:r>
          </w:p>
        </w:tc>
        <w:tc>
          <w:tcPr>
            <w:tcW w:w="2464" w:type="dxa"/>
            <w:vAlign w:val="center"/>
          </w:tcPr>
          <w:p w14:paraId="6A882FEE" w14:textId="5383BE97"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Права человека как легитимирующий эле</w:t>
            </w:r>
            <w:r w:rsidR="0067561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мент безопасности</w:t>
            </w:r>
          </w:p>
        </w:tc>
        <w:tc>
          <w:tcPr>
            <w:tcW w:w="2127" w:type="dxa"/>
            <w:vAlign w:val="center"/>
          </w:tcPr>
          <w:p w14:paraId="05A3BBCB" w14:textId="22961BD5"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Резолюции, заявле</w:t>
            </w:r>
            <w:r w:rsidR="0067561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ния, частичные ограничения</w:t>
            </w:r>
          </w:p>
        </w:tc>
        <w:tc>
          <w:tcPr>
            <w:tcW w:w="2007" w:type="dxa"/>
            <w:vAlign w:val="center"/>
          </w:tcPr>
          <w:p w14:paraId="756817A9" w14:textId="77777777"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Пост-9/11, антитеррористическая политика</w:t>
            </w:r>
          </w:p>
        </w:tc>
      </w:tr>
      <w:tr w:rsidR="00C11870" w:rsidRPr="001935D0" w14:paraId="6A523900" w14:textId="77777777" w:rsidTr="0067561B">
        <w:trPr>
          <w:jc w:val="center"/>
        </w:trPr>
        <w:tc>
          <w:tcPr>
            <w:tcW w:w="1776" w:type="dxa"/>
            <w:vAlign w:val="center"/>
          </w:tcPr>
          <w:p w14:paraId="5736EADA" w14:textId="40053384"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Адаптацион</w:t>
            </w:r>
            <w:r w:rsidR="0067561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ная</w:t>
            </w:r>
          </w:p>
        </w:tc>
        <w:tc>
          <w:tcPr>
            <w:tcW w:w="1260" w:type="dxa"/>
            <w:vAlign w:val="center"/>
          </w:tcPr>
          <w:p w14:paraId="56CADABA" w14:textId="77777777" w:rsidR="00EC1324" w:rsidRPr="001935D0" w:rsidRDefault="00EC1324" w:rsidP="0067561B">
            <w:pPr>
              <w:jc w:val="center"/>
              <w:rPr>
                <w:rFonts w:ascii="Times New Roman" w:eastAsia="Times New Roman" w:hAnsi="Times New Roman" w:cs="Times New Roman"/>
                <w:sz w:val="24"/>
                <w:szCs w:val="24"/>
                <w:lang w:eastAsia="ru-RU"/>
              </w:rPr>
            </w:pPr>
            <w:r w:rsidRPr="001935D0">
              <w:rPr>
                <w:rFonts w:ascii="Times New Roman" w:hAnsi="Times New Roman" w:cs="Times New Roman"/>
                <w:sz w:val="24"/>
                <w:szCs w:val="24"/>
                <w:lang w:eastAsia="ru-RU"/>
              </w:rPr>
              <w:t>2010-2019</w:t>
            </w:r>
          </w:p>
        </w:tc>
        <w:tc>
          <w:tcPr>
            <w:tcW w:w="2464" w:type="dxa"/>
            <w:vAlign w:val="center"/>
          </w:tcPr>
          <w:p w14:paraId="3F35EA10" w14:textId="77777777"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Права человека как стабилизационный инструмент</w:t>
            </w:r>
          </w:p>
        </w:tc>
        <w:tc>
          <w:tcPr>
            <w:tcW w:w="2127" w:type="dxa"/>
            <w:vAlign w:val="center"/>
          </w:tcPr>
          <w:p w14:paraId="12612F26" w14:textId="3319977E"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План действий, соглашения с тре</w:t>
            </w:r>
            <w:r w:rsidR="0067561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тьими страна</w:t>
            </w:r>
            <w:r w:rsidR="0067561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ми, поддержка НПО</w:t>
            </w:r>
          </w:p>
        </w:tc>
        <w:tc>
          <w:tcPr>
            <w:tcW w:w="2007" w:type="dxa"/>
            <w:vAlign w:val="center"/>
          </w:tcPr>
          <w:p w14:paraId="355A7549" w14:textId="77777777"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Миграционный кризис, Brexit, Сирия</w:t>
            </w:r>
          </w:p>
        </w:tc>
      </w:tr>
      <w:tr w:rsidR="00C11870" w:rsidRPr="001935D0" w14:paraId="6880F571" w14:textId="77777777" w:rsidTr="0067561B">
        <w:trPr>
          <w:jc w:val="center"/>
        </w:trPr>
        <w:tc>
          <w:tcPr>
            <w:tcW w:w="1776" w:type="dxa"/>
            <w:vAlign w:val="center"/>
          </w:tcPr>
          <w:p w14:paraId="6F6199C7" w14:textId="77777777"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Интервенционная</w:t>
            </w:r>
          </w:p>
        </w:tc>
        <w:tc>
          <w:tcPr>
            <w:tcW w:w="1260" w:type="dxa"/>
            <w:vAlign w:val="center"/>
          </w:tcPr>
          <w:p w14:paraId="7973D2B7" w14:textId="77777777" w:rsidR="00EC1324" w:rsidRPr="001935D0" w:rsidRDefault="00EC1324" w:rsidP="0067561B">
            <w:pPr>
              <w:jc w:val="center"/>
              <w:rPr>
                <w:rFonts w:ascii="Times New Roman" w:eastAsia="Times New Roman" w:hAnsi="Times New Roman" w:cs="Times New Roman"/>
                <w:sz w:val="24"/>
                <w:szCs w:val="24"/>
                <w:lang w:eastAsia="ru-RU"/>
              </w:rPr>
            </w:pPr>
            <w:r w:rsidRPr="001935D0">
              <w:rPr>
                <w:rFonts w:ascii="Times New Roman" w:hAnsi="Times New Roman" w:cs="Times New Roman"/>
                <w:sz w:val="24"/>
                <w:szCs w:val="24"/>
                <w:lang w:eastAsia="ru-RU"/>
              </w:rPr>
              <w:t>2020-2024</w:t>
            </w:r>
          </w:p>
        </w:tc>
        <w:tc>
          <w:tcPr>
            <w:tcW w:w="2464" w:type="dxa"/>
            <w:vAlign w:val="center"/>
          </w:tcPr>
          <w:p w14:paraId="6B67BB67" w14:textId="3BB96C7D"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Права человека как основа стратегиче</w:t>
            </w:r>
            <w:r w:rsidR="0067561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ского действия</w:t>
            </w:r>
          </w:p>
        </w:tc>
        <w:tc>
          <w:tcPr>
            <w:tcW w:w="2127" w:type="dxa"/>
            <w:vAlign w:val="center"/>
          </w:tcPr>
          <w:p w14:paraId="058D4141" w14:textId="64A8EFD2" w:rsidR="00EC1324" w:rsidRPr="001935D0" w:rsidRDefault="00EC1324"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Санкции, торго</w:t>
            </w:r>
            <w:r w:rsidR="0067561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вая поддержка, правозащитная дипломатия</w:t>
            </w:r>
          </w:p>
        </w:tc>
        <w:tc>
          <w:tcPr>
            <w:tcW w:w="2007" w:type="dxa"/>
            <w:vAlign w:val="center"/>
          </w:tcPr>
          <w:p w14:paraId="170CFE35" w14:textId="585EB270" w:rsidR="00EC1324" w:rsidRPr="001935D0" w:rsidRDefault="00EC1324" w:rsidP="0067561B">
            <w:pPr>
              <w:ind w:right="-89"/>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COVID-19, война в Украине, разру</w:t>
            </w:r>
            <w:r w:rsidR="0067561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шение глобаль</w:t>
            </w:r>
            <w:r w:rsidR="0067561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ного порядка</w:t>
            </w:r>
          </w:p>
        </w:tc>
      </w:tr>
      <w:tr w:rsidR="0067561B" w:rsidRPr="001935D0" w14:paraId="78C9C587" w14:textId="77777777" w:rsidTr="00634764">
        <w:trPr>
          <w:jc w:val="center"/>
        </w:trPr>
        <w:tc>
          <w:tcPr>
            <w:tcW w:w="9634" w:type="dxa"/>
            <w:gridSpan w:val="5"/>
            <w:vAlign w:val="center"/>
          </w:tcPr>
          <w:p w14:paraId="30C7B725" w14:textId="40065C0F" w:rsidR="0067561B" w:rsidRPr="001935D0" w:rsidRDefault="0067561B" w:rsidP="0067561B">
            <w:pPr>
              <w:ind w:firstLine="599"/>
              <w:rPr>
                <w:rFonts w:ascii="Times New Roman" w:eastAsia="Times New Roman" w:hAnsi="Times New Roman" w:cs="Times New Roman"/>
                <w:sz w:val="24"/>
                <w:szCs w:val="24"/>
                <w:lang w:eastAsia="ru-RU"/>
              </w:rPr>
            </w:pPr>
            <w:r>
              <w:rPr>
                <w:rFonts w:ascii="Times New Roman" w:hAnsi="Times New Roman" w:cs="Times New Roman"/>
                <w:sz w:val="24"/>
                <w:szCs w:val="24"/>
                <w:lang w:val="kk-KZ" w:eastAsia="ru-RU"/>
              </w:rPr>
              <w:t xml:space="preserve">Примечание – </w:t>
            </w:r>
            <w:r w:rsidRPr="001935D0">
              <w:rPr>
                <w:rFonts w:ascii="Times New Roman" w:hAnsi="Times New Roman" w:cs="Times New Roman"/>
                <w:sz w:val="24"/>
                <w:szCs w:val="24"/>
              </w:rPr>
              <w:t>Составлено автором</w:t>
            </w:r>
          </w:p>
        </w:tc>
      </w:tr>
    </w:tbl>
    <w:p w14:paraId="2BD5B640" w14:textId="728C7E76" w:rsidR="002E347B" w:rsidRPr="001935D0" w:rsidRDefault="002E347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Представленная типология в табл</w:t>
      </w:r>
      <w:r w:rsidR="00CE1D94" w:rsidRPr="001935D0">
        <w:rPr>
          <w:rFonts w:ascii="Times New Roman" w:hAnsi="Times New Roman" w:cs="Times New Roman"/>
          <w:sz w:val="28"/>
          <w:szCs w:val="28"/>
          <w:lang w:val="uk-UA" w:eastAsia="ru-RU"/>
        </w:rPr>
        <w:t>ице</w:t>
      </w:r>
      <w:r w:rsidRPr="001935D0">
        <w:rPr>
          <w:rFonts w:ascii="Times New Roman" w:hAnsi="Times New Roman" w:cs="Times New Roman"/>
          <w:sz w:val="28"/>
          <w:szCs w:val="28"/>
          <w:lang w:eastAsia="ru-RU"/>
        </w:rPr>
        <w:t xml:space="preserve"> 1.2 позволяет интерпретировать эволюцию политики ЕС в сфере прав человека не как линейный процесс, а как адаптивную реакцию на мног</w:t>
      </w:r>
      <w:r w:rsidR="00EC1324" w:rsidRPr="001935D0">
        <w:rPr>
          <w:rFonts w:ascii="Times New Roman" w:hAnsi="Times New Roman" w:cs="Times New Roman"/>
          <w:sz w:val="28"/>
          <w:szCs w:val="28"/>
          <w:lang w:eastAsia="ru-RU"/>
        </w:rPr>
        <w:t>оуровневые кризисы. Такой</w:t>
      </w:r>
      <w:r w:rsidRPr="001935D0">
        <w:rPr>
          <w:rFonts w:ascii="Times New Roman" w:hAnsi="Times New Roman" w:cs="Times New Roman"/>
          <w:sz w:val="28"/>
          <w:szCs w:val="28"/>
          <w:lang w:eastAsia="ru-RU"/>
        </w:rPr>
        <w:t xml:space="preserve"> акцентирует переход </w:t>
      </w:r>
      <w:r w:rsidRPr="001935D0">
        <w:rPr>
          <w:rFonts w:ascii="Times New Roman" w:hAnsi="Times New Roman" w:cs="Times New Roman"/>
          <w:sz w:val="28"/>
          <w:szCs w:val="28"/>
          <w:lang w:eastAsia="ru-RU"/>
        </w:rPr>
        <w:lastRenderedPageBreak/>
        <w:t>от символической функции прав человека к институциональной и стратег</w:t>
      </w:r>
      <w:r w:rsidR="00EC1324" w:rsidRPr="001935D0">
        <w:rPr>
          <w:rFonts w:ascii="Times New Roman" w:hAnsi="Times New Roman" w:cs="Times New Roman"/>
          <w:sz w:val="28"/>
          <w:szCs w:val="28"/>
          <w:lang w:eastAsia="ru-RU"/>
        </w:rPr>
        <w:t>ической, отражая смену роли ЕС –</w:t>
      </w:r>
      <w:r w:rsidRPr="001935D0">
        <w:rPr>
          <w:rFonts w:ascii="Times New Roman" w:hAnsi="Times New Roman" w:cs="Times New Roman"/>
          <w:sz w:val="28"/>
          <w:szCs w:val="28"/>
          <w:lang w:eastAsia="ru-RU"/>
        </w:rPr>
        <w:t xml:space="preserve"> от нормативного наблюдателя к активному участнику глобального регулирования. Права человека в этой логике становятся структурообразующим элементом политической субъектности ЕС, а не лишь декларативным маркером. Модель демонстрирует, как правозащитная риторика трансформируется в системную политику, отражающую внутреннюю консолидацию и внешнюю проекцию ценностей в условиях мировой турбулентности.</w:t>
      </w:r>
    </w:p>
    <w:p w14:paraId="40BD7C35" w14:textId="5456F7C4" w:rsidR="002E347B" w:rsidRPr="001935D0" w:rsidRDefault="002E347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Начало XXI века, в особенности события 11 сентября 2001 года, стали отправной точкой трансформации внешнеполитической и правозащитной стратегии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Под воздействием глобальной антитеррористической мобилизации приоритеты ЕС в области прав человека были смещены в сторону повестки безопасности. В этот период усилилась тенденция к поиску баланса между защитой фундаментальных свобод и необходимостью обеспечения внутренней и внешней безопасности.</w:t>
      </w:r>
    </w:p>
    <w:p w14:paraId="4052D79E" w14:textId="34DE01B9" w:rsidR="002E347B" w:rsidRPr="001935D0" w:rsidRDefault="00CF2560" w:rsidP="0067561B">
      <w:pPr>
        <w:pStyle w:val="NoSpacing"/>
        <w:ind w:firstLine="709"/>
        <w:jc w:val="both"/>
        <w:rPr>
          <w:rFonts w:ascii="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Европейск</w:t>
      </w:r>
      <w:r w:rsidRPr="001935D0">
        <w:rPr>
          <w:rFonts w:ascii="Times New Roman" w:eastAsia="Times New Roman" w:hAnsi="Times New Roman" w:cs="Times New Roman"/>
          <w:sz w:val="28"/>
          <w:szCs w:val="28"/>
          <w:lang w:val="uk-UA" w:eastAsia="ru-RU"/>
        </w:rPr>
        <w:t>ий</w:t>
      </w:r>
      <w:r w:rsidRPr="001935D0">
        <w:rPr>
          <w:rFonts w:ascii="Times New Roman" w:eastAsia="Times New Roman" w:hAnsi="Times New Roman" w:cs="Times New Roman"/>
          <w:sz w:val="28"/>
          <w:szCs w:val="28"/>
          <w:lang w:eastAsia="ru-RU"/>
        </w:rPr>
        <w:t xml:space="preserve"> </w:t>
      </w:r>
      <w:r w:rsidR="002E347B" w:rsidRPr="001935D0">
        <w:rPr>
          <w:rFonts w:ascii="Times New Roman" w:hAnsi="Times New Roman" w:cs="Times New Roman"/>
          <w:sz w:val="28"/>
          <w:szCs w:val="28"/>
          <w:lang w:eastAsia="ru-RU"/>
        </w:rPr>
        <w:t xml:space="preserve">Союз заключает соглашения о передаче персональных данных с третьими странами (в частности, соглашение SWIFT с США), участвует в международных антитеррористических инициативах, расширяет мандат агентств по охране границ и усиливает контроль на внешнем периметре. Несмотря на это, риторика приверженности правам человека сохраняется, что нашло отражение в принятой в 2000 году Хартии основных прав Европейского </w:t>
      </w:r>
      <w:r w:rsidRPr="001935D0">
        <w:rPr>
          <w:rFonts w:ascii="Times New Roman" w:hAnsi="Times New Roman" w:cs="Times New Roman"/>
          <w:sz w:val="28"/>
          <w:szCs w:val="28"/>
          <w:lang w:val="uk-UA" w:eastAsia="ru-RU"/>
        </w:rPr>
        <w:t>С</w:t>
      </w:r>
      <w:r w:rsidR="002E347B" w:rsidRPr="001935D0">
        <w:rPr>
          <w:rFonts w:ascii="Times New Roman" w:hAnsi="Times New Roman" w:cs="Times New Roman"/>
          <w:sz w:val="28"/>
          <w:szCs w:val="28"/>
          <w:lang w:eastAsia="ru-RU"/>
        </w:rPr>
        <w:t>оюза, которая, начиная с 2009 года, приобрела юридически обязательную силу. Однако на практике механизмы мониторинга прав человека в третьих странах в значительной степени уступали соображениям разведывательного и политического характера, а нормативные ориентиры часто отступали перед реалиями глобальной борьбы с терроризмом</w:t>
      </w:r>
      <w:r w:rsidR="005452E9" w:rsidRPr="001935D0">
        <w:rPr>
          <w:rFonts w:ascii="Times New Roman" w:hAnsi="Times New Roman" w:cs="Times New Roman"/>
          <w:sz w:val="28"/>
          <w:szCs w:val="28"/>
          <w:lang w:eastAsia="ru-RU"/>
        </w:rPr>
        <w:t xml:space="preserve"> [30]</w:t>
      </w:r>
      <w:r w:rsidR="005452E9" w:rsidRPr="001935D0">
        <w:rPr>
          <w:rFonts w:ascii="Times New Roman" w:hAnsi="Times New Roman" w:cs="Times New Roman"/>
          <w:sz w:val="28"/>
          <w:szCs w:val="28"/>
          <w:lang w:val="uk-UA" w:eastAsia="ru-RU"/>
        </w:rPr>
        <w:t>.</w:t>
      </w:r>
    </w:p>
    <w:p w14:paraId="4526A47C" w14:textId="6B9FA357" w:rsidR="002E347B" w:rsidRPr="001935D0" w:rsidRDefault="002E347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На фоне затяжных внешних и внутренних кризисов – в первую очередь, сирийского конфликта, миграционного кризиса 2015 года и выхода Великобритании из ЕС – </w:t>
      </w:r>
      <w:r w:rsidR="00CF2560" w:rsidRPr="001935D0">
        <w:rPr>
          <w:rFonts w:ascii="Times New Roman" w:eastAsia="Times New Roman" w:hAnsi="Times New Roman" w:cs="Times New Roman"/>
          <w:sz w:val="28"/>
          <w:szCs w:val="28"/>
          <w:lang w:eastAsia="ru-RU"/>
        </w:rPr>
        <w:t>Европейск</w:t>
      </w:r>
      <w:r w:rsidR="00CF2560" w:rsidRPr="001935D0">
        <w:rPr>
          <w:rFonts w:ascii="Times New Roman" w:eastAsia="Times New Roman" w:hAnsi="Times New Roman" w:cs="Times New Roman"/>
          <w:sz w:val="28"/>
          <w:szCs w:val="28"/>
          <w:lang w:val="uk-UA" w:eastAsia="ru-RU"/>
        </w:rPr>
        <w:t>ий</w:t>
      </w:r>
      <w:r w:rsidR="00CF2560" w:rsidRPr="001935D0">
        <w:rPr>
          <w:rFonts w:ascii="Times New Roman" w:eastAsia="Times New Roman" w:hAnsi="Times New Roman" w:cs="Times New Roman"/>
          <w:sz w:val="28"/>
          <w:szCs w:val="28"/>
          <w:lang w:eastAsia="ru-RU"/>
        </w:rPr>
        <w:t xml:space="preserve">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w:t>
      </w:r>
      <w:r w:rsidRPr="001935D0">
        <w:rPr>
          <w:rFonts w:ascii="Times New Roman" w:hAnsi="Times New Roman" w:cs="Times New Roman"/>
          <w:sz w:val="28"/>
          <w:szCs w:val="28"/>
          <w:lang w:eastAsia="ru-RU"/>
        </w:rPr>
        <w:t xml:space="preserve"> был вынужден скорректировать свою нормативную модель. Права человека начинают восприниматься как инструмент стабилизации и внешней легитимации, особенно в периферийных регионах. В этот период усиливается роль правозащитных клаузул в соглашениях об ассоциации (например, с Украиной, Грузией, Тунисом), запускается Глобальная стратегия ЕС (2016), в которой подчёркивается необходимость укрепления устойчивости соседних государств на основе принципов правового государства и прав человека</w:t>
      </w:r>
      <w:r w:rsidR="005452E9" w:rsidRPr="001935D0">
        <w:rPr>
          <w:rFonts w:ascii="Times New Roman" w:hAnsi="Times New Roman" w:cs="Times New Roman"/>
          <w:sz w:val="28"/>
          <w:szCs w:val="28"/>
          <w:lang w:eastAsia="ru-RU"/>
        </w:rPr>
        <w:t xml:space="preserve"> [31]</w:t>
      </w:r>
      <w:r w:rsidRPr="001935D0">
        <w:rPr>
          <w:rFonts w:ascii="Times New Roman" w:hAnsi="Times New Roman" w:cs="Times New Roman"/>
          <w:sz w:val="28"/>
          <w:szCs w:val="28"/>
          <w:lang w:eastAsia="ru-RU"/>
        </w:rPr>
        <w:t>.</w:t>
      </w:r>
    </w:p>
    <w:p w14:paraId="76810BF3" w14:textId="45C283B1" w:rsidR="002E347B" w:rsidRPr="001935D0" w:rsidRDefault="002E347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Особенно показателен здесь случай с кампанией за выход Великобритании из ЕС. Несмотря на сравнительно низкое число обращений за убежищем, дискурс вокруг миграции и прав беженцев стал центральным у оппонентов членства. Произошло целенаправленное размывание различий между экономической миграцией, внутренней мобильностью в ЕС и вынужденным перемещением. Это вызвало рост популистских настроений, в которых права человека начали восприниматься не как ценность, а как угроза национальной безопасности и идентичности. Внутри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Pr="001935D0">
        <w:rPr>
          <w:rFonts w:ascii="Times New Roman" w:hAnsi="Times New Roman" w:cs="Times New Roman"/>
          <w:sz w:val="28"/>
          <w:szCs w:val="28"/>
          <w:lang w:eastAsia="ru-RU"/>
        </w:rPr>
        <w:t xml:space="preserve"> это усилило напряжённость между восточными и западными странами-членами по вопросу </w:t>
      </w:r>
      <w:r w:rsidRPr="001935D0">
        <w:rPr>
          <w:rFonts w:ascii="Times New Roman" w:hAnsi="Times New Roman" w:cs="Times New Roman"/>
          <w:sz w:val="28"/>
          <w:szCs w:val="28"/>
          <w:lang w:eastAsia="ru-RU"/>
        </w:rPr>
        <w:lastRenderedPageBreak/>
        <w:t>распределения ответственности, что привело к фрагментации ценностного консенсуса.</w:t>
      </w:r>
    </w:p>
    <w:p w14:paraId="3116FEBB" w14:textId="3D4DBD6A" w:rsidR="00E655BC" w:rsidRPr="001935D0" w:rsidRDefault="00E655BC"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С 2020 года внешнеполитическая стратегия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 xml:space="preserve">оюза формируется в условиях нарастающих транснациональных вызовов, включая глобальную пандемию, ослабление эффективности многосторонних институтов и рост региональной нестабильности. В этих условиях Европейский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 усиливает ценностное измерение своей внешней политики, акцентируя внимание на правах человека как на центральной категории устойчивого международного взаимодействия. В этом контексте реализуется обновлённый План действий по правам человека и демократии на 2020–2027 годы, направленный на интеграцию правозащитных стандартов в сферы торговли, цифровой трансформации, климатической политики и гуманитарной помощи. В рамках этой политики внедряется методология, основанная на правах человека (HRBA), обновляется аналитический и мониторинговый инструментарий, а также запускается программа NDICI – Global Europe, предусматривающая финансирование в объеме до €1,56 млрд</w:t>
      </w:r>
      <w:r w:rsidR="00EF6EE8">
        <w:rPr>
          <w:rFonts w:ascii="Times New Roman" w:hAnsi="Times New Roman" w:cs="Times New Roman"/>
          <w:sz w:val="28"/>
          <w:szCs w:val="28"/>
          <w:lang w:val="kk-KZ" w:eastAsia="ru-RU"/>
        </w:rPr>
        <w:t>.</w:t>
      </w:r>
      <w:r w:rsidRPr="001935D0">
        <w:rPr>
          <w:rFonts w:ascii="Times New Roman" w:hAnsi="Times New Roman" w:cs="Times New Roman"/>
          <w:sz w:val="28"/>
          <w:szCs w:val="28"/>
          <w:lang w:eastAsia="ru-RU"/>
        </w:rPr>
        <w:t xml:space="preserve"> на реализацию партнёрских инициатив, в том числе в регионах, имеющих стратегическое значение для Союза [32].</w:t>
      </w:r>
    </w:p>
    <w:p w14:paraId="55E674F3" w14:textId="77777777" w:rsidR="002E347B" w:rsidRPr="001935D0" w:rsidRDefault="002E347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ЕС активизирует правозащитную дипломатию, которая заключается в поддержке правозащитников, санкциях за серьёзные нарушения (в отношении Беларуси, Ирана, России),</w:t>
      </w:r>
      <w:r w:rsidR="005452E9" w:rsidRPr="001935D0">
        <w:rPr>
          <w:rFonts w:ascii="Times New Roman" w:hAnsi="Times New Roman" w:cs="Times New Roman"/>
          <w:sz w:val="28"/>
          <w:szCs w:val="28"/>
          <w:lang w:eastAsia="ru-RU"/>
        </w:rPr>
        <w:t xml:space="preserve"> миссии наблюдения за выборами</w:t>
      </w:r>
      <w:r w:rsidRPr="001935D0">
        <w:rPr>
          <w:rFonts w:ascii="Times New Roman" w:hAnsi="Times New Roman" w:cs="Times New Roman"/>
          <w:sz w:val="28"/>
          <w:szCs w:val="28"/>
          <w:lang w:eastAsia="ru-RU"/>
        </w:rPr>
        <w:t>, поддержке институтов верховенства права и гражданского общества. Права человека становятся не только частью репутационной стратегии, но и условием международного взаимодействия.</w:t>
      </w:r>
    </w:p>
    <w:p w14:paraId="05216A71" w14:textId="77777777" w:rsidR="004D799D" w:rsidRPr="001935D0" w:rsidRDefault="004D799D"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Анализ институциональной трансформации Европейского Союза в XXI веке свидетельствует о переходе от преимущественно декларативных подходов к формированию комплексной нормативной архитектуры, ориентированной на принуждение, подотчётность и юридическую обязательность соблюдения прав человека. Этот процесс обусловлен одновременно внутренними требованиями к укреплению верховенства права и внешнеполитическими вызовами, требующими консолидации нормативной идентичности ЕС как глобального актора.</w:t>
      </w:r>
    </w:p>
    <w:p w14:paraId="6DFD348F" w14:textId="0DFB4AA2" w:rsidR="004D799D" w:rsidRPr="001935D0" w:rsidRDefault="004D799D"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Особое значение в этом контексте приобретает роль Европейского </w:t>
      </w:r>
      <w:r w:rsidR="004A3405">
        <w:rPr>
          <w:rFonts w:ascii="Times New Roman" w:hAnsi="Times New Roman" w:cs="Times New Roman"/>
          <w:sz w:val="28"/>
          <w:szCs w:val="28"/>
          <w:lang w:eastAsia="ru-RU"/>
        </w:rPr>
        <w:t>П</w:t>
      </w:r>
      <w:r w:rsidRPr="001935D0">
        <w:rPr>
          <w:rFonts w:ascii="Times New Roman" w:hAnsi="Times New Roman" w:cs="Times New Roman"/>
          <w:sz w:val="28"/>
          <w:szCs w:val="28"/>
          <w:lang w:eastAsia="ru-RU"/>
        </w:rPr>
        <w:t>арламента, который, несмотря на ограниченные полномочия в сфере санкционной политики, стал катализатором институциональных изменений. Начиная с 2010 года, Европарламент активно использует механизмы парламентских запросов, публичных слушаний и резолюций для продвижения прав человека в повестке дня Союза. Именно под его давлением в 2020 году был введён Глобальный режим санкций ЕС в области прав человека (EU GHRSR), позволивший применять ограничительные меры в отношении физических и юридических лиц, причастных к серьёзным нарушениям прав человека, независимо от юрисдикции. К 2024 году в рамках данного механизма были санкционированы 108 лиц и 28 организаций, что свидетельствует о трансформации санкционного инструментария в устойчивый элемент внешнеполитической практики ЕС</w:t>
      </w:r>
      <w:r w:rsidR="005452E9" w:rsidRPr="001935D0">
        <w:rPr>
          <w:rFonts w:ascii="Times New Roman" w:hAnsi="Times New Roman" w:cs="Times New Roman"/>
          <w:sz w:val="28"/>
          <w:szCs w:val="28"/>
          <w:lang w:eastAsia="ru-RU"/>
        </w:rPr>
        <w:t xml:space="preserve"> [33]</w:t>
      </w:r>
      <w:r w:rsidRPr="001935D0">
        <w:rPr>
          <w:rFonts w:ascii="Times New Roman" w:hAnsi="Times New Roman" w:cs="Times New Roman"/>
          <w:sz w:val="28"/>
          <w:szCs w:val="28"/>
          <w:lang w:eastAsia="ru-RU"/>
        </w:rPr>
        <w:t>.</w:t>
      </w:r>
    </w:p>
    <w:p w14:paraId="25D6450A" w14:textId="77777777" w:rsidR="004D799D" w:rsidRPr="001935D0" w:rsidRDefault="004D799D"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lastRenderedPageBreak/>
        <w:t>Наряду с усилением санкционного давления, наблюдается институционализация юридической ответственности в корпоративной сфере. Принятая в мае 2024 года Директива ЕС о должной корпоративной добросовестности и устойчивости (Corporate Sustainability Due Diligence Directive, CS3D) ознаменовала переход к новой нормативной парадигме, предполагающей обязательное соблюдение стандартов прав человека и охраны окружающей среды в рамках всей цепочки добавленной стоимости</w:t>
      </w:r>
      <w:r w:rsidR="00104ED2" w:rsidRPr="001935D0">
        <w:rPr>
          <w:rFonts w:ascii="Times New Roman" w:hAnsi="Times New Roman" w:cs="Times New Roman"/>
          <w:sz w:val="28"/>
          <w:szCs w:val="28"/>
          <w:lang w:eastAsia="ru-RU"/>
        </w:rPr>
        <w:t xml:space="preserve"> [34]</w:t>
      </w:r>
      <w:r w:rsidRPr="001935D0">
        <w:rPr>
          <w:rFonts w:ascii="Times New Roman" w:hAnsi="Times New Roman" w:cs="Times New Roman"/>
          <w:sz w:val="28"/>
          <w:szCs w:val="28"/>
          <w:lang w:eastAsia="ru-RU"/>
        </w:rPr>
        <w:t>. Директива требует от компаний выявлять, предотвращать и устранять негативные воздействия на права человека, а также разрабатывать переходные климатические планы в соответствии с Парижским соглашением. Государствам-членам предоставлено право вводить штрафные санкции за несоблюдение требований директивы, что усиливает её правоприменительный потенциал.</w:t>
      </w:r>
    </w:p>
    <w:p w14:paraId="28236A79" w14:textId="77777777" w:rsidR="004D799D" w:rsidRPr="001935D0" w:rsidRDefault="004D799D"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Оценка выполнения положений CS3D будет базироваться на шестиэтапной модели надлежащей добросовестности, разработанной ОЭСР: от идентификации рисков до внедрения корректирующих мер и обеспечения механизмов возмещения ущерба</w:t>
      </w:r>
      <w:r w:rsidR="00104ED2" w:rsidRPr="001935D0">
        <w:rPr>
          <w:rFonts w:ascii="Times New Roman" w:hAnsi="Times New Roman" w:cs="Times New Roman"/>
          <w:sz w:val="28"/>
          <w:szCs w:val="28"/>
          <w:lang w:eastAsia="ru-RU"/>
        </w:rPr>
        <w:t xml:space="preserve"> [33]</w:t>
      </w:r>
      <w:r w:rsidRPr="001935D0">
        <w:rPr>
          <w:rFonts w:ascii="Times New Roman" w:hAnsi="Times New Roman" w:cs="Times New Roman"/>
          <w:sz w:val="28"/>
          <w:szCs w:val="28"/>
          <w:lang w:eastAsia="ru-RU"/>
        </w:rPr>
        <w:t>. Несмотря на то что основное регулирование касается крупных компаний, директива оказывает влияние и на малый и средний бизнес через обязательства поставщиков и подрядчиков, что делает нормативное поле ЕС более инклюзивным и унифицированным.</w:t>
      </w:r>
    </w:p>
    <w:p w14:paraId="71B875A0" w14:textId="29710140" w:rsidR="004D799D" w:rsidRPr="001935D0" w:rsidRDefault="004D799D"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Таким образом, Европейский Союз вступил в фазу нормативной зрелости, в которой права человека перестают быть элементом исключительно политической риторики и становятся интегральной частью операционного, внешнеэкономического и юридического регулирования. Совместные усилия Европарламента, Европейской </w:t>
      </w:r>
      <w:r w:rsidR="004A3405">
        <w:rPr>
          <w:rFonts w:ascii="Times New Roman" w:hAnsi="Times New Roman" w:cs="Times New Roman"/>
          <w:sz w:val="28"/>
          <w:szCs w:val="28"/>
          <w:lang w:eastAsia="ru-RU"/>
        </w:rPr>
        <w:t>К</w:t>
      </w:r>
      <w:r w:rsidRPr="001935D0">
        <w:rPr>
          <w:rFonts w:ascii="Times New Roman" w:hAnsi="Times New Roman" w:cs="Times New Roman"/>
          <w:sz w:val="28"/>
          <w:szCs w:val="28"/>
          <w:lang w:eastAsia="ru-RU"/>
        </w:rPr>
        <w:t>омиссии, Совета ЕС и национальных субъектов свидетельствуют о формировании единого нормативного контура, в котором соблюдение прав человека обеспечивается как через санкционные и дипломатические меры, так и через правовые и экономические инструменты корпоративной подотчётности.</w:t>
      </w:r>
    </w:p>
    <w:p w14:paraId="4C857AE1" w14:textId="01B81424" w:rsidR="004D799D" w:rsidRPr="001935D0" w:rsidRDefault="004D799D"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Этот переход от мягкого регулирования (soft law) к модели enforceable governance отражает глубокую трансформацию идентичности Европейского Союза – от ценностной декларации к системе обязательных стандартов, поддерживаемых механизмами транспарентности, мониторинга и юридической ответственности. Правозащитная политика ЕС таким образом перестаёт быть вспомогательной сферой и становится фундаментом стратегического позиционирования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00CF2560" w:rsidRPr="001935D0">
        <w:rPr>
          <w:rFonts w:ascii="Times New Roman" w:hAnsi="Times New Roman" w:cs="Times New Roman"/>
          <w:sz w:val="28"/>
          <w:szCs w:val="28"/>
          <w:lang w:eastAsia="ru-RU"/>
        </w:rPr>
        <w:t xml:space="preserve"> </w:t>
      </w:r>
      <w:r w:rsidRPr="001935D0">
        <w:rPr>
          <w:rFonts w:ascii="Times New Roman" w:hAnsi="Times New Roman" w:cs="Times New Roman"/>
          <w:sz w:val="28"/>
          <w:szCs w:val="28"/>
          <w:lang w:eastAsia="ru-RU"/>
        </w:rPr>
        <w:t>в глобальном порядке.</w:t>
      </w:r>
    </w:p>
    <w:p w14:paraId="37C7D80A" w14:textId="133352B8" w:rsidR="004D799D" w:rsidRPr="001935D0" w:rsidRDefault="004D799D"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Принятие Директивы ЕС о должной корпоративной добросовестности и устойчивости (CS3D) в 2024 году стало ключевым рубежом в переходе от декларативной поддержки прав человека к их регуляторной интеграции в бизнес-практики. Впервые на уровне всего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Pr="001935D0">
        <w:rPr>
          <w:rFonts w:ascii="Times New Roman" w:hAnsi="Times New Roman" w:cs="Times New Roman"/>
          <w:sz w:val="28"/>
          <w:szCs w:val="28"/>
          <w:lang w:eastAsia="ru-RU"/>
        </w:rPr>
        <w:t xml:space="preserve"> установлен юридически обязательный механизм due diligence, распространяющийся на крупные компании как в ЕС, так и за его пределами. Компании обязаны выявлять, предотвращать и устранять негативное воздействие на права человека и окружающую среду в рамках всей цепочки создания стоимости. Это включает условия труда, недопущение принудительного труда, гендерное равенство, право на справедливую оплату и свободу ассоциации.</w:t>
      </w:r>
    </w:p>
    <w:p w14:paraId="08B7CA5B" w14:textId="77777777" w:rsidR="004D799D" w:rsidRPr="001935D0" w:rsidRDefault="004D799D"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val="uk-UA" w:eastAsia="ru-RU"/>
        </w:rPr>
        <w:lastRenderedPageBreak/>
        <w:t>Р</w:t>
      </w:r>
      <w:r w:rsidRPr="001935D0">
        <w:rPr>
          <w:rFonts w:ascii="Times New Roman" w:hAnsi="Times New Roman" w:cs="Times New Roman"/>
          <w:sz w:val="28"/>
          <w:szCs w:val="28"/>
          <w:lang w:eastAsia="ru-RU"/>
        </w:rPr>
        <w:t xml:space="preserve">еализация прав человека выходит за пределы публичной сферы и становится обязательной нормой корпоративного регулирования. </w:t>
      </w:r>
      <w:r w:rsidRPr="001935D0">
        <w:rPr>
          <w:rFonts w:ascii="Times New Roman" w:hAnsi="Times New Roman" w:cs="Times New Roman"/>
          <w:sz w:val="28"/>
          <w:szCs w:val="28"/>
          <w:lang w:val="uk-UA" w:eastAsia="ru-RU"/>
        </w:rPr>
        <w:t>Т</w:t>
      </w:r>
      <w:r w:rsidRPr="001935D0">
        <w:rPr>
          <w:rFonts w:ascii="Times New Roman" w:hAnsi="Times New Roman" w:cs="Times New Roman"/>
          <w:sz w:val="28"/>
          <w:szCs w:val="28"/>
          <w:lang w:eastAsia="ru-RU"/>
        </w:rPr>
        <w:t>аблица</w:t>
      </w:r>
      <w:r w:rsidRPr="001935D0">
        <w:rPr>
          <w:rFonts w:ascii="Times New Roman" w:hAnsi="Times New Roman" w:cs="Times New Roman"/>
          <w:sz w:val="28"/>
          <w:szCs w:val="28"/>
          <w:lang w:val="uk-UA" w:eastAsia="ru-RU"/>
        </w:rPr>
        <w:t xml:space="preserve"> 1.3</w:t>
      </w:r>
      <w:r w:rsidRPr="001935D0">
        <w:rPr>
          <w:rFonts w:ascii="Times New Roman" w:hAnsi="Times New Roman" w:cs="Times New Roman"/>
          <w:sz w:val="28"/>
          <w:szCs w:val="28"/>
          <w:lang w:eastAsia="ru-RU"/>
        </w:rPr>
        <w:t>, отража</w:t>
      </w:r>
      <w:r w:rsidRPr="001935D0">
        <w:rPr>
          <w:rFonts w:ascii="Times New Roman" w:hAnsi="Times New Roman" w:cs="Times New Roman"/>
          <w:sz w:val="28"/>
          <w:szCs w:val="28"/>
          <w:lang w:val="uk-UA" w:eastAsia="ru-RU"/>
        </w:rPr>
        <w:t>ет</w:t>
      </w:r>
      <w:r w:rsidRPr="001935D0">
        <w:rPr>
          <w:rFonts w:ascii="Times New Roman" w:hAnsi="Times New Roman" w:cs="Times New Roman"/>
          <w:sz w:val="28"/>
          <w:szCs w:val="28"/>
          <w:lang w:eastAsia="ru-RU"/>
        </w:rPr>
        <w:t xml:space="preserve"> ключевые этапы этой институциональной эволюции.</w:t>
      </w:r>
    </w:p>
    <w:p w14:paraId="0DDACCEB" w14:textId="77777777" w:rsidR="004D799D" w:rsidRPr="001935D0" w:rsidRDefault="004D799D" w:rsidP="00593711">
      <w:pPr>
        <w:pStyle w:val="NoSpacing"/>
        <w:ind w:firstLine="567"/>
        <w:jc w:val="both"/>
        <w:rPr>
          <w:rFonts w:ascii="Times New Roman" w:hAnsi="Times New Roman" w:cs="Times New Roman"/>
          <w:sz w:val="28"/>
          <w:szCs w:val="28"/>
          <w:lang w:val="uk-UA" w:eastAsia="ru-RU"/>
        </w:rPr>
      </w:pPr>
    </w:p>
    <w:p w14:paraId="1DF40E44" w14:textId="13BE0AB6" w:rsidR="004D799D" w:rsidRPr="001935D0" w:rsidRDefault="004D799D" w:rsidP="0067561B">
      <w:pPr>
        <w:pStyle w:val="NoSpacing"/>
        <w:jc w:val="both"/>
        <w:rPr>
          <w:rFonts w:ascii="Times New Roman" w:hAnsi="Times New Roman" w:cs="Times New Roman"/>
          <w:sz w:val="28"/>
          <w:szCs w:val="28"/>
          <w:lang w:val="uk-UA" w:eastAsia="ru-RU"/>
        </w:rPr>
      </w:pPr>
      <w:r w:rsidRPr="001935D0">
        <w:rPr>
          <w:rFonts w:ascii="Times New Roman" w:hAnsi="Times New Roman" w:cs="Times New Roman"/>
          <w:sz w:val="28"/>
          <w:szCs w:val="28"/>
          <w:lang w:val="uk-UA" w:eastAsia="ru-RU"/>
        </w:rPr>
        <w:t xml:space="preserve">Таблица 1.3 </w:t>
      </w:r>
      <w:r w:rsidR="0067561B">
        <w:rPr>
          <w:rFonts w:ascii="Times New Roman" w:hAnsi="Times New Roman" w:cs="Times New Roman"/>
          <w:sz w:val="28"/>
          <w:szCs w:val="28"/>
          <w:lang w:val="uk-UA" w:eastAsia="ru-RU"/>
        </w:rPr>
        <w:t xml:space="preserve">– </w:t>
      </w:r>
      <w:r w:rsidRPr="001935D0">
        <w:rPr>
          <w:rFonts w:ascii="Times New Roman" w:hAnsi="Times New Roman" w:cs="Times New Roman"/>
          <w:sz w:val="28"/>
          <w:szCs w:val="28"/>
          <w:lang w:val="uk-UA" w:eastAsia="ru-RU"/>
        </w:rPr>
        <w:t xml:space="preserve">Этапы институционализации прав человека в политике и регулировании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00CF2560" w:rsidRPr="001935D0">
        <w:rPr>
          <w:rFonts w:ascii="Times New Roman" w:hAnsi="Times New Roman" w:cs="Times New Roman"/>
          <w:sz w:val="28"/>
          <w:szCs w:val="28"/>
          <w:lang w:val="uk-UA" w:eastAsia="ru-RU"/>
        </w:rPr>
        <w:t xml:space="preserve"> </w:t>
      </w:r>
      <w:r w:rsidRPr="001935D0">
        <w:rPr>
          <w:rFonts w:ascii="Times New Roman" w:hAnsi="Times New Roman" w:cs="Times New Roman"/>
          <w:sz w:val="28"/>
          <w:szCs w:val="28"/>
          <w:lang w:val="uk-UA" w:eastAsia="ru-RU"/>
        </w:rPr>
        <w:t>(от soft law к enforceable governance)</w:t>
      </w:r>
    </w:p>
    <w:p w14:paraId="36D417B4" w14:textId="77777777" w:rsidR="004D799D" w:rsidRPr="0067561B" w:rsidRDefault="004D799D" w:rsidP="00593711">
      <w:pPr>
        <w:pStyle w:val="NoSpacing"/>
        <w:ind w:firstLine="567"/>
        <w:jc w:val="center"/>
        <w:rPr>
          <w:rFonts w:ascii="Times New Roman" w:hAnsi="Times New Roman" w:cs="Times New Roman"/>
          <w:sz w:val="16"/>
          <w:szCs w:val="16"/>
          <w:lang w:val="uk-UA" w:eastAsia="ru-RU"/>
        </w:rPr>
      </w:pPr>
    </w:p>
    <w:tbl>
      <w:tblPr>
        <w:tblStyle w:val="TableGrid"/>
        <w:tblW w:w="0" w:type="auto"/>
        <w:jc w:val="center"/>
        <w:tblLook w:val="04A0" w:firstRow="1" w:lastRow="0" w:firstColumn="1" w:lastColumn="0" w:noHBand="0" w:noVBand="1"/>
      </w:tblPr>
      <w:tblGrid>
        <w:gridCol w:w="1666"/>
        <w:gridCol w:w="3856"/>
        <w:gridCol w:w="4045"/>
      </w:tblGrid>
      <w:tr w:rsidR="00C11870" w:rsidRPr="001935D0" w14:paraId="0D579324" w14:textId="77777777" w:rsidTr="0089040E">
        <w:trPr>
          <w:jc w:val="center"/>
        </w:trPr>
        <w:tc>
          <w:tcPr>
            <w:tcW w:w="1666" w:type="dxa"/>
            <w:vAlign w:val="center"/>
          </w:tcPr>
          <w:p w14:paraId="019E156F" w14:textId="77777777" w:rsidR="004D799D" w:rsidRPr="0067561B" w:rsidRDefault="004D799D" w:rsidP="00593711">
            <w:pPr>
              <w:jc w:val="center"/>
              <w:rPr>
                <w:rFonts w:ascii="Times New Roman" w:eastAsia="Times New Roman" w:hAnsi="Times New Roman" w:cs="Times New Roman"/>
                <w:sz w:val="24"/>
                <w:szCs w:val="24"/>
                <w:lang w:eastAsia="ru-RU"/>
              </w:rPr>
            </w:pPr>
            <w:r w:rsidRPr="0067561B">
              <w:rPr>
                <w:rFonts w:ascii="Times New Roman" w:eastAsia="Times New Roman" w:hAnsi="Times New Roman" w:cs="Times New Roman"/>
                <w:sz w:val="24"/>
                <w:szCs w:val="24"/>
                <w:lang w:eastAsia="ru-RU"/>
              </w:rPr>
              <w:t>Этап</w:t>
            </w:r>
          </w:p>
        </w:tc>
        <w:tc>
          <w:tcPr>
            <w:tcW w:w="3856" w:type="dxa"/>
            <w:vAlign w:val="center"/>
          </w:tcPr>
          <w:p w14:paraId="28A8E9EA" w14:textId="77777777" w:rsidR="004D799D" w:rsidRPr="0067561B" w:rsidRDefault="004D799D" w:rsidP="00593711">
            <w:pPr>
              <w:jc w:val="center"/>
              <w:rPr>
                <w:rFonts w:ascii="Times New Roman" w:eastAsia="Times New Roman" w:hAnsi="Times New Roman" w:cs="Times New Roman"/>
                <w:sz w:val="24"/>
                <w:szCs w:val="24"/>
                <w:lang w:eastAsia="ru-RU"/>
              </w:rPr>
            </w:pPr>
            <w:r w:rsidRPr="0067561B">
              <w:rPr>
                <w:rFonts w:ascii="Times New Roman" w:eastAsia="Times New Roman" w:hAnsi="Times New Roman" w:cs="Times New Roman"/>
                <w:sz w:val="24"/>
                <w:szCs w:val="24"/>
                <w:lang w:eastAsia="ru-RU"/>
              </w:rPr>
              <w:t>Характеристика</w:t>
            </w:r>
          </w:p>
        </w:tc>
        <w:tc>
          <w:tcPr>
            <w:tcW w:w="4045" w:type="dxa"/>
            <w:vAlign w:val="center"/>
          </w:tcPr>
          <w:p w14:paraId="73227E63" w14:textId="77777777" w:rsidR="004D799D" w:rsidRPr="0067561B" w:rsidRDefault="004D799D" w:rsidP="00593711">
            <w:pPr>
              <w:jc w:val="center"/>
              <w:rPr>
                <w:rFonts w:ascii="Times New Roman" w:eastAsia="Times New Roman" w:hAnsi="Times New Roman" w:cs="Times New Roman"/>
                <w:sz w:val="24"/>
                <w:szCs w:val="24"/>
                <w:lang w:eastAsia="ru-RU"/>
              </w:rPr>
            </w:pPr>
            <w:r w:rsidRPr="0067561B">
              <w:rPr>
                <w:rFonts w:ascii="Times New Roman" w:eastAsia="Times New Roman" w:hAnsi="Times New Roman" w:cs="Times New Roman"/>
                <w:sz w:val="24"/>
                <w:szCs w:val="24"/>
                <w:lang w:eastAsia="ru-RU"/>
              </w:rPr>
              <w:t>Ключевые институты / инструменты</w:t>
            </w:r>
          </w:p>
        </w:tc>
      </w:tr>
      <w:tr w:rsidR="00C11870" w:rsidRPr="001935D0" w14:paraId="0DCD3339" w14:textId="77777777" w:rsidTr="0089040E">
        <w:trPr>
          <w:jc w:val="center"/>
        </w:trPr>
        <w:tc>
          <w:tcPr>
            <w:tcW w:w="1666" w:type="dxa"/>
            <w:vAlign w:val="center"/>
          </w:tcPr>
          <w:p w14:paraId="73B48EFC" w14:textId="77777777" w:rsidR="004D799D" w:rsidRPr="001935D0" w:rsidRDefault="004D799D"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i/>
                <w:sz w:val="24"/>
                <w:szCs w:val="24"/>
                <w:lang w:eastAsia="ru-RU"/>
              </w:rPr>
              <w:t>Soft Law (до 2020)</w:t>
            </w:r>
          </w:p>
        </w:tc>
        <w:tc>
          <w:tcPr>
            <w:tcW w:w="3856" w:type="dxa"/>
            <w:vAlign w:val="center"/>
          </w:tcPr>
          <w:p w14:paraId="70DE619D" w14:textId="77777777" w:rsidR="004D799D" w:rsidRPr="001935D0" w:rsidRDefault="004D799D"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Декларативная поддержка прав человека во внешней политике и ENP</w:t>
            </w:r>
          </w:p>
        </w:tc>
        <w:tc>
          <w:tcPr>
            <w:tcW w:w="4045" w:type="dxa"/>
            <w:vAlign w:val="center"/>
          </w:tcPr>
          <w:p w14:paraId="1E53BED8" w14:textId="77777777" w:rsidR="004D799D" w:rsidRPr="001935D0" w:rsidRDefault="004D799D"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Хартия прав, EEAS, EIDHR, FRA, Европейский омбудсмен</w:t>
            </w:r>
          </w:p>
        </w:tc>
      </w:tr>
      <w:tr w:rsidR="00C11870" w:rsidRPr="001935D0" w14:paraId="7D597394" w14:textId="77777777" w:rsidTr="0089040E">
        <w:trPr>
          <w:jc w:val="center"/>
        </w:trPr>
        <w:tc>
          <w:tcPr>
            <w:tcW w:w="1666" w:type="dxa"/>
            <w:vAlign w:val="center"/>
          </w:tcPr>
          <w:p w14:paraId="1432C184" w14:textId="77777777" w:rsidR="004D799D" w:rsidRPr="001935D0" w:rsidRDefault="004D799D"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i/>
                <w:sz w:val="24"/>
                <w:szCs w:val="24"/>
                <w:lang w:eastAsia="ru-RU"/>
              </w:rPr>
              <w:t>Enforcement Initiation</w:t>
            </w:r>
          </w:p>
        </w:tc>
        <w:tc>
          <w:tcPr>
            <w:tcW w:w="3856" w:type="dxa"/>
            <w:vAlign w:val="center"/>
          </w:tcPr>
          <w:p w14:paraId="7A369414" w14:textId="0593ACE9" w:rsidR="004D799D" w:rsidRPr="001935D0" w:rsidRDefault="004D799D"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Введение санкционных механиз</w:t>
            </w:r>
            <w:r w:rsidR="0089040E">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мов против нарушителей прав человека</w:t>
            </w:r>
          </w:p>
        </w:tc>
        <w:tc>
          <w:tcPr>
            <w:tcW w:w="4045" w:type="dxa"/>
            <w:vAlign w:val="center"/>
          </w:tcPr>
          <w:p w14:paraId="1ADBCD23" w14:textId="47E3B496" w:rsidR="004D799D" w:rsidRPr="001935D0" w:rsidRDefault="004D799D"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Глобальный режим санкций ЕС, об</w:t>
            </w:r>
            <w:r w:rsidR="0089040E">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новлённый EIDHR, механизмы ENP</w:t>
            </w:r>
          </w:p>
        </w:tc>
      </w:tr>
      <w:tr w:rsidR="00C11870" w:rsidRPr="00AD6D54" w14:paraId="4A0375C2" w14:textId="77777777" w:rsidTr="0089040E">
        <w:trPr>
          <w:jc w:val="center"/>
        </w:trPr>
        <w:tc>
          <w:tcPr>
            <w:tcW w:w="1666" w:type="dxa"/>
            <w:vAlign w:val="center"/>
          </w:tcPr>
          <w:p w14:paraId="6BB3F9FC" w14:textId="77777777" w:rsidR="004D799D" w:rsidRPr="001935D0" w:rsidRDefault="004D799D"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i/>
                <w:sz w:val="24"/>
                <w:szCs w:val="24"/>
                <w:lang w:eastAsia="ru-RU"/>
              </w:rPr>
              <w:t>Regulatory Codification</w:t>
            </w:r>
          </w:p>
        </w:tc>
        <w:tc>
          <w:tcPr>
            <w:tcW w:w="3856" w:type="dxa"/>
            <w:vAlign w:val="center"/>
          </w:tcPr>
          <w:p w14:paraId="728A373F" w14:textId="77777777" w:rsidR="004D799D" w:rsidRPr="001935D0" w:rsidRDefault="004D799D"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Юридическая обязательность стандартов прав человека в корпоративной сфере</w:t>
            </w:r>
          </w:p>
        </w:tc>
        <w:tc>
          <w:tcPr>
            <w:tcW w:w="4045" w:type="dxa"/>
            <w:vAlign w:val="center"/>
          </w:tcPr>
          <w:p w14:paraId="3B767215" w14:textId="77777777" w:rsidR="004D799D" w:rsidRPr="001935D0" w:rsidRDefault="004D799D" w:rsidP="00593711">
            <w:pPr>
              <w:rPr>
                <w:rFonts w:ascii="Times New Roman" w:eastAsia="Times New Roman" w:hAnsi="Times New Roman" w:cs="Times New Roman"/>
                <w:sz w:val="24"/>
                <w:szCs w:val="24"/>
                <w:lang w:val="en-US" w:eastAsia="ru-RU"/>
              </w:rPr>
            </w:pPr>
            <w:r w:rsidRPr="001935D0">
              <w:rPr>
                <w:rFonts w:ascii="Times New Roman" w:eastAsia="Times New Roman" w:hAnsi="Times New Roman" w:cs="Times New Roman"/>
                <w:sz w:val="24"/>
                <w:szCs w:val="24"/>
                <w:lang w:val="en-US" w:eastAsia="ru-RU"/>
              </w:rPr>
              <w:t>CS3D, CSRD, SFDR, ESG-</w:t>
            </w:r>
            <w:r w:rsidRPr="001935D0">
              <w:rPr>
                <w:rFonts w:ascii="Times New Roman" w:eastAsia="Times New Roman" w:hAnsi="Times New Roman" w:cs="Times New Roman"/>
                <w:sz w:val="24"/>
                <w:szCs w:val="24"/>
                <w:lang w:eastAsia="ru-RU"/>
              </w:rPr>
              <w:t>директивы</w:t>
            </w:r>
            <w:r w:rsidRPr="001935D0">
              <w:rPr>
                <w:rFonts w:ascii="Times New Roman" w:eastAsia="Times New Roman" w:hAnsi="Times New Roman" w:cs="Times New Roman"/>
                <w:sz w:val="24"/>
                <w:szCs w:val="24"/>
                <w:lang w:val="en-US" w:eastAsia="ru-RU"/>
              </w:rPr>
              <w:t>, Green Deal</w:t>
            </w:r>
          </w:p>
        </w:tc>
      </w:tr>
      <w:tr w:rsidR="0067561B" w:rsidRPr="0067561B" w14:paraId="02515E20" w14:textId="77777777" w:rsidTr="00634764">
        <w:trPr>
          <w:jc w:val="center"/>
        </w:trPr>
        <w:tc>
          <w:tcPr>
            <w:tcW w:w="9567" w:type="dxa"/>
            <w:gridSpan w:val="3"/>
            <w:vAlign w:val="center"/>
          </w:tcPr>
          <w:p w14:paraId="31E3917E" w14:textId="0AA2AEB0" w:rsidR="0067561B" w:rsidRPr="0067561B" w:rsidRDefault="00F03A16" w:rsidP="00EF6EE8">
            <w:pPr>
              <w:ind w:firstLine="566"/>
              <w:rPr>
                <w:rFonts w:ascii="Times New Roman" w:eastAsia="Times New Roman" w:hAnsi="Times New Roman" w:cs="Times New Roman"/>
                <w:sz w:val="24"/>
                <w:szCs w:val="24"/>
                <w:lang w:eastAsia="ru-RU"/>
              </w:rPr>
            </w:pPr>
            <w:r>
              <w:rPr>
                <w:rFonts w:ascii="Times New Roman" w:hAnsi="Times New Roman" w:cs="Times New Roman"/>
                <w:sz w:val="24"/>
                <w:szCs w:val="24"/>
                <w:lang w:val="uk-UA" w:eastAsia="ru-RU"/>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sidRPr="001935D0">
              <w:rPr>
                <w:rFonts w:ascii="Times New Roman" w:hAnsi="Times New Roman" w:cs="Times New Roman"/>
                <w:sz w:val="24"/>
                <w:szCs w:val="24"/>
                <w:lang w:eastAsia="ru-RU"/>
              </w:rPr>
              <w:t>33</w:t>
            </w:r>
            <w:r>
              <w:rPr>
                <w:rFonts w:ascii="Times New Roman" w:hAnsi="Times New Roman" w:cs="Times New Roman"/>
                <w:sz w:val="24"/>
                <w:szCs w:val="24"/>
                <w:lang w:val="kk-KZ" w:eastAsia="ru-RU"/>
              </w:rPr>
              <w:t xml:space="preserve">; 34; </w:t>
            </w:r>
            <w:r w:rsidRPr="001935D0">
              <w:rPr>
                <w:rFonts w:ascii="Times New Roman" w:hAnsi="Times New Roman" w:cs="Times New Roman"/>
                <w:sz w:val="24"/>
                <w:szCs w:val="24"/>
                <w:lang w:eastAsia="ru-RU"/>
              </w:rPr>
              <w:t>35</w:t>
            </w:r>
            <w:r w:rsidRPr="001935D0">
              <w:rPr>
                <w:rFonts w:ascii="Times New Roman" w:hAnsi="Times New Roman" w:cs="Times New Roman"/>
                <w:sz w:val="24"/>
                <w:szCs w:val="24"/>
              </w:rPr>
              <w:t>]</w:t>
            </w:r>
          </w:p>
        </w:tc>
      </w:tr>
    </w:tbl>
    <w:p w14:paraId="2503CA2A" w14:textId="77777777" w:rsidR="004D799D" w:rsidRPr="001935D0" w:rsidRDefault="004D799D" w:rsidP="00593711">
      <w:pPr>
        <w:pStyle w:val="NoSpacing"/>
        <w:ind w:firstLine="567"/>
        <w:jc w:val="both"/>
        <w:rPr>
          <w:rFonts w:ascii="Times New Roman" w:hAnsi="Times New Roman" w:cs="Times New Roman"/>
          <w:sz w:val="28"/>
          <w:szCs w:val="28"/>
          <w:lang w:eastAsia="ru-RU"/>
        </w:rPr>
      </w:pPr>
    </w:p>
    <w:p w14:paraId="1D6F6C34" w14:textId="77777777" w:rsidR="004D799D" w:rsidRPr="001935D0" w:rsidRDefault="004D799D"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CS3D также вводит обязательство по разработке климатических переходных планов, отражающих цели Парижского соглашения, и усиливает прозрачность и подотчётность через обязательные каналы отчётности и механизмы подачи жалоб. Участие в реализации директивы расширено до общественных организаций и профсоюзов, что институционализирует участие гражданского общества в контроле за соблюдением прав человека в частном секторе.</w:t>
      </w:r>
    </w:p>
    <w:p w14:paraId="5696C12F" w14:textId="5380DE02" w:rsidR="005E7E39" w:rsidRPr="001935D0" w:rsidRDefault="001A6DAB"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Таким образом, Европейский </w:t>
      </w:r>
      <w:r w:rsidRPr="001935D0">
        <w:rPr>
          <w:rFonts w:ascii="Times New Roman" w:hAnsi="Times New Roman" w:cs="Times New Roman"/>
          <w:sz w:val="28"/>
          <w:szCs w:val="28"/>
          <w:lang w:val="kk-KZ" w:eastAsia="ru-RU"/>
        </w:rPr>
        <w:t>С</w:t>
      </w:r>
      <w:r w:rsidR="004D799D" w:rsidRPr="001935D0">
        <w:rPr>
          <w:rFonts w:ascii="Times New Roman" w:hAnsi="Times New Roman" w:cs="Times New Roman"/>
          <w:sz w:val="28"/>
          <w:szCs w:val="28"/>
          <w:lang w:eastAsia="ru-RU"/>
        </w:rPr>
        <w:t>оюз демонстрирует качественный сдвиг от роли нормативного актора к позиции полноценного регуляторного субъекта глобального уровня. Права человека становятся не только элементом ценностной идентичности, но и юридически закреплённым стандартом поведения как для государств, так и для частных акторов. Этот переход завершает эволюцию от soft law к enforceable governance и формирует новую архитектуру ответственности в един</w:t>
      </w:r>
      <w:r w:rsidR="00104ED2" w:rsidRPr="001935D0">
        <w:rPr>
          <w:rFonts w:ascii="Times New Roman" w:hAnsi="Times New Roman" w:cs="Times New Roman"/>
          <w:sz w:val="28"/>
          <w:szCs w:val="28"/>
          <w:lang w:eastAsia="ru-RU"/>
        </w:rPr>
        <w:t xml:space="preserve">ом нормативном пространстве ЕС. </w:t>
      </w:r>
    </w:p>
    <w:p w14:paraId="707E0E0D" w14:textId="77777777" w:rsidR="00503A43" w:rsidRPr="001935D0" w:rsidRDefault="00503A43"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 рамках институциональной эволюции политики Европейского Союза в области прав человека и устойчивого развития особое значение приобрёл переход от рамочных и необязательных норм (soft law) к юридически обязывающим механизмам исполнения обязательств в сфере прав человека и экологических стандартов. Эта трансформация затрагивает не только инициативы Союза – такие как Директива о корпоративной устойчивости и должной осмотрительности (CS3D), – но и отражает глобальный тренд на усиление нормативной подотчётности бизнеса в транснациональных ланцюгах поставок.</w:t>
      </w:r>
    </w:p>
    <w:p w14:paraId="2EEDEABB" w14:textId="059AC0D1" w:rsidR="00503A43" w:rsidRPr="001935D0" w:rsidRDefault="00503A43"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С 2011 года в международной практике наблюдается стабильный рост внимания к нарушениям ESG-принципов, включая принудительный труд, экологический ущерб и эксплуатацию уязвимых груп</w:t>
      </w:r>
      <w:r w:rsidR="0060575C" w:rsidRPr="001935D0">
        <w:rPr>
          <w:rFonts w:ascii="Times New Roman" w:hAnsi="Times New Roman" w:cs="Times New Roman"/>
          <w:sz w:val="28"/>
          <w:szCs w:val="28"/>
          <w:lang w:val="kk-KZ" w:eastAsia="ru-RU"/>
        </w:rPr>
        <w:t>п</w:t>
      </w:r>
      <w:r w:rsidRPr="001935D0">
        <w:rPr>
          <w:rFonts w:ascii="Times New Roman" w:hAnsi="Times New Roman" w:cs="Times New Roman"/>
          <w:sz w:val="28"/>
          <w:szCs w:val="28"/>
          <w:lang w:eastAsia="ru-RU"/>
        </w:rPr>
        <w:t xml:space="preserve"> населения. Под воздействием давления со стороны гражданского общества, правозащитных організацій и международных институций в ряде юрисдикций началось </w:t>
      </w:r>
      <w:r w:rsidRPr="001935D0">
        <w:rPr>
          <w:rFonts w:ascii="Times New Roman" w:hAnsi="Times New Roman" w:cs="Times New Roman"/>
          <w:sz w:val="28"/>
          <w:szCs w:val="28"/>
          <w:lang w:eastAsia="ru-RU"/>
        </w:rPr>
        <w:lastRenderedPageBreak/>
        <w:t xml:space="preserve">закрепление практики обязательного due diligence – механизма юридической оценки и предотвращения ESG-рисков. Его институционализация в </w:t>
      </w:r>
      <w:r w:rsidR="00104ED2" w:rsidRPr="001935D0">
        <w:rPr>
          <w:rFonts w:ascii="Times New Roman" w:hAnsi="Times New Roman" w:cs="Times New Roman"/>
          <w:sz w:val="28"/>
          <w:szCs w:val="28"/>
          <w:lang w:eastAsia="ru-RU"/>
        </w:rPr>
        <w:t>ЕС приобрела три основные формы [35].</w:t>
      </w:r>
    </w:p>
    <w:p w14:paraId="7852D1E2" w14:textId="77777777" w:rsidR="00503A43" w:rsidRPr="001935D0" w:rsidRDefault="00503A43"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Во-первых, были введены обязательства по раскрытию информации о рисках, связанных с нарушением прав человека и трудовых стандартов. Примером является обязанность ежегодной публикации декларации о противодействии современным формам рабства и торговле людьми (Slavery and Human Trafficking Statement). Формы правоприменения варьируются от административных предписаний и вмешательства контролирующих органов до публичного разоблачения нарушителей и наложения штрафов.</w:t>
      </w:r>
    </w:p>
    <w:p w14:paraId="1C4AD605" w14:textId="77777777" w:rsidR="00503A43" w:rsidRPr="001935D0" w:rsidRDefault="00503A43"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Во-вторых, нормативные акты нового поколения, такие как CS3D и французский Loi de Vigilance, требуют от компаний не только информирования, но и реализации внутренних процедур по управлению ESG-рисками. Это включает обязательность создания механизмов мониторинга, взаимодействия с поставщиками, оценки цепочек поставок и реагирования на зафиксированные нарушения. Невыполнение требований может повлечь за собой как административные, так и уголовно-правовые последствия – от крупных штрафов и исключения из тендеров до прямой гражданской ответственности руководства.</w:t>
      </w:r>
    </w:p>
    <w:p w14:paraId="7E014EA9" w14:textId="7C8864A1" w:rsidR="00503A43" w:rsidRPr="001935D0" w:rsidRDefault="00503A43" w:rsidP="0067561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В-третьих, появляется форма импортного регулирования, основанная на применении таможенных механизмов в отношении продукции, произведённой с нарушением прав человека. США уже внедрили практику, согласно которой товар может быть задержан на границе при наличии подозрения на принудительный труд. Европейский </w:t>
      </w:r>
      <w:r w:rsidR="004A3405">
        <w:rPr>
          <w:rFonts w:ascii="Times New Roman" w:hAnsi="Times New Roman" w:cs="Times New Roman"/>
          <w:sz w:val="28"/>
          <w:szCs w:val="28"/>
          <w:lang w:eastAsia="ru-RU"/>
        </w:rPr>
        <w:t>С</w:t>
      </w:r>
      <w:r w:rsidRPr="001935D0">
        <w:rPr>
          <w:rFonts w:ascii="Times New Roman" w:hAnsi="Times New Roman" w:cs="Times New Roman"/>
          <w:sz w:val="28"/>
          <w:szCs w:val="28"/>
          <w:lang w:eastAsia="ru-RU"/>
        </w:rPr>
        <w:t>оюз рассм</w:t>
      </w:r>
      <w:r w:rsidR="0060575C" w:rsidRPr="001935D0">
        <w:rPr>
          <w:rFonts w:ascii="Times New Roman" w:hAnsi="Times New Roman" w:cs="Times New Roman"/>
          <w:sz w:val="28"/>
          <w:szCs w:val="28"/>
          <w:lang w:eastAsia="ru-RU"/>
        </w:rPr>
        <w:t>атривает аналогичный режим как э</w:t>
      </w:r>
      <w:r w:rsidRPr="001935D0">
        <w:rPr>
          <w:rFonts w:ascii="Times New Roman" w:hAnsi="Times New Roman" w:cs="Times New Roman"/>
          <w:sz w:val="28"/>
          <w:szCs w:val="28"/>
          <w:lang w:eastAsia="ru-RU"/>
        </w:rPr>
        <w:t>лемент своей нормативной политики в сфере торговли.</w:t>
      </w:r>
    </w:p>
    <w:p w14:paraId="6C50695D" w14:textId="77777777" w:rsidR="00CF2560" w:rsidRPr="001935D0" w:rsidRDefault="00CF2560" w:rsidP="00593711">
      <w:pPr>
        <w:pStyle w:val="NoSpacing"/>
        <w:ind w:firstLine="567"/>
        <w:jc w:val="both"/>
        <w:rPr>
          <w:rFonts w:ascii="Times New Roman" w:eastAsia="Times New Roman" w:hAnsi="Times New Roman" w:cs="Times New Roman"/>
          <w:bCs/>
          <w:sz w:val="28"/>
          <w:szCs w:val="28"/>
          <w:lang w:val="uk-UA" w:eastAsia="ru-RU"/>
        </w:rPr>
      </w:pPr>
    </w:p>
    <w:p w14:paraId="6C67594A" w14:textId="59D422DF" w:rsidR="00503A43" w:rsidRDefault="00503A43" w:rsidP="0089040E">
      <w:pPr>
        <w:pStyle w:val="NoSpacing"/>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eastAsia="ru-RU"/>
        </w:rPr>
        <w:t xml:space="preserve">Таблица </w:t>
      </w:r>
      <w:r w:rsidRPr="001935D0">
        <w:rPr>
          <w:rFonts w:ascii="Times New Roman" w:eastAsia="Times New Roman" w:hAnsi="Times New Roman" w:cs="Times New Roman"/>
          <w:bCs/>
          <w:sz w:val="28"/>
          <w:szCs w:val="28"/>
          <w:lang w:val="uk-UA" w:eastAsia="ru-RU"/>
        </w:rPr>
        <w:t>1.</w:t>
      </w:r>
      <w:r w:rsidRPr="001935D0">
        <w:rPr>
          <w:rFonts w:ascii="Times New Roman" w:eastAsia="Times New Roman" w:hAnsi="Times New Roman" w:cs="Times New Roman"/>
          <w:bCs/>
          <w:sz w:val="28"/>
          <w:szCs w:val="28"/>
          <w:lang w:eastAsia="ru-RU"/>
        </w:rPr>
        <w:t xml:space="preserve">4 </w:t>
      </w:r>
      <w:r w:rsidR="0089040E">
        <w:rPr>
          <w:rFonts w:ascii="Times New Roman" w:eastAsia="Times New Roman" w:hAnsi="Times New Roman" w:cs="Times New Roman"/>
          <w:bCs/>
          <w:sz w:val="28"/>
          <w:szCs w:val="28"/>
          <w:lang w:eastAsia="ru-RU"/>
        </w:rPr>
        <w:t>‒</w:t>
      </w:r>
      <w:r w:rsidR="0089040E">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Формы нормативного закрепления обязательств due diligence и механизмы их принудительного исполнения</w:t>
      </w:r>
    </w:p>
    <w:p w14:paraId="3A4A99D5" w14:textId="77777777" w:rsidR="0089040E" w:rsidRPr="0089040E" w:rsidRDefault="0089040E" w:rsidP="0089040E">
      <w:pPr>
        <w:pStyle w:val="NoSpacing"/>
        <w:jc w:val="both"/>
        <w:rPr>
          <w:rFonts w:ascii="Times New Roman" w:eastAsia="Times New Roman" w:hAnsi="Times New Roman" w:cs="Times New Roman"/>
          <w:bCs/>
          <w:sz w:val="16"/>
          <w:szCs w:val="16"/>
          <w:lang w:val="kk-KZ" w:eastAsia="ru-RU"/>
        </w:rPr>
      </w:pPr>
    </w:p>
    <w:tbl>
      <w:tblPr>
        <w:tblStyle w:val="TableGrid"/>
        <w:tblW w:w="0" w:type="auto"/>
        <w:jc w:val="center"/>
        <w:tblLook w:val="04A0" w:firstRow="1" w:lastRow="0" w:firstColumn="1" w:lastColumn="0" w:noHBand="0" w:noVBand="1"/>
      </w:tblPr>
      <w:tblGrid>
        <w:gridCol w:w="2551"/>
        <w:gridCol w:w="2977"/>
        <w:gridCol w:w="3963"/>
      </w:tblGrid>
      <w:tr w:rsidR="00C11870" w:rsidRPr="0089040E" w14:paraId="25D3171F" w14:textId="77777777" w:rsidTr="0089040E">
        <w:trPr>
          <w:trHeight w:val="512"/>
          <w:jc w:val="center"/>
        </w:trPr>
        <w:tc>
          <w:tcPr>
            <w:tcW w:w="2551" w:type="dxa"/>
            <w:vAlign w:val="center"/>
          </w:tcPr>
          <w:p w14:paraId="53D9565B" w14:textId="77777777" w:rsidR="00503A43" w:rsidRPr="0089040E" w:rsidRDefault="00503A43" w:rsidP="0089040E">
            <w:pPr>
              <w:jc w:val="center"/>
              <w:rPr>
                <w:rFonts w:ascii="Times New Roman" w:hAnsi="Times New Roman" w:cs="Times New Roman"/>
                <w:sz w:val="24"/>
                <w:szCs w:val="24"/>
              </w:rPr>
            </w:pPr>
            <w:r w:rsidRPr="0089040E">
              <w:rPr>
                <w:rFonts w:ascii="Times New Roman" w:hAnsi="Times New Roman" w:cs="Times New Roman"/>
                <w:sz w:val="24"/>
                <w:szCs w:val="24"/>
              </w:rPr>
              <w:t>Тип регулирования</w:t>
            </w:r>
          </w:p>
        </w:tc>
        <w:tc>
          <w:tcPr>
            <w:tcW w:w="2977" w:type="dxa"/>
            <w:vAlign w:val="center"/>
          </w:tcPr>
          <w:p w14:paraId="53D2BF3E" w14:textId="77777777" w:rsidR="00503A43" w:rsidRPr="0089040E" w:rsidRDefault="00503A43" w:rsidP="0089040E">
            <w:pPr>
              <w:jc w:val="center"/>
              <w:rPr>
                <w:rFonts w:ascii="Times New Roman" w:hAnsi="Times New Roman" w:cs="Times New Roman"/>
                <w:sz w:val="24"/>
                <w:szCs w:val="24"/>
              </w:rPr>
            </w:pPr>
            <w:r w:rsidRPr="0089040E">
              <w:rPr>
                <w:rFonts w:ascii="Times New Roman" w:hAnsi="Times New Roman" w:cs="Times New Roman"/>
                <w:sz w:val="24"/>
                <w:szCs w:val="24"/>
              </w:rPr>
              <w:t>Примеры</w:t>
            </w:r>
          </w:p>
        </w:tc>
        <w:tc>
          <w:tcPr>
            <w:tcW w:w="3963" w:type="dxa"/>
            <w:vAlign w:val="center"/>
          </w:tcPr>
          <w:p w14:paraId="56FF93B9" w14:textId="77777777" w:rsidR="00503A43" w:rsidRPr="0089040E" w:rsidRDefault="00503A43" w:rsidP="0089040E">
            <w:pPr>
              <w:jc w:val="center"/>
              <w:rPr>
                <w:rFonts w:ascii="Times New Roman" w:hAnsi="Times New Roman" w:cs="Times New Roman"/>
                <w:sz w:val="24"/>
                <w:szCs w:val="24"/>
              </w:rPr>
            </w:pPr>
            <w:r w:rsidRPr="0089040E">
              <w:rPr>
                <w:rFonts w:ascii="Times New Roman" w:hAnsi="Times New Roman" w:cs="Times New Roman"/>
                <w:sz w:val="24"/>
                <w:szCs w:val="24"/>
              </w:rPr>
              <w:t>Механизмы принуждения</w:t>
            </w:r>
          </w:p>
        </w:tc>
      </w:tr>
      <w:tr w:rsidR="00C11870" w:rsidRPr="001935D0" w14:paraId="5773B1AA" w14:textId="77777777" w:rsidTr="0089040E">
        <w:trPr>
          <w:jc w:val="center"/>
        </w:trPr>
        <w:tc>
          <w:tcPr>
            <w:tcW w:w="2551" w:type="dxa"/>
          </w:tcPr>
          <w:p w14:paraId="2E2ABDDB" w14:textId="77777777" w:rsidR="00503A43" w:rsidRPr="001935D0" w:rsidRDefault="00503A43" w:rsidP="00593711">
            <w:pPr>
              <w:rPr>
                <w:rFonts w:ascii="Times New Roman" w:hAnsi="Times New Roman" w:cs="Times New Roman"/>
                <w:i/>
                <w:sz w:val="24"/>
                <w:szCs w:val="24"/>
              </w:rPr>
            </w:pPr>
            <w:r w:rsidRPr="001935D0">
              <w:rPr>
                <w:rFonts w:ascii="Times New Roman" w:hAnsi="Times New Roman" w:cs="Times New Roman"/>
                <w:i/>
                <w:sz w:val="24"/>
                <w:szCs w:val="24"/>
              </w:rPr>
              <w:t>Публикация информации о рисках</w:t>
            </w:r>
          </w:p>
        </w:tc>
        <w:tc>
          <w:tcPr>
            <w:tcW w:w="2977" w:type="dxa"/>
          </w:tcPr>
          <w:p w14:paraId="38C239E0" w14:textId="77777777" w:rsidR="00503A43" w:rsidRPr="001935D0" w:rsidRDefault="00503A43" w:rsidP="00593711">
            <w:pPr>
              <w:jc w:val="both"/>
              <w:rPr>
                <w:rFonts w:ascii="Times New Roman" w:hAnsi="Times New Roman" w:cs="Times New Roman"/>
                <w:sz w:val="24"/>
                <w:szCs w:val="24"/>
              </w:rPr>
            </w:pPr>
            <w:r w:rsidRPr="001935D0">
              <w:rPr>
                <w:rFonts w:ascii="Times New Roman" w:hAnsi="Times New Roman" w:cs="Times New Roman"/>
                <w:sz w:val="24"/>
                <w:szCs w:val="24"/>
              </w:rPr>
              <w:t>Modern Slavery Act (Великобритания)</w:t>
            </w:r>
          </w:p>
        </w:tc>
        <w:tc>
          <w:tcPr>
            <w:tcW w:w="3963" w:type="dxa"/>
          </w:tcPr>
          <w:p w14:paraId="0E330C83" w14:textId="5AFA3971" w:rsidR="00503A43" w:rsidRPr="001935D0" w:rsidRDefault="00503A43" w:rsidP="00593711">
            <w:pPr>
              <w:jc w:val="both"/>
              <w:rPr>
                <w:rFonts w:ascii="Times New Roman" w:hAnsi="Times New Roman" w:cs="Times New Roman"/>
                <w:sz w:val="24"/>
                <w:szCs w:val="24"/>
              </w:rPr>
            </w:pPr>
            <w:r w:rsidRPr="001935D0">
              <w:rPr>
                <w:rFonts w:ascii="Times New Roman" w:hAnsi="Times New Roman" w:cs="Times New Roman"/>
                <w:sz w:val="24"/>
                <w:szCs w:val="24"/>
              </w:rPr>
              <w:t>Административные санкции, пуб</w:t>
            </w:r>
            <w:r w:rsidR="0089040E">
              <w:rPr>
                <w:rFonts w:ascii="Times New Roman" w:hAnsi="Times New Roman" w:cs="Times New Roman"/>
                <w:sz w:val="24"/>
                <w:szCs w:val="24"/>
                <w:lang w:val="kk-KZ"/>
              </w:rPr>
              <w:t xml:space="preserve"> </w:t>
            </w:r>
            <w:r w:rsidRPr="001935D0">
              <w:rPr>
                <w:rFonts w:ascii="Times New Roman" w:hAnsi="Times New Roman" w:cs="Times New Roman"/>
                <w:sz w:val="24"/>
                <w:szCs w:val="24"/>
              </w:rPr>
              <w:t>личное разоблачение, предупреж</w:t>
            </w:r>
            <w:r w:rsidR="0089040E">
              <w:rPr>
                <w:rFonts w:ascii="Times New Roman" w:hAnsi="Times New Roman" w:cs="Times New Roman"/>
                <w:sz w:val="24"/>
                <w:szCs w:val="24"/>
                <w:lang w:val="kk-KZ"/>
              </w:rPr>
              <w:t xml:space="preserve"> </w:t>
            </w:r>
            <w:r w:rsidRPr="001935D0">
              <w:rPr>
                <w:rFonts w:ascii="Times New Roman" w:hAnsi="Times New Roman" w:cs="Times New Roman"/>
                <w:sz w:val="24"/>
                <w:szCs w:val="24"/>
              </w:rPr>
              <w:t>дения, штрафы</w:t>
            </w:r>
          </w:p>
        </w:tc>
      </w:tr>
      <w:tr w:rsidR="00C11870" w:rsidRPr="001935D0" w14:paraId="09AC6F88" w14:textId="77777777" w:rsidTr="0089040E">
        <w:trPr>
          <w:jc w:val="center"/>
        </w:trPr>
        <w:tc>
          <w:tcPr>
            <w:tcW w:w="2551" w:type="dxa"/>
          </w:tcPr>
          <w:p w14:paraId="0C73A9D1" w14:textId="77777777" w:rsidR="00503A43" w:rsidRPr="001935D0" w:rsidRDefault="00503A43" w:rsidP="00593711">
            <w:pPr>
              <w:rPr>
                <w:rFonts w:ascii="Times New Roman" w:hAnsi="Times New Roman" w:cs="Times New Roman"/>
                <w:i/>
                <w:sz w:val="24"/>
                <w:szCs w:val="24"/>
              </w:rPr>
            </w:pPr>
            <w:r w:rsidRPr="001935D0">
              <w:rPr>
                <w:rFonts w:ascii="Times New Roman" w:hAnsi="Times New Roman" w:cs="Times New Roman"/>
                <w:i/>
                <w:sz w:val="24"/>
                <w:szCs w:val="24"/>
              </w:rPr>
              <w:t>Обязательные процедуры due diligence</w:t>
            </w:r>
          </w:p>
        </w:tc>
        <w:tc>
          <w:tcPr>
            <w:tcW w:w="2977" w:type="dxa"/>
          </w:tcPr>
          <w:p w14:paraId="4C466F59" w14:textId="77777777" w:rsidR="00503A43" w:rsidRPr="001935D0" w:rsidRDefault="00503A43" w:rsidP="00593711">
            <w:pPr>
              <w:jc w:val="both"/>
              <w:rPr>
                <w:rFonts w:ascii="Times New Roman" w:hAnsi="Times New Roman" w:cs="Times New Roman"/>
                <w:sz w:val="24"/>
                <w:szCs w:val="24"/>
                <w:lang w:val="en-US"/>
              </w:rPr>
            </w:pPr>
            <w:r w:rsidRPr="001935D0">
              <w:rPr>
                <w:rFonts w:ascii="Times New Roman" w:hAnsi="Times New Roman" w:cs="Times New Roman"/>
                <w:sz w:val="24"/>
                <w:szCs w:val="24"/>
                <w:lang w:val="en-US"/>
              </w:rPr>
              <w:t>CS3D, Loi de Vigilance (</w:t>
            </w:r>
            <w:r w:rsidRPr="001935D0">
              <w:rPr>
                <w:rFonts w:ascii="Times New Roman" w:hAnsi="Times New Roman" w:cs="Times New Roman"/>
                <w:sz w:val="24"/>
                <w:szCs w:val="24"/>
              </w:rPr>
              <w:t>Франция</w:t>
            </w:r>
            <w:r w:rsidRPr="001935D0">
              <w:rPr>
                <w:rFonts w:ascii="Times New Roman" w:hAnsi="Times New Roman" w:cs="Times New Roman"/>
                <w:sz w:val="24"/>
                <w:szCs w:val="24"/>
                <w:lang w:val="en-US"/>
              </w:rPr>
              <w:t>)</w:t>
            </w:r>
          </w:p>
        </w:tc>
        <w:tc>
          <w:tcPr>
            <w:tcW w:w="3963" w:type="dxa"/>
          </w:tcPr>
          <w:p w14:paraId="452A7A8E" w14:textId="4C7A8293" w:rsidR="00503A43" w:rsidRPr="001935D0" w:rsidRDefault="00503A43" w:rsidP="00593711">
            <w:pPr>
              <w:jc w:val="both"/>
              <w:rPr>
                <w:rFonts w:ascii="Times New Roman" w:hAnsi="Times New Roman" w:cs="Times New Roman"/>
                <w:sz w:val="24"/>
                <w:szCs w:val="24"/>
              </w:rPr>
            </w:pPr>
            <w:r w:rsidRPr="001935D0">
              <w:rPr>
                <w:rFonts w:ascii="Times New Roman" w:hAnsi="Times New Roman" w:cs="Times New Roman"/>
                <w:sz w:val="24"/>
                <w:szCs w:val="24"/>
              </w:rPr>
              <w:t>Гражданская и уголовная ответст</w:t>
            </w:r>
            <w:r w:rsidR="0089040E">
              <w:rPr>
                <w:rFonts w:ascii="Times New Roman" w:hAnsi="Times New Roman" w:cs="Times New Roman"/>
                <w:sz w:val="24"/>
                <w:szCs w:val="24"/>
                <w:lang w:val="kk-KZ"/>
              </w:rPr>
              <w:t xml:space="preserve"> </w:t>
            </w:r>
            <w:r w:rsidRPr="001935D0">
              <w:rPr>
                <w:rFonts w:ascii="Times New Roman" w:hAnsi="Times New Roman" w:cs="Times New Roman"/>
                <w:sz w:val="24"/>
                <w:szCs w:val="24"/>
              </w:rPr>
              <w:t>венность, исключение из госзакупок, финансовые санкции</w:t>
            </w:r>
          </w:p>
        </w:tc>
      </w:tr>
      <w:tr w:rsidR="00C11870" w:rsidRPr="001935D0" w14:paraId="6C03A67F" w14:textId="77777777" w:rsidTr="0089040E">
        <w:trPr>
          <w:jc w:val="center"/>
        </w:trPr>
        <w:tc>
          <w:tcPr>
            <w:tcW w:w="2551" w:type="dxa"/>
          </w:tcPr>
          <w:p w14:paraId="373F74FF" w14:textId="77777777" w:rsidR="00503A43" w:rsidRPr="001935D0" w:rsidRDefault="00503A43" w:rsidP="00593711">
            <w:pPr>
              <w:rPr>
                <w:rFonts w:ascii="Times New Roman" w:hAnsi="Times New Roman" w:cs="Times New Roman"/>
                <w:i/>
                <w:sz w:val="24"/>
                <w:szCs w:val="24"/>
              </w:rPr>
            </w:pPr>
            <w:r w:rsidRPr="001935D0">
              <w:rPr>
                <w:rFonts w:ascii="Times New Roman" w:hAnsi="Times New Roman" w:cs="Times New Roman"/>
                <w:i/>
                <w:sz w:val="24"/>
                <w:szCs w:val="24"/>
              </w:rPr>
              <w:t>Таможенный контроль и запреты на импорт</w:t>
            </w:r>
          </w:p>
        </w:tc>
        <w:tc>
          <w:tcPr>
            <w:tcW w:w="2977" w:type="dxa"/>
          </w:tcPr>
          <w:p w14:paraId="18782425" w14:textId="77777777" w:rsidR="00503A43" w:rsidRPr="001935D0" w:rsidRDefault="00503A43" w:rsidP="00593711">
            <w:pPr>
              <w:jc w:val="both"/>
              <w:rPr>
                <w:rFonts w:ascii="Times New Roman" w:hAnsi="Times New Roman" w:cs="Times New Roman"/>
                <w:sz w:val="24"/>
                <w:szCs w:val="24"/>
                <w:lang w:val="en-US"/>
              </w:rPr>
            </w:pPr>
            <w:r w:rsidRPr="001935D0">
              <w:rPr>
                <w:rFonts w:ascii="Times New Roman" w:hAnsi="Times New Roman" w:cs="Times New Roman"/>
                <w:sz w:val="24"/>
                <w:szCs w:val="24"/>
                <w:lang w:val="en-US"/>
              </w:rPr>
              <w:t>Forced Labor Ban (</w:t>
            </w:r>
            <w:r w:rsidRPr="001935D0">
              <w:rPr>
                <w:rFonts w:ascii="Times New Roman" w:hAnsi="Times New Roman" w:cs="Times New Roman"/>
                <w:sz w:val="24"/>
                <w:szCs w:val="24"/>
              </w:rPr>
              <w:t>США</w:t>
            </w:r>
            <w:r w:rsidRPr="001935D0">
              <w:rPr>
                <w:rFonts w:ascii="Times New Roman" w:hAnsi="Times New Roman" w:cs="Times New Roman"/>
                <w:sz w:val="24"/>
                <w:szCs w:val="24"/>
                <w:lang w:val="en-US"/>
              </w:rPr>
              <w:t xml:space="preserve">, </w:t>
            </w:r>
            <w:r w:rsidRPr="001935D0">
              <w:rPr>
                <w:rFonts w:ascii="Times New Roman" w:hAnsi="Times New Roman" w:cs="Times New Roman"/>
                <w:sz w:val="24"/>
                <w:szCs w:val="24"/>
              </w:rPr>
              <w:t>план</w:t>
            </w:r>
            <w:r w:rsidRPr="001935D0">
              <w:rPr>
                <w:rFonts w:ascii="Times New Roman" w:hAnsi="Times New Roman" w:cs="Times New Roman"/>
                <w:sz w:val="24"/>
                <w:szCs w:val="24"/>
                <w:lang w:val="en-US"/>
              </w:rPr>
              <w:t xml:space="preserve"> </w:t>
            </w:r>
            <w:r w:rsidRPr="001935D0">
              <w:rPr>
                <w:rFonts w:ascii="Times New Roman" w:hAnsi="Times New Roman" w:cs="Times New Roman"/>
                <w:sz w:val="24"/>
                <w:szCs w:val="24"/>
              </w:rPr>
              <w:t>ЕС</w:t>
            </w:r>
            <w:r w:rsidRPr="001935D0">
              <w:rPr>
                <w:rFonts w:ascii="Times New Roman" w:hAnsi="Times New Roman" w:cs="Times New Roman"/>
                <w:sz w:val="24"/>
                <w:szCs w:val="24"/>
                <w:lang w:val="en-US"/>
              </w:rPr>
              <w:t>)</w:t>
            </w:r>
          </w:p>
        </w:tc>
        <w:tc>
          <w:tcPr>
            <w:tcW w:w="3963" w:type="dxa"/>
          </w:tcPr>
          <w:p w14:paraId="540F5A2F" w14:textId="0E71A847" w:rsidR="00503A43" w:rsidRPr="001935D0" w:rsidRDefault="00503A43" w:rsidP="00593711">
            <w:pPr>
              <w:jc w:val="both"/>
              <w:rPr>
                <w:rFonts w:ascii="Times New Roman" w:hAnsi="Times New Roman" w:cs="Times New Roman"/>
                <w:sz w:val="24"/>
                <w:szCs w:val="24"/>
              </w:rPr>
            </w:pPr>
            <w:r w:rsidRPr="001935D0">
              <w:rPr>
                <w:rFonts w:ascii="Times New Roman" w:hAnsi="Times New Roman" w:cs="Times New Roman"/>
                <w:sz w:val="24"/>
                <w:szCs w:val="24"/>
              </w:rPr>
              <w:t>Задержка поставок, расследование, блокировка продукции, репута</w:t>
            </w:r>
            <w:r w:rsidR="0089040E">
              <w:rPr>
                <w:rFonts w:ascii="Times New Roman" w:hAnsi="Times New Roman" w:cs="Times New Roman"/>
                <w:sz w:val="24"/>
                <w:szCs w:val="24"/>
                <w:lang w:val="kk-KZ"/>
              </w:rPr>
              <w:t xml:space="preserve"> </w:t>
            </w:r>
            <w:r w:rsidRPr="001935D0">
              <w:rPr>
                <w:rFonts w:ascii="Times New Roman" w:hAnsi="Times New Roman" w:cs="Times New Roman"/>
                <w:sz w:val="24"/>
                <w:szCs w:val="24"/>
              </w:rPr>
              <w:t>ционные и экономические потери</w:t>
            </w:r>
          </w:p>
        </w:tc>
      </w:tr>
      <w:tr w:rsidR="0089040E" w:rsidRPr="001935D0" w14:paraId="37BD0B9E" w14:textId="77777777" w:rsidTr="0089040E">
        <w:trPr>
          <w:jc w:val="center"/>
        </w:trPr>
        <w:tc>
          <w:tcPr>
            <w:tcW w:w="9491" w:type="dxa"/>
            <w:gridSpan w:val="3"/>
          </w:tcPr>
          <w:p w14:paraId="77920454" w14:textId="59339A2B" w:rsidR="0089040E" w:rsidRPr="0089040E" w:rsidRDefault="0089040E" w:rsidP="0089040E">
            <w:pPr>
              <w:pStyle w:val="NoSpacing"/>
              <w:ind w:firstLine="709"/>
              <w:jc w:val="both"/>
              <w:rPr>
                <w:rFonts w:ascii="Times New Roman" w:hAnsi="Times New Roman" w:cs="Times New Roman"/>
                <w:sz w:val="24"/>
                <w:szCs w:val="24"/>
                <w:lang w:val="kk-KZ" w:eastAsia="ru-RU"/>
              </w:rPr>
            </w:pPr>
            <w:r>
              <w:rPr>
                <w:rFonts w:ascii="Times New Roman" w:hAnsi="Times New Roman" w:cs="Times New Roman"/>
                <w:sz w:val="24"/>
                <w:szCs w:val="24"/>
                <w:lang w:val="uk-UA" w:eastAsia="ru-RU"/>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источника </w:t>
            </w:r>
            <w:r w:rsidRPr="001935D0">
              <w:rPr>
                <w:rFonts w:ascii="Times New Roman" w:hAnsi="Times New Roman" w:cs="Times New Roman"/>
                <w:sz w:val="24"/>
                <w:szCs w:val="24"/>
              </w:rPr>
              <w:t>[3</w:t>
            </w:r>
            <w:r w:rsidRPr="001935D0">
              <w:rPr>
                <w:rFonts w:ascii="Times New Roman" w:hAnsi="Times New Roman" w:cs="Times New Roman"/>
                <w:sz w:val="24"/>
                <w:szCs w:val="24"/>
                <w:lang w:eastAsia="ru-RU"/>
              </w:rPr>
              <w:t>6]</w:t>
            </w:r>
          </w:p>
        </w:tc>
      </w:tr>
    </w:tbl>
    <w:p w14:paraId="0EDCD603" w14:textId="77777777" w:rsidR="00503A43" w:rsidRPr="0089040E" w:rsidRDefault="00503A43" w:rsidP="0089040E">
      <w:pPr>
        <w:pStyle w:val="NoSpacing"/>
        <w:ind w:firstLine="709"/>
        <w:jc w:val="both"/>
        <w:rPr>
          <w:rFonts w:ascii="Times New Roman" w:hAnsi="Times New Roman" w:cs="Times New Roman"/>
          <w:sz w:val="24"/>
          <w:szCs w:val="24"/>
          <w:lang w:eastAsia="ru-RU"/>
        </w:rPr>
      </w:pPr>
    </w:p>
    <w:p w14:paraId="56375C2C" w14:textId="77777777" w:rsidR="0089040E" w:rsidRPr="001935D0" w:rsidRDefault="0089040E" w:rsidP="0089040E">
      <w:pPr>
        <w:pStyle w:val="NoSpacing"/>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 xml:space="preserve">В таблице </w:t>
      </w:r>
      <w:r w:rsidRPr="001935D0">
        <w:rPr>
          <w:rFonts w:ascii="Times New Roman" w:eastAsia="Times New Roman" w:hAnsi="Times New Roman" w:cs="Times New Roman"/>
          <w:bCs/>
          <w:sz w:val="28"/>
          <w:szCs w:val="28"/>
          <w:lang w:val="uk-UA" w:eastAsia="ru-RU"/>
        </w:rPr>
        <w:t>1.4</w:t>
      </w:r>
      <w:r w:rsidRPr="001935D0">
        <w:rPr>
          <w:rFonts w:ascii="Times New Roman" w:eastAsia="Times New Roman" w:hAnsi="Times New Roman" w:cs="Times New Roman"/>
          <w:bCs/>
          <w:sz w:val="28"/>
          <w:szCs w:val="28"/>
          <w:lang w:eastAsia="ru-RU"/>
        </w:rPr>
        <w:t xml:space="preserve"> представлена сравнительная характеристика ключевых моделей регулирования корпоративной ответственности в контексте due diligence-практик Европейского </w:t>
      </w:r>
      <w:r w:rsidRPr="001935D0">
        <w:rPr>
          <w:rFonts w:ascii="Times New Roman" w:eastAsia="Times New Roman" w:hAnsi="Times New Roman" w:cs="Times New Roman"/>
          <w:bCs/>
          <w:sz w:val="28"/>
          <w:szCs w:val="28"/>
          <w:lang w:val="kk-KZ" w:eastAsia="ru-RU"/>
        </w:rPr>
        <w:t>С</w:t>
      </w:r>
      <w:r w:rsidRPr="001935D0">
        <w:rPr>
          <w:rFonts w:ascii="Times New Roman" w:eastAsia="Times New Roman" w:hAnsi="Times New Roman" w:cs="Times New Roman"/>
          <w:bCs/>
          <w:sz w:val="28"/>
          <w:szCs w:val="28"/>
          <w:lang w:eastAsia="ru-RU"/>
        </w:rPr>
        <w:t>оюза и глобальных тенденций.</w:t>
      </w:r>
    </w:p>
    <w:p w14:paraId="490AE816" w14:textId="423F8676" w:rsidR="00503A43" w:rsidRPr="001935D0" w:rsidRDefault="00503A43" w:rsidP="0089040E">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Таким образом, институциональная трансформация механизма реализации прав человека в политике ЕС отражает движение к enforceable instruments, обеспечивающим юридическую обязательность для корпоративных акторов. </w:t>
      </w:r>
      <w:r w:rsidRPr="001935D0">
        <w:rPr>
          <w:rFonts w:ascii="Times New Roman" w:hAnsi="Times New Roman" w:cs="Times New Roman"/>
          <w:sz w:val="28"/>
          <w:szCs w:val="28"/>
          <w:lang w:eastAsia="ru-RU"/>
        </w:rPr>
        <w:lastRenderedPageBreak/>
        <w:t>Права человека в данном контексте больше не выступают в ка</w:t>
      </w:r>
      <w:r w:rsidR="00A41D15" w:rsidRPr="001935D0">
        <w:rPr>
          <w:rFonts w:ascii="Times New Roman" w:hAnsi="Times New Roman" w:cs="Times New Roman"/>
          <w:sz w:val="28"/>
          <w:szCs w:val="28"/>
          <w:lang w:eastAsia="ru-RU"/>
        </w:rPr>
        <w:t>честве политической декларации –</w:t>
      </w:r>
      <w:r w:rsidRPr="001935D0">
        <w:rPr>
          <w:rFonts w:ascii="Times New Roman" w:hAnsi="Times New Roman" w:cs="Times New Roman"/>
          <w:sz w:val="28"/>
          <w:szCs w:val="28"/>
          <w:lang w:eastAsia="ru-RU"/>
        </w:rPr>
        <w:t xml:space="preserve"> они становятся операционализированным нормативным стандартом, охватывающим как публичный, так и частный сектор.</w:t>
      </w:r>
    </w:p>
    <w:p w14:paraId="42767A45" w14:textId="2FAA8749" w:rsidR="00104ED2" w:rsidRPr="001935D0" w:rsidRDefault="00503A43" w:rsidP="0089040E">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Этот сдвиг требует не только гармонизации национального законодательства государств-членов, но и фундаментального пересмотра роли бизнеса как субъекта глобального правопорядка. Компании всё чаще рассматриваются не просто как экономические единицы, а как носители юридических и моральных обязанностей перед обществом, международным правом и нормативной системой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Новая архитектура ответственности ЕС постепенно охватывает весь простір трансграничной предпринимательской активности, превращая due diligence в обов’язковий компонент правового регулювання в рамках є</w:t>
      </w:r>
      <w:r w:rsidR="00104ED2" w:rsidRPr="001935D0">
        <w:rPr>
          <w:rFonts w:ascii="Times New Roman" w:hAnsi="Times New Roman" w:cs="Times New Roman"/>
          <w:sz w:val="28"/>
          <w:szCs w:val="28"/>
          <w:lang w:eastAsia="ru-RU"/>
        </w:rPr>
        <w:t>вропейської нормативної моделі.</w:t>
      </w:r>
    </w:p>
    <w:p w14:paraId="563D8095" w14:textId="1E4102FE" w:rsidR="00503A43" w:rsidRPr="001935D0" w:rsidRDefault="00503A43" w:rsidP="0089040E">
      <w:pPr>
        <w:pStyle w:val="NoSpacing"/>
        <w:ind w:firstLine="709"/>
        <w:jc w:val="both"/>
        <w:rPr>
          <w:rFonts w:ascii="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Продолжая рассмотрение институциональной эволюции политики Европейского Союза в области прав человека, целесообразно обобщить накопленные теоретические та емпирические положення в рамках целостной концепции. В диссертационном исследовании предложена авторская модель, раскрывающая многоуровневый характер легитимации прав человека в ЕС как элемента его политической и нормативной субъектности</w:t>
      </w:r>
      <w:r w:rsidR="00154464" w:rsidRPr="001935D0">
        <w:rPr>
          <w:rFonts w:ascii="Times New Roman" w:eastAsia="Times New Roman" w:hAnsi="Times New Roman" w:cs="Times New Roman"/>
          <w:sz w:val="28"/>
          <w:szCs w:val="28"/>
          <w:lang w:val="uk-UA" w:eastAsia="ru-RU"/>
        </w:rPr>
        <w:t xml:space="preserve"> (табл</w:t>
      </w:r>
      <w:r w:rsidR="0089040E">
        <w:rPr>
          <w:rFonts w:ascii="Times New Roman" w:eastAsia="Times New Roman" w:hAnsi="Times New Roman" w:cs="Times New Roman"/>
          <w:sz w:val="28"/>
          <w:szCs w:val="28"/>
          <w:lang w:val="uk-UA" w:eastAsia="ru-RU"/>
        </w:rPr>
        <w:t>ица</w:t>
      </w:r>
      <w:r w:rsidR="00154464" w:rsidRPr="001935D0">
        <w:rPr>
          <w:rFonts w:ascii="Times New Roman" w:eastAsia="Times New Roman" w:hAnsi="Times New Roman" w:cs="Times New Roman"/>
          <w:sz w:val="28"/>
          <w:szCs w:val="28"/>
          <w:lang w:val="uk-UA" w:eastAsia="ru-RU"/>
        </w:rPr>
        <w:t xml:space="preserve"> 1.5)</w:t>
      </w:r>
      <w:r w:rsidRPr="001935D0">
        <w:rPr>
          <w:rFonts w:ascii="Times New Roman" w:eastAsia="Times New Roman" w:hAnsi="Times New Roman" w:cs="Times New Roman"/>
          <w:sz w:val="28"/>
          <w:szCs w:val="28"/>
          <w:lang w:eastAsia="ru-RU"/>
        </w:rPr>
        <w:t>.</w:t>
      </w:r>
    </w:p>
    <w:p w14:paraId="107AB3F7" w14:textId="77777777" w:rsidR="00104ED2" w:rsidRPr="001935D0" w:rsidRDefault="00104ED2" w:rsidP="00593711">
      <w:pPr>
        <w:pStyle w:val="NoSpacing"/>
        <w:jc w:val="center"/>
        <w:rPr>
          <w:rFonts w:ascii="Times New Roman" w:hAnsi="Times New Roman" w:cs="Times New Roman"/>
          <w:sz w:val="28"/>
          <w:szCs w:val="28"/>
          <w:lang w:eastAsia="ru-RU"/>
        </w:rPr>
      </w:pPr>
    </w:p>
    <w:p w14:paraId="7DBE6BAF" w14:textId="33B3F4E2" w:rsidR="00503A43" w:rsidRDefault="00503A43" w:rsidP="0089040E">
      <w:pPr>
        <w:pStyle w:val="NoSpacing"/>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 xml:space="preserve">Таблица </w:t>
      </w:r>
      <w:r w:rsidR="00154464" w:rsidRPr="001935D0">
        <w:rPr>
          <w:rFonts w:ascii="Times New Roman" w:hAnsi="Times New Roman" w:cs="Times New Roman"/>
          <w:sz w:val="28"/>
          <w:szCs w:val="28"/>
          <w:lang w:val="uk-UA" w:eastAsia="ru-RU"/>
        </w:rPr>
        <w:t>1</w:t>
      </w:r>
      <w:r w:rsidRPr="001935D0">
        <w:rPr>
          <w:rFonts w:ascii="Times New Roman" w:hAnsi="Times New Roman" w:cs="Times New Roman"/>
          <w:sz w:val="28"/>
          <w:szCs w:val="28"/>
          <w:lang w:eastAsia="ru-RU"/>
        </w:rPr>
        <w:t>.</w:t>
      </w:r>
      <w:r w:rsidR="00154464" w:rsidRPr="001935D0">
        <w:rPr>
          <w:rFonts w:ascii="Times New Roman" w:hAnsi="Times New Roman" w:cs="Times New Roman"/>
          <w:sz w:val="28"/>
          <w:szCs w:val="28"/>
          <w:lang w:val="uk-UA" w:eastAsia="ru-RU"/>
        </w:rPr>
        <w:t>5</w:t>
      </w:r>
      <w:r w:rsidR="00154464" w:rsidRPr="001935D0">
        <w:rPr>
          <w:rFonts w:ascii="Times New Roman" w:hAnsi="Times New Roman" w:cs="Times New Roman"/>
          <w:sz w:val="28"/>
          <w:szCs w:val="28"/>
          <w:lang w:eastAsia="ru-RU"/>
        </w:rPr>
        <w:t xml:space="preserve"> </w:t>
      </w:r>
      <w:r w:rsidR="0089040E">
        <w:rPr>
          <w:rFonts w:ascii="Times New Roman" w:hAnsi="Times New Roman" w:cs="Times New Roman"/>
          <w:sz w:val="28"/>
          <w:szCs w:val="28"/>
          <w:lang w:eastAsia="ru-RU"/>
        </w:rPr>
        <w:t>‒</w:t>
      </w:r>
      <w:r w:rsidR="0089040E">
        <w:rPr>
          <w:rFonts w:ascii="Times New Roman" w:hAnsi="Times New Roman" w:cs="Times New Roman"/>
          <w:sz w:val="28"/>
          <w:szCs w:val="28"/>
          <w:lang w:val="kk-KZ" w:eastAsia="ru-RU"/>
        </w:rPr>
        <w:t xml:space="preserve"> </w:t>
      </w:r>
      <w:r w:rsidR="00154464" w:rsidRPr="001935D0">
        <w:rPr>
          <w:rFonts w:ascii="Times New Roman" w:hAnsi="Times New Roman" w:cs="Times New Roman"/>
          <w:sz w:val="28"/>
          <w:szCs w:val="28"/>
          <w:lang w:eastAsia="ru-RU"/>
        </w:rPr>
        <w:t xml:space="preserve">Авторская модель – </w:t>
      </w:r>
      <w:r w:rsidRPr="001935D0">
        <w:rPr>
          <w:rFonts w:ascii="Times New Roman" w:hAnsi="Times New Roman" w:cs="Times New Roman"/>
          <w:sz w:val="28"/>
          <w:szCs w:val="28"/>
          <w:lang w:eastAsia="ru-RU"/>
        </w:rPr>
        <w:t>система многоуровневой легитимации прав человека в Европейском Союзе</w:t>
      </w:r>
    </w:p>
    <w:p w14:paraId="3F1C9AAC" w14:textId="77777777" w:rsidR="0089040E" w:rsidRPr="0089040E" w:rsidRDefault="0089040E" w:rsidP="0089040E">
      <w:pPr>
        <w:pStyle w:val="NoSpacing"/>
        <w:jc w:val="both"/>
        <w:rPr>
          <w:rFonts w:ascii="Times New Roman" w:hAnsi="Times New Roman" w:cs="Times New Roman"/>
          <w:sz w:val="16"/>
          <w:szCs w:val="16"/>
          <w:lang w:val="kk-KZ" w:eastAsia="ru-RU"/>
        </w:rPr>
      </w:pPr>
    </w:p>
    <w:tbl>
      <w:tblPr>
        <w:tblStyle w:val="TableGrid"/>
        <w:tblW w:w="0" w:type="auto"/>
        <w:jc w:val="center"/>
        <w:tblLook w:val="04A0" w:firstRow="1" w:lastRow="0" w:firstColumn="1" w:lastColumn="0" w:noHBand="0" w:noVBand="1"/>
      </w:tblPr>
      <w:tblGrid>
        <w:gridCol w:w="2547"/>
        <w:gridCol w:w="3399"/>
        <w:gridCol w:w="3682"/>
      </w:tblGrid>
      <w:tr w:rsidR="00C11870" w:rsidRPr="0089040E" w14:paraId="4AC81126" w14:textId="77777777" w:rsidTr="0089040E">
        <w:trPr>
          <w:jc w:val="center"/>
        </w:trPr>
        <w:tc>
          <w:tcPr>
            <w:tcW w:w="2547" w:type="dxa"/>
            <w:vAlign w:val="center"/>
          </w:tcPr>
          <w:p w14:paraId="0D360C1E" w14:textId="77777777" w:rsidR="00154464" w:rsidRPr="0089040E" w:rsidRDefault="00154464" w:rsidP="00593711">
            <w:pPr>
              <w:pStyle w:val="NoSpacing"/>
              <w:jc w:val="center"/>
              <w:rPr>
                <w:rFonts w:ascii="Times New Roman" w:hAnsi="Times New Roman" w:cs="Times New Roman"/>
                <w:sz w:val="24"/>
                <w:szCs w:val="24"/>
                <w:lang w:eastAsia="ru-RU"/>
              </w:rPr>
            </w:pPr>
            <w:r w:rsidRPr="0089040E">
              <w:rPr>
                <w:rFonts w:ascii="Times New Roman" w:hAnsi="Times New Roman" w:cs="Times New Roman"/>
                <w:sz w:val="24"/>
                <w:szCs w:val="24"/>
                <w:lang w:eastAsia="ru-RU"/>
              </w:rPr>
              <w:t>Уровень</w:t>
            </w:r>
          </w:p>
        </w:tc>
        <w:tc>
          <w:tcPr>
            <w:tcW w:w="3402" w:type="dxa"/>
            <w:vAlign w:val="center"/>
          </w:tcPr>
          <w:p w14:paraId="6D7B91F8" w14:textId="77777777" w:rsidR="00154464" w:rsidRPr="0089040E" w:rsidRDefault="00154464" w:rsidP="00593711">
            <w:pPr>
              <w:pStyle w:val="NoSpacing"/>
              <w:jc w:val="center"/>
              <w:rPr>
                <w:rFonts w:ascii="Times New Roman" w:hAnsi="Times New Roman" w:cs="Times New Roman"/>
                <w:sz w:val="24"/>
                <w:szCs w:val="24"/>
                <w:lang w:eastAsia="ru-RU"/>
              </w:rPr>
            </w:pPr>
            <w:r w:rsidRPr="0089040E">
              <w:rPr>
                <w:rFonts w:ascii="Times New Roman" w:hAnsi="Times New Roman" w:cs="Times New Roman"/>
                <w:sz w:val="24"/>
                <w:szCs w:val="24"/>
                <w:lang w:eastAsia="ru-RU"/>
              </w:rPr>
              <w:t>Описание</w:t>
            </w:r>
          </w:p>
        </w:tc>
        <w:tc>
          <w:tcPr>
            <w:tcW w:w="3686" w:type="dxa"/>
            <w:vAlign w:val="center"/>
          </w:tcPr>
          <w:p w14:paraId="389BC457" w14:textId="77777777" w:rsidR="00154464" w:rsidRPr="0089040E" w:rsidRDefault="00154464" w:rsidP="00593711">
            <w:pPr>
              <w:pStyle w:val="NoSpacing"/>
              <w:jc w:val="center"/>
              <w:rPr>
                <w:rFonts w:ascii="Times New Roman" w:hAnsi="Times New Roman" w:cs="Times New Roman"/>
                <w:sz w:val="24"/>
                <w:szCs w:val="24"/>
                <w:lang w:eastAsia="ru-RU"/>
              </w:rPr>
            </w:pPr>
            <w:r w:rsidRPr="0089040E">
              <w:rPr>
                <w:rFonts w:ascii="Times New Roman" w:hAnsi="Times New Roman" w:cs="Times New Roman"/>
                <w:sz w:val="24"/>
                <w:szCs w:val="24"/>
                <w:lang w:eastAsia="ru-RU"/>
              </w:rPr>
              <w:t>Ключевые механизмы</w:t>
            </w:r>
          </w:p>
        </w:tc>
      </w:tr>
      <w:tr w:rsidR="00C11870" w:rsidRPr="001935D0" w14:paraId="599A85A4" w14:textId="77777777" w:rsidTr="0089040E">
        <w:trPr>
          <w:jc w:val="center"/>
        </w:trPr>
        <w:tc>
          <w:tcPr>
            <w:tcW w:w="2547" w:type="dxa"/>
            <w:vAlign w:val="center"/>
          </w:tcPr>
          <w:p w14:paraId="7846CCF2" w14:textId="77777777" w:rsidR="00154464" w:rsidRPr="001935D0" w:rsidRDefault="00154464" w:rsidP="00593711">
            <w:pPr>
              <w:pStyle w:val="NoSpacing"/>
              <w:rPr>
                <w:rFonts w:ascii="Times New Roman" w:hAnsi="Times New Roman" w:cs="Times New Roman"/>
                <w:i/>
                <w:sz w:val="24"/>
                <w:szCs w:val="24"/>
                <w:lang w:eastAsia="ru-RU"/>
              </w:rPr>
            </w:pPr>
            <w:r w:rsidRPr="001935D0">
              <w:rPr>
                <w:rFonts w:ascii="Times New Roman" w:hAnsi="Times New Roman" w:cs="Times New Roman"/>
                <w:i/>
                <w:sz w:val="24"/>
                <w:szCs w:val="24"/>
                <w:lang w:eastAsia="ru-RU"/>
              </w:rPr>
              <w:t>1. Символико-нормативный</w:t>
            </w:r>
          </w:p>
        </w:tc>
        <w:tc>
          <w:tcPr>
            <w:tcW w:w="3402" w:type="dxa"/>
            <w:vAlign w:val="center"/>
          </w:tcPr>
          <w:p w14:paraId="4F316091" w14:textId="77777777" w:rsidR="00154464" w:rsidRPr="001935D0" w:rsidRDefault="00154464" w:rsidP="00593711">
            <w:pPr>
              <w:pStyle w:val="NoSpacing"/>
              <w:jc w:val="both"/>
              <w:rPr>
                <w:rFonts w:ascii="Times New Roman" w:hAnsi="Times New Roman" w:cs="Times New Roman"/>
                <w:sz w:val="24"/>
                <w:szCs w:val="24"/>
                <w:lang w:eastAsia="ru-RU"/>
              </w:rPr>
            </w:pPr>
            <w:r w:rsidRPr="001935D0">
              <w:rPr>
                <w:rFonts w:ascii="Times New Roman" w:hAnsi="Times New Roman" w:cs="Times New Roman"/>
                <w:sz w:val="24"/>
                <w:szCs w:val="24"/>
                <w:lang w:eastAsia="ru-RU"/>
              </w:rPr>
              <w:t>Формирование политической идентичности ЕС через ценности и их закрепление в основополагающих актах.</w:t>
            </w:r>
          </w:p>
        </w:tc>
        <w:tc>
          <w:tcPr>
            <w:tcW w:w="3686" w:type="dxa"/>
            <w:vAlign w:val="center"/>
          </w:tcPr>
          <w:p w14:paraId="34526FDF" w14:textId="19C641B8" w:rsidR="00154464" w:rsidRPr="001935D0" w:rsidRDefault="00154464" w:rsidP="00593711">
            <w:pPr>
              <w:pStyle w:val="NoSpacing"/>
              <w:jc w:val="both"/>
              <w:rPr>
                <w:rFonts w:ascii="Times New Roman" w:hAnsi="Times New Roman" w:cs="Times New Roman"/>
                <w:sz w:val="24"/>
                <w:szCs w:val="24"/>
                <w:lang w:eastAsia="ru-RU"/>
              </w:rPr>
            </w:pPr>
            <w:r w:rsidRPr="001935D0">
              <w:rPr>
                <w:rFonts w:ascii="Times New Roman" w:hAnsi="Times New Roman" w:cs="Times New Roman"/>
                <w:sz w:val="24"/>
                <w:szCs w:val="24"/>
                <w:lang w:eastAsia="ru-RU"/>
              </w:rPr>
              <w:t>Хартия ЕС, Лиссабонский дого</w:t>
            </w:r>
            <w:r w:rsidR="0089040E">
              <w:rPr>
                <w:rFonts w:ascii="Times New Roman" w:hAnsi="Times New Roman" w:cs="Times New Roman"/>
                <w:sz w:val="24"/>
                <w:szCs w:val="24"/>
                <w:lang w:val="kk-KZ" w:eastAsia="ru-RU"/>
              </w:rPr>
              <w:t xml:space="preserve"> </w:t>
            </w:r>
            <w:r w:rsidRPr="001935D0">
              <w:rPr>
                <w:rFonts w:ascii="Times New Roman" w:hAnsi="Times New Roman" w:cs="Times New Roman"/>
                <w:sz w:val="24"/>
                <w:szCs w:val="24"/>
                <w:lang w:eastAsia="ru-RU"/>
              </w:rPr>
              <w:t>вор, политические декларации, FRA, Европарламент, омбудсмен.</w:t>
            </w:r>
          </w:p>
        </w:tc>
      </w:tr>
      <w:tr w:rsidR="00C11870" w:rsidRPr="001935D0" w14:paraId="08368F03" w14:textId="77777777" w:rsidTr="0089040E">
        <w:trPr>
          <w:jc w:val="center"/>
        </w:trPr>
        <w:tc>
          <w:tcPr>
            <w:tcW w:w="2547" w:type="dxa"/>
            <w:vAlign w:val="center"/>
          </w:tcPr>
          <w:p w14:paraId="1805D74C" w14:textId="77777777" w:rsidR="00154464" w:rsidRPr="001935D0" w:rsidRDefault="00154464" w:rsidP="00593711">
            <w:pPr>
              <w:pStyle w:val="NoSpacing"/>
              <w:rPr>
                <w:rFonts w:ascii="Times New Roman" w:hAnsi="Times New Roman" w:cs="Times New Roman"/>
                <w:i/>
                <w:sz w:val="24"/>
                <w:szCs w:val="24"/>
                <w:lang w:eastAsia="ru-RU"/>
              </w:rPr>
            </w:pPr>
            <w:r w:rsidRPr="001935D0">
              <w:rPr>
                <w:rFonts w:ascii="Times New Roman" w:hAnsi="Times New Roman" w:cs="Times New Roman"/>
                <w:i/>
                <w:sz w:val="24"/>
                <w:szCs w:val="24"/>
                <w:lang w:eastAsia="ru-RU"/>
              </w:rPr>
              <w:t>2. Институционально-регуляторный</w:t>
            </w:r>
          </w:p>
        </w:tc>
        <w:tc>
          <w:tcPr>
            <w:tcW w:w="3402" w:type="dxa"/>
            <w:vAlign w:val="center"/>
          </w:tcPr>
          <w:p w14:paraId="3321359C" w14:textId="77777777" w:rsidR="00154464" w:rsidRPr="001935D0" w:rsidRDefault="00154464" w:rsidP="00593711">
            <w:pPr>
              <w:pStyle w:val="NoSpacing"/>
              <w:jc w:val="both"/>
              <w:rPr>
                <w:rFonts w:ascii="Times New Roman" w:hAnsi="Times New Roman" w:cs="Times New Roman"/>
                <w:sz w:val="24"/>
                <w:szCs w:val="24"/>
                <w:lang w:eastAsia="ru-RU"/>
              </w:rPr>
            </w:pPr>
            <w:r w:rsidRPr="001935D0">
              <w:rPr>
                <w:rFonts w:ascii="Times New Roman" w:hAnsi="Times New Roman" w:cs="Times New Roman"/>
                <w:sz w:val="24"/>
                <w:szCs w:val="24"/>
                <w:lang w:eastAsia="ru-RU"/>
              </w:rPr>
              <w:t>Интеграция прав человека в политику ЕС, трансформация soft law в обязательства.</w:t>
            </w:r>
          </w:p>
        </w:tc>
        <w:tc>
          <w:tcPr>
            <w:tcW w:w="3686" w:type="dxa"/>
            <w:vAlign w:val="center"/>
          </w:tcPr>
          <w:p w14:paraId="1C126197" w14:textId="77777777" w:rsidR="00154464" w:rsidRPr="001935D0" w:rsidRDefault="00154464" w:rsidP="00593711">
            <w:pPr>
              <w:pStyle w:val="NoSpacing"/>
              <w:jc w:val="both"/>
              <w:rPr>
                <w:rFonts w:ascii="Times New Roman" w:hAnsi="Times New Roman" w:cs="Times New Roman"/>
                <w:sz w:val="24"/>
                <w:szCs w:val="24"/>
                <w:lang w:eastAsia="ru-RU"/>
              </w:rPr>
            </w:pPr>
            <w:r w:rsidRPr="001935D0">
              <w:rPr>
                <w:rFonts w:ascii="Times New Roman" w:hAnsi="Times New Roman" w:cs="Times New Roman"/>
                <w:sz w:val="24"/>
                <w:szCs w:val="24"/>
                <w:lang w:eastAsia="ru-RU"/>
              </w:rPr>
              <w:t>Санкции, CS3D, ENP conditionality, ESG-директивы, соглашения об ассоциации.</w:t>
            </w:r>
          </w:p>
        </w:tc>
      </w:tr>
      <w:tr w:rsidR="00C11870" w:rsidRPr="001935D0" w14:paraId="490013A7" w14:textId="77777777" w:rsidTr="0089040E">
        <w:trPr>
          <w:jc w:val="center"/>
        </w:trPr>
        <w:tc>
          <w:tcPr>
            <w:tcW w:w="2547" w:type="dxa"/>
            <w:vAlign w:val="center"/>
          </w:tcPr>
          <w:p w14:paraId="30191F90" w14:textId="77777777" w:rsidR="00154464" w:rsidRPr="001935D0" w:rsidRDefault="00154464" w:rsidP="00593711">
            <w:pPr>
              <w:pStyle w:val="NoSpacing"/>
              <w:rPr>
                <w:rFonts w:ascii="Times New Roman" w:hAnsi="Times New Roman" w:cs="Times New Roman"/>
                <w:i/>
                <w:sz w:val="24"/>
                <w:szCs w:val="24"/>
                <w:lang w:eastAsia="ru-RU"/>
              </w:rPr>
            </w:pPr>
            <w:r w:rsidRPr="001935D0">
              <w:rPr>
                <w:rFonts w:ascii="Times New Roman" w:hAnsi="Times New Roman" w:cs="Times New Roman"/>
                <w:i/>
                <w:sz w:val="24"/>
                <w:szCs w:val="24"/>
                <w:lang w:eastAsia="ru-RU"/>
              </w:rPr>
              <w:t>3. Геостратегический</w:t>
            </w:r>
          </w:p>
        </w:tc>
        <w:tc>
          <w:tcPr>
            <w:tcW w:w="3402" w:type="dxa"/>
            <w:vAlign w:val="center"/>
          </w:tcPr>
          <w:p w14:paraId="4EDC9700" w14:textId="77777777" w:rsidR="00154464" w:rsidRPr="001935D0" w:rsidRDefault="00154464" w:rsidP="00593711">
            <w:pPr>
              <w:pStyle w:val="NoSpacing"/>
              <w:jc w:val="both"/>
              <w:rPr>
                <w:rFonts w:ascii="Times New Roman" w:hAnsi="Times New Roman" w:cs="Times New Roman"/>
                <w:sz w:val="24"/>
                <w:szCs w:val="24"/>
                <w:lang w:eastAsia="ru-RU"/>
              </w:rPr>
            </w:pPr>
            <w:r w:rsidRPr="001935D0">
              <w:rPr>
                <w:rFonts w:ascii="Times New Roman" w:hAnsi="Times New Roman" w:cs="Times New Roman"/>
                <w:sz w:val="24"/>
                <w:szCs w:val="24"/>
                <w:lang w:eastAsia="ru-RU"/>
              </w:rPr>
              <w:t>Использование прав человека как инструмента внешней легитимации и стратегической автономии.</w:t>
            </w:r>
          </w:p>
        </w:tc>
        <w:tc>
          <w:tcPr>
            <w:tcW w:w="3686" w:type="dxa"/>
            <w:vAlign w:val="center"/>
          </w:tcPr>
          <w:p w14:paraId="7F99C3F9" w14:textId="77777777" w:rsidR="00154464" w:rsidRPr="001935D0" w:rsidRDefault="00154464" w:rsidP="00593711">
            <w:pPr>
              <w:pStyle w:val="NoSpacing"/>
              <w:jc w:val="both"/>
              <w:rPr>
                <w:rFonts w:ascii="Times New Roman" w:hAnsi="Times New Roman" w:cs="Times New Roman"/>
                <w:sz w:val="24"/>
                <w:szCs w:val="24"/>
                <w:lang w:eastAsia="ru-RU"/>
              </w:rPr>
            </w:pPr>
            <w:r w:rsidRPr="001935D0">
              <w:rPr>
                <w:rFonts w:ascii="Times New Roman" w:hAnsi="Times New Roman" w:cs="Times New Roman"/>
                <w:sz w:val="24"/>
                <w:szCs w:val="24"/>
                <w:lang w:eastAsia="ru-RU"/>
              </w:rPr>
              <w:t>EEAS, дипломатия прав человека, санкционные режимы, глобальное позиционирование ЕС.</w:t>
            </w:r>
          </w:p>
        </w:tc>
      </w:tr>
      <w:tr w:rsidR="00C11870" w:rsidRPr="001935D0" w14:paraId="01490F27" w14:textId="77777777" w:rsidTr="0089040E">
        <w:trPr>
          <w:jc w:val="center"/>
        </w:trPr>
        <w:tc>
          <w:tcPr>
            <w:tcW w:w="2547" w:type="dxa"/>
            <w:vAlign w:val="center"/>
          </w:tcPr>
          <w:p w14:paraId="22FED299" w14:textId="77777777" w:rsidR="00154464" w:rsidRPr="001935D0" w:rsidRDefault="00154464" w:rsidP="00593711">
            <w:pPr>
              <w:pStyle w:val="NoSpacing"/>
              <w:rPr>
                <w:rFonts w:ascii="Times New Roman" w:hAnsi="Times New Roman" w:cs="Times New Roman"/>
                <w:i/>
                <w:sz w:val="24"/>
                <w:szCs w:val="24"/>
                <w:lang w:eastAsia="ru-RU"/>
              </w:rPr>
            </w:pPr>
            <w:r w:rsidRPr="001935D0">
              <w:rPr>
                <w:rFonts w:ascii="Times New Roman" w:hAnsi="Times New Roman" w:cs="Times New Roman"/>
                <w:i/>
                <w:sz w:val="24"/>
                <w:szCs w:val="24"/>
                <w:lang w:eastAsia="ru-RU"/>
              </w:rPr>
              <w:t>4. Операционно-практический</w:t>
            </w:r>
          </w:p>
        </w:tc>
        <w:tc>
          <w:tcPr>
            <w:tcW w:w="3402" w:type="dxa"/>
            <w:vAlign w:val="center"/>
          </w:tcPr>
          <w:p w14:paraId="24E204C3" w14:textId="64BC1CB8" w:rsidR="00154464" w:rsidRPr="0089040E" w:rsidRDefault="00154464" w:rsidP="00593711">
            <w:pPr>
              <w:pStyle w:val="NoSpacing"/>
              <w:jc w:val="both"/>
              <w:rPr>
                <w:rFonts w:ascii="Times New Roman" w:hAnsi="Times New Roman" w:cs="Times New Roman"/>
                <w:sz w:val="24"/>
                <w:szCs w:val="24"/>
                <w:lang w:val="kk-KZ" w:eastAsia="ru-RU"/>
              </w:rPr>
            </w:pPr>
            <w:r w:rsidRPr="001935D0">
              <w:rPr>
                <w:rFonts w:ascii="Times New Roman" w:hAnsi="Times New Roman" w:cs="Times New Roman"/>
                <w:sz w:val="24"/>
                <w:szCs w:val="24"/>
                <w:lang w:eastAsia="ru-RU"/>
              </w:rPr>
              <w:t>Реализация норм через прик</w:t>
            </w:r>
            <w:r w:rsidR="0089040E">
              <w:rPr>
                <w:rFonts w:ascii="Times New Roman" w:hAnsi="Times New Roman" w:cs="Times New Roman"/>
                <w:sz w:val="24"/>
                <w:szCs w:val="24"/>
                <w:lang w:val="kk-KZ" w:eastAsia="ru-RU"/>
              </w:rPr>
              <w:t xml:space="preserve"> </w:t>
            </w:r>
            <w:r w:rsidRPr="001935D0">
              <w:rPr>
                <w:rFonts w:ascii="Times New Roman" w:hAnsi="Times New Roman" w:cs="Times New Roman"/>
                <w:sz w:val="24"/>
                <w:szCs w:val="24"/>
                <w:lang w:eastAsia="ru-RU"/>
              </w:rPr>
              <w:t>ладные секторальные полити</w:t>
            </w:r>
            <w:r w:rsidR="0089040E">
              <w:rPr>
                <w:rFonts w:ascii="Times New Roman" w:hAnsi="Times New Roman" w:cs="Times New Roman"/>
                <w:sz w:val="24"/>
                <w:szCs w:val="24"/>
                <w:lang w:val="kk-KZ" w:eastAsia="ru-RU"/>
              </w:rPr>
              <w:t xml:space="preserve"> </w:t>
            </w:r>
            <w:r w:rsidRPr="001935D0">
              <w:rPr>
                <w:rFonts w:ascii="Times New Roman" w:hAnsi="Times New Roman" w:cs="Times New Roman"/>
                <w:sz w:val="24"/>
                <w:szCs w:val="24"/>
                <w:lang w:eastAsia="ru-RU"/>
              </w:rPr>
              <w:t>к</w:t>
            </w:r>
            <w:r w:rsidR="0089040E">
              <w:rPr>
                <w:rFonts w:ascii="Times New Roman" w:hAnsi="Times New Roman" w:cs="Times New Roman"/>
                <w:sz w:val="24"/>
                <w:szCs w:val="24"/>
                <w:lang w:eastAsia="ru-RU"/>
              </w:rPr>
              <w:t>и и корпоративную подот</w:t>
            </w:r>
            <w:r w:rsidR="0089040E">
              <w:rPr>
                <w:rFonts w:ascii="Times New Roman" w:hAnsi="Times New Roman" w:cs="Times New Roman"/>
                <w:sz w:val="24"/>
                <w:szCs w:val="24"/>
                <w:lang w:val="kk-KZ" w:eastAsia="ru-RU"/>
              </w:rPr>
              <w:t xml:space="preserve"> </w:t>
            </w:r>
            <w:r w:rsidR="0089040E">
              <w:rPr>
                <w:rFonts w:ascii="Times New Roman" w:hAnsi="Times New Roman" w:cs="Times New Roman"/>
                <w:sz w:val="24"/>
                <w:szCs w:val="24"/>
                <w:lang w:eastAsia="ru-RU"/>
              </w:rPr>
              <w:t>чётность</w:t>
            </w:r>
          </w:p>
        </w:tc>
        <w:tc>
          <w:tcPr>
            <w:tcW w:w="3686" w:type="dxa"/>
            <w:vAlign w:val="center"/>
          </w:tcPr>
          <w:p w14:paraId="0DDD63C4" w14:textId="65D3EB7C" w:rsidR="00154464" w:rsidRPr="001935D0" w:rsidRDefault="00154464" w:rsidP="00593711">
            <w:pPr>
              <w:pStyle w:val="NoSpacing"/>
              <w:jc w:val="both"/>
              <w:rPr>
                <w:rFonts w:ascii="Times New Roman" w:hAnsi="Times New Roman" w:cs="Times New Roman"/>
                <w:sz w:val="24"/>
                <w:szCs w:val="24"/>
                <w:lang w:eastAsia="ru-RU"/>
              </w:rPr>
            </w:pPr>
            <w:r w:rsidRPr="001935D0">
              <w:rPr>
                <w:rFonts w:ascii="Times New Roman" w:hAnsi="Times New Roman" w:cs="Times New Roman"/>
                <w:sz w:val="24"/>
                <w:szCs w:val="24"/>
                <w:lang w:eastAsia="ru-RU"/>
              </w:rPr>
              <w:t>ESG-отчётность, due diligence, цифровые и климатические стан</w:t>
            </w:r>
            <w:r w:rsidR="0089040E">
              <w:rPr>
                <w:rFonts w:ascii="Times New Roman" w:hAnsi="Times New Roman" w:cs="Times New Roman"/>
                <w:sz w:val="24"/>
                <w:szCs w:val="24"/>
                <w:lang w:val="kk-KZ" w:eastAsia="ru-RU"/>
              </w:rPr>
              <w:t xml:space="preserve"> </w:t>
            </w:r>
            <w:r w:rsidRPr="001935D0">
              <w:rPr>
                <w:rFonts w:ascii="Times New Roman" w:hAnsi="Times New Roman" w:cs="Times New Roman"/>
                <w:sz w:val="24"/>
                <w:szCs w:val="24"/>
                <w:lang w:eastAsia="ru-RU"/>
              </w:rPr>
              <w:t>дарты, контроль за цепочками поставок.</w:t>
            </w:r>
          </w:p>
        </w:tc>
      </w:tr>
      <w:tr w:rsidR="0089040E" w:rsidRPr="001935D0" w14:paraId="6C0F8956" w14:textId="77777777" w:rsidTr="00634764">
        <w:trPr>
          <w:jc w:val="center"/>
        </w:trPr>
        <w:tc>
          <w:tcPr>
            <w:tcW w:w="9635" w:type="dxa"/>
            <w:gridSpan w:val="3"/>
            <w:vAlign w:val="center"/>
          </w:tcPr>
          <w:p w14:paraId="781F83C8" w14:textId="315A0919" w:rsidR="0089040E" w:rsidRPr="001935D0" w:rsidRDefault="0089040E" w:rsidP="0089040E">
            <w:pPr>
              <w:pStyle w:val="NoSpacing"/>
              <w:ind w:firstLine="458"/>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Примечание – </w:t>
            </w:r>
            <w:r w:rsidRPr="001935D0">
              <w:rPr>
                <w:rFonts w:ascii="Times New Roman" w:hAnsi="Times New Roman" w:cs="Times New Roman"/>
                <w:sz w:val="24"/>
                <w:szCs w:val="24"/>
              </w:rPr>
              <w:t>Составлено автором</w:t>
            </w:r>
          </w:p>
        </w:tc>
      </w:tr>
    </w:tbl>
    <w:p w14:paraId="5538CE82" w14:textId="77777777" w:rsidR="00154464" w:rsidRPr="001935D0" w:rsidRDefault="00154464" w:rsidP="00593711">
      <w:pPr>
        <w:pStyle w:val="NoSpacing"/>
        <w:ind w:firstLine="567"/>
        <w:jc w:val="both"/>
        <w:rPr>
          <w:rFonts w:ascii="Times New Roman" w:hAnsi="Times New Roman" w:cs="Times New Roman"/>
          <w:sz w:val="28"/>
          <w:szCs w:val="28"/>
          <w:lang w:eastAsia="ru-RU"/>
        </w:rPr>
      </w:pPr>
    </w:p>
    <w:p w14:paraId="69E4204A" w14:textId="77777777" w:rsidR="008A42E6" w:rsidRPr="001935D0" w:rsidRDefault="00154464" w:rsidP="0089040E">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Модель демонстрирует, что права человека в Европейском Союзе не ограничиваются рамками внешнеполитических деклараций, а постепенно институционализируются как вертикально интегрированная система – от символического уровня до конкретных обязательств публичных и частных акторов. Такой подход позволяет рассматривать ЕС не только как нормотворческую силу, но и как полноценного субъекта регуляторной </w:t>
      </w:r>
      <w:r w:rsidRPr="001935D0">
        <w:rPr>
          <w:rFonts w:ascii="Times New Roman" w:hAnsi="Times New Roman" w:cs="Times New Roman"/>
          <w:sz w:val="28"/>
          <w:szCs w:val="28"/>
          <w:lang w:eastAsia="ru-RU"/>
        </w:rPr>
        <w:lastRenderedPageBreak/>
        <w:t>архитектуры, формирующего глобальные стандарты ответственности в сфере прав человека.</w:t>
      </w:r>
    </w:p>
    <w:p w14:paraId="6497148A" w14:textId="6F3859B3" w:rsidR="008A42E6" w:rsidRPr="001935D0" w:rsidRDefault="006D7FD4" w:rsidP="0089040E">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Международные методики защиты прав человека предполагают наличие независимого мониторинга, активное участие гражданского общества и международных организаций, создание специализированных наблюдательных структур (например, комиссары по правам человека, комитеты ООН, Венецианская комиссия) и ориентированы на обеспечение недискриминации, равенства перед законом и доступа к правосудию.</w:t>
      </w:r>
    </w:p>
    <w:p w14:paraId="7181A442" w14:textId="77777777" w:rsidR="008A42E6" w:rsidRPr="001935D0" w:rsidRDefault="006D7FD4" w:rsidP="0089040E">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 то же время Казахстан, при формальной приверженности международным обязательствам, реализует политику защиты прав человека с учетом внутренних социально-економических, политических и правовых условий. Здесь наблюдается наличие ряда институциональных элементов (институт Омбудсмена, национальные планы действий в сфере прав человека, реформы судебной системы), однако в стадии активной адаптации остаются механизмы мониторинга, прозрачность отчетности и независимость правозащитных институтов.</w:t>
      </w:r>
    </w:p>
    <w:p w14:paraId="78682791" w14:textId="77777777" w:rsidR="008A42E6" w:rsidRPr="001935D0" w:rsidRDefault="008A42E6" w:rsidP="00593711">
      <w:pPr>
        <w:pStyle w:val="NoSpacing"/>
        <w:jc w:val="both"/>
        <w:rPr>
          <w:rFonts w:ascii="Times New Roman" w:hAnsi="Times New Roman" w:cs="Times New Roman"/>
          <w:sz w:val="28"/>
          <w:szCs w:val="28"/>
          <w:lang w:eastAsia="ru-RU"/>
        </w:rPr>
      </w:pPr>
    </w:p>
    <w:p w14:paraId="05A8AFE4" w14:textId="279F4BE2" w:rsidR="006D7FD4" w:rsidRDefault="008A42E6" w:rsidP="00634764">
      <w:pPr>
        <w:pStyle w:val="NoSpacing"/>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Таблица 1.6</w:t>
      </w:r>
      <w:r w:rsidR="006D7FD4" w:rsidRPr="001935D0">
        <w:rPr>
          <w:rFonts w:ascii="Times New Roman" w:hAnsi="Times New Roman" w:cs="Times New Roman"/>
          <w:sz w:val="28"/>
          <w:szCs w:val="28"/>
          <w:lang w:eastAsia="ru-RU"/>
        </w:rPr>
        <w:t xml:space="preserve"> </w:t>
      </w:r>
      <w:r w:rsidR="00634764">
        <w:rPr>
          <w:rFonts w:ascii="Times New Roman" w:hAnsi="Times New Roman" w:cs="Times New Roman"/>
          <w:sz w:val="28"/>
          <w:szCs w:val="28"/>
          <w:lang w:eastAsia="ru-RU"/>
        </w:rPr>
        <w:t>‒</w:t>
      </w:r>
      <w:r w:rsidR="00634764">
        <w:rPr>
          <w:rFonts w:ascii="Times New Roman" w:hAnsi="Times New Roman" w:cs="Times New Roman"/>
          <w:sz w:val="28"/>
          <w:szCs w:val="28"/>
          <w:lang w:val="kk-KZ" w:eastAsia="ru-RU"/>
        </w:rPr>
        <w:t xml:space="preserve"> </w:t>
      </w:r>
      <w:r w:rsidRPr="001935D0">
        <w:rPr>
          <w:rFonts w:ascii="Times New Roman" w:hAnsi="Times New Roman" w:cs="Times New Roman"/>
          <w:sz w:val="28"/>
          <w:szCs w:val="28"/>
          <w:lang w:eastAsia="ru-RU"/>
        </w:rPr>
        <w:t>Сопоставление международных и национальных механизмов обеспечения прав человека в Республике Казахстан</w:t>
      </w:r>
    </w:p>
    <w:p w14:paraId="252EE410" w14:textId="77777777" w:rsidR="00634764" w:rsidRPr="00634764" w:rsidRDefault="00634764" w:rsidP="00634764">
      <w:pPr>
        <w:pStyle w:val="NoSpacing"/>
        <w:jc w:val="both"/>
        <w:rPr>
          <w:rFonts w:ascii="Times New Roman" w:hAnsi="Times New Roman" w:cs="Times New Roman"/>
          <w:sz w:val="16"/>
          <w:szCs w:val="16"/>
          <w:lang w:val="kk-KZ" w:eastAsia="ru-RU"/>
        </w:rPr>
      </w:pPr>
    </w:p>
    <w:tbl>
      <w:tblPr>
        <w:tblStyle w:val="TableGrid"/>
        <w:tblW w:w="0" w:type="auto"/>
        <w:jc w:val="center"/>
        <w:tblLook w:val="04A0" w:firstRow="1" w:lastRow="0" w:firstColumn="1" w:lastColumn="0" w:noHBand="0" w:noVBand="1"/>
      </w:tblPr>
      <w:tblGrid>
        <w:gridCol w:w="2536"/>
        <w:gridCol w:w="3701"/>
        <w:gridCol w:w="3254"/>
      </w:tblGrid>
      <w:tr w:rsidR="008A42E6" w:rsidRPr="001935D0" w14:paraId="6059A914" w14:textId="77777777" w:rsidTr="005324D4">
        <w:trPr>
          <w:trHeight w:val="828"/>
          <w:jc w:val="center"/>
        </w:trPr>
        <w:tc>
          <w:tcPr>
            <w:tcW w:w="2536" w:type="dxa"/>
            <w:vAlign w:val="center"/>
          </w:tcPr>
          <w:p w14:paraId="7DA6AD86" w14:textId="0BEC5F43" w:rsidR="008A42E6" w:rsidRPr="001935D0" w:rsidRDefault="008A42E6"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Аспект</w:t>
            </w:r>
          </w:p>
        </w:tc>
        <w:tc>
          <w:tcPr>
            <w:tcW w:w="3701" w:type="dxa"/>
            <w:vAlign w:val="center"/>
          </w:tcPr>
          <w:p w14:paraId="7E5BE0C2" w14:textId="060F4E62" w:rsidR="008A42E6" w:rsidRPr="001935D0" w:rsidRDefault="008A42E6"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Международные методики</w:t>
            </w:r>
          </w:p>
        </w:tc>
        <w:tc>
          <w:tcPr>
            <w:tcW w:w="3254" w:type="dxa"/>
            <w:vAlign w:val="center"/>
          </w:tcPr>
          <w:p w14:paraId="25CA638C" w14:textId="73F35653" w:rsidR="008A42E6" w:rsidRPr="001935D0" w:rsidRDefault="00415EB5"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П</w:t>
            </w:r>
            <w:r w:rsidR="008A42E6" w:rsidRPr="001935D0">
              <w:rPr>
                <w:rFonts w:ascii="Times New Roman" w:hAnsi="Times New Roman" w:cs="Times New Roman"/>
                <w:sz w:val="24"/>
                <w:szCs w:val="24"/>
              </w:rPr>
              <w:t>рактики</w:t>
            </w:r>
            <w:r w:rsidRPr="001935D0">
              <w:rPr>
                <w:rFonts w:ascii="Times New Roman" w:hAnsi="Times New Roman" w:cs="Times New Roman"/>
                <w:sz w:val="24"/>
                <w:szCs w:val="24"/>
                <w:lang w:eastAsia="ru-RU"/>
              </w:rPr>
              <w:t xml:space="preserve"> в Республике Казахстан</w:t>
            </w:r>
          </w:p>
        </w:tc>
      </w:tr>
      <w:tr w:rsidR="008A42E6" w:rsidRPr="001935D0" w14:paraId="0C33F45D" w14:textId="77777777" w:rsidTr="00634764">
        <w:trPr>
          <w:jc w:val="center"/>
        </w:trPr>
        <w:tc>
          <w:tcPr>
            <w:tcW w:w="2536" w:type="dxa"/>
            <w:vAlign w:val="center"/>
          </w:tcPr>
          <w:p w14:paraId="6AB85F72" w14:textId="43609C2E" w:rsidR="008A42E6" w:rsidRPr="001935D0" w:rsidRDefault="008A42E6"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Правовая основа</w:t>
            </w:r>
          </w:p>
        </w:tc>
        <w:tc>
          <w:tcPr>
            <w:tcW w:w="3701" w:type="dxa"/>
            <w:vAlign w:val="center"/>
          </w:tcPr>
          <w:p w14:paraId="3E3289EE" w14:textId="0BD1A3EC" w:rsidR="008A42E6" w:rsidRPr="001935D0" w:rsidRDefault="008A42E6"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 xml:space="preserve">Международные пакты и конвенции ООН, </w:t>
            </w:r>
            <w:r w:rsidR="00415EB5" w:rsidRPr="001935D0">
              <w:rPr>
                <w:rFonts w:ascii="Times New Roman" w:hAnsi="Times New Roman" w:cs="Times New Roman"/>
                <w:sz w:val="24"/>
                <w:szCs w:val="24"/>
              </w:rPr>
              <w:t>Всеобщая декларация прав человека (</w:t>
            </w:r>
            <w:r w:rsidRPr="001935D0">
              <w:rPr>
                <w:rFonts w:ascii="Times New Roman" w:hAnsi="Times New Roman" w:cs="Times New Roman"/>
                <w:sz w:val="24"/>
                <w:szCs w:val="24"/>
              </w:rPr>
              <w:t>ЕСПЧ</w:t>
            </w:r>
            <w:r w:rsidR="00415EB5" w:rsidRPr="001935D0">
              <w:rPr>
                <w:rFonts w:ascii="Times New Roman" w:hAnsi="Times New Roman" w:cs="Times New Roman"/>
                <w:sz w:val="24"/>
                <w:szCs w:val="24"/>
              </w:rPr>
              <w:t>)</w:t>
            </w:r>
            <w:r w:rsidRPr="001935D0">
              <w:rPr>
                <w:rFonts w:ascii="Times New Roman" w:hAnsi="Times New Roman" w:cs="Times New Roman"/>
                <w:sz w:val="24"/>
                <w:szCs w:val="24"/>
              </w:rPr>
              <w:t xml:space="preserve">, </w:t>
            </w:r>
            <w:r w:rsidR="00415EB5" w:rsidRPr="001935D0">
              <w:rPr>
                <w:rFonts w:ascii="Times New Roman" w:hAnsi="Times New Roman" w:cs="Times New Roman"/>
                <w:sz w:val="24"/>
                <w:szCs w:val="24"/>
              </w:rPr>
              <w:t>Всеобщая декларация прав человека (</w:t>
            </w:r>
            <w:r w:rsidRPr="001935D0">
              <w:rPr>
                <w:rFonts w:ascii="Times New Roman" w:hAnsi="Times New Roman" w:cs="Times New Roman"/>
                <w:sz w:val="24"/>
                <w:szCs w:val="24"/>
              </w:rPr>
              <w:t>ВДПЧ</w:t>
            </w:r>
            <w:r w:rsidR="00415EB5" w:rsidRPr="001935D0">
              <w:rPr>
                <w:rFonts w:ascii="Times New Roman" w:hAnsi="Times New Roman" w:cs="Times New Roman"/>
                <w:sz w:val="24"/>
                <w:szCs w:val="24"/>
              </w:rPr>
              <w:t>)</w:t>
            </w:r>
          </w:p>
        </w:tc>
        <w:tc>
          <w:tcPr>
            <w:tcW w:w="3254" w:type="dxa"/>
            <w:vAlign w:val="center"/>
          </w:tcPr>
          <w:p w14:paraId="33E2506B" w14:textId="7F616E20" w:rsidR="008A42E6" w:rsidRPr="001935D0" w:rsidRDefault="008A42E6"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Конституция РК, нацио</w:t>
            </w:r>
            <w:r w:rsidR="005324D4">
              <w:rPr>
                <w:rFonts w:ascii="Times New Roman" w:hAnsi="Times New Roman" w:cs="Times New Roman"/>
                <w:sz w:val="24"/>
                <w:szCs w:val="24"/>
                <w:lang w:val="kk-KZ"/>
              </w:rPr>
              <w:t xml:space="preserve"> </w:t>
            </w:r>
            <w:r w:rsidRPr="001935D0">
              <w:rPr>
                <w:rFonts w:ascii="Times New Roman" w:hAnsi="Times New Roman" w:cs="Times New Roman"/>
                <w:sz w:val="24"/>
                <w:szCs w:val="24"/>
              </w:rPr>
              <w:t>нальные стратегии, EPCA (2015)</w:t>
            </w:r>
          </w:p>
        </w:tc>
      </w:tr>
      <w:tr w:rsidR="008A42E6" w:rsidRPr="001935D0" w14:paraId="50F73167" w14:textId="77777777" w:rsidTr="00634764">
        <w:trPr>
          <w:jc w:val="center"/>
        </w:trPr>
        <w:tc>
          <w:tcPr>
            <w:tcW w:w="2536" w:type="dxa"/>
            <w:vAlign w:val="center"/>
          </w:tcPr>
          <w:p w14:paraId="40323EF2" w14:textId="7C6FC08E" w:rsidR="008A42E6" w:rsidRPr="001935D0" w:rsidRDefault="008A42E6"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Институциональные механизмы</w:t>
            </w:r>
          </w:p>
        </w:tc>
        <w:tc>
          <w:tcPr>
            <w:tcW w:w="3701" w:type="dxa"/>
            <w:vAlign w:val="center"/>
          </w:tcPr>
          <w:p w14:paraId="62A5955D" w14:textId="1BEC3F1C" w:rsidR="008A42E6" w:rsidRPr="001935D0" w:rsidRDefault="008A42E6"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 xml:space="preserve">Комитеты ООН, ЕСПЧ, спецдокладчики, международные </w:t>
            </w:r>
            <w:r w:rsidR="00415EB5" w:rsidRPr="001935D0">
              <w:rPr>
                <w:rFonts w:ascii="Times New Roman" w:hAnsi="Times New Roman" w:cs="Times New Roman"/>
                <w:sz w:val="24"/>
                <w:szCs w:val="24"/>
              </w:rPr>
              <w:t>негосударственные организации</w:t>
            </w:r>
          </w:p>
        </w:tc>
        <w:tc>
          <w:tcPr>
            <w:tcW w:w="3254" w:type="dxa"/>
            <w:vAlign w:val="center"/>
          </w:tcPr>
          <w:p w14:paraId="05600D9F" w14:textId="01C64F06" w:rsidR="008A42E6" w:rsidRPr="001935D0" w:rsidRDefault="008A42E6"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Уполномоченный по правам человека, госорганы, общественные советы</w:t>
            </w:r>
          </w:p>
        </w:tc>
      </w:tr>
      <w:tr w:rsidR="008A42E6" w:rsidRPr="001935D0" w14:paraId="72C1B86F" w14:textId="77777777" w:rsidTr="00634764">
        <w:trPr>
          <w:jc w:val="center"/>
        </w:trPr>
        <w:tc>
          <w:tcPr>
            <w:tcW w:w="2536" w:type="dxa"/>
            <w:vAlign w:val="center"/>
          </w:tcPr>
          <w:p w14:paraId="362F0F70" w14:textId="2FD24072" w:rsidR="008A42E6" w:rsidRPr="001935D0" w:rsidRDefault="008A42E6"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Подход к мониторингу</w:t>
            </w:r>
          </w:p>
        </w:tc>
        <w:tc>
          <w:tcPr>
            <w:tcW w:w="3701" w:type="dxa"/>
            <w:vAlign w:val="center"/>
          </w:tcPr>
          <w:p w14:paraId="46701F6B" w14:textId="2FFF0FC9" w:rsidR="008A42E6" w:rsidRPr="001935D0" w:rsidRDefault="008A42E6"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Независимые международные и региональные механизмы, KPI, индикаторы OHCHR</w:t>
            </w:r>
          </w:p>
        </w:tc>
        <w:tc>
          <w:tcPr>
            <w:tcW w:w="3254" w:type="dxa"/>
            <w:vAlign w:val="center"/>
          </w:tcPr>
          <w:p w14:paraId="56721CA5" w14:textId="1310958E" w:rsidR="008A42E6" w:rsidRPr="001935D0" w:rsidRDefault="008A42E6"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В стадии адаптации: пилот</w:t>
            </w:r>
            <w:r w:rsidR="005324D4">
              <w:rPr>
                <w:rFonts w:ascii="Times New Roman" w:hAnsi="Times New Roman" w:cs="Times New Roman"/>
                <w:sz w:val="24"/>
                <w:szCs w:val="24"/>
                <w:lang w:val="kk-KZ"/>
              </w:rPr>
              <w:t xml:space="preserve"> </w:t>
            </w:r>
            <w:r w:rsidRPr="001935D0">
              <w:rPr>
                <w:rFonts w:ascii="Times New Roman" w:hAnsi="Times New Roman" w:cs="Times New Roman"/>
                <w:sz w:val="24"/>
                <w:szCs w:val="24"/>
              </w:rPr>
              <w:t>ные индикаторы, реформа официальной статистики</w:t>
            </w:r>
          </w:p>
        </w:tc>
      </w:tr>
      <w:tr w:rsidR="008A42E6" w:rsidRPr="001935D0" w14:paraId="5818E6D1" w14:textId="77777777" w:rsidTr="00634764">
        <w:trPr>
          <w:jc w:val="center"/>
        </w:trPr>
        <w:tc>
          <w:tcPr>
            <w:tcW w:w="2536" w:type="dxa"/>
            <w:vAlign w:val="center"/>
          </w:tcPr>
          <w:p w14:paraId="0CCD7A01" w14:textId="097F6222" w:rsidR="008A42E6" w:rsidRPr="001935D0" w:rsidRDefault="008A42E6"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Защита уязвимых групп</w:t>
            </w:r>
          </w:p>
        </w:tc>
        <w:tc>
          <w:tcPr>
            <w:tcW w:w="3701" w:type="dxa"/>
            <w:vAlign w:val="center"/>
          </w:tcPr>
          <w:p w14:paraId="41CE3F9F" w14:textId="76E45723" w:rsidR="008A42E6" w:rsidRPr="001935D0" w:rsidRDefault="008A42E6"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Стандартизированные подходы к защите женщин, детей, меньшинств, мигрантов</w:t>
            </w:r>
          </w:p>
        </w:tc>
        <w:tc>
          <w:tcPr>
            <w:tcW w:w="3254" w:type="dxa"/>
            <w:vAlign w:val="center"/>
          </w:tcPr>
          <w:p w14:paraId="206B86A3" w14:textId="4952DF77" w:rsidR="008A42E6" w:rsidRPr="001935D0" w:rsidRDefault="008A42E6"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Имеются программы под</w:t>
            </w:r>
            <w:r w:rsidR="00634764">
              <w:rPr>
                <w:rFonts w:ascii="Times New Roman" w:hAnsi="Times New Roman" w:cs="Times New Roman"/>
                <w:sz w:val="24"/>
                <w:szCs w:val="24"/>
                <w:lang w:val="kk-KZ"/>
              </w:rPr>
              <w:t xml:space="preserve"> </w:t>
            </w:r>
            <w:r w:rsidRPr="001935D0">
              <w:rPr>
                <w:rFonts w:ascii="Times New Roman" w:hAnsi="Times New Roman" w:cs="Times New Roman"/>
                <w:sz w:val="24"/>
                <w:szCs w:val="24"/>
              </w:rPr>
              <w:t>держки, но требуется усиле</w:t>
            </w:r>
            <w:r w:rsidR="00634764">
              <w:rPr>
                <w:rFonts w:ascii="Times New Roman" w:hAnsi="Times New Roman" w:cs="Times New Roman"/>
                <w:sz w:val="24"/>
                <w:szCs w:val="24"/>
                <w:lang w:val="kk-KZ"/>
              </w:rPr>
              <w:t xml:space="preserve"> </w:t>
            </w:r>
            <w:r w:rsidRPr="001935D0">
              <w:rPr>
                <w:rFonts w:ascii="Times New Roman" w:hAnsi="Times New Roman" w:cs="Times New Roman"/>
                <w:sz w:val="24"/>
                <w:szCs w:val="24"/>
              </w:rPr>
              <w:t>ние механизмов реализации</w:t>
            </w:r>
          </w:p>
        </w:tc>
      </w:tr>
      <w:tr w:rsidR="008A42E6" w:rsidRPr="001935D0" w14:paraId="24AD2905" w14:textId="77777777" w:rsidTr="00634764">
        <w:trPr>
          <w:jc w:val="center"/>
        </w:trPr>
        <w:tc>
          <w:tcPr>
            <w:tcW w:w="2536" w:type="dxa"/>
            <w:vAlign w:val="center"/>
          </w:tcPr>
          <w:p w14:paraId="4E5BC454" w14:textId="7D98F1E7" w:rsidR="008A42E6" w:rsidRPr="001935D0" w:rsidRDefault="008A42E6"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Гласность и доступ к информации</w:t>
            </w:r>
          </w:p>
        </w:tc>
        <w:tc>
          <w:tcPr>
            <w:tcW w:w="3701" w:type="dxa"/>
            <w:vAlign w:val="center"/>
          </w:tcPr>
          <w:p w14:paraId="3187B3A4" w14:textId="6F8530BD" w:rsidR="008A42E6" w:rsidRPr="001935D0" w:rsidRDefault="008A42E6"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Принцип прозрачности, доступ к данным, отчетность</w:t>
            </w:r>
          </w:p>
        </w:tc>
        <w:tc>
          <w:tcPr>
            <w:tcW w:w="3254" w:type="dxa"/>
            <w:vAlign w:val="center"/>
          </w:tcPr>
          <w:p w14:paraId="3E036E59" w14:textId="63ABAC62" w:rsidR="008A42E6" w:rsidRPr="001935D0" w:rsidRDefault="008A42E6"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Закон об информации (2015), однако требуется усиление институционального контроля</w:t>
            </w:r>
          </w:p>
        </w:tc>
      </w:tr>
      <w:tr w:rsidR="0089040E" w:rsidRPr="001935D0" w14:paraId="405910E3" w14:textId="77777777" w:rsidTr="00634764">
        <w:trPr>
          <w:jc w:val="center"/>
        </w:trPr>
        <w:tc>
          <w:tcPr>
            <w:tcW w:w="9491" w:type="dxa"/>
            <w:gridSpan w:val="3"/>
            <w:vAlign w:val="center"/>
          </w:tcPr>
          <w:p w14:paraId="4034B037" w14:textId="602826B2" w:rsidR="0089040E" w:rsidRPr="0089040E" w:rsidRDefault="005324D4" w:rsidP="005324D4">
            <w:pPr>
              <w:pStyle w:val="NoSpacing"/>
              <w:ind w:firstLine="528"/>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Примечание – </w:t>
            </w:r>
            <w:r w:rsidRPr="001935D0">
              <w:rPr>
                <w:rFonts w:ascii="Times New Roman" w:hAnsi="Times New Roman" w:cs="Times New Roman"/>
                <w:sz w:val="24"/>
                <w:szCs w:val="24"/>
              </w:rPr>
              <w:t xml:space="preserve">Составлено </w:t>
            </w:r>
            <w:r w:rsidR="0089040E" w:rsidRPr="001935D0">
              <w:rPr>
                <w:rFonts w:ascii="Times New Roman" w:hAnsi="Times New Roman" w:cs="Times New Roman"/>
                <w:sz w:val="24"/>
                <w:szCs w:val="24"/>
              </w:rPr>
              <w:t xml:space="preserve">автором </w:t>
            </w:r>
          </w:p>
        </w:tc>
      </w:tr>
    </w:tbl>
    <w:p w14:paraId="44253B47" w14:textId="77777777" w:rsidR="0089040E" w:rsidRPr="001935D0" w:rsidRDefault="0089040E"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Обобщенные результаты анализа представлены в таблице 1.6, которая отражает ключевые характеристики обеих моделей и акцентирует внимание на сферах, где Казахстан имеет предпосылки для сближения с международными стандартами.</w:t>
      </w:r>
    </w:p>
    <w:p w14:paraId="20907F71" w14:textId="06191E4C" w:rsidR="00AD7ADB" w:rsidRPr="001935D0" w:rsidRDefault="00AD7ADB"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Анализ, представленный в таблице 1.6, позволяет </w:t>
      </w:r>
      <w:r w:rsidR="00415EB5" w:rsidRPr="001935D0">
        <w:rPr>
          <w:rFonts w:ascii="Times New Roman" w:hAnsi="Times New Roman" w:cs="Times New Roman"/>
          <w:sz w:val="28"/>
          <w:szCs w:val="28"/>
          <w:lang w:eastAsia="ru-RU"/>
        </w:rPr>
        <w:t>отметить</w:t>
      </w:r>
      <w:r w:rsidRPr="001935D0">
        <w:rPr>
          <w:rFonts w:ascii="Times New Roman" w:hAnsi="Times New Roman" w:cs="Times New Roman"/>
          <w:sz w:val="28"/>
          <w:szCs w:val="28"/>
          <w:lang w:eastAsia="ru-RU"/>
        </w:rPr>
        <w:t xml:space="preserve">, что Республика Казахстан демонстрирует последовательное стремление к </w:t>
      </w:r>
      <w:r w:rsidRPr="001935D0">
        <w:rPr>
          <w:rFonts w:ascii="Times New Roman" w:hAnsi="Times New Roman" w:cs="Times New Roman"/>
          <w:sz w:val="28"/>
          <w:szCs w:val="28"/>
          <w:lang w:eastAsia="ru-RU"/>
        </w:rPr>
        <w:lastRenderedPageBreak/>
        <w:t xml:space="preserve">сближению с международными правозащитными стандартами, особенно в рамках институционального диалога с Европейским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 xml:space="preserve">оюзом. Однако в ряде ключевых направлений </w:t>
      </w:r>
      <w:r w:rsidRPr="001935D0">
        <w:rPr>
          <w:rFonts w:ascii="Times New Roman" w:hAnsi="Times New Roman" w:cs="Times New Roman"/>
          <w:sz w:val="28"/>
          <w:szCs w:val="28"/>
        </w:rPr>
        <w:t>–</w:t>
      </w:r>
      <w:r w:rsidRPr="001935D0">
        <w:rPr>
          <w:rFonts w:ascii="Times New Roman" w:hAnsi="Times New Roman" w:cs="Times New Roman"/>
          <w:sz w:val="28"/>
          <w:szCs w:val="28"/>
          <w:lang w:eastAsia="ru-RU"/>
        </w:rPr>
        <w:t xml:space="preserve"> таких как обеспечение независимого мониторинга, развитие системной правозащитной статистики и устойчивое включение гражданского общества в процессы контроля </w:t>
      </w:r>
      <w:r w:rsidRPr="001935D0">
        <w:rPr>
          <w:rFonts w:ascii="Times New Roman" w:hAnsi="Times New Roman" w:cs="Times New Roman"/>
          <w:sz w:val="28"/>
          <w:szCs w:val="28"/>
        </w:rPr>
        <w:t>–</w:t>
      </w:r>
      <w:r w:rsidRPr="001935D0">
        <w:rPr>
          <w:rFonts w:ascii="Times New Roman" w:hAnsi="Times New Roman" w:cs="Times New Roman"/>
          <w:sz w:val="28"/>
          <w:szCs w:val="28"/>
          <w:lang w:eastAsia="ru-RU"/>
        </w:rPr>
        <w:t xml:space="preserve"> данная модель пока ещё находится в стадии нормативно-процедурной адаптации.</w:t>
      </w:r>
    </w:p>
    <w:p w14:paraId="5EA5957E" w14:textId="77777777" w:rsidR="00AD7ADB" w:rsidRPr="001935D0" w:rsidRDefault="00AD7ADB"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Особую значимость в этом контексте приобретает стадия перехода от индикаторного внедрения к институциональному закреплению, поскольку именно на этом этапе формируется устойчивость правозащитных институтов, обеспечивается их функциональная независимость и закладываются механизмы парламентского и общественного контроля. Для Казахстана это означает необходимость комплексного усиления роли Омбудсмена, повышения прозрачности в работе правоохранительных органов, а также дальнейшего совершенствования судебной системы на основе принципов подотчётности и открытости.</w:t>
      </w:r>
    </w:p>
    <w:p w14:paraId="52324DC6" w14:textId="3C07F2F3" w:rsidR="00154464" w:rsidRPr="001935D0" w:rsidRDefault="00AD7ADB" w:rsidP="005324D4">
      <w:pPr>
        <w:pStyle w:val="NoSpacing"/>
        <w:ind w:firstLine="709"/>
        <w:jc w:val="both"/>
        <w:rPr>
          <w:rFonts w:ascii="Times New Roman" w:hAnsi="Times New Roman" w:cs="Times New Roman"/>
          <w:sz w:val="28"/>
          <w:szCs w:val="28"/>
          <w:lang w:val="uk-UA" w:eastAsia="ru-RU"/>
        </w:rPr>
      </w:pPr>
      <w:r w:rsidRPr="001935D0">
        <w:rPr>
          <w:rFonts w:ascii="Times New Roman" w:hAnsi="Times New Roman" w:cs="Times New Roman"/>
          <w:sz w:val="28"/>
          <w:szCs w:val="28"/>
          <w:lang w:eastAsia="ru-RU"/>
        </w:rPr>
        <w:t xml:space="preserve">В более широком методологическом измерении, анализ трансформации приоритетов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 xml:space="preserve">оюза в сфере прав человека в XXI веке создаёт ценный концептуальный ориентир для стран Центральной Азии. Модель институционального трансфера, предложенная в данном разделе, отражает не механическое копирование внешнего опыта, а поступательное и контекстно-чувствительное заимствование практик, способных повысить эффективность национальной системы защиты прав человека. Это формирует не только аналитическую рамку для дальнейшего исследования, но и основу для разработки прикладных рекомендаций </w:t>
      </w:r>
      <w:r w:rsidR="00415EB5" w:rsidRPr="001935D0">
        <w:rPr>
          <w:rFonts w:ascii="Times New Roman" w:hAnsi="Times New Roman" w:cs="Times New Roman"/>
          <w:sz w:val="28"/>
          <w:szCs w:val="28"/>
          <w:lang w:eastAsia="ru-RU"/>
        </w:rPr>
        <w:t>в следующих главах диссертации –</w:t>
      </w:r>
      <w:r w:rsidRPr="001935D0">
        <w:rPr>
          <w:rFonts w:ascii="Times New Roman" w:hAnsi="Times New Roman" w:cs="Times New Roman"/>
          <w:sz w:val="28"/>
          <w:szCs w:val="28"/>
          <w:lang w:eastAsia="ru-RU"/>
        </w:rPr>
        <w:t xml:space="preserve"> в частности, в части оценки правоприменения, мониторинга и расширения институционального взаимодействия Казахстана с международными организациями.</w:t>
      </w:r>
    </w:p>
    <w:p w14:paraId="7E703EE2" w14:textId="77777777" w:rsidR="00AD7ADB" w:rsidRPr="001935D0" w:rsidRDefault="00AD7ADB" w:rsidP="005324D4">
      <w:pPr>
        <w:pStyle w:val="NoSpacing"/>
        <w:ind w:firstLine="709"/>
        <w:jc w:val="both"/>
        <w:rPr>
          <w:rFonts w:ascii="Times New Roman" w:hAnsi="Times New Roman" w:cs="Times New Roman"/>
          <w:b/>
          <w:bCs/>
          <w:sz w:val="28"/>
          <w:szCs w:val="28"/>
          <w:lang w:eastAsia="ru-RU"/>
        </w:rPr>
      </w:pPr>
    </w:p>
    <w:p w14:paraId="6EDE7A92" w14:textId="0034F638" w:rsidR="00EB7B6A" w:rsidRPr="001935D0" w:rsidRDefault="00EB7B6A" w:rsidP="005324D4">
      <w:pPr>
        <w:pStyle w:val="NoSpacing"/>
        <w:ind w:firstLine="709"/>
        <w:jc w:val="both"/>
        <w:rPr>
          <w:rFonts w:ascii="Times New Roman" w:eastAsia="Times New Roman" w:hAnsi="Times New Roman" w:cs="Times New Roman"/>
          <w:b/>
          <w:bCs/>
          <w:sz w:val="28"/>
          <w:szCs w:val="28"/>
          <w:lang w:eastAsia="ru-RU"/>
        </w:rPr>
      </w:pPr>
      <w:r w:rsidRPr="001935D0">
        <w:rPr>
          <w:rFonts w:ascii="Times New Roman" w:hAnsi="Times New Roman" w:cs="Times New Roman"/>
          <w:b/>
          <w:sz w:val="28"/>
          <w:szCs w:val="28"/>
        </w:rPr>
        <w:t>1.2 Новый геополитический контекст и инструменты ЕС в сфере прав человека</w:t>
      </w:r>
    </w:p>
    <w:p w14:paraId="44FB7FC6" w14:textId="77777777" w:rsidR="00E655BC" w:rsidRPr="001935D0" w:rsidRDefault="00E655BC" w:rsidP="005324D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После 2020 года международная система столкнулась с комплексом взаимосвязанных кризисных явлений. Глобальная пандемия, углубление региональных конфликтов, а также усиление конкуренции между различными политико-экономическими моделями повысили нестабильность и усложнили архитектуру глобального управления. В этих условиях период относительного стратегического выжидания постепенно сменяется фазой возросшего геополитического давления, в которой механизмы дипломатического урегулирования сосуществуют с более жёсткими односторонними действиями и конфронтационной риторикой.</w:t>
      </w:r>
    </w:p>
    <w:p w14:paraId="74B15CD2" w14:textId="7F61B8A6" w:rsidR="00154464" w:rsidRPr="001935D0" w:rsidRDefault="00154464" w:rsidP="005324D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Одним из ключевых проявлений данной трансформации является нарастающая конкуренция между либеральной моделью международного порядка и авторитарным ревизионизмом. Противостояние между коллективным Западом, ориентированным на верховенство права, права человека и многостороннее сотрудничество, и блоком государств с централизованными режимами (в первую очередь, Китаем и Россией), усиливается не только на </w:t>
      </w:r>
      <w:r w:rsidRPr="001935D0">
        <w:rPr>
          <w:rFonts w:ascii="Times New Roman" w:hAnsi="Times New Roman" w:cs="Times New Roman"/>
          <w:sz w:val="28"/>
          <w:szCs w:val="28"/>
        </w:rPr>
        <w:lastRenderedPageBreak/>
        <w:t>уровне интересов, но и как столкновение идеологических и нормативных парадигм. В этом контексте правовая универсальность оспаривается якобы альтернативными моделями суверенного развития, в которых безопасность государства превалирует над индивидуальными правами.</w:t>
      </w:r>
    </w:p>
    <w:p w14:paraId="20E80A07" w14:textId="4DDADD2B" w:rsidR="008E1C22" w:rsidRPr="001935D0" w:rsidRDefault="008E1C22" w:rsidP="005324D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Международные организации</w:t>
      </w:r>
      <w:r w:rsidR="00415EB5" w:rsidRPr="001935D0">
        <w:rPr>
          <w:rFonts w:ascii="Times New Roman" w:hAnsi="Times New Roman" w:cs="Times New Roman"/>
          <w:sz w:val="28"/>
          <w:szCs w:val="28"/>
        </w:rPr>
        <w:t xml:space="preserve"> </w:t>
      </w:r>
      <w:r w:rsidR="00AD7ADB" w:rsidRPr="001935D0">
        <w:rPr>
          <w:rFonts w:ascii="Times New Roman" w:hAnsi="Times New Roman" w:cs="Times New Roman"/>
          <w:sz w:val="28"/>
          <w:szCs w:val="28"/>
        </w:rPr>
        <w:t>–</w:t>
      </w:r>
      <w:r w:rsidRPr="001935D0">
        <w:rPr>
          <w:rFonts w:ascii="Times New Roman" w:hAnsi="Times New Roman" w:cs="Times New Roman"/>
          <w:sz w:val="28"/>
          <w:szCs w:val="28"/>
        </w:rPr>
        <w:t xml:space="preserve"> такие как ООН, </w:t>
      </w:r>
      <w:r w:rsidR="00415EB5" w:rsidRPr="001935D0">
        <w:rPr>
          <w:rFonts w:ascii="Times New Roman" w:hAnsi="Times New Roman" w:cs="Times New Roman"/>
          <w:sz w:val="28"/>
          <w:szCs w:val="28"/>
        </w:rPr>
        <w:t>Всемирная торговая организация (</w:t>
      </w:r>
      <w:r w:rsidRPr="001935D0">
        <w:rPr>
          <w:rFonts w:ascii="Times New Roman" w:hAnsi="Times New Roman" w:cs="Times New Roman"/>
          <w:sz w:val="28"/>
          <w:szCs w:val="28"/>
        </w:rPr>
        <w:t>ВТО</w:t>
      </w:r>
      <w:r w:rsidR="00415EB5" w:rsidRPr="001935D0">
        <w:rPr>
          <w:rFonts w:ascii="Times New Roman" w:hAnsi="Times New Roman" w:cs="Times New Roman"/>
          <w:sz w:val="28"/>
          <w:szCs w:val="28"/>
        </w:rPr>
        <w:t>)</w:t>
      </w:r>
      <w:r w:rsidRPr="001935D0">
        <w:rPr>
          <w:rFonts w:ascii="Times New Roman" w:hAnsi="Times New Roman" w:cs="Times New Roman"/>
          <w:sz w:val="28"/>
          <w:szCs w:val="28"/>
        </w:rPr>
        <w:t xml:space="preserve"> и Совет Европы </w:t>
      </w:r>
      <w:r w:rsidR="00AD7ADB" w:rsidRPr="001935D0">
        <w:rPr>
          <w:rFonts w:ascii="Times New Roman" w:hAnsi="Times New Roman" w:cs="Times New Roman"/>
          <w:sz w:val="28"/>
          <w:szCs w:val="28"/>
        </w:rPr>
        <w:t>–</w:t>
      </w:r>
      <w:r w:rsidRPr="001935D0">
        <w:rPr>
          <w:rFonts w:ascii="Times New Roman" w:hAnsi="Times New Roman" w:cs="Times New Roman"/>
          <w:sz w:val="28"/>
          <w:szCs w:val="28"/>
        </w:rPr>
        <w:t xml:space="preserve"> сталкиваются с ограничениями оперативной эффективности, обусловленными необходимостью консенсуса, возможностью применения права вето и тенденцией к избирательному толкованию норм. Наиболее наглядно эта проблема проявляется в работе Совета Безопасности ООН: использование блокирующих механизмов постоянными членами периодически препятствует принятию резолюций по вопросам поддержания международного мира и безопасности [37].</w:t>
      </w:r>
    </w:p>
    <w:p w14:paraId="64EA6004" w14:textId="3C9C978C" w:rsidR="008E1C22" w:rsidRPr="001935D0" w:rsidRDefault="008E1C22" w:rsidP="005324D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Сложившийся кризис носит не только институциональный, но и ценностный характер. Международное право становится уязвимым как вследствие выборочного применения</w:t>
      </w:r>
      <w:r w:rsidR="00415EB5" w:rsidRPr="001935D0">
        <w:rPr>
          <w:rFonts w:ascii="Times New Roman" w:hAnsi="Times New Roman" w:cs="Times New Roman"/>
          <w:sz w:val="28"/>
          <w:szCs w:val="28"/>
        </w:rPr>
        <w:t xml:space="preserve">, </w:t>
      </w:r>
      <w:r w:rsidRPr="001935D0">
        <w:rPr>
          <w:rFonts w:ascii="Times New Roman" w:hAnsi="Times New Roman" w:cs="Times New Roman"/>
          <w:sz w:val="28"/>
          <w:szCs w:val="28"/>
        </w:rPr>
        <w:t>так и вследствие обстоятельств, когда отдельные государства интерпретируют нормы в соответствии с национальными приоритетами, апеллируя к защите суверенитета или к концепции альтернативных моделей правопорядка. В результате усиливаются дискуссии о необходимости реформирования существующих многосторонних механизмов, укрепления транспарентности процедур и выработки более инклюзивных форматов коллективной ответственности.</w:t>
      </w:r>
    </w:p>
    <w:p w14:paraId="4595BAC5" w14:textId="0E7278CC" w:rsidR="00154464" w:rsidRPr="001935D0" w:rsidRDefault="00154464" w:rsidP="005324D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Таким образом, современный этап глобального развития характеризуется не просто институциональной стагнацией, а фазовым кризисом международного порядка, в котором нарушен баланс между правами, обязанностями и эффективными механизмами коллективной ответственности. Реакцией на это становится активизация дискуссий о необходимости реформы Совета Безопасности ООН, расширения его состава за счёт стран Глобального Юга и формирования более инклюзивной модели принятия решений.</w:t>
      </w:r>
    </w:p>
    <w:p w14:paraId="1C2AF35B" w14:textId="77777777" w:rsidR="00154464" w:rsidRPr="001935D0" w:rsidRDefault="00154464" w:rsidP="005324D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Анализируя указанные тенденции, представляется необходимым пересмотреть саму парадигму многосторонности. Во-первых, она должна быть переформатирована как система равноправного участия, а не институционализированного неравенства. Дисбаланс в Совете Безопасности и игнорирование интересов стран Африки, Латинской Америки и Азии подрывают доверие к ООН как универсальному форуму</w:t>
      </w:r>
      <w:r w:rsidR="00104ED2" w:rsidRPr="001935D0">
        <w:rPr>
          <w:rFonts w:ascii="Times New Roman" w:hAnsi="Times New Roman" w:cs="Times New Roman"/>
          <w:sz w:val="28"/>
          <w:szCs w:val="28"/>
        </w:rPr>
        <w:t xml:space="preserve"> [38]</w:t>
      </w:r>
      <w:r w:rsidRPr="001935D0">
        <w:rPr>
          <w:rFonts w:ascii="Times New Roman" w:hAnsi="Times New Roman" w:cs="Times New Roman"/>
          <w:sz w:val="28"/>
          <w:szCs w:val="28"/>
        </w:rPr>
        <w:t>.</w:t>
      </w:r>
    </w:p>
    <w:p w14:paraId="36C6B117" w14:textId="5B1299C4" w:rsidR="00154464" w:rsidRPr="001935D0" w:rsidRDefault="00154464" w:rsidP="005324D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Во-вторых, перспективным направлением является регионализация глобального управления. Усиление роли ЕС, АСЕАН, Африканского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Лиги арабских государств и других региональных блоков может компенсировать паралич универсальных структур. Формирование гибких сетей координации и субглобальных механизмов ответственности позволит преодолеть блокирующие барьеры глобального масштаба.</w:t>
      </w:r>
    </w:p>
    <w:p w14:paraId="7F84A0AF" w14:textId="49F42E20" w:rsidR="00154464" w:rsidRPr="001935D0" w:rsidRDefault="00154464" w:rsidP="005324D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В-третьих, новая многосторонность должна быть ориентирована на защи</w:t>
      </w:r>
      <w:r w:rsidR="00971E2F" w:rsidRPr="001935D0">
        <w:rPr>
          <w:rFonts w:ascii="Times New Roman" w:hAnsi="Times New Roman" w:cs="Times New Roman"/>
          <w:sz w:val="28"/>
          <w:szCs w:val="28"/>
        </w:rPr>
        <w:t>ту глобальных общественных благ</w:t>
      </w:r>
      <w:r w:rsidRPr="001935D0">
        <w:rPr>
          <w:rFonts w:ascii="Times New Roman" w:hAnsi="Times New Roman" w:cs="Times New Roman"/>
          <w:sz w:val="28"/>
          <w:szCs w:val="28"/>
        </w:rPr>
        <w:t xml:space="preserve"> мира, устойчивого развития, климатической безопасности и цифровой этики. Эти сферы требуют коллективной ответственности, не допускающей ни эксклюзивного контроля, ни </w:t>
      </w:r>
      <w:r w:rsidRPr="001935D0">
        <w:rPr>
          <w:rFonts w:ascii="Times New Roman" w:hAnsi="Times New Roman" w:cs="Times New Roman"/>
          <w:sz w:val="28"/>
          <w:szCs w:val="28"/>
        </w:rPr>
        <w:lastRenderedPageBreak/>
        <w:t>релятивизации норм.</w:t>
      </w:r>
      <w:r w:rsidR="00D86AD0" w:rsidRPr="001935D0">
        <w:rPr>
          <w:rFonts w:ascii="Times New Roman" w:hAnsi="Times New Roman" w:cs="Times New Roman"/>
          <w:sz w:val="28"/>
          <w:szCs w:val="28"/>
          <w:lang w:val="uk-UA"/>
        </w:rPr>
        <w:t xml:space="preserve"> В таблице 1.</w:t>
      </w:r>
      <w:r w:rsidR="00AD7ADB" w:rsidRPr="001935D0">
        <w:rPr>
          <w:rFonts w:ascii="Times New Roman" w:hAnsi="Times New Roman" w:cs="Times New Roman"/>
          <w:sz w:val="28"/>
          <w:szCs w:val="28"/>
          <w:lang w:val="uk-UA"/>
        </w:rPr>
        <w:t>7</w:t>
      </w:r>
      <w:r w:rsidR="00D86AD0" w:rsidRPr="001935D0">
        <w:rPr>
          <w:rFonts w:ascii="Times New Roman" w:hAnsi="Times New Roman" w:cs="Times New Roman"/>
          <w:sz w:val="28"/>
          <w:szCs w:val="28"/>
          <w:lang w:val="uk-UA"/>
        </w:rPr>
        <w:t xml:space="preserve"> </w:t>
      </w:r>
      <w:r w:rsidRPr="001935D0">
        <w:rPr>
          <w:rFonts w:ascii="Times New Roman" w:hAnsi="Times New Roman" w:cs="Times New Roman"/>
          <w:sz w:val="28"/>
          <w:szCs w:val="28"/>
        </w:rPr>
        <w:t>обобщённо представлено сравнительное измерение ключевых параметров тр</w:t>
      </w:r>
      <w:r w:rsidR="00104ED2" w:rsidRPr="001935D0">
        <w:rPr>
          <w:rFonts w:ascii="Times New Roman" w:hAnsi="Times New Roman" w:cs="Times New Roman"/>
          <w:sz w:val="28"/>
          <w:szCs w:val="28"/>
        </w:rPr>
        <w:t>ансформации глобального порядка.</w:t>
      </w:r>
    </w:p>
    <w:p w14:paraId="1E1557E8" w14:textId="77777777" w:rsidR="00154464" w:rsidRPr="001935D0" w:rsidRDefault="00154464" w:rsidP="00593711">
      <w:pPr>
        <w:pStyle w:val="NoSpacing"/>
        <w:ind w:firstLine="567"/>
        <w:jc w:val="both"/>
        <w:rPr>
          <w:rFonts w:ascii="Times New Roman" w:hAnsi="Times New Roman" w:cs="Times New Roman"/>
          <w:sz w:val="28"/>
          <w:szCs w:val="28"/>
        </w:rPr>
      </w:pPr>
    </w:p>
    <w:p w14:paraId="33DA1C59" w14:textId="51BDAD8A" w:rsidR="00154464" w:rsidRDefault="00154464" w:rsidP="0089040E">
      <w:pPr>
        <w:pStyle w:val="NoSpacing"/>
        <w:jc w:val="both"/>
        <w:rPr>
          <w:rStyle w:val="Strong"/>
          <w:rFonts w:ascii="Times New Roman" w:hAnsi="Times New Roman" w:cs="Times New Roman"/>
          <w:b w:val="0"/>
          <w:bCs w:val="0"/>
          <w:sz w:val="28"/>
          <w:szCs w:val="28"/>
          <w:lang w:val="kk-KZ"/>
        </w:rPr>
      </w:pPr>
      <w:r w:rsidRPr="001935D0">
        <w:rPr>
          <w:rStyle w:val="Strong"/>
          <w:rFonts w:ascii="Times New Roman" w:hAnsi="Times New Roman" w:cs="Times New Roman"/>
          <w:b w:val="0"/>
          <w:bCs w:val="0"/>
          <w:sz w:val="28"/>
          <w:szCs w:val="28"/>
        </w:rPr>
        <w:t xml:space="preserve">Таблица </w:t>
      </w:r>
      <w:r w:rsidR="00D86AD0" w:rsidRPr="001935D0">
        <w:rPr>
          <w:rStyle w:val="Strong"/>
          <w:rFonts w:ascii="Times New Roman" w:hAnsi="Times New Roman" w:cs="Times New Roman"/>
          <w:b w:val="0"/>
          <w:bCs w:val="0"/>
          <w:sz w:val="28"/>
          <w:szCs w:val="28"/>
          <w:lang w:val="uk-UA"/>
        </w:rPr>
        <w:t>1</w:t>
      </w:r>
      <w:r w:rsidRPr="001935D0">
        <w:rPr>
          <w:rStyle w:val="Strong"/>
          <w:rFonts w:ascii="Times New Roman" w:hAnsi="Times New Roman" w:cs="Times New Roman"/>
          <w:b w:val="0"/>
          <w:bCs w:val="0"/>
          <w:sz w:val="28"/>
          <w:szCs w:val="28"/>
        </w:rPr>
        <w:t>.</w:t>
      </w:r>
      <w:r w:rsidR="00AD7ADB" w:rsidRPr="001935D0">
        <w:rPr>
          <w:rStyle w:val="Strong"/>
          <w:rFonts w:ascii="Times New Roman" w:hAnsi="Times New Roman" w:cs="Times New Roman"/>
          <w:b w:val="0"/>
          <w:bCs w:val="0"/>
          <w:sz w:val="28"/>
          <w:szCs w:val="28"/>
          <w:lang w:val="uk-UA"/>
        </w:rPr>
        <w:t>7</w:t>
      </w:r>
      <w:r w:rsidRPr="001935D0">
        <w:rPr>
          <w:rStyle w:val="Strong"/>
          <w:rFonts w:ascii="Times New Roman" w:hAnsi="Times New Roman" w:cs="Times New Roman"/>
          <w:b w:val="0"/>
          <w:bCs w:val="0"/>
          <w:sz w:val="28"/>
          <w:szCs w:val="28"/>
        </w:rPr>
        <w:t xml:space="preserve"> </w:t>
      </w:r>
      <w:r w:rsidR="005324D4">
        <w:rPr>
          <w:rStyle w:val="Strong"/>
          <w:rFonts w:ascii="Times New Roman" w:hAnsi="Times New Roman" w:cs="Times New Roman"/>
          <w:b w:val="0"/>
          <w:bCs w:val="0"/>
          <w:sz w:val="28"/>
          <w:szCs w:val="28"/>
          <w:lang w:val="kk-KZ"/>
        </w:rPr>
        <w:t xml:space="preserve">– </w:t>
      </w:r>
      <w:r w:rsidR="00D86AD0" w:rsidRPr="001935D0">
        <w:rPr>
          <w:rStyle w:val="Strong"/>
          <w:rFonts w:ascii="Times New Roman" w:hAnsi="Times New Roman" w:cs="Times New Roman"/>
          <w:b w:val="0"/>
          <w:bCs w:val="0"/>
          <w:sz w:val="28"/>
          <w:szCs w:val="28"/>
        </w:rPr>
        <w:t>Эволюция международного порядка</w:t>
      </w:r>
      <w:r w:rsidRPr="001935D0">
        <w:rPr>
          <w:rStyle w:val="Strong"/>
          <w:rFonts w:ascii="Times New Roman" w:hAnsi="Times New Roman" w:cs="Times New Roman"/>
          <w:b w:val="0"/>
          <w:bCs w:val="0"/>
          <w:sz w:val="28"/>
          <w:szCs w:val="28"/>
        </w:rPr>
        <w:t xml:space="preserve"> до и после 2020 года</w:t>
      </w:r>
    </w:p>
    <w:p w14:paraId="57CABE4E" w14:textId="77777777" w:rsidR="005324D4" w:rsidRPr="005324D4" w:rsidRDefault="005324D4" w:rsidP="0089040E">
      <w:pPr>
        <w:pStyle w:val="NoSpacing"/>
        <w:jc w:val="both"/>
        <w:rPr>
          <w:rStyle w:val="Strong"/>
          <w:rFonts w:ascii="Times New Roman" w:hAnsi="Times New Roman" w:cs="Times New Roman"/>
          <w:b w:val="0"/>
          <w:bCs w:val="0"/>
          <w:sz w:val="16"/>
          <w:szCs w:val="16"/>
          <w:lang w:val="kk-KZ"/>
        </w:rPr>
      </w:pPr>
    </w:p>
    <w:tbl>
      <w:tblPr>
        <w:tblStyle w:val="TableGrid"/>
        <w:tblW w:w="0" w:type="auto"/>
        <w:jc w:val="center"/>
        <w:tblLook w:val="04A0" w:firstRow="1" w:lastRow="0" w:firstColumn="1" w:lastColumn="0" w:noHBand="0" w:noVBand="1"/>
      </w:tblPr>
      <w:tblGrid>
        <w:gridCol w:w="2263"/>
        <w:gridCol w:w="3261"/>
        <w:gridCol w:w="4003"/>
      </w:tblGrid>
      <w:tr w:rsidR="00C11870" w:rsidRPr="005324D4" w14:paraId="6C955C4F" w14:textId="77777777" w:rsidTr="005324D4">
        <w:trPr>
          <w:jc w:val="center"/>
        </w:trPr>
        <w:tc>
          <w:tcPr>
            <w:tcW w:w="2263" w:type="dxa"/>
            <w:vAlign w:val="center"/>
          </w:tcPr>
          <w:p w14:paraId="517E5D98" w14:textId="77777777" w:rsidR="00D86AD0" w:rsidRPr="005324D4" w:rsidRDefault="00D86AD0" w:rsidP="00593711">
            <w:pPr>
              <w:pStyle w:val="NoSpacing"/>
              <w:jc w:val="center"/>
              <w:rPr>
                <w:rFonts w:ascii="Times New Roman" w:hAnsi="Times New Roman" w:cs="Times New Roman"/>
                <w:sz w:val="24"/>
                <w:szCs w:val="24"/>
              </w:rPr>
            </w:pPr>
            <w:r w:rsidRPr="005324D4">
              <w:rPr>
                <w:rFonts w:ascii="Times New Roman" w:hAnsi="Times New Roman" w:cs="Times New Roman"/>
                <w:sz w:val="24"/>
                <w:szCs w:val="24"/>
              </w:rPr>
              <w:t>Измерение</w:t>
            </w:r>
          </w:p>
        </w:tc>
        <w:tc>
          <w:tcPr>
            <w:tcW w:w="3261" w:type="dxa"/>
            <w:vAlign w:val="center"/>
          </w:tcPr>
          <w:p w14:paraId="77D97332" w14:textId="77777777" w:rsidR="00D86AD0" w:rsidRPr="005324D4" w:rsidRDefault="00D86AD0" w:rsidP="00593711">
            <w:pPr>
              <w:pStyle w:val="NoSpacing"/>
              <w:jc w:val="center"/>
              <w:rPr>
                <w:rFonts w:ascii="Times New Roman" w:hAnsi="Times New Roman" w:cs="Times New Roman"/>
                <w:sz w:val="24"/>
                <w:szCs w:val="24"/>
              </w:rPr>
            </w:pPr>
            <w:r w:rsidRPr="005324D4">
              <w:rPr>
                <w:rFonts w:ascii="Times New Roman" w:hAnsi="Times New Roman" w:cs="Times New Roman"/>
                <w:sz w:val="24"/>
                <w:szCs w:val="24"/>
              </w:rPr>
              <w:t>До 2020 года</w:t>
            </w:r>
          </w:p>
        </w:tc>
        <w:tc>
          <w:tcPr>
            <w:tcW w:w="4003" w:type="dxa"/>
            <w:vAlign w:val="center"/>
          </w:tcPr>
          <w:p w14:paraId="6C254357" w14:textId="77777777" w:rsidR="00D86AD0" w:rsidRPr="005324D4" w:rsidRDefault="00D86AD0" w:rsidP="00593711">
            <w:pPr>
              <w:pStyle w:val="NoSpacing"/>
              <w:jc w:val="center"/>
              <w:rPr>
                <w:rFonts w:ascii="Times New Roman" w:hAnsi="Times New Roman" w:cs="Times New Roman"/>
                <w:sz w:val="24"/>
                <w:szCs w:val="24"/>
              </w:rPr>
            </w:pPr>
            <w:r w:rsidRPr="005324D4">
              <w:rPr>
                <w:rFonts w:ascii="Times New Roman" w:hAnsi="Times New Roman" w:cs="Times New Roman"/>
                <w:sz w:val="24"/>
                <w:szCs w:val="24"/>
              </w:rPr>
              <w:t>После 2020 года</w:t>
            </w:r>
          </w:p>
        </w:tc>
      </w:tr>
      <w:tr w:rsidR="00C11870" w:rsidRPr="001935D0" w14:paraId="2D7BE0A6" w14:textId="77777777" w:rsidTr="005324D4">
        <w:trPr>
          <w:jc w:val="center"/>
        </w:trPr>
        <w:tc>
          <w:tcPr>
            <w:tcW w:w="2263" w:type="dxa"/>
            <w:vAlign w:val="center"/>
          </w:tcPr>
          <w:p w14:paraId="39033EB5" w14:textId="77777777" w:rsidR="00D86AD0" w:rsidRPr="001935D0" w:rsidRDefault="00D86AD0"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Геополитика</w:t>
            </w:r>
          </w:p>
        </w:tc>
        <w:tc>
          <w:tcPr>
            <w:tcW w:w="3261" w:type="dxa"/>
            <w:vAlign w:val="center"/>
          </w:tcPr>
          <w:p w14:paraId="4C8970E8" w14:textId="77777777" w:rsidR="00D86AD0" w:rsidRPr="001935D0" w:rsidRDefault="00D86AD0"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Относительная стабильность, баланс</w:t>
            </w:r>
          </w:p>
        </w:tc>
        <w:tc>
          <w:tcPr>
            <w:tcW w:w="4003" w:type="dxa"/>
            <w:vAlign w:val="center"/>
          </w:tcPr>
          <w:p w14:paraId="4FBD553D" w14:textId="77777777" w:rsidR="00D86AD0" w:rsidRPr="001935D0" w:rsidRDefault="00D86AD0"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Поляризация, военные конфликты</w:t>
            </w:r>
          </w:p>
        </w:tc>
      </w:tr>
      <w:tr w:rsidR="00C11870" w:rsidRPr="001935D0" w14:paraId="0B00DFD2" w14:textId="77777777" w:rsidTr="005324D4">
        <w:trPr>
          <w:jc w:val="center"/>
        </w:trPr>
        <w:tc>
          <w:tcPr>
            <w:tcW w:w="2263" w:type="dxa"/>
            <w:vAlign w:val="center"/>
          </w:tcPr>
          <w:p w14:paraId="046611D5" w14:textId="77777777" w:rsidR="00D86AD0" w:rsidRPr="001935D0" w:rsidRDefault="00D86AD0"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Институты</w:t>
            </w:r>
          </w:p>
        </w:tc>
        <w:tc>
          <w:tcPr>
            <w:tcW w:w="3261" w:type="dxa"/>
            <w:vAlign w:val="center"/>
          </w:tcPr>
          <w:p w14:paraId="5AC6BD78" w14:textId="77777777" w:rsidR="00D86AD0" w:rsidRPr="001935D0" w:rsidRDefault="00D86AD0"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Условно эффективная многосторонность</w:t>
            </w:r>
          </w:p>
        </w:tc>
        <w:tc>
          <w:tcPr>
            <w:tcW w:w="4003" w:type="dxa"/>
            <w:vAlign w:val="center"/>
          </w:tcPr>
          <w:p w14:paraId="155F7B10" w14:textId="77777777" w:rsidR="00D86AD0" w:rsidRPr="001935D0" w:rsidRDefault="00D86AD0"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Кризис легитимности, блокировка решений</w:t>
            </w:r>
          </w:p>
        </w:tc>
      </w:tr>
      <w:tr w:rsidR="00C11870" w:rsidRPr="001935D0" w14:paraId="2C15C2FA" w14:textId="77777777" w:rsidTr="005324D4">
        <w:trPr>
          <w:jc w:val="center"/>
        </w:trPr>
        <w:tc>
          <w:tcPr>
            <w:tcW w:w="2263" w:type="dxa"/>
            <w:vAlign w:val="center"/>
          </w:tcPr>
          <w:p w14:paraId="3B9727F2" w14:textId="77777777" w:rsidR="00D86AD0" w:rsidRPr="001935D0" w:rsidRDefault="00D86AD0"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Идеологии</w:t>
            </w:r>
          </w:p>
        </w:tc>
        <w:tc>
          <w:tcPr>
            <w:tcW w:w="3261" w:type="dxa"/>
            <w:vAlign w:val="center"/>
          </w:tcPr>
          <w:p w14:paraId="30E452A5" w14:textId="77777777" w:rsidR="00D86AD0" w:rsidRPr="001935D0" w:rsidRDefault="00D86AD0"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Либеральный международный порядок</w:t>
            </w:r>
          </w:p>
        </w:tc>
        <w:tc>
          <w:tcPr>
            <w:tcW w:w="4003" w:type="dxa"/>
            <w:vAlign w:val="center"/>
          </w:tcPr>
          <w:p w14:paraId="424354B7" w14:textId="77777777" w:rsidR="00D86AD0" w:rsidRPr="001935D0" w:rsidRDefault="00D86AD0"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Конкуренция с авторитарными моделями</w:t>
            </w:r>
          </w:p>
        </w:tc>
      </w:tr>
      <w:tr w:rsidR="00C11870" w:rsidRPr="001935D0" w14:paraId="7C33077A" w14:textId="77777777" w:rsidTr="005324D4">
        <w:trPr>
          <w:jc w:val="center"/>
        </w:trPr>
        <w:tc>
          <w:tcPr>
            <w:tcW w:w="2263" w:type="dxa"/>
            <w:vAlign w:val="center"/>
          </w:tcPr>
          <w:p w14:paraId="59E5CA22" w14:textId="77777777" w:rsidR="00D86AD0" w:rsidRPr="001935D0" w:rsidRDefault="00D86AD0"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Безопасность</w:t>
            </w:r>
          </w:p>
        </w:tc>
        <w:tc>
          <w:tcPr>
            <w:tcW w:w="3261" w:type="dxa"/>
            <w:vAlign w:val="center"/>
          </w:tcPr>
          <w:p w14:paraId="5F8867F8" w14:textId="77777777" w:rsidR="00D86AD0" w:rsidRPr="001935D0" w:rsidRDefault="00D86AD0"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Коллективная (ООН, НАТО)</w:t>
            </w:r>
          </w:p>
        </w:tc>
        <w:tc>
          <w:tcPr>
            <w:tcW w:w="4003" w:type="dxa"/>
            <w:vAlign w:val="center"/>
          </w:tcPr>
          <w:p w14:paraId="0F098B55" w14:textId="5460319F" w:rsidR="00D86AD0" w:rsidRPr="001935D0" w:rsidRDefault="00D86AD0"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Регионализированная, национа</w:t>
            </w:r>
            <w:r w:rsidR="005324D4">
              <w:rPr>
                <w:rFonts w:ascii="Times New Roman" w:hAnsi="Times New Roman" w:cs="Times New Roman"/>
                <w:sz w:val="24"/>
                <w:szCs w:val="24"/>
                <w:lang w:val="kk-KZ"/>
              </w:rPr>
              <w:t xml:space="preserve"> </w:t>
            </w:r>
            <w:r w:rsidRPr="001935D0">
              <w:rPr>
                <w:rFonts w:ascii="Times New Roman" w:hAnsi="Times New Roman" w:cs="Times New Roman"/>
                <w:sz w:val="24"/>
                <w:szCs w:val="24"/>
              </w:rPr>
              <w:t>лизированная, конфликтная</w:t>
            </w:r>
          </w:p>
        </w:tc>
      </w:tr>
      <w:tr w:rsidR="00C11870" w:rsidRPr="001935D0" w14:paraId="7B6639CE" w14:textId="77777777" w:rsidTr="005324D4">
        <w:trPr>
          <w:jc w:val="center"/>
        </w:trPr>
        <w:tc>
          <w:tcPr>
            <w:tcW w:w="2263" w:type="dxa"/>
            <w:vAlign w:val="center"/>
          </w:tcPr>
          <w:p w14:paraId="4CB2DE16" w14:textId="77777777" w:rsidR="00D86AD0" w:rsidRPr="001935D0" w:rsidRDefault="00D86AD0"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Роль ООН</w:t>
            </w:r>
          </w:p>
        </w:tc>
        <w:tc>
          <w:tcPr>
            <w:tcW w:w="3261" w:type="dxa"/>
            <w:vAlign w:val="center"/>
          </w:tcPr>
          <w:p w14:paraId="04FEDB1F" w14:textId="77777777" w:rsidR="00D86AD0" w:rsidRPr="001935D0" w:rsidRDefault="00D86AD0"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Центр глобального управления</w:t>
            </w:r>
          </w:p>
        </w:tc>
        <w:tc>
          <w:tcPr>
            <w:tcW w:w="4003" w:type="dxa"/>
            <w:vAlign w:val="center"/>
          </w:tcPr>
          <w:p w14:paraId="4028E1AB" w14:textId="77777777" w:rsidR="00D86AD0" w:rsidRPr="001935D0" w:rsidRDefault="00D86AD0"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Символическая, но не решающая</w:t>
            </w:r>
          </w:p>
        </w:tc>
      </w:tr>
      <w:tr w:rsidR="005324D4" w:rsidRPr="001935D0" w14:paraId="33861103" w14:textId="77777777" w:rsidTr="008F2BB1">
        <w:trPr>
          <w:jc w:val="center"/>
        </w:trPr>
        <w:tc>
          <w:tcPr>
            <w:tcW w:w="9527" w:type="dxa"/>
            <w:gridSpan w:val="3"/>
            <w:vAlign w:val="center"/>
          </w:tcPr>
          <w:p w14:paraId="441D4FAA" w14:textId="7FB0232F" w:rsidR="005324D4" w:rsidRPr="001935D0" w:rsidRDefault="00F03A16" w:rsidP="00EF6EE8">
            <w:pPr>
              <w:pStyle w:val="NoSpacing"/>
              <w:ind w:firstLine="546"/>
              <w:rPr>
                <w:rFonts w:ascii="Times New Roman" w:hAnsi="Times New Roman" w:cs="Times New Roman"/>
                <w:sz w:val="24"/>
                <w:szCs w:val="24"/>
              </w:rPr>
            </w:pPr>
            <w:r>
              <w:rPr>
                <w:rFonts w:ascii="Times New Roman" w:hAnsi="Times New Roman" w:cs="Times New Roman"/>
                <w:sz w:val="24"/>
                <w:szCs w:val="24"/>
                <w:lang w:val="uk-UA"/>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[37</w:t>
            </w:r>
            <w:r>
              <w:rPr>
                <w:rFonts w:ascii="Times New Roman" w:hAnsi="Times New Roman" w:cs="Times New Roman"/>
                <w:sz w:val="24"/>
                <w:szCs w:val="24"/>
                <w:lang w:val="uk-UA"/>
              </w:rPr>
              <w:t>;</w:t>
            </w:r>
            <w:r w:rsidRPr="001935D0">
              <w:rPr>
                <w:rFonts w:ascii="Times New Roman" w:hAnsi="Times New Roman" w:cs="Times New Roman"/>
                <w:sz w:val="24"/>
                <w:szCs w:val="24"/>
                <w:lang w:val="uk-UA"/>
              </w:rPr>
              <w:t xml:space="preserve"> </w:t>
            </w:r>
            <w:r w:rsidRPr="001935D0">
              <w:rPr>
                <w:rFonts w:ascii="Times New Roman" w:hAnsi="Times New Roman" w:cs="Times New Roman"/>
                <w:sz w:val="24"/>
                <w:szCs w:val="24"/>
              </w:rPr>
              <w:t>38]</w:t>
            </w:r>
          </w:p>
        </w:tc>
      </w:tr>
    </w:tbl>
    <w:p w14:paraId="5DA709DE" w14:textId="77777777" w:rsidR="000B0429" w:rsidRPr="001935D0" w:rsidRDefault="000B0429" w:rsidP="00593711">
      <w:pPr>
        <w:pStyle w:val="NoSpacing"/>
        <w:rPr>
          <w:rFonts w:ascii="Times New Roman" w:hAnsi="Times New Roman" w:cs="Times New Roman"/>
          <w:sz w:val="24"/>
          <w:szCs w:val="24"/>
        </w:rPr>
      </w:pPr>
    </w:p>
    <w:p w14:paraId="6C32661C" w14:textId="23729643" w:rsidR="00104ED2" w:rsidRPr="001935D0" w:rsidRDefault="00A85A43" w:rsidP="005324D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Таким образом, современные трансформации международного порядка указывают на наличие системного переломного момента, в рамках которого возможно формирование двух противоположных трае</w:t>
      </w:r>
      <w:r w:rsidR="00971E2F" w:rsidRPr="001935D0">
        <w:rPr>
          <w:rFonts w:ascii="Times New Roman" w:hAnsi="Times New Roman" w:cs="Times New Roman"/>
          <w:sz w:val="28"/>
          <w:szCs w:val="28"/>
        </w:rPr>
        <w:t>кторий дальнейшего развития:</w:t>
      </w:r>
      <w:r w:rsidRPr="001935D0">
        <w:rPr>
          <w:rFonts w:ascii="Times New Roman" w:hAnsi="Times New Roman" w:cs="Times New Roman"/>
          <w:sz w:val="28"/>
          <w:szCs w:val="28"/>
        </w:rPr>
        <w:t xml:space="preserve"> институциональное обновление принципов универсального регулирования на основе равно</w:t>
      </w:r>
      <w:r w:rsidR="00971E2F" w:rsidRPr="001935D0">
        <w:rPr>
          <w:rFonts w:ascii="Times New Roman" w:hAnsi="Times New Roman" w:cs="Times New Roman"/>
          <w:sz w:val="28"/>
          <w:szCs w:val="28"/>
        </w:rPr>
        <w:t xml:space="preserve">правия и подотчётности либо </w:t>
      </w:r>
      <w:r w:rsidRPr="001935D0">
        <w:rPr>
          <w:rFonts w:ascii="Times New Roman" w:hAnsi="Times New Roman" w:cs="Times New Roman"/>
          <w:sz w:val="28"/>
          <w:szCs w:val="28"/>
        </w:rPr>
        <w:t xml:space="preserve">закрепление фрагментированного мира, в котором международные нормы будут заменяться логикой баланса сил и прагматических альянсов. Будущее международной системы в значительной степени будет определяться способностью ключевых акторов </w:t>
      </w:r>
      <w:r w:rsidRPr="001935D0">
        <w:rPr>
          <w:rFonts w:ascii="Times New Roman" w:hAnsi="Times New Roman" w:cs="Times New Roman"/>
          <w:sz w:val="28"/>
          <w:szCs w:val="28"/>
          <w:lang w:val="uk-UA"/>
        </w:rPr>
        <w:t>–</w:t>
      </w:r>
      <w:r w:rsidRPr="001935D0">
        <w:rPr>
          <w:rFonts w:ascii="Times New Roman" w:hAnsi="Times New Roman" w:cs="Times New Roman"/>
          <w:sz w:val="28"/>
          <w:szCs w:val="28"/>
        </w:rPr>
        <w:t xml:space="preserve"> прежде всего Европейского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 сформулировать и реализовать устойчивую модель нормативного лидерства, сочетающую эффективность, инклюзивность и уважение к универсальным правам человека.</w:t>
      </w:r>
    </w:p>
    <w:p w14:paraId="64841F8E" w14:textId="77777777" w:rsidR="00A85A43" w:rsidRPr="001935D0" w:rsidRDefault="00A85A43" w:rsidP="005324D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lang w:eastAsia="ru-RU"/>
        </w:rPr>
        <w:t>На фоне углубляющейся фрагментации международного порядка после 2020 года особую значимость приобретает анализ способности международных организаций адаптироваться к изменяющимся геополитическим реалиям. Показательными в этом контексте являются случаи Организации по безопасности и сотрудничеству в Европе (ОБСЕ) и Совета Безопасности ООН, эффективность и авторитет которых оказались под серьёзным сомнением в условиях нарастающей поляризации.</w:t>
      </w:r>
    </w:p>
    <w:p w14:paraId="3BBB6D44" w14:textId="45608432" w:rsidR="00A85A43" w:rsidRPr="001935D0" w:rsidRDefault="00A85A43"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Как указывают Л. Шютте и Х. Дейкстра (2023), кризис ОБСЕ имеет системный характер и проявляется в неспособности организации реализовать стратегию (пере)легитимации на фоне международных кризисов. Закрытие Специальной мониторинговой миссии в Украине в 2022 году, в ответ на агрессию Российской Федерации, стало не просто институциональным поражением, а символом утраты способности ОБСЕ выступать нейтральным и авторитетным медиатором. Исследование подчёркивает, что совокупность институциональных ограничений, </w:t>
      </w:r>
      <w:r w:rsidR="00AD6D54">
        <w:rPr>
          <w:rFonts w:ascii="Times New Roman" w:hAnsi="Times New Roman" w:cs="Times New Roman"/>
          <w:sz w:val="28"/>
          <w:szCs w:val="28"/>
          <w:lang w:val="kk-KZ" w:eastAsia="ru-RU"/>
        </w:rPr>
        <w:t xml:space="preserve">пробел в </w:t>
      </w:r>
      <w:r w:rsidR="00AD6D54">
        <w:rPr>
          <w:rFonts w:ascii="Times New Roman" w:hAnsi="Times New Roman" w:cs="Times New Roman"/>
          <w:sz w:val="28"/>
          <w:szCs w:val="28"/>
          <w:lang w:eastAsia="ru-RU"/>
        </w:rPr>
        <w:t>лидерстве</w:t>
      </w:r>
      <w:r w:rsidRPr="001935D0">
        <w:rPr>
          <w:rFonts w:ascii="Times New Roman" w:hAnsi="Times New Roman" w:cs="Times New Roman"/>
          <w:sz w:val="28"/>
          <w:szCs w:val="28"/>
          <w:lang w:eastAsia="ru-RU"/>
        </w:rPr>
        <w:t xml:space="preserve"> и несовместимость внешнеполитических интересов государств-участников (ориентированных на конфронтацию с нулевой суммой) парализовали деятельность организации. ОБСЕ утратила доверие как на уровне политических элит, так и среди </w:t>
      </w:r>
      <w:r w:rsidRPr="001935D0">
        <w:rPr>
          <w:rFonts w:ascii="Times New Roman" w:hAnsi="Times New Roman" w:cs="Times New Roman"/>
          <w:sz w:val="28"/>
          <w:szCs w:val="28"/>
          <w:lang w:eastAsia="ru-RU"/>
        </w:rPr>
        <w:lastRenderedPageBreak/>
        <w:t>экспертного сообщества, что трансформировалось в функциональную стагнацию.</w:t>
      </w:r>
    </w:p>
    <w:p w14:paraId="0682F9AD" w14:textId="5ADE5515" w:rsidR="008E1C22" w:rsidRPr="001935D0" w:rsidRDefault="008E1C22"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По оценке О. Хэтуэй и С. Патрика, Совет Безопасности ООН переживает углублённый институциональный кризис, который затрудняет эффективное ис</w:t>
      </w:r>
      <w:r w:rsidR="00415EB5" w:rsidRPr="001935D0">
        <w:rPr>
          <w:rFonts w:ascii="Times New Roman" w:hAnsi="Times New Roman" w:cs="Times New Roman"/>
          <w:sz w:val="28"/>
          <w:szCs w:val="28"/>
          <w:lang w:eastAsia="ru-RU"/>
        </w:rPr>
        <w:t>полнение его основного мандата –</w:t>
      </w:r>
      <w:r w:rsidRPr="001935D0">
        <w:rPr>
          <w:rFonts w:ascii="Times New Roman" w:hAnsi="Times New Roman" w:cs="Times New Roman"/>
          <w:sz w:val="28"/>
          <w:szCs w:val="28"/>
          <w:lang w:eastAsia="ru-RU"/>
        </w:rPr>
        <w:t xml:space="preserve"> поддержание международного мира и безопасности [39]. Обсуждение таких острых тем, как вооружённые конфликты на Украине и на Ближнем Востоке, выявило уязвим</w:t>
      </w:r>
      <w:r w:rsidR="00415EB5" w:rsidRPr="001935D0">
        <w:rPr>
          <w:rFonts w:ascii="Times New Roman" w:hAnsi="Times New Roman" w:cs="Times New Roman"/>
          <w:sz w:val="28"/>
          <w:szCs w:val="28"/>
          <w:lang w:eastAsia="ru-RU"/>
        </w:rPr>
        <w:t>ость процедуры принятия решений.</w:t>
      </w:r>
      <w:r w:rsidRPr="001935D0">
        <w:rPr>
          <w:rFonts w:ascii="Times New Roman" w:hAnsi="Times New Roman" w:cs="Times New Roman"/>
          <w:sz w:val="28"/>
          <w:szCs w:val="28"/>
          <w:lang w:eastAsia="ru-RU"/>
        </w:rPr>
        <w:t xml:space="preserve"> </w:t>
      </w:r>
      <w:r w:rsidR="00415EB5" w:rsidRPr="001935D0">
        <w:rPr>
          <w:rFonts w:ascii="Times New Roman" w:hAnsi="Times New Roman" w:cs="Times New Roman"/>
          <w:sz w:val="28"/>
          <w:szCs w:val="28"/>
          <w:lang w:eastAsia="ru-RU"/>
        </w:rPr>
        <w:t xml:space="preserve">Так как </w:t>
      </w:r>
      <w:r w:rsidRPr="001935D0">
        <w:rPr>
          <w:rFonts w:ascii="Times New Roman" w:hAnsi="Times New Roman" w:cs="Times New Roman"/>
          <w:sz w:val="28"/>
          <w:szCs w:val="28"/>
          <w:lang w:eastAsia="ru-RU"/>
        </w:rPr>
        <w:t>использование права вето постоянными членами нередко приводит к откладыванию или блокированию резолюций, что ставит под вопрос оперативность механизмов коллективной безопасности. Авторы отмечают, что в отличие от периода «поздней холодной войны», когда чаще удавалось находить компромиссные формулы, современный Совет Безопасности сталкивается с ситуациями, в которых национальные приоритеты государств-членов зачастую превалируют над необходимостью единых ответов на глобальные вызовы. В результате формируется риск институциональной стагнации, требующий дальнейших дискуссий о совершенствовании процедур и повышении эффективности работы органа.</w:t>
      </w:r>
    </w:p>
    <w:p w14:paraId="77E2AE8D" w14:textId="69B10630" w:rsidR="00A85A43" w:rsidRPr="001935D0" w:rsidRDefault="00A85A43"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Особое внимание </w:t>
      </w:r>
      <w:r w:rsidR="00104ED2" w:rsidRPr="001935D0">
        <w:rPr>
          <w:rFonts w:ascii="Times New Roman" w:eastAsia="Times New Roman" w:hAnsi="Times New Roman" w:cs="Times New Roman"/>
          <w:sz w:val="28"/>
          <w:szCs w:val="28"/>
          <w:lang w:eastAsia="ru-RU"/>
        </w:rPr>
        <w:t xml:space="preserve">О. Хэтуэй и С. Патрика </w:t>
      </w:r>
      <w:r w:rsidRPr="001935D0">
        <w:rPr>
          <w:rFonts w:ascii="Times New Roman" w:hAnsi="Times New Roman" w:cs="Times New Roman"/>
          <w:sz w:val="28"/>
          <w:szCs w:val="28"/>
          <w:lang w:eastAsia="ru-RU"/>
        </w:rPr>
        <w:t xml:space="preserve">уделяют перспективам так называемых непоправочных реформ (non-amendment reforms), которые не требуют изменения Устава. Среди таких мер: «инициатива по вето» 2022 года, предусматривающая автоматический созыв Генеральной Ассамблеи в случае его применения; трактовка вето в случаях массовых нарушений как ultra vires; усиление роли Генассамблеи и региональных механизмов. Несмотря на эти инициативы, сохраняется опасность политической маргинализации Совета, особенно на фоне роста институциональной диверсификации </w:t>
      </w:r>
      <w:r w:rsidRPr="001935D0">
        <w:rPr>
          <w:rFonts w:ascii="Times New Roman" w:hAnsi="Times New Roman" w:cs="Times New Roman"/>
          <w:sz w:val="28"/>
          <w:szCs w:val="28"/>
          <w:lang w:val="uk-UA"/>
        </w:rPr>
        <w:t>–</w:t>
      </w:r>
      <w:r w:rsidRPr="001935D0">
        <w:rPr>
          <w:rFonts w:ascii="Times New Roman" w:hAnsi="Times New Roman" w:cs="Times New Roman"/>
          <w:sz w:val="28"/>
          <w:szCs w:val="28"/>
          <w:lang w:eastAsia="ru-RU"/>
        </w:rPr>
        <w:t xml:space="preserve"> форматов типа G20, BRICS+, AUKUS, которые рассматриваются государствами как более оперативные альтернативы.</w:t>
      </w:r>
    </w:p>
    <w:p w14:paraId="4E4F51A8" w14:textId="77777777" w:rsidR="00A85A43" w:rsidRPr="001935D0" w:rsidRDefault="00A85A43"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Представленные примеры подтверждают авторскую гипотезу о том, что эффективность международных организаций в XXI веке является производной от их способности институционально адаптироваться к вызовам многополярного мира. ООН и ОБСЕ, обладая значительным правовым потенциалом, демонстрируют утрату политической релевантности именно в силу неспособности к стратегическому обновлению. Следовательно, проблема не ограничивается необходимостью реформы процедур </w:t>
      </w:r>
      <w:r w:rsidRPr="001935D0">
        <w:rPr>
          <w:rFonts w:ascii="Times New Roman" w:hAnsi="Times New Roman" w:cs="Times New Roman"/>
          <w:sz w:val="28"/>
          <w:szCs w:val="28"/>
          <w:lang w:val="uk-UA"/>
        </w:rPr>
        <w:t>–</w:t>
      </w:r>
      <w:r w:rsidRPr="001935D0">
        <w:rPr>
          <w:rFonts w:ascii="Times New Roman" w:hAnsi="Times New Roman" w:cs="Times New Roman"/>
          <w:sz w:val="28"/>
          <w:szCs w:val="28"/>
          <w:lang w:eastAsia="ru-RU"/>
        </w:rPr>
        <w:t xml:space="preserve"> речь идёт о необходимости переосмысления миссии, методов и легитимации международных институтов в условиях системной конкуренции нормативных моделей.</w:t>
      </w:r>
    </w:p>
    <w:p w14:paraId="53FC6C60" w14:textId="55DF8467" w:rsidR="00A85A43" w:rsidRPr="001935D0" w:rsidRDefault="00A85A43" w:rsidP="005324D4">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Позиция О. Хэтуэй и С. Патрика органично дополняет более широкую концептуализацию кризиса легитимности международных организаций. Подобно анализу Л. Шютте и Х. Дейкстры в отношении ОБСЕ, где институциональная уязвимость и конфронтационные интересы государств-участников исключили возможность (ре)легитимации, в случае Совета Безопасности ООН наблюдается аналогичная неспособность адаптировать существующую архитектуру принятия решений </w:t>
      </w:r>
      <w:r w:rsidRPr="001935D0">
        <w:rPr>
          <w:rFonts w:ascii="Times New Roman" w:hAnsi="Times New Roman" w:cs="Times New Roman"/>
          <w:sz w:val="28"/>
          <w:szCs w:val="28"/>
          <w:lang w:val="uk-UA"/>
        </w:rPr>
        <w:t>–</w:t>
      </w:r>
      <w:r w:rsidRPr="001935D0">
        <w:rPr>
          <w:rFonts w:ascii="Times New Roman" w:eastAsia="Times New Roman" w:hAnsi="Times New Roman" w:cs="Times New Roman"/>
          <w:sz w:val="28"/>
          <w:szCs w:val="28"/>
          <w:lang w:eastAsia="ru-RU"/>
        </w:rPr>
        <w:t xml:space="preserve"> ориентированную на </w:t>
      </w:r>
      <w:r w:rsidRPr="001935D0">
        <w:rPr>
          <w:rFonts w:ascii="Times New Roman" w:eastAsia="Times New Roman" w:hAnsi="Times New Roman" w:cs="Times New Roman"/>
          <w:sz w:val="28"/>
          <w:szCs w:val="28"/>
          <w:lang w:eastAsia="ru-RU"/>
        </w:rPr>
        <w:lastRenderedPageBreak/>
        <w:t xml:space="preserve">консенсус постоянных членов </w:t>
      </w:r>
      <w:r w:rsidRPr="001935D0">
        <w:rPr>
          <w:rFonts w:ascii="Times New Roman" w:hAnsi="Times New Roman" w:cs="Times New Roman"/>
          <w:sz w:val="28"/>
          <w:szCs w:val="28"/>
          <w:lang w:val="uk-UA"/>
        </w:rPr>
        <w:t>–</w:t>
      </w:r>
      <w:r w:rsidRPr="001935D0">
        <w:rPr>
          <w:rFonts w:ascii="Times New Roman" w:eastAsia="Times New Roman" w:hAnsi="Times New Roman" w:cs="Times New Roman"/>
          <w:sz w:val="28"/>
          <w:szCs w:val="28"/>
          <w:lang w:eastAsia="ru-RU"/>
        </w:rPr>
        <w:t xml:space="preserve"> к реалиям гибридных угроз, асимметричных конфликтов и трансграничных вызовов</w:t>
      </w:r>
      <w:r w:rsidR="00104ED2" w:rsidRPr="001935D0">
        <w:rPr>
          <w:rFonts w:ascii="Times New Roman" w:eastAsia="Times New Roman" w:hAnsi="Times New Roman" w:cs="Times New Roman"/>
          <w:sz w:val="28"/>
          <w:szCs w:val="28"/>
          <w:lang w:eastAsia="ru-RU"/>
        </w:rPr>
        <w:t xml:space="preserve"> [40</w:t>
      </w:r>
      <w:r w:rsidR="00EF6EE8">
        <w:rPr>
          <w:rFonts w:ascii="Times New Roman" w:eastAsia="Times New Roman" w:hAnsi="Times New Roman" w:cs="Times New Roman"/>
          <w:sz w:val="28"/>
          <w:szCs w:val="28"/>
          <w:lang w:val="kk-KZ" w:eastAsia="ru-RU"/>
        </w:rPr>
        <w:t>, р. 1-16</w:t>
      </w:r>
      <w:r w:rsidR="00104ED2" w:rsidRPr="001935D0">
        <w:rPr>
          <w:rFonts w:ascii="Times New Roman" w:eastAsia="Times New Roman" w:hAnsi="Times New Roman" w:cs="Times New Roman"/>
          <w:sz w:val="28"/>
          <w:szCs w:val="28"/>
          <w:lang w:eastAsia="ru-RU"/>
        </w:rPr>
        <w:t>]</w:t>
      </w:r>
      <w:r w:rsidRPr="001935D0">
        <w:rPr>
          <w:rFonts w:ascii="Times New Roman" w:eastAsia="Times New Roman" w:hAnsi="Times New Roman" w:cs="Times New Roman"/>
          <w:sz w:val="28"/>
          <w:szCs w:val="28"/>
          <w:lang w:eastAsia="ru-RU"/>
        </w:rPr>
        <w:t>.</w:t>
      </w:r>
    </w:p>
    <w:p w14:paraId="15D6909E" w14:textId="77777777" w:rsidR="00A85A43" w:rsidRPr="001935D0" w:rsidRDefault="00A85A43" w:rsidP="005324D4">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Фактически речь идёт о завершении этапа, при котором ООН функционировала как универсальная площадка глобального консенсуса. На смену ей приходит фаза «многофокусной многосторонности», при которой Совет Безопасности, не пройдя институциональную трансформацию, рискует утратить не только оперативную дееспособность, но и символическое лидерство в системе глобального управления. Его будущая релевантность будет зависеть от способности реализовать хотя бы ограниченные (непоправочные) механизмы реформ </w:t>
      </w:r>
      <w:r w:rsidRPr="001935D0">
        <w:rPr>
          <w:rFonts w:ascii="Times New Roman" w:hAnsi="Times New Roman" w:cs="Times New Roman"/>
          <w:sz w:val="28"/>
          <w:szCs w:val="28"/>
          <w:lang w:val="uk-UA"/>
        </w:rPr>
        <w:t>–</w:t>
      </w:r>
      <w:r w:rsidRPr="001935D0">
        <w:rPr>
          <w:rFonts w:ascii="Times New Roman" w:eastAsia="Times New Roman" w:hAnsi="Times New Roman" w:cs="Times New Roman"/>
          <w:sz w:val="28"/>
          <w:szCs w:val="28"/>
          <w:lang w:eastAsia="ru-RU"/>
        </w:rPr>
        <w:t xml:space="preserve"> такие как институционализация отчётности по применению вето, усиление роли Генеральной Ассамблеи или формализация координации с региональными организациями.</w:t>
      </w:r>
    </w:p>
    <w:p w14:paraId="6376CCE5" w14:textId="77777777" w:rsidR="001E749B" w:rsidRPr="001935D0" w:rsidRDefault="00A85A43" w:rsidP="005324D4">
      <w:pPr>
        <w:pStyle w:val="NoSpacing"/>
        <w:ind w:firstLine="709"/>
        <w:jc w:val="both"/>
        <w:rPr>
          <w:rFonts w:ascii="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Интеграция аналитических позиций О. Хэтуэй, С. Патрика, Л. Шютте и Х. Дейкстры позволяет не только зафиксировать состояние кризисной эрозии глобальной легитимности, но и обозначить возможные направления адаптации: от институционального сдерживания вето до наращивания функциональной роли альтернативных акторов в поддержании устойчивости международного правопорядка.</w:t>
      </w:r>
      <w:r w:rsidRPr="001935D0">
        <w:rPr>
          <w:rFonts w:ascii="Times New Roman" w:eastAsia="Times New Roman" w:hAnsi="Times New Roman" w:cs="Times New Roman"/>
          <w:sz w:val="28"/>
          <w:szCs w:val="28"/>
          <w:lang w:val="uk-UA" w:eastAsia="ru-RU"/>
        </w:rPr>
        <w:t xml:space="preserve"> </w:t>
      </w:r>
    </w:p>
    <w:p w14:paraId="5F9F62AD" w14:textId="77777777" w:rsidR="00C37634" w:rsidRPr="001935D0" w:rsidRDefault="00C37634"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 дополнение к рассмотрению институционального паралича Совета Безопасности ООН и кризиса легитимности ОБСЕ, исследо</w:t>
      </w:r>
      <w:r w:rsidR="00104ED2" w:rsidRPr="001935D0">
        <w:rPr>
          <w:rFonts w:ascii="Times New Roman" w:hAnsi="Times New Roman" w:cs="Times New Roman"/>
          <w:sz w:val="28"/>
          <w:szCs w:val="28"/>
          <w:lang w:eastAsia="ru-RU"/>
        </w:rPr>
        <w:t>вание А. Салтута</w:t>
      </w:r>
      <w:r w:rsidRPr="001935D0">
        <w:rPr>
          <w:rFonts w:ascii="Times New Roman" w:hAnsi="Times New Roman" w:cs="Times New Roman"/>
          <w:sz w:val="28"/>
          <w:szCs w:val="28"/>
          <w:lang w:eastAsia="ru-RU"/>
        </w:rPr>
        <w:t>, посвящённое задержкам в процессе принятия решений в Европейском Союзе, вводит в аналитическое поле критически важное и</w:t>
      </w:r>
      <w:r w:rsidR="00104ED2" w:rsidRPr="001935D0">
        <w:rPr>
          <w:rFonts w:ascii="Times New Roman" w:hAnsi="Times New Roman" w:cs="Times New Roman"/>
          <w:sz w:val="28"/>
          <w:szCs w:val="28"/>
          <w:lang w:eastAsia="ru-RU"/>
        </w:rPr>
        <w:t>змерение –</w:t>
      </w:r>
      <w:r w:rsidRPr="001935D0">
        <w:rPr>
          <w:rFonts w:ascii="Times New Roman" w:hAnsi="Times New Roman" w:cs="Times New Roman"/>
          <w:sz w:val="28"/>
          <w:szCs w:val="28"/>
          <w:lang w:eastAsia="ru-RU"/>
        </w:rPr>
        <w:t xml:space="preserve"> внутреннюю управленческую инерцию даже в рамках наиболее интегрированных международных объединений.</w:t>
      </w:r>
    </w:p>
    <w:p w14:paraId="00997FDC" w14:textId="35D52D70" w:rsidR="00C37634" w:rsidRPr="001935D0" w:rsidRDefault="00C37634"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А. Салтут подчёркивает, что феномен задержки – как разрыв между принятием политического решения и его практической реализацией – обусловлен не только высокой институциональной сложностью архитектуры ЕС, но и глубинными противоречиями между многоуровневыми интересами государств-членов</w:t>
      </w:r>
      <w:r w:rsidR="00104ED2" w:rsidRPr="001935D0">
        <w:rPr>
          <w:rFonts w:ascii="Times New Roman" w:hAnsi="Times New Roman" w:cs="Times New Roman"/>
          <w:sz w:val="28"/>
          <w:szCs w:val="28"/>
          <w:lang w:eastAsia="ru-RU"/>
        </w:rPr>
        <w:t xml:space="preserve"> [41</w:t>
      </w:r>
      <w:r w:rsidR="00EF6EE8">
        <w:rPr>
          <w:rFonts w:ascii="Times New Roman" w:hAnsi="Times New Roman" w:cs="Times New Roman"/>
          <w:sz w:val="28"/>
          <w:szCs w:val="28"/>
          <w:lang w:val="kk-KZ" w:eastAsia="ru-RU"/>
        </w:rPr>
        <w:t>, р. 1298-1318</w:t>
      </w:r>
      <w:r w:rsidR="00104ED2" w:rsidRPr="001935D0">
        <w:rPr>
          <w:rFonts w:ascii="Times New Roman" w:hAnsi="Times New Roman" w:cs="Times New Roman"/>
          <w:sz w:val="28"/>
          <w:szCs w:val="28"/>
          <w:lang w:eastAsia="ru-RU"/>
        </w:rPr>
        <w:t>]</w:t>
      </w:r>
      <w:r w:rsidRPr="001935D0">
        <w:rPr>
          <w:rFonts w:ascii="Times New Roman" w:hAnsi="Times New Roman" w:cs="Times New Roman"/>
          <w:sz w:val="28"/>
          <w:szCs w:val="28"/>
          <w:lang w:eastAsia="ru-RU"/>
        </w:rPr>
        <w:t xml:space="preserve">. Консенсусный характер большинства решений, необходимость согласования между Европейской </w:t>
      </w:r>
      <w:r w:rsidR="004A3405">
        <w:rPr>
          <w:rFonts w:ascii="Times New Roman" w:hAnsi="Times New Roman" w:cs="Times New Roman"/>
          <w:sz w:val="28"/>
          <w:szCs w:val="28"/>
          <w:lang w:eastAsia="ru-RU"/>
        </w:rPr>
        <w:t>К</w:t>
      </w:r>
      <w:r w:rsidRPr="001935D0">
        <w:rPr>
          <w:rFonts w:ascii="Times New Roman" w:hAnsi="Times New Roman" w:cs="Times New Roman"/>
          <w:sz w:val="28"/>
          <w:szCs w:val="28"/>
          <w:lang w:eastAsia="ru-RU"/>
        </w:rPr>
        <w:t xml:space="preserve">омиссией, Советом ЕС, Европейским </w:t>
      </w:r>
      <w:r w:rsidR="004A3405">
        <w:rPr>
          <w:rFonts w:ascii="Times New Roman" w:hAnsi="Times New Roman" w:cs="Times New Roman"/>
          <w:sz w:val="28"/>
          <w:szCs w:val="28"/>
          <w:lang w:eastAsia="ru-RU"/>
        </w:rPr>
        <w:t>П</w:t>
      </w:r>
      <w:r w:rsidRPr="001935D0">
        <w:rPr>
          <w:rFonts w:ascii="Times New Roman" w:hAnsi="Times New Roman" w:cs="Times New Roman"/>
          <w:sz w:val="28"/>
          <w:szCs w:val="28"/>
          <w:lang w:eastAsia="ru-RU"/>
        </w:rPr>
        <w:t>арламентом и Судом ЕС формирует сложную бюрократическую конфигурацию, которая затрудняет своевременное реагирование на современные вызовы – от миграционных кризисов до климатических угроз.</w:t>
      </w:r>
    </w:p>
    <w:p w14:paraId="1BCADBD0" w14:textId="34B34981" w:rsidR="00C37634" w:rsidRPr="001935D0" w:rsidRDefault="00C37634"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Аналитические выводы Saltout соотносятся с позицией О. Хэтуэй и С.</w:t>
      </w:r>
      <w:r w:rsidR="00EF6EE8">
        <w:rPr>
          <w:rFonts w:ascii="Times New Roman" w:hAnsi="Times New Roman" w:cs="Times New Roman"/>
          <w:sz w:val="28"/>
          <w:szCs w:val="28"/>
          <w:lang w:val="kk-KZ" w:eastAsia="ru-RU"/>
        </w:rPr>
        <w:t> </w:t>
      </w:r>
      <w:r w:rsidRPr="001935D0">
        <w:rPr>
          <w:rFonts w:ascii="Times New Roman" w:hAnsi="Times New Roman" w:cs="Times New Roman"/>
          <w:sz w:val="28"/>
          <w:szCs w:val="28"/>
          <w:lang w:eastAsia="ru-RU"/>
        </w:rPr>
        <w:t>Патрика (2024), которые фиксируют аналогичные проявления институциональной неэффективности в рамках ООН, включая политическое блокирование, злоупотребление правом вето и подрыв способности к принятию оперативных решений. Эти исследования в совокупности демонстрируют, что даже демократически легитимированные и формально эффективные многосторонние организации могут утрачивать функциональность в условиях растущей конкуренции интересов, политического фрагментаризма и популистского давления.</w:t>
      </w:r>
    </w:p>
    <w:p w14:paraId="505F7994" w14:textId="2D576E63" w:rsidR="00C37634" w:rsidRPr="001935D0" w:rsidRDefault="00C37634"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Особую обеспокоенность вызывает системный характер последствий институциональной задержки в ЕС, обозначенный в исследовании Saltout: </w:t>
      </w:r>
      <w:r w:rsidRPr="001935D0">
        <w:rPr>
          <w:rFonts w:ascii="Times New Roman" w:hAnsi="Times New Roman" w:cs="Times New Roman"/>
          <w:sz w:val="28"/>
          <w:szCs w:val="28"/>
          <w:lang w:eastAsia="ru-RU"/>
        </w:rPr>
        <w:lastRenderedPageBreak/>
        <w:t xml:space="preserve">снижение доверия граждан к институтам, затягивание реализации ключевых реформ в области устойчивого развития и цифровизации, а также ослабление стратегической автономии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Pr="001935D0">
        <w:rPr>
          <w:rFonts w:ascii="Times New Roman" w:hAnsi="Times New Roman" w:cs="Times New Roman"/>
          <w:sz w:val="28"/>
          <w:szCs w:val="28"/>
          <w:lang w:eastAsia="ru-RU"/>
        </w:rPr>
        <w:t xml:space="preserve"> на фоне глобальной геополитической конкуренции. Как и в случае с ООН, слабость реагирования не только снижает внешний авторитет, но и ограничивает внутреннюю координацию и способность к адаптации.</w:t>
      </w:r>
    </w:p>
    <w:p w14:paraId="79C7FEE3" w14:textId="77777777" w:rsidR="00C37634" w:rsidRPr="001935D0" w:rsidRDefault="00C37634"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 качестве возможных решений А. Салтут предлагает институциональную модернизацию, включая упрощение процедур согласования, сокращение циклов одобрения, повышение прозрачности процессов, институционализацию общественного мониторинга, а также реформу принципов принятия решений – от жёсткого консенсуса к гибридным формам мажоритарности. Эти предложения концептуально соотносятся с инициированными в ООН механизмами непоправочных реформ, в частности «инициативой по вето» и расширением полномочий Генеральной Ассамблеи.</w:t>
      </w:r>
    </w:p>
    <w:p w14:paraId="088A4401" w14:textId="2F81FAC0" w:rsidR="00C37634" w:rsidRPr="001935D0" w:rsidRDefault="00C37634"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Таким образом, исследование </w:t>
      </w:r>
      <w:r w:rsidR="00104ED2" w:rsidRPr="001935D0">
        <w:rPr>
          <w:rFonts w:ascii="Times New Roman" w:hAnsi="Times New Roman" w:cs="Times New Roman"/>
          <w:sz w:val="28"/>
          <w:szCs w:val="28"/>
          <w:lang w:eastAsia="ru-RU"/>
        </w:rPr>
        <w:t>А. Салтут</w:t>
      </w:r>
      <w:r w:rsidRPr="001935D0">
        <w:rPr>
          <w:rFonts w:ascii="Times New Roman" w:hAnsi="Times New Roman" w:cs="Times New Roman"/>
          <w:sz w:val="28"/>
          <w:szCs w:val="28"/>
          <w:lang w:eastAsia="ru-RU"/>
        </w:rPr>
        <w:t xml:space="preserve"> логично встраивается в более широкую дискуссию о состоянии и перспективах глобального управления</w:t>
      </w:r>
      <w:r w:rsidR="00AD6D54">
        <w:rPr>
          <w:rFonts w:ascii="Times New Roman" w:hAnsi="Times New Roman" w:cs="Times New Roman"/>
          <w:sz w:val="28"/>
          <w:szCs w:val="28"/>
          <w:lang w:eastAsia="ru-RU"/>
        </w:rPr>
        <w:t>, подтверждая, что структурные пробелы</w:t>
      </w:r>
      <w:r w:rsidRPr="001935D0">
        <w:rPr>
          <w:rFonts w:ascii="Times New Roman" w:hAnsi="Times New Roman" w:cs="Times New Roman"/>
          <w:sz w:val="28"/>
          <w:szCs w:val="28"/>
          <w:lang w:eastAsia="ru-RU"/>
        </w:rPr>
        <w:t xml:space="preserve"> эффективности присутствуют даже в наиболее институционально развитых организациях. Проблематика лежит не только в политической воле, но и в архитектурных основах современной многосторонности, которые нуждаются в переосмыслении, обновлении и адаптации к новым форматам глобальной сложности.</w:t>
      </w:r>
    </w:p>
    <w:p w14:paraId="403EC55A" w14:textId="11D70A95" w:rsidR="008E1C22" w:rsidRPr="001935D0" w:rsidRDefault="008E1C22"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Современная международная среда, отмеченная растущей фрагментацией, институциональной инерцией и конкуренцией нормативных моделей, оказывает комплексное воздействие на внешнюю правозащитную политику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 xml:space="preserve">оюза. Помимо внутренних институциональных вызовов, </w:t>
      </w:r>
      <w:r w:rsidR="00CF2560" w:rsidRPr="001935D0">
        <w:rPr>
          <w:rFonts w:ascii="Times New Roman" w:eastAsia="Times New Roman" w:hAnsi="Times New Roman" w:cs="Times New Roman"/>
          <w:sz w:val="28"/>
          <w:szCs w:val="28"/>
          <w:lang w:eastAsia="ru-RU"/>
        </w:rPr>
        <w:t>Европейск</w:t>
      </w:r>
      <w:r w:rsidR="00CF2560" w:rsidRPr="001935D0">
        <w:rPr>
          <w:rFonts w:ascii="Times New Roman" w:eastAsia="Times New Roman" w:hAnsi="Times New Roman" w:cs="Times New Roman"/>
          <w:sz w:val="28"/>
          <w:szCs w:val="28"/>
          <w:lang w:val="uk-UA" w:eastAsia="ru-RU"/>
        </w:rPr>
        <w:t>ий</w:t>
      </w:r>
      <w:r w:rsidR="00CF2560" w:rsidRPr="001935D0">
        <w:rPr>
          <w:rFonts w:ascii="Times New Roman" w:eastAsia="Times New Roman" w:hAnsi="Times New Roman" w:cs="Times New Roman"/>
          <w:sz w:val="28"/>
          <w:szCs w:val="28"/>
          <w:lang w:eastAsia="ru-RU"/>
        </w:rPr>
        <w:t xml:space="preserve">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w:t>
      </w:r>
      <w:r w:rsidRPr="001935D0">
        <w:rPr>
          <w:rFonts w:ascii="Times New Roman" w:hAnsi="Times New Roman" w:cs="Times New Roman"/>
          <w:sz w:val="28"/>
          <w:szCs w:val="28"/>
          <w:lang w:eastAsia="ru-RU"/>
        </w:rPr>
        <w:t xml:space="preserve"> сталкивается с рядом внешних факторов, требующих переосмысления как инструментов, так и принципов продвижения прав человека вне пределов ЕС. К ним относятся масштабные военные конфликты в непосредственном европейском окружении, использование миграционных потоков в качестве средства политического давления, а также усиление авторитарных тенденций в отдельных регионах Глобального Юга.</w:t>
      </w:r>
    </w:p>
    <w:p w14:paraId="1D53456C" w14:textId="77777777" w:rsidR="008E1C22" w:rsidRPr="001935D0" w:rsidRDefault="008E1C22"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Первый из указанных факторов стал серьёзной проверкой устойчивости правозащитной идентичности ЕС, поскольку потребовал одновременного сочетания стратегической выдержанности, санкционных механизмов, международно-правовых процедур и гуманитарной поддержки стран, затронутых конфликтом. По оценке Европейской службы внешнеполитической деятельности (EEAS, 2025), информационно-психологическое воздействие, направленное на подрыв единства стран-членов Союза, значительно возросло: за 2024 год зафиксировано более 250 эпизодов целенаправленных дезинформационных кампаний [18]. В такой ситуации ЕС необходимо демонстрировать приверженность правозащитным принципам на уровне конкретных институциональных мер, а не только декларативных заявлений.</w:t>
      </w:r>
    </w:p>
    <w:p w14:paraId="0A712BED" w14:textId="6A799A9A" w:rsidR="008E1C22" w:rsidRPr="001935D0" w:rsidRDefault="008E1C22"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Дополнительным вызовом стала инструментализация миграции как элемента гибридного давления. С середины 2010-х годов ряд государств и негосударственных акторов используют миграционные потоки для реализации </w:t>
      </w:r>
      <w:r w:rsidRPr="001935D0">
        <w:rPr>
          <w:rFonts w:ascii="Times New Roman" w:hAnsi="Times New Roman" w:cs="Times New Roman"/>
          <w:sz w:val="28"/>
          <w:szCs w:val="28"/>
          <w:lang w:eastAsia="ru-RU"/>
        </w:rPr>
        <w:lastRenderedPageBreak/>
        <w:t xml:space="preserve">внешнеполитических целей, что ставит Союз перед дилеммой </w:t>
      </w:r>
      <w:r w:rsidR="00AD7ADB" w:rsidRPr="001935D0">
        <w:rPr>
          <w:rFonts w:ascii="Times New Roman" w:hAnsi="Times New Roman" w:cs="Times New Roman"/>
          <w:sz w:val="28"/>
          <w:szCs w:val="28"/>
          <w:lang w:eastAsia="ru-RU"/>
        </w:rPr>
        <w:t>–</w:t>
      </w:r>
      <w:r w:rsidRPr="001935D0">
        <w:rPr>
          <w:rFonts w:ascii="Times New Roman" w:hAnsi="Times New Roman" w:cs="Times New Roman"/>
          <w:sz w:val="28"/>
          <w:szCs w:val="28"/>
          <w:lang w:eastAsia="ru-RU"/>
        </w:rPr>
        <w:t xml:space="preserve"> необходимость одновременного соблюдения гуманитарных обязательств и защиты внешних границ. Усиление мандата Frontex, пересмотр национальных миграционных режимов и рост ксенофобских настроений в отдельных государствах-членах отражают разрыв между правозащитной риторикой и практическими мерами управления, создавая риски как для внутренней согласованности ЕС, так и для его внешней легитимности.</w:t>
      </w:r>
    </w:p>
    <w:p w14:paraId="28D3D1DF" w14:textId="647F4CB6" w:rsidR="00C37634" w:rsidRPr="001935D0" w:rsidRDefault="00C37634"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Ещё одним стратегическим ограничением внешней правозащитной политики ЕС стал рост авторитаризма и переосмысление суверенитета в странах Глобального Юга. Попытки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экспортировать универсальные ценности в Африке, Латинской Америке и некоторых странах Азии всё чаще воспринимаются как проявление политического менторства или неоколониального подхода. Россия и Китай активно используют нарративы антиколониализма, продвигая альтернативную нормативную повестку, основанную на принципе невмешательства и культурного релятивизма. Как подчёркивается в докладе EEAS (2025), в странах Сахеля зафиксировано усиление кампаний по дискредитации ЕС и его партнёров, направленных на подрыв доверия к европейской модели развития</w:t>
      </w:r>
      <w:r w:rsidR="00104ED2" w:rsidRPr="001935D0">
        <w:rPr>
          <w:rFonts w:ascii="Times New Roman" w:hAnsi="Times New Roman" w:cs="Times New Roman"/>
          <w:sz w:val="28"/>
          <w:szCs w:val="28"/>
          <w:lang w:eastAsia="ru-RU"/>
        </w:rPr>
        <w:t xml:space="preserve"> [42]</w:t>
      </w:r>
      <w:r w:rsidRPr="001935D0">
        <w:rPr>
          <w:rFonts w:ascii="Times New Roman" w:hAnsi="Times New Roman" w:cs="Times New Roman"/>
          <w:sz w:val="28"/>
          <w:szCs w:val="28"/>
          <w:lang w:eastAsia="ru-RU"/>
        </w:rPr>
        <w:t>.</w:t>
      </w:r>
    </w:p>
    <w:p w14:paraId="61271560" w14:textId="77777777" w:rsidR="00C37634" w:rsidRPr="001935D0" w:rsidRDefault="00C37634"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 этих условиях правозащитная дипломатия ЕС должна эволюционировать от универсалистского подхода к более гибкой и контекстно чувствительной стратегии, ориентированной на диалог, партнёрство и институциональную поддержку. Эффективность правозащитной повестки в современном мире зависит не столько от морального превосходства, сколько от способности адаптироваться к изменяющимся реалиям, демонстрируя уважение к субъектности стран-партнёров, признавая их культурное и историческое своеобразие и предлагая модели сотрудничества, основанные на взаимной ответственности и доверии.</w:t>
      </w:r>
    </w:p>
    <w:p w14:paraId="336BFB03" w14:textId="06FA1153" w:rsidR="00226D23" w:rsidRPr="001935D0" w:rsidRDefault="00226D23"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Принятие 7 декабря 2020 года Глобального режима санкций ЕС в сфере прав человека (EU Global Human Rights Sanctions Regime, EUGHRSR) стало ключевым этапом в эволюции инструментов внешнеполитического воздействия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w:t>
      </w:r>
      <w:r w:rsidR="00414475" w:rsidRPr="001935D0">
        <w:rPr>
          <w:rFonts w:ascii="Times New Roman" w:hAnsi="Times New Roman" w:cs="Times New Roman"/>
          <w:sz w:val="28"/>
          <w:szCs w:val="28"/>
          <w:lang w:val="uk-UA" w:eastAsia="ru-RU"/>
        </w:rPr>
        <w:t xml:space="preserve"> </w:t>
      </w:r>
      <w:r w:rsidR="00414475" w:rsidRPr="001935D0">
        <w:rPr>
          <w:rFonts w:ascii="Times New Roman" w:hAnsi="Times New Roman" w:cs="Times New Roman"/>
          <w:sz w:val="28"/>
          <w:szCs w:val="28"/>
          <w:lang w:eastAsia="ru-RU"/>
        </w:rPr>
        <w:t>[43]</w:t>
      </w:r>
      <w:r w:rsidRPr="001935D0">
        <w:rPr>
          <w:rFonts w:ascii="Times New Roman" w:hAnsi="Times New Roman" w:cs="Times New Roman"/>
          <w:sz w:val="28"/>
          <w:szCs w:val="28"/>
          <w:lang w:eastAsia="ru-RU"/>
        </w:rPr>
        <w:t>. Этот шаг не только расширил нормативный арсенал ЕС, но и обозначил качественный переход от географически привязанных санкций к тематическим механизмам, охватывающим грубые нарушения прав человека вне зависимости от территориального контекста.</w:t>
      </w:r>
    </w:p>
    <w:p w14:paraId="50897496" w14:textId="30612942" w:rsidR="00226D23" w:rsidRDefault="00226D23" w:rsidP="005324D4">
      <w:pPr>
        <w:pStyle w:val="NoSpacing"/>
        <w:ind w:firstLine="709"/>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В отличие от традиционных санкционных режимов, применяемых к конкретным государствам или регионам, EUGHRSR представляет собой универсальный и транснациональный механизм, позволяющий накладывать меры на физических и юридических лиц, прямо или косвенно ответственных за системные нарушения фундаментальных свобод</w:t>
      </w:r>
      <w:r w:rsidR="005324D4">
        <w:rPr>
          <w:rFonts w:ascii="Times New Roman" w:hAnsi="Times New Roman" w:cs="Times New Roman"/>
          <w:sz w:val="28"/>
          <w:szCs w:val="28"/>
          <w:lang w:eastAsia="ru-RU"/>
        </w:rPr>
        <w:t xml:space="preserve"> (табл</w:t>
      </w:r>
      <w:r w:rsidR="005324D4">
        <w:rPr>
          <w:rFonts w:ascii="Times New Roman" w:hAnsi="Times New Roman" w:cs="Times New Roman"/>
          <w:sz w:val="28"/>
          <w:szCs w:val="28"/>
          <w:lang w:val="kk-KZ" w:eastAsia="ru-RU"/>
        </w:rPr>
        <w:t>ица</w:t>
      </w:r>
      <w:r w:rsidR="0014676E">
        <w:rPr>
          <w:rFonts w:ascii="Times New Roman" w:hAnsi="Times New Roman" w:cs="Times New Roman"/>
          <w:sz w:val="28"/>
          <w:szCs w:val="28"/>
          <w:lang w:val="kk-KZ" w:eastAsia="ru-RU"/>
        </w:rPr>
        <w:t xml:space="preserve"> </w:t>
      </w:r>
      <w:r w:rsidR="00AD7ADB" w:rsidRPr="001935D0">
        <w:rPr>
          <w:rFonts w:ascii="Times New Roman" w:hAnsi="Times New Roman" w:cs="Times New Roman"/>
          <w:sz w:val="28"/>
          <w:szCs w:val="28"/>
          <w:lang w:eastAsia="ru-RU"/>
        </w:rPr>
        <w:t>1.8)</w:t>
      </w:r>
      <w:r w:rsidRPr="001935D0">
        <w:rPr>
          <w:rFonts w:ascii="Times New Roman" w:hAnsi="Times New Roman" w:cs="Times New Roman"/>
          <w:sz w:val="28"/>
          <w:szCs w:val="28"/>
          <w:lang w:eastAsia="ru-RU"/>
        </w:rPr>
        <w:t>. Такой подход позволяет ЕС более гибко реагировать на кризисы, обходя дипломатические ограничения, связанные с признанием или непризнанием государств и режимов.</w:t>
      </w:r>
    </w:p>
    <w:p w14:paraId="0AD685C8" w14:textId="77777777" w:rsidR="009E3B02" w:rsidRPr="009E3B02" w:rsidRDefault="009E3B02" w:rsidP="00593711">
      <w:pPr>
        <w:pStyle w:val="NoSpacing"/>
        <w:ind w:firstLine="567"/>
        <w:jc w:val="both"/>
        <w:rPr>
          <w:rFonts w:ascii="Times New Roman" w:hAnsi="Times New Roman" w:cs="Times New Roman"/>
          <w:sz w:val="28"/>
          <w:szCs w:val="28"/>
          <w:lang w:val="kk-KZ" w:eastAsia="ru-RU"/>
        </w:rPr>
      </w:pPr>
    </w:p>
    <w:p w14:paraId="444A77CF" w14:textId="27610BFD" w:rsidR="00226D23" w:rsidRDefault="00CE1D94" w:rsidP="0089040E">
      <w:pPr>
        <w:spacing w:after="0" w:line="240" w:lineRule="auto"/>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val="uk-UA" w:eastAsia="ru-RU"/>
        </w:rPr>
        <w:t>Таблица</w:t>
      </w:r>
      <w:r w:rsidR="00226D23" w:rsidRPr="001935D0">
        <w:rPr>
          <w:rFonts w:ascii="Times New Roman" w:eastAsia="Times New Roman" w:hAnsi="Times New Roman" w:cs="Times New Roman"/>
          <w:bCs/>
          <w:sz w:val="28"/>
          <w:szCs w:val="28"/>
          <w:lang w:val="uk-UA" w:eastAsia="ru-RU"/>
        </w:rPr>
        <w:t xml:space="preserve"> 1.</w:t>
      </w:r>
      <w:r w:rsidR="00AD7ADB" w:rsidRPr="001935D0">
        <w:rPr>
          <w:rFonts w:ascii="Times New Roman" w:eastAsia="Times New Roman" w:hAnsi="Times New Roman" w:cs="Times New Roman"/>
          <w:bCs/>
          <w:sz w:val="28"/>
          <w:szCs w:val="28"/>
          <w:lang w:val="uk-UA" w:eastAsia="ru-RU"/>
        </w:rPr>
        <w:t>8</w:t>
      </w:r>
      <w:r w:rsidR="00226D23" w:rsidRPr="001935D0">
        <w:rPr>
          <w:rFonts w:ascii="Times New Roman" w:eastAsia="Times New Roman" w:hAnsi="Times New Roman" w:cs="Times New Roman"/>
          <w:bCs/>
          <w:sz w:val="28"/>
          <w:szCs w:val="28"/>
          <w:lang w:val="uk-UA" w:eastAsia="ru-RU"/>
        </w:rPr>
        <w:t xml:space="preserve"> </w:t>
      </w:r>
      <w:r w:rsidR="005324D4">
        <w:rPr>
          <w:rFonts w:ascii="Times New Roman" w:eastAsia="Times New Roman" w:hAnsi="Times New Roman" w:cs="Times New Roman"/>
          <w:bCs/>
          <w:sz w:val="28"/>
          <w:szCs w:val="28"/>
          <w:lang w:val="uk-UA" w:eastAsia="ru-RU"/>
        </w:rPr>
        <w:t xml:space="preserve">– </w:t>
      </w:r>
      <w:r w:rsidR="00AD7ADB" w:rsidRPr="001935D0">
        <w:rPr>
          <w:rFonts w:ascii="Times New Roman" w:eastAsia="Times New Roman" w:hAnsi="Times New Roman" w:cs="Times New Roman"/>
          <w:bCs/>
          <w:sz w:val="28"/>
          <w:szCs w:val="28"/>
          <w:lang w:eastAsia="ru-RU"/>
        </w:rPr>
        <w:t>Сравнительный анализ –</w:t>
      </w:r>
      <w:r w:rsidR="00226D23" w:rsidRPr="001935D0">
        <w:rPr>
          <w:rFonts w:ascii="Times New Roman" w:eastAsia="Times New Roman" w:hAnsi="Times New Roman" w:cs="Times New Roman"/>
          <w:bCs/>
          <w:sz w:val="28"/>
          <w:szCs w:val="28"/>
          <w:lang w:eastAsia="ru-RU"/>
        </w:rPr>
        <w:t xml:space="preserve"> до и после введения EUGHRSR</w:t>
      </w:r>
    </w:p>
    <w:p w14:paraId="190EF2E4" w14:textId="77777777" w:rsidR="005324D4" w:rsidRPr="005324D4" w:rsidRDefault="005324D4" w:rsidP="0089040E">
      <w:pPr>
        <w:spacing w:after="0" w:line="240" w:lineRule="auto"/>
        <w:jc w:val="both"/>
        <w:rPr>
          <w:rFonts w:ascii="Times New Roman" w:eastAsia="Times New Roman" w:hAnsi="Times New Roman" w:cs="Times New Roman"/>
          <w:bCs/>
          <w:sz w:val="16"/>
          <w:szCs w:val="16"/>
          <w:lang w:val="kk-KZ" w:eastAsia="ru-RU"/>
        </w:rPr>
      </w:pPr>
    </w:p>
    <w:tbl>
      <w:tblPr>
        <w:tblStyle w:val="TableGrid"/>
        <w:tblW w:w="0" w:type="auto"/>
        <w:jc w:val="center"/>
        <w:tblLook w:val="04A0" w:firstRow="1" w:lastRow="0" w:firstColumn="1" w:lastColumn="0" w:noHBand="0" w:noVBand="1"/>
      </w:tblPr>
      <w:tblGrid>
        <w:gridCol w:w="3261"/>
        <w:gridCol w:w="3115"/>
        <w:gridCol w:w="3190"/>
      </w:tblGrid>
      <w:tr w:rsidR="00C11870" w:rsidRPr="005324D4" w14:paraId="564A9B40" w14:textId="77777777" w:rsidTr="005324D4">
        <w:trPr>
          <w:jc w:val="center"/>
        </w:trPr>
        <w:tc>
          <w:tcPr>
            <w:tcW w:w="3261" w:type="dxa"/>
            <w:vAlign w:val="center"/>
          </w:tcPr>
          <w:p w14:paraId="77E30774" w14:textId="77777777" w:rsidR="00226D23" w:rsidRPr="005324D4" w:rsidRDefault="00226D23" w:rsidP="00593711">
            <w:pPr>
              <w:jc w:val="center"/>
              <w:rPr>
                <w:rFonts w:ascii="Times New Roman" w:eastAsia="Times New Roman" w:hAnsi="Times New Roman" w:cs="Times New Roman"/>
                <w:bCs/>
                <w:sz w:val="24"/>
                <w:szCs w:val="24"/>
                <w:lang w:eastAsia="ru-RU"/>
              </w:rPr>
            </w:pPr>
            <w:r w:rsidRPr="005324D4">
              <w:rPr>
                <w:rFonts w:ascii="Times New Roman" w:eastAsia="Times New Roman" w:hAnsi="Times New Roman" w:cs="Times New Roman"/>
                <w:bCs/>
                <w:sz w:val="24"/>
                <w:szCs w:val="24"/>
                <w:lang w:eastAsia="ru-RU"/>
              </w:rPr>
              <w:lastRenderedPageBreak/>
              <w:t>Характеристика</w:t>
            </w:r>
          </w:p>
        </w:tc>
        <w:tc>
          <w:tcPr>
            <w:tcW w:w="3115" w:type="dxa"/>
            <w:vAlign w:val="center"/>
          </w:tcPr>
          <w:p w14:paraId="5BA1E360" w14:textId="77777777" w:rsidR="00226D23" w:rsidRPr="005324D4" w:rsidRDefault="00226D23" w:rsidP="00593711">
            <w:pPr>
              <w:jc w:val="center"/>
              <w:rPr>
                <w:rFonts w:ascii="Times New Roman" w:eastAsia="Times New Roman" w:hAnsi="Times New Roman" w:cs="Times New Roman"/>
                <w:bCs/>
                <w:sz w:val="24"/>
                <w:szCs w:val="24"/>
                <w:lang w:eastAsia="ru-RU"/>
              </w:rPr>
            </w:pPr>
            <w:r w:rsidRPr="005324D4">
              <w:rPr>
                <w:rFonts w:ascii="Times New Roman" w:eastAsia="Times New Roman" w:hAnsi="Times New Roman" w:cs="Times New Roman"/>
                <w:bCs/>
                <w:sz w:val="24"/>
                <w:szCs w:val="24"/>
                <w:lang w:eastAsia="ru-RU"/>
              </w:rPr>
              <w:t>До 2020 г. (географические режимы)</w:t>
            </w:r>
          </w:p>
        </w:tc>
        <w:tc>
          <w:tcPr>
            <w:tcW w:w="3190" w:type="dxa"/>
            <w:vAlign w:val="center"/>
          </w:tcPr>
          <w:p w14:paraId="6C9CCBFD" w14:textId="77777777" w:rsidR="00226D23" w:rsidRPr="005324D4" w:rsidRDefault="00226D23" w:rsidP="00593711">
            <w:pPr>
              <w:jc w:val="center"/>
              <w:rPr>
                <w:rFonts w:ascii="Times New Roman" w:eastAsia="Times New Roman" w:hAnsi="Times New Roman" w:cs="Times New Roman"/>
                <w:bCs/>
                <w:sz w:val="24"/>
                <w:szCs w:val="24"/>
                <w:lang w:eastAsia="ru-RU"/>
              </w:rPr>
            </w:pPr>
            <w:r w:rsidRPr="005324D4">
              <w:rPr>
                <w:rFonts w:ascii="Times New Roman" w:eastAsia="Times New Roman" w:hAnsi="Times New Roman" w:cs="Times New Roman"/>
                <w:bCs/>
                <w:sz w:val="24"/>
                <w:szCs w:val="24"/>
                <w:lang w:eastAsia="ru-RU"/>
              </w:rPr>
              <w:t>После 2020 г. (EUGHRSR)</w:t>
            </w:r>
          </w:p>
        </w:tc>
      </w:tr>
      <w:tr w:rsidR="00C11870" w:rsidRPr="001935D0" w14:paraId="43D00784" w14:textId="77777777" w:rsidTr="005324D4">
        <w:trPr>
          <w:jc w:val="center"/>
        </w:trPr>
        <w:tc>
          <w:tcPr>
            <w:tcW w:w="3261" w:type="dxa"/>
            <w:vAlign w:val="center"/>
          </w:tcPr>
          <w:p w14:paraId="0732C749"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Объект санкций</w:t>
            </w:r>
          </w:p>
        </w:tc>
        <w:tc>
          <w:tcPr>
            <w:tcW w:w="3115" w:type="dxa"/>
            <w:vAlign w:val="center"/>
          </w:tcPr>
          <w:p w14:paraId="4213F79D"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Государства</w:t>
            </w:r>
          </w:p>
        </w:tc>
        <w:tc>
          <w:tcPr>
            <w:tcW w:w="3190" w:type="dxa"/>
            <w:vAlign w:val="center"/>
          </w:tcPr>
          <w:p w14:paraId="130F0F70"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Физические и юридические лица</w:t>
            </w:r>
          </w:p>
        </w:tc>
      </w:tr>
      <w:tr w:rsidR="00C11870" w:rsidRPr="001935D0" w14:paraId="7AC1E0E8" w14:textId="77777777" w:rsidTr="005324D4">
        <w:trPr>
          <w:jc w:val="center"/>
        </w:trPr>
        <w:tc>
          <w:tcPr>
            <w:tcW w:w="3261" w:type="dxa"/>
            <w:vAlign w:val="center"/>
          </w:tcPr>
          <w:p w14:paraId="1EBD25E7"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Основание</w:t>
            </w:r>
          </w:p>
        </w:tc>
        <w:tc>
          <w:tcPr>
            <w:tcW w:w="3115" w:type="dxa"/>
            <w:vAlign w:val="center"/>
          </w:tcPr>
          <w:p w14:paraId="5963C551"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Геополитический контекст</w:t>
            </w:r>
          </w:p>
        </w:tc>
        <w:tc>
          <w:tcPr>
            <w:tcW w:w="3190" w:type="dxa"/>
            <w:vAlign w:val="center"/>
          </w:tcPr>
          <w:p w14:paraId="63958951"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Нарушения прав человека</w:t>
            </w:r>
          </w:p>
        </w:tc>
      </w:tr>
      <w:tr w:rsidR="00C11870" w:rsidRPr="001935D0" w14:paraId="1D6EA3E5" w14:textId="77777777" w:rsidTr="005324D4">
        <w:trPr>
          <w:jc w:val="center"/>
        </w:trPr>
        <w:tc>
          <w:tcPr>
            <w:tcW w:w="3261" w:type="dxa"/>
            <w:vAlign w:val="center"/>
          </w:tcPr>
          <w:p w14:paraId="7ADE277A"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Географическая привязка</w:t>
            </w:r>
          </w:p>
        </w:tc>
        <w:tc>
          <w:tcPr>
            <w:tcW w:w="3115" w:type="dxa"/>
            <w:vAlign w:val="center"/>
          </w:tcPr>
          <w:p w14:paraId="379D759F"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Да</w:t>
            </w:r>
          </w:p>
        </w:tc>
        <w:tc>
          <w:tcPr>
            <w:tcW w:w="3190" w:type="dxa"/>
            <w:vAlign w:val="center"/>
          </w:tcPr>
          <w:p w14:paraId="2EB629CF"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Нет</w:t>
            </w:r>
          </w:p>
        </w:tc>
      </w:tr>
      <w:tr w:rsidR="00C11870" w:rsidRPr="001935D0" w14:paraId="13597791" w14:textId="77777777" w:rsidTr="005324D4">
        <w:trPr>
          <w:jc w:val="center"/>
        </w:trPr>
        <w:tc>
          <w:tcPr>
            <w:tcW w:w="3261" w:type="dxa"/>
            <w:vAlign w:val="center"/>
          </w:tcPr>
          <w:p w14:paraId="38925CC9"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Гибкость принятия решений</w:t>
            </w:r>
          </w:p>
        </w:tc>
        <w:tc>
          <w:tcPr>
            <w:tcW w:w="3115" w:type="dxa"/>
            <w:vAlign w:val="center"/>
          </w:tcPr>
          <w:p w14:paraId="61FE67A1"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Низкая</w:t>
            </w:r>
          </w:p>
        </w:tc>
        <w:tc>
          <w:tcPr>
            <w:tcW w:w="3190" w:type="dxa"/>
            <w:vAlign w:val="center"/>
          </w:tcPr>
          <w:p w14:paraId="77DA78CE"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Умеренная</w:t>
            </w:r>
          </w:p>
        </w:tc>
      </w:tr>
      <w:tr w:rsidR="00C11870" w:rsidRPr="001935D0" w14:paraId="768207D9" w14:textId="77777777" w:rsidTr="005324D4">
        <w:trPr>
          <w:jc w:val="center"/>
        </w:trPr>
        <w:tc>
          <w:tcPr>
            <w:tcW w:w="3261" w:type="dxa"/>
            <w:vAlign w:val="center"/>
          </w:tcPr>
          <w:p w14:paraId="6A4CAB8C"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Сферы применения</w:t>
            </w:r>
          </w:p>
        </w:tc>
        <w:tc>
          <w:tcPr>
            <w:tcW w:w="3115" w:type="dxa"/>
            <w:vAlign w:val="center"/>
          </w:tcPr>
          <w:p w14:paraId="1A5E0AB4"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Конкретные конфликты</w:t>
            </w:r>
          </w:p>
        </w:tc>
        <w:tc>
          <w:tcPr>
            <w:tcW w:w="3190" w:type="dxa"/>
            <w:vAlign w:val="center"/>
          </w:tcPr>
          <w:p w14:paraId="24CD6400"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Глобальный масштаб</w:t>
            </w:r>
          </w:p>
        </w:tc>
      </w:tr>
      <w:tr w:rsidR="00C11870" w:rsidRPr="001935D0" w14:paraId="5D2BFDFB" w14:textId="77777777" w:rsidTr="005324D4">
        <w:trPr>
          <w:jc w:val="center"/>
        </w:trPr>
        <w:tc>
          <w:tcPr>
            <w:tcW w:w="3261" w:type="dxa"/>
            <w:vAlign w:val="center"/>
          </w:tcPr>
          <w:p w14:paraId="75740458"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Возможность санкций против компаний</w:t>
            </w:r>
          </w:p>
        </w:tc>
        <w:tc>
          <w:tcPr>
            <w:tcW w:w="3115" w:type="dxa"/>
            <w:vAlign w:val="center"/>
          </w:tcPr>
          <w:p w14:paraId="7ED78F30"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Ограниченная</w:t>
            </w:r>
          </w:p>
        </w:tc>
        <w:tc>
          <w:tcPr>
            <w:tcW w:w="3190" w:type="dxa"/>
            <w:vAlign w:val="center"/>
          </w:tcPr>
          <w:p w14:paraId="2E9D21F2" w14:textId="77777777" w:rsidR="00226D23" w:rsidRPr="001935D0" w:rsidRDefault="00226D23"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Да</w:t>
            </w:r>
          </w:p>
        </w:tc>
      </w:tr>
      <w:tr w:rsidR="005324D4" w:rsidRPr="001935D0" w14:paraId="3EAB33F4" w14:textId="77777777" w:rsidTr="005324D4">
        <w:trPr>
          <w:jc w:val="center"/>
        </w:trPr>
        <w:tc>
          <w:tcPr>
            <w:tcW w:w="9566" w:type="dxa"/>
            <w:gridSpan w:val="3"/>
            <w:vAlign w:val="center"/>
          </w:tcPr>
          <w:p w14:paraId="28722968" w14:textId="6D33B015" w:rsidR="005324D4" w:rsidRPr="001935D0" w:rsidRDefault="00F03A16" w:rsidP="0014676E">
            <w:pPr>
              <w:ind w:firstLine="5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sidRPr="001935D0">
              <w:rPr>
                <w:rFonts w:ascii="Times New Roman" w:eastAsia="Times New Roman" w:hAnsi="Times New Roman" w:cs="Times New Roman"/>
                <w:sz w:val="24"/>
                <w:szCs w:val="24"/>
                <w:lang w:eastAsia="ru-RU"/>
              </w:rPr>
              <w:t>42</w:t>
            </w:r>
            <w:r>
              <w:rPr>
                <w:rFonts w:ascii="Times New Roman" w:eastAsia="Times New Roman" w:hAnsi="Times New Roman" w:cs="Times New Roman"/>
                <w:sz w:val="24"/>
                <w:szCs w:val="24"/>
                <w:lang w:val="uk-UA" w:eastAsia="ru-RU"/>
              </w:rPr>
              <w:t>;</w:t>
            </w:r>
            <w:r w:rsidRPr="001935D0">
              <w:rPr>
                <w:rFonts w:ascii="Times New Roman" w:eastAsia="Times New Roman" w:hAnsi="Times New Roman" w:cs="Times New Roman"/>
                <w:sz w:val="24"/>
                <w:szCs w:val="24"/>
                <w:lang w:eastAsia="ru-RU"/>
              </w:rPr>
              <w:t xml:space="preserve"> 43</w:t>
            </w:r>
            <w:r w:rsidRPr="001935D0">
              <w:rPr>
                <w:rFonts w:ascii="Times New Roman" w:hAnsi="Times New Roman" w:cs="Times New Roman"/>
                <w:sz w:val="24"/>
                <w:szCs w:val="24"/>
              </w:rPr>
              <w:t>]</w:t>
            </w:r>
          </w:p>
        </w:tc>
      </w:tr>
    </w:tbl>
    <w:p w14:paraId="7BBB6171" w14:textId="797F8394" w:rsidR="00226D23" w:rsidRPr="001935D0" w:rsidRDefault="00226D23" w:rsidP="00593711">
      <w:pPr>
        <w:pStyle w:val="NoSpacing"/>
        <w:rPr>
          <w:rFonts w:ascii="Times New Roman" w:eastAsia="Times New Roman" w:hAnsi="Times New Roman" w:cs="Times New Roman"/>
          <w:sz w:val="24"/>
          <w:szCs w:val="24"/>
          <w:lang w:eastAsia="ru-RU"/>
        </w:rPr>
      </w:pPr>
    </w:p>
    <w:p w14:paraId="5E963565" w14:textId="08A028AE" w:rsidR="00226D23" w:rsidRPr="001935D0" w:rsidRDefault="00226D23" w:rsidP="005324D4">
      <w:pPr>
        <w:spacing w:after="0" w:line="240" w:lineRule="auto"/>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Согласно Решению Совета ЕС 2024/3004, на конец 2024 года в санкционные списки были включены 115 физических лиц и 33 организации. Однако преобладающее число санкций касалось граждан Российской Федерации, что свидетельствует о фокусе режима на конкретных конфликтах, несмотря на его универсальный характер. Объём санкционной активности существенно колебался: от 23 решений в 2021 году до полного отсутствия новых мер в 2022 году и резкого увеличения до 65 решений в 2023 году. Это отражает как внутрисоюзные политические разногласия, так и сложность достижения консенсуса в вопросах прав человека</w:t>
      </w:r>
      <w:r w:rsidR="00971E2F" w:rsidRPr="001935D0">
        <w:rPr>
          <w:rFonts w:ascii="Times New Roman" w:eastAsia="Times New Roman" w:hAnsi="Times New Roman" w:cs="Times New Roman"/>
          <w:sz w:val="28"/>
          <w:szCs w:val="28"/>
          <w:lang w:val="uk-UA" w:eastAsia="ru-RU"/>
        </w:rPr>
        <w:t xml:space="preserve"> (табл</w:t>
      </w:r>
      <w:r w:rsidR="005324D4">
        <w:rPr>
          <w:rFonts w:ascii="Times New Roman" w:eastAsia="Times New Roman" w:hAnsi="Times New Roman" w:cs="Times New Roman"/>
          <w:sz w:val="28"/>
          <w:szCs w:val="28"/>
          <w:lang w:val="uk-UA" w:eastAsia="ru-RU"/>
        </w:rPr>
        <w:t>ица</w:t>
      </w:r>
      <w:r w:rsidR="00971E2F" w:rsidRPr="001935D0">
        <w:rPr>
          <w:rFonts w:ascii="Times New Roman" w:eastAsia="Times New Roman" w:hAnsi="Times New Roman" w:cs="Times New Roman"/>
          <w:sz w:val="28"/>
          <w:szCs w:val="28"/>
          <w:lang w:val="uk-UA" w:eastAsia="ru-RU"/>
        </w:rPr>
        <w:t xml:space="preserve"> 1.</w:t>
      </w:r>
      <w:r w:rsidR="00AD7ADB" w:rsidRPr="001935D0">
        <w:rPr>
          <w:rFonts w:ascii="Times New Roman" w:eastAsia="Times New Roman" w:hAnsi="Times New Roman" w:cs="Times New Roman"/>
          <w:sz w:val="28"/>
          <w:szCs w:val="28"/>
          <w:lang w:val="uk-UA" w:eastAsia="ru-RU"/>
        </w:rPr>
        <w:t>9</w:t>
      </w:r>
      <w:r w:rsidR="00971E2F" w:rsidRPr="001935D0">
        <w:rPr>
          <w:rFonts w:ascii="Times New Roman" w:eastAsia="Times New Roman" w:hAnsi="Times New Roman" w:cs="Times New Roman"/>
          <w:sz w:val="28"/>
          <w:szCs w:val="28"/>
          <w:lang w:val="uk-UA" w:eastAsia="ru-RU"/>
        </w:rPr>
        <w:t>).</w:t>
      </w:r>
    </w:p>
    <w:p w14:paraId="6F7741D8" w14:textId="77777777" w:rsidR="009E3B02" w:rsidRDefault="009E3B02" w:rsidP="00593711">
      <w:pPr>
        <w:spacing w:after="0" w:line="240" w:lineRule="auto"/>
        <w:jc w:val="center"/>
        <w:rPr>
          <w:rFonts w:ascii="Times New Roman" w:eastAsia="Times New Roman" w:hAnsi="Times New Roman" w:cs="Times New Roman"/>
          <w:bCs/>
          <w:sz w:val="28"/>
          <w:szCs w:val="28"/>
          <w:lang w:val="uk-UA" w:eastAsia="ru-RU"/>
        </w:rPr>
      </w:pPr>
    </w:p>
    <w:p w14:paraId="438B3B95" w14:textId="55771EB0" w:rsidR="00226D23" w:rsidRDefault="006716D4" w:rsidP="0089040E">
      <w:pPr>
        <w:spacing w:after="0" w:line="240" w:lineRule="auto"/>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val="uk-UA" w:eastAsia="ru-RU"/>
        </w:rPr>
        <w:t>Таблиця 1.</w:t>
      </w:r>
      <w:r w:rsidR="00AD7ADB" w:rsidRPr="001935D0">
        <w:rPr>
          <w:rFonts w:ascii="Times New Roman" w:eastAsia="Times New Roman" w:hAnsi="Times New Roman" w:cs="Times New Roman"/>
          <w:bCs/>
          <w:sz w:val="28"/>
          <w:szCs w:val="28"/>
          <w:lang w:val="uk-UA" w:eastAsia="ru-RU"/>
        </w:rPr>
        <w:t>9</w:t>
      </w:r>
      <w:r w:rsidRPr="001935D0">
        <w:rPr>
          <w:rFonts w:ascii="Times New Roman" w:eastAsia="Times New Roman" w:hAnsi="Times New Roman" w:cs="Times New Roman"/>
          <w:bCs/>
          <w:sz w:val="28"/>
          <w:szCs w:val="28"/>
          <w:lang w:val="uk-UA" w:eastAsia="ru-RU"/>
        </w:rPr>
        <w:t xml:space="preserve"> </w:t>
      </w:r>
      <w:r w:rsidR="005324D4">
        <w:rPr>
          <w:rFonts w:ascii="Times New Roman" w:eastAsia="Times New Roman" w:hAnsi="Times New Roman" w:cs="Times New Roman"/>
          <w:bCs/>
          <w:sz w:val="28"/>
          <w:szCs w:val="28"/>
          <w:lang w:val="uk-UA" w:eastAsia="ru-RU"/>
        </w:rPr>
        <w:t xml:space="preserve">– </w:t>
      </w:r>
      <w:r w:rsidR="00226D23" w:rsidRPr="001935D0">
        <w:rPr>
          <w:rFonts w:ascii="Times New Roman" w:eastAsia="Times New Roman" w:hAnsi="Times New Roman" w:cs="Times New Roman"/>
          <w:bCs/>
          <w:sz w:val="28"/>
          <w:szCs w:val="28"/>
          <w:lang w:eastAsia="ru-RU"/>
        </w:rPr>
        <w:t>Динамика применения EUGHRSR (2021</w:t>
      </w:r>
      <w:r w:rsidR="005324D4">
        <w:rPr>
          <w:rFonts w:ascii="Times New Roman" w:eastAsia="Times New Roman" w:hAnsi="Times New Roman" w:cs="Times New Roman"/>
          <w:bCs/>
          <w:sz w:val="28"/>
          <w:szCs w:val="28"/>
          <w:lang w:val="kk-KZ" w:eastAsia="ru-RU"/>
        </w:rPr>
        <w:t>-</w:t>
      </w:r>
      <w:r w:rsidR="00226D23" w:rsidRPr="001935D0">
        <w:rPr>
          <w:rFonts w:ascii="Times New Roman" w:eastAsia="Times New Roman" w:hAnsi="Times New Roman" w:cs="Times New Roman"/>
          <w:bCs/>
          <w:sz w:val="28"/>
          <w:szCs w:val="28"/>
          <w:lang w:eastAsia="ru-RU"/>
        </w:rPr>
        <w:t>2024)</w:t>
      </w:r>
    </w:p>
    <w:p w14:paraId="03455A61" w14:textId="77777777" w:rsidR="005324D4" w:rsidRPr="005324D4" w:rsidRDefault="005324D4" w:rsidP="0089040E">
      <w:pPr>
        <w:spacing w:after="0" w:line="240" w:lineRule="auto"/>
        <w:jc w:val="both"/>
        <w:rPr>
          <w:rFonts w:ascii="Times New Roman" w:eastAsia="Times New Roman" w:hAnsi="Times New Roman" w:cs="Times New Roman"/>
          <w:bCs/>
          <w:sz w:val="16"/>
          <w:szCs w:val="16"/>
          <w:lang w:val="kk-KZ" w:eastAsia="ru-RU"/>
        </w:rPr>
      </w:pPr>
    </w:p>
    <w:tbl>
      <w:tblPr>
        <w:tblStyle w:val="TableGrid"/>
        <w:tblW w:w="0" w:type="auto"/>
        <w:jc w:val="center"/>
        <w:tblLook w:val="04A0" w:firstRow="1" w:lastRow="0" w:firstColumn="1" w:lastColumn="0" w:noHBand="0" w:noVBand="1"/>
      </w:tblPr>
      <w:tblGrid>
        <w:gridCol w:w="3090"/>
        <w:gridCol w:w="3258"/>
        <w:gridCol w:w="3115"/>
      </w:tblGrid>
      <w:tr w:rsidR="00C11870" w:rsidRPr="005324D4" w14:paraId="536D6322" w14:textId="77777777" w:rsidTr="005324D4">
        <w:trPr>
          <w:jc w:val="center"/>
        </w:trPr>
        <w:tc>
          <w:tcPr>
            <w:tcW w:w="3090" w:type="dxa"/>
            <w:vAlign w:val="center"/>
          </w:tcPr>
          <w:p w14:paraId="4F799F71" w14:textId="55E135E1" w:rsidR="00971E2F" w:rsidRPr="005324D4" w:rsidRDefault="00971E2F" w:rsidP="00593711">
            <w:pPr>
              <w:jc w:val="center"/>
              <w:rPr>
                <w:rFonts w:ascii="Times New Roman" w:eastAsia="Times New Roman" w:hAnsi="Times New Roman" w:cs="Times New Roman"/>
                <w:bCs/>
                <w:sz w:val="24"/>
                <w:szCs w:val="24"/>
                <w:lang w:val="kk-KZ" w:eastAsia="ru-RU"/>
              </w:rPr>
            </w:pPr>
            <w:r w:rsidRPr="005324D4">
              <w:rPr>
                <w:rFonts w:ascii="Times New Roman" w:eastAsia="Times New Roman" w:hAnsi="Times New Roman" w:cs="Times New Roman"/>
                <w:bCs/>
                <w:sz w:val="24"/>
                <w:szCs w:val="24"/>
                <w:lang w:eastAsia="ru-RU"/>
              </w:rPr>
              <w:t>Год</w:t>
            </w:r>
            <w:r w:rsidR="005324D4" w:rsidRPr="005324D4">
              <w:rPr>
                <w:rFonts w:ascii="Times New Roman" w:eastAsia="Times New Roman" w:hAnsi="Times New Roman" w:cs="Times New Roman"/>
                <w:bCs/>
                <w:sz w:val="24"/>
                <w:szCs w:val="24"/>
                <w:lang w:val="kk-KZ" w:eastAsia="ru-RU"/>
              </w:rPr>
              <w:t>ы</w:t>
            </w:r>
          </w:p>
        </w:tc>
        <w:tc>
          <w:tcPr>
            <w:tcW w:w="3258" w:type="dxa"/>
            <w:vAlign w:val="center"/>
          </w:tcPr>
          <w:p w14:paraId="07E68380" w14:textId="77777777" w:rsidR="00971E2F" w:rsidRPr="005324D4" w:rsidRDefault="00971E2F" w:rsidP="00593711">
            <w:pPr>
              <w:jc w:val="center"/>
              <w:rPr>
                <w:rFonts w:ascii="Times New Roman" w:eastAsia="Times New Roman" w:hAnsi="Times New Roman" w:cs="Times New Roman"/>
                <w:bCs/>
                <w:sz w:val="24"/>
                <w:szCs w:val="24"/>
                <w:lang w:eastAsia="ru-RU"/>
              </w:rPr>
            </w:pPr>
            <w:r w:rsidRPr="005324D4">
              <w:rPr>
                <w:rFonts w:ascii="Times New Roman" w:eastAsia="Times New Roman" w:hAnsi="Times New Roman" w:cs="Times New Roman"/>
                <w:bCs/>
                <w:sz w:val="24"/>
                <w:szCs w:val="24"/>
                <w:lang w:eastAsia="ru-RU"/>
              </w:rPr>
              <w:t>Количество новых санкций</w:t>
            </w:r>
          </w:p>
        </w:tc>
        <w:tc>
          <w:tcPr>
            <w:tcW w:w="3115" w:type="dxa"/>
            <w:vAlign w:val="center"/>
          </w:tcPr>
          <w:p w14:paraId="314F89FC" w14:textId="77777777" w:rsidR="00971E2F" w:rsidRPr="005324D4" w:rsidRDefault="00971E2F" w:rsidP="00593711">
            <w:pPr>
              <w:jc w:val="center"/>
              <w:rPr>
                <w:rFonts w:ascii="Times New Roman" w:eastAsia="Times New Roman" w:hAnsi="Times New Roman" w:cs="Times New Roman"/>
                <w:bCs/>
                <w:sz w:val="24"/>
                <w:szCs w:val="24"/>
                <w:lang w:eastAsia="ru-RU"/>
              </w:rPr>
            </w:pPr>
            <w:r w:rsidRPr="005324D4">
              <w:rPr>
                <w:rFonts w:ascii="Times New Roman" w:eastAsia="Times New Roman" w:hAnsi="Times New Roman" w:cs="Times New Roman"/>
                <w:bCs/>
                <w:sz w:val="24"/>
                <w:szCs w:val="24"/>
                <w:lang w:eastAsia="ru-RU"/>
              </w:rPr>
              <w:t>Основной фокус</w:t>
            </w:r>
          </w:p>
        </w:tc>
      </w:tr>
      <w:tr w:rsidR="00C11870" w:rsidRPr="001935D0" w14:paraId="475FE036" w14:textId="77777777" w:rsidTr="005324D4">
        <w:trPr>
          <w:jc w:val="center"/>
        </w:trPr>
        <w:tc>
          <w:tcPr>
            <w:tcW w:w="3090" w:type="dxa"/>
            <w:vAlign w:val="center"/>
          </w:tcPr>
          <w:p w14:paraId="26810058" w14:textId="77777777" w:rsidR="00971E2F" w:rsidRPr="001935D0" w:rsidRDefault="00971E2F"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2021</w:t>
            </w:r>
          </w:p>
        </w:tc>
        <w:tc>
          <w:tcPr>
            <w:tcW w:w="3258" w:type="dxa"/>
            <w:vAlign w:val="center"/>
          </w:tcPr>
          <w:p w14:paraId="3DF70683" w14:textId="77777777" w:rsidR="00971E2F" w:rsidRPr="001935D0" w:rsidRDefault="00971E2F"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23</w:t>
            </w:r>
          </w:p>
        </w:tc>
        <w:tc>
          <w:tcPr>
            <w:tcW w:w="3115" w:type="dxa"/>
            <w:vAlign w:val="center"/>
          </w:tcPr>
          <w:p w14:paraId="48C1A190" w14:textId="77777777" w:rsidR="00971E2F" w:rsidRPr="001935D0" w:rsidRDefault="00971E2F"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Россия, Мьянма</w:t>
            </w:r>
          </w:p>
        </w:tc>
      </w:tr>
      <w:tr w:rsidR="00C11870" w:rsidRPr="001935D0" w14:paraId="55E526AA" w14:textId="77777777" w:rsidTr="005324D4">
        <w:trPr>
          <w:jc w:val="center"/>
        </w:trPr>
        <w:tc>
          <w:tcPr>
            <w:tcW w:w="3090" w:type="dxa"/>
            <w:vAlign w:val="center"/>
          </w:tcPr>
          <w:p w14:paraId="44295BB9" w14:textId="77777777" w:rsidR="00971E2F" w:rsidRPr="001935D0" w:rsidRDefault="00971E2F"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2022</w:t>
            </w:r>
          </w:p>
        </w:tc>
        <w:tc>
          <w:tcPr>
            <w:tcW w:w="3258" w:type="dxa"/>
            <w:vAlign w:val="center"/>
          </w:tcPr>
          <w:p w14:paraId="01B09576" w14:textId="77777777" w:rsidR="00971E2F" w:rsidRPr="001935D0" w:rsidRDefault="00971E2F"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0</w:t>
            </w:r>
          </w:p>
        </w:tc>
        <w:tc>
          <w:tcPr>
            <w:tcW w:w="3115" w:type="dxa"/>
            <w:vAlign w:val="center"/>
          </w:tcPr>
          <w:p w14:paraId="6E628DC1" w14:textId="67BD45B1" w:rsidR="00971E2F" w:rsidRPr="001935D0" w:rsidRDefault="008E1C22"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w:t>
            </w:r>
          </w:p>
        </w:tc>
      </w:tr>
      <w:tr w:rsidR="00C11870" w:rsidRPr="001935D0" w14:paraId="48DEAFB8" w14:textId="77777777" w:rsidTr="005324D4">
        <w:trPr>
          <w:jc w:val="center"/>
        </w:trPr>
        <w:tc>
          <w:tcPr>
            <w:tcW w:w="3090" w:type="dxa"/>
            <w:vAlign w:val="center"/>
          </w:tcPr>
          <w:p w14:paraId="53093AC6" w14:textId="77777777" w:rsidR="00971E2F" w:rsidRPr="001935D0" w:rsidRDefault="00971E2F"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2023</w:t>
            </w:r>
          </w:p>
        </w:tc>
        <w:tc>
          <w:tcPr>
            <w:tcW w:w="3258" w:type="dxa"/>
            <w:vAlign w:val="center"/>
          </w:tcPr>
          <w:p w14:paraId="242090CD" w14:textId="77777777" w:rsidR="00971E2F" w:rsidRPr="001935D0" w:rsidRDefault="00971E2F"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65</w:t>
            </w:r>
          </w:p>
        </w:tc>
        <w:tc>
          <w:tcPr>
            <w:tcW w:w="3115" w:type="dxa"/>
            <w:vAlign w:val="center"/>
          </w:tcPr>
          <w:p w14:paraId="105FDE45" w14:textId="77777777" w:rsidR="00971E2F" w:rsidRPr="001935D0" w:rsidRDefault="00971E2F"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Россия, Иран, Сирия</w:t>
            </w:r>
          </w:p>
        </w:tc>
      </w:tr>
      <w:tr w:rsidR="00C11870" w:rsidRPr="001935D0" w14:paraId="4D211C1E" w14:textId="77777777" w:rsidTr="005324D4">
        <w:trPr>
          <w:jc w:val="center"/>
        </w:trPr>
        <w:tc>
          <w:tcPr>
            <w:tcW w:w="3090" w:type="dxa"/>
            <w:vAlign w:val="center"/>
          </w:tcPr>
          <w:p w14:paraId="2207F798" w14:textId="77777777" w:rsidR="00971E2F" w:rsidRPr="001935D0" w:rsidRDefault="006716D4"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2024</w:t>
            </w:r>
          </w:p>
        </w:tc>
        <w:tc>
          <w:tcPr>
            <w:tcW w:w="3258" w:type="dxa"/>
            <w:vAlign w:val="center"/>
          </w:tcPr>
          <w:p w14:paraId="26B23C37" w14:textId="77777777" w:rsidR="00971E2F" w:rsidRPr="001935D0" w:rsidRDefault="00971E2F"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~65</w:t>
            </w:r>
          </w:p>
        </w:tc>
        <w:tc>
          <w:tcPr>
            <w:tcW w:w="3115" w:type="dxa"/>
            <w:vAlign w:val="center"/>
          </w:tcPr>
          <w:p w14:paraId="1EBCD416" w14:textId="77777777" w:rsidR="00971E2F" w:rsidRPr="001935D0" w:rsidRDefault="00971E2F" w:rsidP="00593711">
            <w:pPr>
              <w:jc w:val="cente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Россия, Беларусь, Ливия</w:t>
            </w:r>
          </w:p>
        </w:tc>
      </w:tr>
      <w:tr w:rsidR="005324D4" w:rsidRPr="001935D0" w14:paraId="2F2D4DAE" w14:textId="77777777" w:rsidTr="008F2BB1">
        <w:trPr>
          <w:jc w:val="center"/>
        </w:trPr>
        <w:tc>
          <w:tcPr>
            <w:tcW w:w="9463" w:type="dxa"/>
            <w:gridSpan w:val="3"/>
            <w:vAlign w:val="center"/>
          </w:tcPr>
          <w:p w14:paraId="290B3CEE" w14:textId="430C5B03" w:rsidR="005324D4" w:rsidRPr="005324D4" w:rsidRDefault="005324D4" w:rsidP="005324D4">
            <w:pPr>
              <w:pStyle w:val="NoSpacing"/>
              <w:ind w:firstLine="567"/>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источника </w:t>
            </w:r>
            <w:r w:rsidRPr="001935D0">
              <w:rPr>
                <w:rFonts w:ascii="Times New Roman" w:hAnsi="Times New Roman" w:cs="Times New Roman"/>
                <w:sz w:val="24"/>
                <w:szCs w:val="24"/>
              </w:rPr>
              <w:t>[44]</w:t>
            </w:r>
            <w:r w:rsidRPr="001935D0">
              <w:rPr>
                <w:rFonts w:ascii="Times New Roman" w:hAnsi="Times New Roman" w:cs="Times New Roman"/>
                <w:sz w:val="24"/>
                <w:szCs w:val="24"/>
                <w:lang w:val="uk-UA" w:eastAsia="ru-RU"/>
              </w:rPr>
              <w:t xml:space="preserve"> </w:t>
            </w:r>
          </w:p>
        </w:tc>
      </w:tr>
    </w:tbl>
    <w:p w14:paraId="6B55F41E" w14:textId="77777777" w:rsidR="006716D4" w:rsidRPr="001935D0" w:rsidRDefault="006716D4" w:rsidP="00593711">
      <w:pPr>
        <w:pStyle w:val="NoSpacing"/>
        <w:ind w:firstLine="567"/>
        <w:jc w:val="both"/>
        <w:rPr>
          <w:rFonts w:ascii="Times New Roman" w:hAnsi="Times New Roman" w:cs="Times New Roman"/>
          <w:sz w:val="28"/>
          <w:szCs w:val="28"/>
          <w:lang w:eastAsia="ru-RU"/>
        </w:rPr>
      </w:pPr>
    </w:p>
    <w:p w14:paraId="5B831FA7" w14:textId="77777777" w:rsidR="00226D23" w:rsidRPr="001935D0" w:rsidRDefault="00226D23" w:rsidP="005324D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Несмотря на высокую нормативную значимость EUGHRSR, его практическая реализация сталкивается с рядом системных ограничений. Во-первых, режим требует консенсусного одобрения всеми государствами-членами, что делает его уязвимым к политической фрагментации. Блокирование санкций в отношении ряда стран (например, Эфиопии или Анголы) иллюстрирует границы единства внутри ЕС. Во-вторых, механизм страдает от отсутствия прозрачных критериев включения в санкционные списки, что порождает юридическую неопределённость и ограничивает возможности правовой защиты. В-третьих, EUGHRSR не охватывает коррупционные деяния как основание для санкций, в отличие от аналогичных режимов США и Канады (так называемых «актов Магнитского»), несмотря на то, что коррупция нередко способствует грубым нарушениям прав человека. В-четвёртых, реализация санкций, особенно визовых, остаётся прерогативой национальных органов, что создаёт риски фрагментарности исполнения. Наконец, продолжающееся доминирование географических режимов в повестке ЕС приводит к конкуренции за </w:t>
      </w:r>
      <w:r w:rsidRPr="001935D0">
        <w:rPr>
          <w:rFonts w:ascii="Times New Roman" w:hAnsi="Times New Roman" w:cs="Times New Roman"/>
          <w:sz w:val="28"/>
          <w:szCs w:val="28"/>
          <w:lang w:eastAsia="ru-RU"/>
        </w:rPr>
        <w:lastRenderedPageBreak/>
        <w:t>политическое внимание и ресурсы, снижая потенциал EUGHRSR как автономного инструмента.</w:t>
      </w:r>
    </w:p>
    <w:p w14:paraId="50623424" w14:textId="76E4981C" w:rsidR="006717FF" w:rsidRPr="001935D0" w:rsidRDefault="006717FF" w:rsidP="005324D4">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Введение Глобального режима санкций Европейского </w:t>
      </w:r>
      <w:r w:rsidR="00CF2560"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оюза в области прав человека (EU Global Human Rights Sanctions Regime, EUGHRSR) ознаменовало переход от географически ограниченных мер воздействия к универсальному, тематическому инструменту защиты фундаментальных прав и свобод</w:t>
      </w:r>
      <w:r w:rsidR="00414475" w:rsidRPr="001935D0">
        <w:rPr>
          <w:rFonts w:ascii="Times New Roman" w:eastAsia="Times New Roman" w:hAnsi="Times New Roman" w:cs="Times New Roman"/>
          <w:sz w:val="28"/>
          <w:szCs w:val="28"/>
          <w:lang w:eastAsia="ru-RU"/>
        </w:rPr>
        <w:t xml:space="preserve"> [43]</w:t>
      </w:r>
      <w:r w:rsidRPr="001935D0">
        <w:rPr>
          <w:rFonts w:ascii="Times New Roman" w:eastAsia="Times New Roman" w:hAnsi="Times New Roman" w:cs="Times New Roman"/>
          <w:sz w:val="28"/>
          <w:szCs w:val="28"/>
          <w:lang w:eastAsia="ru-RU"/>
        </w:rPr>
        <w:t xml:space="preserve">. Однако анализ практики его реализации за период 2020–2024 годов выявляет ряд системных ограничений, сдерживающих эффективность и институциональную устойчивость данного механизма. В этой связи представляется целесообразным сформулировать проблемно-целевую модель трансформации EUGHRSR как интегративную концептуальную рамку, отражающую ключевые векторы модернизации режима в контексте политико-правовой эволюции внешней политики Европейского </w:t>
      </w:r>
      <w:r w:rsidR="00CF2560"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оюза</w:t>
      </w:r>
      <w:r w:rsidR="00414475" w:rsidRPr="001935D0">
        <w:rPr>
          <w:rFonts w:ascii="Times New Roman" w:eastAsia="Times New Roman" w:hAnsi="Times New Roman" w:cs="Times New Roman"/>
          <w:sz w:val="28"/>
          <w:szCs w:val="28"/>
          <w:lang w:eastAsia="ru-RU"/>
        </w:rPr>
        <w:t xml:space="preserve"> [44]</w:t>
      </w:r>
      <w:r w:rsidRPr="001935D0">
        <w:rPr>
          <w:rFonts w:ascii="Times New Roman" w:eastAsia="Times New Roman" w:hAnsi="Times New Roman" w:cs="Times New Roman"/>
          <w:sz w:val="28"/>
          <w:szCs w:val="28"/>
          <w:lang w:eastAsia="ru-RU"/>
        </w:rPr>
        <w:t>.</w:t>
      </w:r>
    </w:p>
    <w:p w14:paraId="62772730" w14:textId="77777777" w:rsidR="006717FF" w:rsidRPr="001935D0" w:rsidRDefault="006717FF" w:rsidP="005324D4">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Предлагаемая модель опирается на четыре структурных направления, каждое из которых соотносится с определённой проблемной зоной текущего состояния режима и обозначает соответствующую стратегическую цель: нормативная определённость, функциональная эффективность, институциональная согласованность и глобальная синергия. В совокупности они формируют системное видение путей реформирования санкционной архитектуры ЕС в области прав человека.</w:t>
      </w:r>
    </w:p>
    <w:p w14:paraId="10273BAD" w14:textId="77777777" w:rsidR="006717FF" w:rsidRPr="001935D0" w:rsidRDefault="006717FF" w:rsidP="005324D4">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Во-первых, необходимость повышения нормативной определённости обусловлена отсутствием чётких и транспарентных критериев включения субъектов в санкционные списки. Это порождает риски юридической неопределённости, правовых споров и подрывает доверие к механизму. Устранение данной проблемы возможно через формирование единой типологии нарушений, подлежащих санкциям, а также разработку процедур апелляции и исключения, согласованных с юриспруденцией Суда ЕС.</w:t>
      </w:r>
    </w:p>
    <w:p w14:paraId="4C290A27" w14:textId="77777777" w:rsidR="006717FF" w:rsidRPr="001935D0" w:rsidRDefault="006717FF" w:rsidP="005324D4">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Во-вторых, недостаточная оперативная способность механизма требует повышения функциональной эффективности. Консенсусный характер принятия решений в Совете ЕС зачастую становится препятствием для своевременного реагирования. Решением может стать частичная делегация полномочий в технических аспектах или переход к квалифицированному большинству при условии соблюдения процедурного баланса интересов государств-членов.</w:t>
      </w:r>
    </w:p>
    <w:p w14:paraId="5D775DBF" w14:textId="77777777" w:rsidR="006717FF" w:rsidRPr="001935D0" w:rsidRDefault="006717FF" w:rsidP="005324D4">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Третьим направлением является институциональная согласованность. В настоящее время наблюдается конкуренция между географическими и тематическими режимами санкций, что приводит к дублированию функций, политическим противоречиям и фрагментарности санкционной политики ЕС. Модель предполагает институциональное разграничение компетенций межд</w:t>
      </w:r>
      <w:r w:rsidR="00104ED2" w:rsidRPr="001935D0">
        <w:rPr>
          <w:rFonts w:ascii="Times New Roman" w:eastAsia="Times New Roman" w:hAnsi="Times New Roman" w:cs="Times New Roman"/>
          <w:sz w:val="28"/>
          <w:szCs w:val="28"/>
          <w:lang w:eastAsia="ru-RU"/>
        </w:rPr>
        <w:t>у соответствующими структурами –</w:t>
      </w:r>
      <w:r w:rsidRPr="001935D0">
        <w:rPr>
          <w:rFonts w:ascii="Times New Roman" w:eastAsia="Times New Roman" w:hAnsi="Times New Roman" w:cs="Times New Roman"/>
          <w:sz w:val="28"/>
          <w:szCs w:val="28"/>
          <w:lang w:eastAsia="ru-RU"/>
        </w:rPr>
        <w:t xml:space="preserve"> например, тематические санкции координируются Европейской службой внешнеполитической деятельности (E</w:t>
      </w:r>
      <w:r w:rsidR="00104ED2" w:rsidRPr="001935D0">
        <w:rPr>
          <w:rFonts w:ascii="Times New Roman" w:eastAsia="Times New Roman" w:hAnsi="Times New Roman" w:cs="Times New Roman"/>
          <w:sz w:val="28"/>
          <w:szCs w:val="28"/>
          <w:lang w:eastAsia="ru-RU"/>
        </w:rPr>
        <w:t>EAS), тогда как географические –</w:t>
      </w:r>
      <w:r w:rsidRPr="001935D0">
        <w:rPr>
          <w:rFonts w:ascii="Times New Roman" w:eastAsia="Times New Roman" w:hAnsi="Times New Roman" w:cs="Times New Roman"/>
          <w:sz w:val="28"/>
          <w:szCs w:val="28"/>
          <w:lang w:eastAsia="ru-RU"/>
        </w:rPr>
        <w:t xml:space="preserve"> Советом ЕС, с обязательной координацией через единый межрежимный механизм.</w:t>
      </w:r>
    </w:p>
    <w:p w14:paraId="47545196" w14:textId="77777777" w:rsidR="006717FF" w:rsidRPr="001935D0" w:rsidRDefault="00104ED2" w:rsidP="005324D4">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Наконец, четвёртый вектор –</w:t>
      </w:r>
      <w:r w:rsidR="006717FF" w:rsidRPr="001935D0">
        <w:rPr>
          <w:rFonts w:ascii="Times New Roman" w:eastAsia="Times New Roman" w:hAnsi="Times New Roman" w:cs="Times New Roman"/>
          <w:sz w:val="28"/>
          <w:szCs w:val="28"/>
          <w:lang w:eastAsia="ru-RU"/>
        </w:rPr>
        <w:t xml:space="preserve"> обеспечение глобальной синергии с санкционными режимами стран-партнёров (США, Великобритания, Канада, Австралия). Для повышения международной эффективности EUGHRSR </w:t>
      </w:r>
      <w:r w:rsidR="006717FF" w:rsidRPr="001935D0">
        <w:rPr>
          <w:rFonts w:ascii="Times New Roman" w:eastAsia="Times New Roman" w:hAnsi="Times New Roman" w:cs="Times New Roman"/>
          <w:sz w:val="28"/>
          <w:szCs w:val="28"/>
          <w:lang w:eastAsia="ru-RU"/>
        </w:rPr>
        <w:lastRenderedPageBreak/>
        <w:t>необходимо создание совместного формата обмена информацией, синхронизации санкционных списков и унификации критериев в рамках так называемого «альянса правозащитных санкций». Это не только усилит эффект, но и минимизирует возможности обхода санкций через юрисдикции, не включённые в общую санкционную стратегию.</w:t>
      </w:r>
    </w:p>
    <w:p w14:paraId="08CAC23C" w14:textId="77777777" w:rsidR="006717FF" w:rsidRPr="001935D0" w:rsidRDefault="006717FF" w:rsidP="00593711">
      <w:pPr>
        <w:pStyle w:val="NoSpacing"/>
        <w:ind w:firstLine="567"/>
        <w:jc w:val="both"/>
        <w:rPr>
          <w:rFonts w:ascii="Times New Roman" w:eastAsia="Times New Roman" w:hAnsi="Times New Roman" w:cs="Times New Roman"/>
          <w:sz w:val="28"/>
          <w:szCs w:val="28"/>
          <w:lang w:eastAsia="ru-RU"/>
        </w:rPr>
      </w:pPr>
    </w:p>
    <w:p w14:paraId="658A29FF" w14:textId="77777777" w:rsidR="00AF6AF4" w:rsidRPr="001935D0" w:rsidRDefault="00AF6AF4" w:rsidP="00593711">
      <w:pPr>
        <w:pStyle w:val="NoSpacing"/>
        <w:rPr>
          <w:rFonts w:ascii="Times New Roman" w:eastAsia="Times New Roman" w:hAnsi="Times New Roman" w:cs="Times New Roman"/>
          <w:b/>
          <w:bCs/>
          <w:sz w:val="24"/>
          <w:szCs w:val="24"/>
          <w:lang w:eastAsia="ru-RU"/>
        </w:rPr>
      </w:pPr>
      <w:r w:rsidRPr="001935D0">
        <w:rPr>
          <w:rFonts w:ascii="Times New Roman" w:hAnsi="Times New Roman" w:cs="Times New Roman"/>
          <w:noProof/>
          <w:lang w:eastAsia="ru-RU"/>
        </w:rPr>
        <w:drawing>
          <wp:inline distT="0" distB="0" distL="0" distR="0" wp14:anchorId="52BCDBE2" wp14:editId="5F8523C5">
            <wp:extent cx="5918200" cy="5760720"/>
            <wp:effectExtent l="38100" t="1905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ED738F7" w14:textId="77777777" w:rsidR="006016C5" w:rsidRPr="006016C5" w:rsidRDefault="006016C5" w:rsidP="006016C5">
      <w:pPr>
        <w:pStyle w:val="NoSpacing"/>
        <w:jc w:val="center"/>
        <w:rPr>
          <w:rFonts w:ascii="Times New Roman" w:eastAsia="Times New Roman" w:hAnsi="Times New Roman" w:cs="Times New Roman"/>
          <w:bCs/>
          <w:sz w:val="16"/>
          <w:szCs w:val="16"/>
          <w:lang w:val="uk-UA" w:eastAsia="ru-RU"/>
        </w:rPr>
      </w:pPr>
    </w:p>
    <w:p w14:paraId="007A104E" w14:textId="19B299D2" w:rsidR="00AF6AF4" w:rsidRPr="001935D0" w:rsidRDefault="00F830B0" w:rsidP="006016C5">
      <w:pPr>
        <w:pStyle w:val="NoSpacing"/>
        <w:jc w:val="center"/>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val="uk-UA" w:eastAsia="ru-RU"/>
        </w:rPr>
        <w:t>Рис</w:t>
      </w:r>
      <w:r w:rsidR="006016C5">
        <w:rPr>
          <w:rFonts w:ascii="Times New Roman" w:eastAsia="Times New Roman" w:hAnsi="Times New Roman" w:cs="Times New Roman"/>
          <w:bCs/>
          <w:sz w:val="28"/>
          <w:szCs w:val="28"/>
          <w:lang w:val="uk-UA" w:eastAsia="ru-RU"/>
        </w:rPr>
        <w:t>унок</w:t>
      </w:r>
      <w:r w:rsidR="00AF6AF4" w:rsidRPr="001935D0">
        <w:rPr>
          <w:rFonts w:ascii="Times New Roman" w:eastAsia="Times New Roman" w:hAnsi="Times New Roman" w:cs="Times New Roman"/>
          <w:bCs/>
          <w:sz w:val="28"/>
          <w:szCs w:val="28"/>
          <w:lang w:eastAsia="ru-RU"/>
        </w:rPr>
        <w:t xml:space="preserve"> </w:t>
      </w:r>
      <w:r w:rsidR="00AF6AF4" w:rsidRPr="001935D0">
        <w:rPr>
          <w:rFonts w:ascii="Times New Roman" w:eastAsia="Times New Roman" w:hAnsi="Times New Roman" w:cs="Times New Roman"/>
          <w:bCs/>
          <w:sz w:val="28"/>
          <w:szCs w:val="28"/>
          <w:lang w:val="uk-UA" w:eastAsia="ru-RU"/>
        </w:rPr>
        <w:t>1.</w:t>
      </w:r>
      <w:r w:rsidRPr="001935D0">
        <w:rPr>
          <w:rFonts w:ascii="Times New Roman" w:eastAsia="Times New Roman" w:hAnsi="Times New Roman" w:cs="Times New Roman"/>
          <w:bCs/>
          <w:sz w:val="28"/>
          <w:szCs w:val="28"/>
          <w:lang w:val="uk-UA" w:eastAsia="ru-RU"/>
        </w:rPr>
        <w:t>2</w:t>
      </w:r>
      <w:r w:rsidR="00AF6AF4" w:rsidRPr="001935D0">
        <w:rPr>
          <w:rFonts w:ascii="Times New Roman" w:eastAsia="Times New Roman" w:hAnsi="Times New Roman" w:cs="Times New Roman"/>
          <w:bCs/>
          <w:sz w:val="28"/>
          <w:szCs w:val="28"/>
          <w:lang w:val="uk-UA" w:eastAsia="ru-RU"/>
        </w:rPr>
        <w:t xml:space="preserve"> </w:t>
      </w:r>
      <w:r w:rsidR="006016C5">
        <w:rPr>
          <w:rFonts w:ascii="Times New Roman" w:eastAsia="Times New Roman" w:hAnsi="Times New Roman" w:cs="Times New Roman"/>
          <w:bCs/>
          <w:sz w:val="28"/>
          <w:szCs w:val="28"/>
          <w:lang w:val="uk-UA" w:eastAsia="ru-RU"/>
        </w:rPr>
        <w:t xml:space="preserve">– </w:t>
      </w:r>
      <w:r w:rsidR="00AF6AF4" w:rsidRPr="001935D0">
        <w:rPr>
          <w:rFonts w:ascii="Times New Roman" w:eastAsia="Times New Roman" w:hAnsi="Times New Roman" w:cs="Times New Roman"/>
          <w:bCs/>
          <w:sz w:val="28"/>
          <w:szCs w:val="28"/>
          <w:lang w:eastAsia="ru-RU"/>
        </w:rPr>
        <w:t>Проблемно-целевая модель трансформации режима EUGHRSR</w:t>
      </w:r>
    </w:p>
    <w:p w14:paraId="11BA302F" w14:textId="77777777" w:rsidR="006016C5" w:rsidRPr="006016C5" w:rsidRDefault="006016C5" w:rsidP="00593711">
      <w:pPr>
        <w:pStyle w:val="NoSpacing"/>
        <w:ind w:firstLine="567"/>
        <w:jc w:val="both"/>
        <w:rPr>
          <w:rFonts w:ascii="Times New Roman" w:eastAsia="Times New Roman" w:hAnsi="Times New Roman" w:cs="Times New Roman"/>
          <w:bCs/>
          <w:sz w:val="16"/>
          <w:szCs w:val="16"/>
          <w:lang w:val="uk-UA" w:eastAsia="ru-RU"/>
        </w:rPr>
      </w:pPr>
    </w:p>
    <w:p w14:paraId="65D02CB1" w14:textId="5E222855" w:rsidR="00AF6AF4" w:rsidRPr="001935D0" w:rsidRDefault="006016C5" w:rsidP="006016C5">
      <w:pPr>
        <w:pStyle w:val="NoSpacing"/>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uk-UA" w:eastAsia="ru-RU"/>
        </w:rPr>
        <w:t xml:space="preserve">Примечание – </w:t>
      </w:r>
      <w:r w:rsidRPr="001935D0">
        <w:rPr>
          <w:rFonts w:ascii="Times New Roman" w:hAnsi="Times New Roman" w:cs="Times New Roman"/>
          <w:sz w:val="24"/>
          <w:szCs w:val="24"/>
        </w:rPr>
        <w:t>С</w:t>
      </w:r>
      <w:r w:rsidR="000B0429" w:rsidRPr="001935D0">
        <w:rPr>
          <w:rFonts w:ascii="Times New Roman" w:hAnsi="Times New Roman" w:cs="Times New Roman"/>
          <w:sz w:val="24"/>
          <w:szCs w:val="24"/>
        </w:rPr>
        <w:t xml:space="preserve">оставлено автором </w:t>
      </w:r>
    </w:p>
    <w:p w14:paraId="7E4F7085" w14:textId="77777777" w:rsidR="00414475" w:rsidRPr="001935D0" w:rsidRDefault="00414475" w:rsidP="006016C5">
      <w:pPr>
        <w:pStyle w:val="NoSpacing"/>
        <w:ind w:firstLine="709"/>
        <w:jc w:val="both"/>
        <w:rPr>
          <w:rFonts w:ascii="Times New Roman" w:hAnsi="Times New Roman" w:cs="Times New Roman"/>
          <w:sz w:val="28"/>
          <w:szCs w:val="28"/>
          <w:lang w:eastAsia="ru-RU"/>
        </w:rPr>
      </w:pPr>
    </w:p>
    <w:p w14:paraId="489C8B0A" w14:textId="2265CFF2" w:rsidR="00414475" w:rsidRPr="001935D0" w:rsidRDefault="006717FF"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Таким образом, санкционный режим EUGHRSR следует рассматривать не как статичную структуру, а как развивающийся институт, способный эволюционировать в ответ на вызовы изменяющейся международной среды. Его дальнейшее развитие требует не только устранения технических и правовых </w:t>
      </w:r>
      <w:r w:rsidR="00AD6D54">
        <w:rPr>
          <w:rFonts w:ascii="Times New Roman" w:hAnsi="Times New Roman" w:cs="Times New Roman"/>
          <w:sz w:val="28"/>
          <w:szCs w:val="28"/>
          <w:lang w:val="kk-KZ" w:eastAsia="ru-RU"/>
        </w:rPr>
        <w:t>пробелов</w:t>
      </w:r>
      <w:r w:rsidRPr="001935D0">
        <w:rPr>
          <w:rFonts w:ascii="Times New Roman" w:hAnsi="Times New Roman" w:cs="Times New Roman"/>
          <w:sz w:val="28"/>
          <w:szCs w:val="28"/>
          <w:lang w:eastAsia="ru-RU"/>
        </w:rPr>
        <w:t xml:space="preserve">, но и стратегического осмысления санкционной политики как ключевого элемента нормативной субъектности ЕС. Лишь при условии </w:t>
      </w:r>
      <w:r w:rsidRPr="001935D0">
        <w:rPr>
          <w:rFonts w:ascii="Times New Roman" w:hAnsi="Times New Roman" w:cs="Times New Roman"/>
          <w:sz w:val="28"/>
          <w:szCs w:val="28"/>
          <w:lang w:eastAsia="ru-RU"/>
        </w:rPr>
        <w:lastRenderedPageBreak/>
        <w:t xml:space="preserve">институционального укрепления и международной синхронизации EUGHRSR может превратиться из вспомогательного инструмента в полноценный стержень правозащитной дипломатии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Pr="001935D0">
        <w:rPr>
          <w:rFonts w:ascii="Times New Roman" w:hAnsi="Times New Roman" w:cs="Times New Roman"/>
          <w:sz w:val="28"/>
          <w:szCs w:val="28"/>
          <w:lang w:eastAsia="ru-RU"/>
        </w:rPr>
        <w:t>.</w:t>
      </w:r>
    </w:p>
    <w:p w14:paraId="388EC7B0" w14:textId="7F6085E6" w:rsidR="00F830B0" w:rsidRPr="001935D0" w:rsidRDefault="00F830B0"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На фоне трансформации международной среды и нарастающих вызовов институциональной легитимности, Европейский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 xml:space="preserve">оюз в последние годы демонстрирует переход от стратегии универсального продвижения демократии к модели укрепления собственной демократической устойчивости. Данный сдвиг был чётко зафиксирован в Четвёртом ежегодном обзоре поддержки демократии ЕС, подготовленном экспертами инициативы </w:t>
      </w:r>
      <w:r w:rsidRPr="001935D0">
        <w:rPr>
          <w:rFonts w:ascii="Times New Roman" w:hAnsi="Times New Roman" w:cs="Times New Roman"/>
          <w:iCs/>
          <w:sz w:val="28"/>
          <w:szCs w:val="28"/>
          <w:lang w:eastAsia="ru-RU"/>
        </w:rPr>
        <w:t>European Democracy Hub</w:t>
      </w:r>
      <w:r w:rsidR="00414475" w:rsidRPr="001935D0">
        <w:rPr>
          <w:rFonts w:ascii="Times New Roman" w:hAnsi="Times New Roman" w:cs="Times New Roman"/>
          <w:iCs/>
          <w:sz w:val="28"/>
          <w:szCs w:val="28"/>
          <w:lang w:eastAsia="ru-RU"/>
        </w:rPr>
        <w:t xml:space="preserve"> [45]</w:t>
      </w:r>
      <w:r w:rsidRPr="001935D0">
        <w:rPr>
          <w:rFonts w:ascii="Times New Roman" w:hAnsi="Times New Roman" w:cs="Times New Roman"/>
          <w:sz w:val="28"/>
          <w:szCs w:val="28"/>
          <w:lang w:eastAsia="ru-RU"/>
        </w:rPr>
        <w:t>. В частности, подчёркивается, что несмотря на рекордное число избирательных процессов по всему миру в 2024 году, внешнеполитическая активность ЕС в сфере демократии стала более сдержанной и оборонительной.</w:t>
      </w:r>
    </w:p>
    <w:p w14:paraId="588F8899" w14:textId="77777777" w:rsidR="00F830B0" w:rsidRPr="001935D0" w:rsidRDefault="00F830B0"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Такое перераспределение приоритетов обусловлено, прежде всего, усилением угроз со стороны внешних а</w:t>
      </w:r>
      <w:r w:rsidR="008228E1" w:rsidRPr="001935D0">
        <w:rPr>
          <w:rFonts w:ascii="Times New Roman" w:hAnsi="Times New Roman" w:cs="Times New Roman"/>
          <w:sz w:val="28"/>
          <w:szCs w:val="28"/>
          <w:lang w:eastAsia="ru-RU"/>
        </w:rPr>
        <w:t>вторитарных акторов –</w:t>
      </w:r>
      <w:r w:rsidRPr="001935D0">
        <w:rPr>
          <w:rFonts w:ascii="Times New Roman" w:hAnsi="Times New Roman" w:cs="Times New Roman"/>
          <w:sz w:val="28"/>
          <w:szCs w:val="28"/>
          <w:lang w:eastAsia="ru-RU"/>
        </w:rPr>
        <w:t xml:space="preserve"> в первую очередь, России и Китая, которые всё активнее применяют инструменты дезинформации, цифрового вмешательства и гибридного давления. Одновременно усиливается и внутрисоюзная уязвимость: рост популистских і радикальных сил в государствах-членах ослабляет внутренний политический консенсус по вопросам внешнего продвижения демократических стандартов.</w:t>
      </w:r>
    </w:p>
    <w:p w14:paraId="33FB0461" w14:textId="5EB71C5A" w:rsidR="008E1C22" w:rsidRPr="001935D0" w:rsidRDefault="008E1C22"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Эти процессы способствуют институциональному переосмыслению роли и задач </w:t>
      </w:r>
      <w:r w:rsidR="001A6DAB" w:rsidRPr="001935D0">
        <w:rPr>
          <w:rFonts w:ascii="Times New Roman" w:hAnsi="Times New Roman" w:cs="Times New Roman"/>
          <w:sz w:val="28"/>
          <w:szCs w:val="28"/>
          <w:lang w:eastAsia="ru-RU"/>
        </w:rPr>
        <w:t xml:space="preserve">ключевых структур Европейского </w:t>
      </w:r>
      <w:r w:rsidR="001A6DAB" w:rsidRPr="001935D0">
        <w:rPr>
          <w:rFonts w:ascii="Times New Roman" w:hAnsi="Times New Roman" w:cs="Times New Roman"/>
          <w:sz w:val="28"/>
          <w:szCs w:val="28"/>
          <w:lang w:val="kk-KZ" w:eastAsia="ru-RU"/>
        </w:rPr>
        <w:t>С</w:t>
      </w:r>
      <w:r w:rsidRPr="001935D0">
        <w:rPr>
          <w:rFonts w:ascii="Times New Roman" w:hAnsi="Times New Roman" w:cs="Times New Roman"/>
          <w:sz w:val="28"/>
          <w:szCs w:val="28"/>
          <w:lang w:eastAsia="ru-RU"/>
        </w:rPr>
        <w:t xml:space="preserve">оюза. В текущем мандатном цикле Европейской </w:t>
      </w:r>
      <w:r w:rsidR="004A3405">
        <w:rPr>
          <w:rFonts w:ascii="Times New Roman" w:hAnsi="Times New Roman" w:cs="Times New Roman"/>
          <w:sz w:val="28"/>
          <w:szCs w:val="28"/>
          <w:lang w:eastAsia="ru-RU"/>
        </w:rPr>
        <w:t>К</w:t>
      </w:r>
      <w:r w:rsidRPr="001935D0">
        <w:rPr>
          <w:rFonts w:ascii="Times New Roman" w:hAnsi="Times New Roman" w:cs="Times New Roman"/>
          <w:sz w:val="28"/>
          <w:szCs w:val="28"/>
          <w:lang w:eastAsia="ru-RU"/>
        </w:rPr>
        <w:t>омиссии (2024</w:t>
      </w:r>
      <w:r w:rsidR="006016C5">
        <w:rPr>
          <w:rFonts w:ascii="Times New Roman" w:hAnsi="Times New Roman" w:cs="Times New Roman"/>
          <w:sz w:val="28"/>
          <w:szCs w:val="28"/>
          <w:lang w:val="kk-KZ" w:eastAsia="ru-RU"/>
        </w:rPr>
        <w:t>-</w:t>
      </w:r>
      <w:r w:rsidRPr="001935D0">
        <w:rPr>
          <w:rFonts w:ascii="Times New Roman" w:hAnsi="Times New Roman" w:cs="Times New Roman"/>
          <w:sz w:val="28"/>
          <w:szCs w:val="28"/>
          <w:lang w:eastAsia="ru-RU"/>
        </w:rPr>
        <w:t xml:space="preserve">2029) терминология, связанная с «поддержкой демократии», всё чаще уступает место понятиям «стратегической автономии», «цифровой устойчивости» и «информационной безопасности». Европейская служба внешнеполитической деятельности (EEAS), ранее игравшая центральную роль в координации демократии-партнёрства, в условиях геополитической турбулентности смещает акценты на кризисное реагирование и защиту стратегических интересов </w:t>
      </w:r>
      <w:r w:rsidR="00CF2560" w:rsidRPr="001935D0">
        <w:rPr>
          <w:rFonts w:ascii="Times New Roman" w:eastAsia="Times New Roman" w:hAnsi="Times New Roman" w:cs="Times New Roman"/>
          <w:sz w:val="28"/>
          <w:szCs w:val="28"/>
          <w:lang w:eastAsia="ru-RU"/>
        </w:rPr>
        <w:t xml:space="preserve">Европейского </w:t>
      </w:r>
      <w:r w:rsidR="00CF2560" w:rsidRPr="001935D0">
        <w:rPr>
          <w:rFonts w:ascii="Times New Roman" w:eastAsia="Times New Roman" w:hAnsi="Times New Roman" w:cs="Times New Roman"/>
          <w:sz w:val="28"/>
          <w:szCs w:val="28"/>
          <w:lang w:val="uk-UA" w:eastAsia="ru-RU"/>
        </w:rPr>
        <w:t>С</w:t>
      </w:r>
      <w:r w:rsidR="00CF2560" w:rsidRPr="001935D0">
        <w:rPr>
          <w:rFonts w:ascii="Times New Roman" w:eastAsia="Times New Roman" w:hAnsi="Times New Roman" w:cs="Times New Roman"/>
          <w:sz w:val="28"/>
          <w:szCs w:val="28"/>
          <w:lang w:eastAsia="ru-RU"/>
        </w:rPr>
        <w:t>оюза</w:t>
      </w:r>
      <w:r w:rsidRPr="001935D0">
        <w:rPr>
          <w:rFonts w:ascii="Times New Roman" w:hAnsi="Times New Roman" w:cs="Times New Roman"/>
          <w:sz w:val="28"/>
          <w:szCs w:val="28"/>
          <w:lang w:eastAsia="ru-RU"/>
        </w:rPr>
        <w:t>. Дополнительно, в рамках финансово-программного инструмента NDICI – Global Europe усиливается контроль за целевым использованием ресурсов, при этом особое внимание уделяется институциональной нейтральности и «аполитичности» получателей поддержки [45].</w:t>
      </w:r>
    </w:p>
    <w:p w14:paraId="3F0AD08B" w14:textId="6120EE46" w:rsidR="008228E1" w:rsidRDefault="00F830B0" w:rsidP="006016C5">
      <w:pPr>
        <w:pStyle w:val="NoSpacing"/>
        <w:ind w:firstLine="709"/>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В ответ на данные изменения предлагается концептуальная модель, описывающая переход от парадигмы «демократического продвижения» к концепту «демократической устойчивости» (</w:t>
      </w:r>
      <w:r w:rsidRPr="001935D0">
        <w:rPr>
          <w:rFonts w:ascii="Times New Roman" w:hAnsi="Times New Roman" w:cs="Times New Roman"/>
          <w:i/>
          <w:iCs/>
          <w:sz w:val="28"/>
          <w:szCs w:val="28"/>
          <w:lang w:eastAsia="ru-RU"/>
        </w:rPr>
        <w:t>democracy resilience</w:t>
      </w:r>
      <w:r w:rsidRPr="001935D0">
        <w:rPr>
          <w:rFonts w:ascii="Times New Roman" w:hAnsi="Times New Roman" w:cs="Times New Roman"/>
          <w:sz w:val="28"/>
          <w:szCs w:val="28"/>
          <w:lang w:eastAsia="ru-RU"/>
        </w:rPr>
        <w:t>). В её основе лежит не отказ от ценностей, а стремление адаптировать их реализацию к новой международной и внутренней реальности</w:t>
      </w:r>
      <w:r w:rsidR="007931DB" w:rsidRPr="001935D0">
        <w:rPr>
          <w:rFonts w:ascii="Times New Roman" w:hAnsi="Times New Roman" w:cs="Times New Roman"/>
          <w:sz w:val="28"/>
          <w:szCs w:val="28"/>
          <w:lang w:val="uk-UA" w:eastAsia="ru-RU"/>
        </w:rPr>
        <w:t xml:space="preserve"> (рис</w:t>
      </w:r>
      <w:r w:rsidR="006016C5">
        <w:rPr>
          <w:rFonts w:ascii="Times New Roman" w:hAnsi="Times New Roman" w:cs="Times New Roman"/>
          <w:sz w:val="28"/>
          <w:szCs w:val="28"/>
          <w:lang w:val="uk-UA" w:eastAsia="ru-RU"/>
        </w:rPr>
        <w:t>унок</w:t>
      </w:r>
      <w:r w:rsidR="007931DB" w:rsidRPr="001935D0">
        <w:rPr>
          <w:rFonts w:ascii="Times New Roman" w:hAnsi="Times New Roman" w:cs="Times New Roman"/>
          <w:sz w:val="28"/>
          <w:szCs w:val="28"/>
          <w:lang w:val="uk-UA" w:eastAsia="ru-RU"/>
        </w:rPr>
        <w:t xml:space="preserve"> 1.3)</w:t>
      </w:r>
      <w:r w:rsidRPr="001935D0">
        <w:rPr>
          <w:rFonts w:ascii="Times New Roman" w:hAnsi="Times New Roman" w:cs="Times New Roman"/>
          <w:sz w:val="28"/>
          <w:szCs w:val="28"/>
          <w:lang w:eastAsia="ru-RU"/>
        </w:rPr>
        <w:t xml:space="preserve">. </w:t>
      </w:r>
    </w:p>
    <w:p w14:paraId="41BD56C8" w14:textId="77777777" w:rsidR="006016C5" w:rsidRPr="001935D0" w:rsidRDefault="006016C5" w:rsidP="006016C5">
      <w:pPr>
        <w:pStyle w:val="NoSpacing"/>
        <w:ind w:firstLine="709"/>
        <w:jc w:val="both"/>
        <w:rPr>
          <w:rFonts w:ascii="Times New Roman" w:hAnsi="Times New Roman" w:cs="Times New Roman"/>
          <w:b/>
          <w:sz w:val="28"/>
          <w:szCs w:val="28"/>
          <w:lang w:eastAsia="ru-RU"/>
        </w:rPr>
      </w:pPr>
      <w:r w:rsidRPr="001935D0">
        <w:rPr>
          <w:rFonts w:ascii="Times New Roman" w:eastAsia="Times New Roman" w:hAnsi="Times New Roman" w:cs="Times New Roman"/>
          <w:sz w:val="28"/>
          <w:szCs w:val="28"/>
          <w:lang w:eastAsia="ru-RU"/>
        </w:rPr>
        <w:t xml:space="preserve">Таким образом, Европейский </w:t>
      </w:r>
      <w:r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 xml:space="preserve">оюз, сталкиваясь с внутренними и внешними угрозами демократическому порядку, выстраивает новую парадигму, в которой стратегический прагматизм сочетается с сохранением нормативного ядра. Переход от экзогенного миссионерства к эндогенному укреплению демократии отражает не эрозию ценностей, а их институциональную адаптацию к эпохе конкурирующих моделей управления, цифровой нестабильности и ослабления многостороннего регулирования. В этом контексте, формирование устойчивой, гибкой и технологически защищённой модели демократии </w:t>
      </w:r>
      <w:r w:rsidRPr="001935D0">
        <w:rPr>
          <w:rFonts w:ascii="Times New Roman" w:eastAsia="Times New Roman" w:hAnsi="Times New Roman" w:cs="Times New Roman"/>
          <w:sz w:val="28"/>
          <w:szCs w:val="28"/>
          <w:lang w:eastAsia="ru-RU"/>
        </w:rPr>
        <w:lastRenderedPageBreak/>
        <w:t>становится не только приоритетом внутренней политики, но и основой внешнеполитической субъектности ЕС в XXI веке</w:t>
      </w:r>
    </w:p>
    <w:p w14:paraId="1CEF45D5" w14:textId="77777777" w:rsidR="008228E1" w:rsidRPr="001935D0" w:rsidRDefault="008228E1" w:rsidP="006016C5">
      <w:pPr>
        <w:pStyle w:val="NoSpacing"/>
        <w:ind w:firstLine="709"/>
        <w:jc w:val="both"/>
        <w:rPr>
          <w:rFonts w:ascii="Times New Roman" w:hAnsi="Times New Roman" w:cs="Times New Roman"/>
          <w:sz w:val="28"/>
          <w:szCs w:val="28"/>
          <w:lang w:eastAsia="ru-RU"/>
        </w:rPr>
      </w:pPr>
    </w:p>
    <w:p w14:paraId="2256ADFC" w14:textId="77777777" w:rsidR="008228E1" w:rsidRPr="001935D0" w:rsidRDefault="008228E1" w:rsidP="00593711">
      <w:pPr>
        <w:pStyle w:val="NoSpacing"/>
        <w:ind w:firstLine="567"/>
        <w:jc w:val="both"/>
        <w:rPr>
          <w:rFonts w:ascii="Times New Roman" w:hAnsi="Times New Roman" w:cs="Times New Roman"/>
          <w:sz w:val="28"/>
          <w:szCs w:val="28"/>
          <w:lang w:eastAsia="ru-RU"/>
        </w:rPr>
      </w:pPr>
      <w:r w:rsidRPr="001935D0">
        <w:rPr>
          <w:rFonts w:ascii="Times New Roman" w:hAnsi="Times New Roman" w:cs="Times New Roman"/>
          <w:noProof/>
          <w:sz w:val="28"/>
          <w:szCs w:val="28"/>
          <w:lang w:eastAsia="ru-RU"/>
        </w:rPr>
        <w:drawing>
          <wp:inline distT="0" distB="0" distL="0" distR="0" wp14:anchorId="323F0940" wp14:editId="573E48B3">
            <wp:extent cx="5486400" cy="5311140"/>
            <wp:effectExtent l="57150" t="38100" r="38100" b="8001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25D5976" w14:textId="77777777" w:rsidR="008228E1" w:rsidRPr="006016C5" w:rsidRDefault="008228E1" w:rsidP="00593711">
      <w:pPr>
        <w:pStyle w:val="NoSpacing"/>
        <w:ind w:firstLine="567"/>
        <w:jc w:val="both"/>
        <w:rPr>
          <w:rFonts w:ascii="Times New Roman" w:hAnsi="Times New Roman" w:cs="Times New Roman"/>
          <w:sz w:val="16"/>
          <w:szCs w:val="16"/>
          <w:lang w:eastAsia="ru-RU"/>
        </w:rPr>
      </w:pPr>
    </w:p>
    <w:p w14:paraId="023DF790" w14:textId="51D50EEA" w:rsidR="008228E1" w:rsidRPr="001935D0" w:rsidRDefault="008228E1" w:rsidP="006016C5">
      <w:pPr>
        <w:pStyle w:val="NoSpacing"/>
        <w:jc w:val="center"/>
        <w:rPr>
          <w:rFonts w:ascii="Times New Roman" w:hAnsi="Times New Roman" w:cs="Times New Roman"/>
          <w:sz w:val="28"/>
          <w:szCs w:val="28"/>
          <w:lang w:val="uk-UA" w:eastAsia="ru-RU"/>
        </w:rPr>
      </w:pPr>
      <w:r w:rsidRPr="001935D0">
        <w:rPr>
          <w:rFonts w:ascii="Times New Roman" w:hAnsi="Times New Roman" w:cs="Times New Roman"/>
          <w:sz w:val="28"/>
          <w:szCs w:val="28"/>
          <w:lang w:val="uk-UA" w:eastAsia="ru-RU"/>
        </w:rPr>
        <w:t>Рис</w:t>
      </w:r>
      <w:r w:rsidR="006016C5">
        <w:rPr>
          <w:rFonts w:ascii="Times New Roman" w:hAnsi="Times New Roman" w:cs="Times New Roman"/>
          <w:sz w:val="28"/>
          <w:szCs w:val="28"/>
          <w:lang w:val="uk-UA" w:eastAsia="ru-RU"/>
        </w:rPr>
        <w:t>унок</w:t>
      </w:r>
      <w:r w:rsidRPr="001935D0">
        <w:rPr>
          <w:rFonts w:ascii="Times New Roman" w:hAnsi="Times New Roman" w:cs="Times New Roman"/>
          <w:sz w:val="28"/>
          <w:szCs w:val="28"/>
          <w:lang w:val="uk-UA" w:eastAsia="ru-RU"/>
        </w:rPr>
        <w:t xml:space="preserve"> 1.3 </w:t>
      </w:r>
      <w:r w:rsidR="006016C5">
        <w:rPr>
          <w:rFonts w:ascii="Times New Roman" w:hAnsi="Times New Roman" w:cs="Times New Roman"/>
          <w:sz w:val="28"/>
          <w:szCs w:val="28"/>
          <w:lang w:val="uk-UA" w:eastAsia="ru-RU"/>
        </w:rPr>
        <w:t xml:space="preserve">– </w:t>
      </w:r>
      <w:r w:rsidRPr="001935D0">
        <w:rPr>
          <w:rFonts w:ascii="Times New Roman" w:hAnsi="Times New Roman" w:cs="Times New Roman"/>
          <w:sz w:val="28"/>
          <w:szCs w:val="28"/>
          <w:lang w:val="uk-UA" w:eastAsia="ru-RU"/>
        </w:rPr>
        <w:t>Модель перехода от парадигмы демократического продвижения к демократической резилиентности</w:t>
      </w:r>
    </w:p>
    <w:p w14:paraId="1E4EEDD0" w14:textId="77777777" w:rsidR="008228E1" w:rsidRPr="006016C5" w:rsidRDefault="008228E1" w:rsidP="00593711">
      <w:pPr>
        <w:pStyle w:val="NoSpacing"/>
        <w:ind w:firstLine="567"/>
        <w:jc w:val="both"/>
        <w:rPr>
          <w:rFonts w:ascii="Times New Roman" w:hAnsi="Times New Roman" w:cs="Times New Roman"/>
          <w:sz w:val="16"/>
          <w:szCs w:val="16"/>
          <w:lang w:val="uk-UA" w:eastAsia="ru-RU"/>
        </w:rPr>
      </w:pPr>
    </w:p>
    <w:p w14:paraId="5505F544" w14:textId="680E830D" w:rsidR="000B0429" w:rsidRPr="001935D0" w:rsidRDefault="006016C5" w:rsidP="006016C5">
      <w:pPr>
        <w:pStyle w:val="NoSpacing"/>
        <w:ind w:firstLine="709"/>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Примечание – </w:t>
      </w:r>
      <w:r w:rsidRPr="001935D0">
        <w:rPr>
          <w:rFonts w:ascii="Times New Roman" w:hAnsi="Times New Roman" w:cs="Times New Roman"/>
          <w:sz w:val="24"/>
          <w:szCs w:val="24"/>
        </w:rPr>
        <w:t>С</w:t>
      </w:r>
      <w:r w:rsidR="000B0429" w:rsidRPr="001935D0">
        <w:rPr>
          <w:rFonts w:ascii="Times New Roman" w:hAnsi="Times New Roman" w:cs="Times New Roman"/>
          <w:sz w:val="24"/>
          <w:szCs w:val="24"/>
        </w:rPr>
        <w:t xml:space="preserve">оставлено автором по данным </w:t>
      </w:r>
      <w:r>
        <w:rPr>
          <w:rFonts w:ascii="Times New Roman" w:hAnsi="Times New Roman" w:cs="Times New Roman"/>
          <w:sz w:val="24"/>
          <w:szCs w:val="24"/>
          <w:lang w:val="kk-KZ"/>
        </w:rPr>
        <w:t xml:space="preserve">источника </w:t>
      </w:r>
      <w:r w:rsidR="000B0429" w:rsidRPr="001935D0">
        <w:rPr>
          <w:rFonts w:ascii="Times New Roman" w:hAnsi="Times New Roman" w:cs="Times New Roman"/>
          <w:sz w:val="24"/>
          <w:szCs w:val="24"/>
        </w:rPr>
        <w:t>[45]</w:t>
      </w:r>
      <w:r w:rsidR="000B0429" w:rsidRPr="001935D0">
        <w:rPr>
          <w:rFonts w:ascii="Times New Roman" w:hAnsi="Times New Roman" w:cs="Times New Roman"/>
          <w:sz w:val="24"/>
          <w:szCs w:val="24"/>
          <w:lang w:eastAsia="ru-RU"/>
        </w:rPr>
        <w:t xml:space="preserve"> </w:t>
      </w:r>
    </w:p>
    <w:p w14:paraId="609F2517" w14:textId="77777777" w:rsidR="000B0429" w:rsidRPr="001935D0" w:rsidRDefault="000B0429" w:rsidP="006016C5">
      <w:pPr>
        <w:pStyle w:val="NoSpacing"/>
        <w:ind w:firstLine="709"/>
        <w:jc w:val="both"/>
        <w:rPr>
          <w:rFonts w:ascii="Times New Roman" w:hAnsi="Times New Roman" w:cs="Times New Roman"/>
          <w:sz w:val="28"/>
          <w:szCs w:val="28"/>
          <w:lang w:eastAsia="ru-RU"/>
        </w:rPr>
      </w:pPr>
    </w:p>
    <w:p w14:paraId="55BA48BA" w14:textId="287596CD" w:rsidR="007931DB" w:rsidRPr="001935D0" w:rsidRDefault="007931DB"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В условиях нарастающей конкуренции нормативных моделей и глобализации требований к корпоративной ответственности, Европейский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 xml:space="preserve">оюз постепенно формирует уникальный инструмент внешнеполитического воздействия, в основе которого лежит институционализированная связка между правами человека, устойчивым развитием и обязательной отчетностью бизнеса. Современное понимание прав человека в политике ЕС выходит за рамки традиционной гуманитарной риторики и всё в большей степени реализуется через архитектуру ESG (Environmental, Social, Governance) – подход, интегрированный как в правовые нормы </w:t>
      </w:r>
      <w:r w:rsidR="00CF2560" w:rsidRPr="001935D0">
        <w:rPr>
          <w:rFonts w:ascii="Times New Roman" w:hAnsi="Times New Roman" w:cs="Times New Roman"/>
          <w:sz w:val="28"/>
          <w:szCs w:val="28"/>
          <w:lang w:eastAsia="ru-RU"/>
        </w:rPr>
        <w:t>Европейск</w:t>
      </w:r>
      <w:r w:rsidR="00CF2560" w:rsidRPr="001935D0">
        <w:rPr>
          <w:rFonts w:ascii="Times New Roman" w:hAnsi="Times New Roman" w:cs="Times New Roman"/>
          <w:sz w:val="28"/>
          <w:szCs w:val="28"/>
          <w:lang w:val="uk-UA" w:eastAsia="ru-RU"/>
        </w:rPr>
        <w:t>ого</w:t>
      </w:r>
      <w:r w:rsidR="00CF2560" w:rsidRPr="001935D0">
        <w:rPr>
          <w:rFonts w:ascii="Times New Roman" w:hAnsi="Times New Roman" w:cs="Times New Roman"/>
          <w:sz w:val="28"/>
          <w:szCs w:val="28"/>
          <w:lang w:eastAsia="ru-RU"/>
        </w:rPr>
        <w:t xml:space="preserve"> </w:t>
      </w:r>
      <w:r w:rsidR="00CF2560" w:rsidRPr="001935D0">
        <w:rPr>
          <w:rFonts w:ascii="Times New Roman" w:hAnsi="Times New Roman" w:cs="Times New Roman"/>
          <w:sz w:val="28"/>
          <w:szCs w:val="28"/>
          <w:lang w:val="uk-UA" w:eastAsia="ru-RU"/>
        </w:rPr>
        <w:t>С</w:t>
      </w:r>
      <w:r w:rsidR="00CF2560" w:rsidRPr="001935D0">
        <w:rPr>
          <w:rFonts w:ascii="Times New Roman" w:hAnsi="Times New Roman" w:cs="Times New Roman"/>
          <w:sz w:val="28"/>
          <w:szCs w:val="28"/>
          <w:lang w:eastAsia="ru-RU"/>
        </w:rPr>
        <w:t>оюз</w:t>
      </w:r>
      <w:r w:rsidR="00CF2560" w:rsidRPr="001935D0">
        <w:rPr>
          <w:rFonts w:ascii="Times New Roman" w:hAnsi="Times New Roman" w:cs="Times New Roman"/>
          <w:sz w:val="28"/>
          <w:szCs w:val="28"/>
          <w:lang w:val="uk-UA" w:eastAsia="ru-RU"/>
        </w:rPr>
        <w:t>а</w:t>
      </w:r>
      <w:r w:rsidRPr="001935D0">
        <w:rPr>
          <w:rFonts w:ascii="Times New Roman" w:hAnsi="Times New Roman" w:cs="Times New Roman"/>
          <w:sz w:val="28"/>
          <w:szCs w:val="28"/>
          <w:lang w:eastAsia="ru-RU"/>
        </w:rPr>
        <w:t>, так и во внешнеэкономические стратегии</w:t>
      </w:r>
      <w:r w:rsidR="00414475" w:rsidRPr="001935D0">
        <w:rPr>
          <w:rFonts w:ascii="Times New Roman" w:hAnsi="Times New Roman" w:cs="Times New Roman"/>
          <w:sz w:val="28"/>
          <w:szCs w:val="28"/>
          <w:lang w:val="uk-UA" w:eastAsia="ru-RU"/>
        </w:rPr>
        <w:t xml:space="preserve"> </w:t>
      </w:r>
      <w:r w:rsidR="00414475" w:rsidRPr="001935D0">
        <w:rPr>
          <w:rFonts w:ascii="Times New Roman" w:hAnsi="Times New Roman" w:cs="Times New Roman"/>
          <w:sz w:val="28"/>
          <w:szCs w:val="28"/>
          <w:lang w:eastAsia="ru-RU"/>
        </w:rPr>
        <w:t>[46]</w:t>
      </w:r>
      <w:r w:rsidRPr="001935D0">
        <w:rPr>
          <w:rFonts w:ascii="Times New Roman" w:hAnsi="Times New Roman" w:cs="Times New Roman"/>
          <w:sz w:val="28"/>
          <w:szCs w:val="28"/>
          <w:lang w:eastAsia="ru-RU"/>
        </w:rPr>
        <w:t>.</w:t>
      </w:r>
    </w:p>
    <w:p w14:paraId="6684E275" w14:textId="732DA5B9" w:rsidR="007931DB" w:rsidRPr="001935D0" w:rsidRDefault="007931DB"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lastRenderedPageBreak/>
        <w:t>Ключевыми элементами этой архитектуры стали три нормативных акта: Регламент о раскрытии информации о устойчивом финансировании (SFDR), Директива по корпоративной отчетности в сфере устойчивого развития (CSRD) и таксономия ЕС (EU Taxonomy)</w:t>
      </w:r>
      <w:r w:rsidR="00FB42C6" w:rsidRPr="001935D0">
        <w:rPr>
          <w:rFonts w:ascii="Times New Roman" w:hAnsi="Times New Roman" w:cs="Times New Roman"/>
          <w:sz w:val="28"/>
          <w:szCs w:val="28"/>
          <w:lang w:eastAsia="ru-RU"/>
        </w:rPr>
        <w:t xml:space="preserve"> [47</w:t>
      </w:r>
      <w:r w:rsidR="0014676E">
        <w:rPr>
          <w:rFonts w:ascii="Times New Roman" w:hAnsi="Times New Roman" w:cs="Times New Roman"/>
          <w:sz w:val="28"/>
          <w:szCs w:val="28"/>
          <w:lang w:val="kk-KZ" w:eastAsia="ru-RU"/>
        </w:rPr>
        <w:t xml:space="preserve">; </w:t>
      </w:r>
      <w:r w:rsidR="00FB42C6" w:rsidRPr="001935D0">
        <w:rPr>
          <w:rFonts w:ascii="Times New Roman" w:hAnsi="Times New Roman" w:cs="Times New Roman"/>
          <w:sz w:val="28"/>
          <w:szCs w:val="28"/>
          <w:lang w:eastAsia="ru-RU"/>
        </w:rPr>
        <w:t>48</w:t>
      </w:r>
      <w:r w:rsidR="0014676E">
        <w:rPr>
          <w:rFonts w:ascii="Times New Roman" w:hAnsi="Times New Roman" w:cs="Times New Roman"/>
          <w:sz w:val="28"/>
          <w:szCs w:val="28"/>
          <w:lang w:val="kk-KZ" w:eastAsia="ru-RU"/>
        </w:rPr>
        <w:t xml:space="preserve">; </w:t>
      </w:r>
      <w:r w:rsidR="00FB42C6" w:rsidRPr="001935D0">
        <w:rPr>
          <w:rFonts w:ascii="Times New Roman" w:hAnsi="Times New Roman" w:cs="Times New Roman"/>
          <w:sz w:val="28"/>
          <w:szCs w:val="28"/>
          <w:lang w:eastAsia="ru-RU"/>
        </w:rPr>
        <w:t>49]</w:t>
      </w:r>
      <w:r w:rsidRPr="001935D0">
        <w:rPr>
          <w:rFonts w:ascii="Times New Roman" w:hAnsi="Times New Roman" w:cs="Times New Roman"/>
          <w:sz w:val="28"/>
          <w:szCs w:val="28"/>
          <w:lang w:eastAsia="ru-RU"/>
        </w:rPr>
        <w:t>. В совокупности они формируют связную институциональную систему, которая не только определяет принципы устойчивости, но и задаёт регламент поведения частных и публичных акторов с точки зрения соблюдения прав человека.</w:t>
      </w:r>
    </w:p>
    <w:p w14:paraId="12F08902" w14:textId="77777777" w:rsidR="007931DB" w:rsidRPr="001935D0" w:rsidRDefault="007931DB"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EU Taxonomy устанавливает классификацию видов экономической деятельности, совместимых с целями устойчивого развития, тем самым исключая финансирование проектов, сопряжённых с социальным или экологическим ущербом. CSRD обязывает компании учитывать двойную материальность, то есть как влияние бизнеса на общество и окружающую среду, так и влияние внешней среды на сам бизнес. SFDR, в свою очередь, обеспечивает раскрытие ESG-рисков и предотвращает практики так называемого «зелёного камуфляжа». Совместное применение этих инструментов делает возможным институциональное встраивание прав человека в логистику инвестиционных решений и цепочек поставок.</w:t>
      </w:r>
    </w:p>
    <w:p w14:paraId="30C4D7C9" w14:textId="77777777" w:rsidR="007931DB" w:rsidRPr="001935D0" w:rsidRDefault="007931DB"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Данный подход не ограничивается внутренним регулированием. Он получает внешнеполитическую проекцию в форме ESG-дипломатии. Интеграция стандартов прозрачности и подотчётности в торговые и инвестиционные соглашения позволяет ЕС продвигать свои ценности, не прибегая к прямому нормативному давлению. Примером такой трансформации служит Директива о должной осмотрительности в цепочках поставок (CS3D), предусматривающая юридическую ответственность европейских компаний за нарушение прав человека в третьих странах</w:t>
      </w:r>
      <w:r w:rsidR="00FB42C6" w:rsidRPr="001935D0">
        <w:rPr>
          <w:rFonts w:ascii="Times New Roman" w:hAnsi="Times New Roman" w:cs="Times New Roman"/>
          <w:sz w:val="28"/>
          <w:szCs w:val="28"/>
          <w:lang w:val="uk-UA" w:eastAsia="ru-RU"/>
        </w:rPr>
        <w:t xml:space="preserve"> </w:t>
      </w:r>
      <w:r w:rsidR="00FB42C6" w:rsidRPr="001935D0">
        <w:rPr>
          <w:rFonts w:ascii="Times New Roman" w:hAnsi="Times New Roman" w:cs="Times New Roman"/>
          <w:sz w:val="28"/>
          <w:szCs w:val="28"/>
          <w:lang w:eastAsia="ru-RU"/>
        </w:rPr>
        <w:t>[50]</w:t>
      </w:r>
      <w:r w:rsidRPr="001935D0">
        <w:rPr>
          <w:rFonts w:ascii="Times New Roman" w:hAnsi="Times New Roman" w:cs="Times New Roman"/>
          <w:sz w:val="28"/>
          <w:szCs w:val="28"/>
          <w:lang w:eastAsia="ru-RU"/>
        </w:rPr>
        <w:t>.</w:t>
      </w:r>
    </w:p>
    <w:p w14:paraId="0A970D7E" w14:textId="670BD245" w:rsidR="007931DB" w:rsidRPr="001935D0" w:rsidRDefault="007931DB"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Таким образом, ESG-парадигма становится инструментом нормативного позиционирования ЕС на международной арене. Он</w:t>
      </w:r>
      <w:r w:rsidR="00FB42C6" w:rsidRPr="001935D0">
        <w:rPr>
          <w:rFonts w:ascii="Times New Roman" w:hAnsi="Times New Roman" w:cs="Times New Roman"/>
          <w:sz w:val="28"/>
          <w:szCs w:val="28"/>
          <w:lang w:eastAsia="ru-RU"/>
        </w:rPr>
        <w:t xml:space="preserve">а обеспечивает гибридную форму </w:t>
      </w:r>
      <w:r w:rsidR="00FB42C6" w:rsidRPr="001935D0">
        <w:rPr>
          <w:rFonts w:ascii="Times New Roman" w:hAnsi="Times New Roman" w:cs="Times New Roman"/>
          <w:sz w:val="28"/>
          <w:szCs w:val="28"/>
          <w:lang w:val="uk-UA" w:eastAsia="ru-RU"/>
        </w:rPr>
        <w:t>«</w:t>
      </w:r>
      <w:r w:rsidRPr="001935D0">
        <w:rPr>
          <w:rFonts w:ascii="Times New Roman" w:hAnsi="Times New Roman" w:cs="Times New Roman"/>
          <w:sz w:val="28"/>
          <w:szCs w:val="28"/>
          <w:lang w:eastAsia="ru-RU"/>
        </w:rPr>
        <w:t>мягкой силы</w:t>
      </w:r>
      <w:r w:rsidR="00FB42C6" w:rsidRPr="001935D0">
        <w:rPr>
          <w:rFonts w:ascii="Times New Roman" w:hAnsi="Times New Roman" w:cs="Times New Roman"/>
          <w:sz w:val="28"/>
          <w:szCs w:val="28"/>
          <w:lang w:val="uk-UA" w:eastAsia="ru-RU"/>
        </w:rPr>
        <w:t>»</w:t>
      </w:r>
      <w:r w:rsidRPr="001935D0">
        <w:rPr>
          <w:rFonts w:ascii="Times New Roman" w:hAnsi="Times New Roman" w:cs="Times New Roman"/>
          <w:sz w:val="28"/>
          <w:szCs w:val="28"/>
          <w:lang w:eastAsia="ru-RU"/>
        </w:rPr>
        <w:t xml:space="preserve">, соединяющую экономический прагматизм с правозащитными императивами. Как показано на </w:t>
      </w:r>
      <w:r w:rsidR="00BC5620" w:rsidRPr="001935D0">
        <w:rPr>
          <w:rFonts w:ascii="Times New Roman" w:hAnsi="Times New Roman" w:cs="Times New Roman"/>
          <w:sz w:val="28"/>
          <w:szCs w:val="28"/>
          <w:lang w:val="uk-UA" w:eastAsia="ru-RU"/>
        </w:rPr>
        <w:t>рис</w:t>
      </w:r>
      <w:r w:rsidR="006016C5">
        <w:rPr>
          <w:rFonts w:ascii="Times New Roman" w:hAnsi="Times New Roman" w:cs="Times New Roman"/>
          <w:sz w:val="28"/>
          <w:szCs w:val="28"/>
          <w:lang w:val="uk-UA" w:eastAsia="ru-RU"/>
        </w:rPr>
        <w:t>унке</w:t>
      </w:r>
      <w:r w:rsidR="00BC5620" w:rsidRPr="001935D0">
        <w:rPr>
          <w:rFonts w:ascii="Times New Roman" w:hAnsi="Times New Roman" w:cs="Times New Roman"/>
          <w:sz w:val="28"/>
          <w:szCs w:val="28"/>
          <w:lang w:val="uk-UA" w:eastAsia="ru-RU"/>
        </w:rPr>
        <w:t xml:space="preserve"> 1.4</w:t>
      </w:r>
      <w:r w:rsidRPr="001935D0">
        <w:rPr>
          <w:rFonts w:ascii="Times New Roman" w:hAnsi="Times New Roman" w:cs="Times New Roman"/>
          <w:sz w:val="28"/>
          <w:szCs w:val="28"/>
          <w:lang w:eastAsia="ru-RU"/>
        </w:rPr>
        <w:t>, механизмы раскрытия, отчётности и классификации взаимосвязаны с системой защиты прав человека как внутри ЕС, так и за его пределами, формируя многоуровневую нормативную юрисдикцию.</w:t>
      </w:r>
    </w:p>
    <w:p w14:paraId="5BBC294F" w14:textId="77777777" w:rsidR="006A0854" w:rsidRPr="001935D0" w:rsidRDefault="006A0854" w:rsidP="006A085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Однако, несмотря на амбициозность архитектуры ESG, она сталкивается с рядом критических ограничений. Прежде всего – это риски двойных стандартов, особенно при взаимодействии с авторитарными режимами, где политическая стабильность ставится выше прав человека. Кроме того, растущая регуляторная нагрузка вызывает сопротивление со стороны компаний и отдельных государств-членов. Неурегулированным остаётся и вопрос признания стандартов ЕС на международном уровне – особенно в условиях конкуренции нормативных систем (например, между ЕС и США или Китаем), что ограничивает трансграничную эффективность ESG-подхода.</w:t>
      </w:r>
    </w:p>
    <w:p w14:paraId="5FED5B96" w14:textId="77777777" w:rsidR="007931DB" w:rsidRPr="001935D0" w:rsidRDefault="007931DB" w:rsidP="00593711">
      <w:pPr>
        <w:pStyle w:val="NoSpacing"/>
        <w:ind w:firstLine="567"/>
        <w:jc w:val="both"/>
        <w:rPr>
          <w:rFonts w:ascii="Times New Roman" w:hAnsi="Times New Roman" w:cs="Times New Roman"/>
          <w:sz w:val="28"/>
          <w:szCs w:val="28"/>
          <w:lang w:eastAsia="ru-RU"/>
        </w:rPr>
      </w:pPr>
    </w:p>
    <w:p w14:paraId="2FDF67E7" w14:textId="77777777" w:rsidR="007931DB" w:rsidRPr="001935D0" w:rsidRDefault="007931DB" w:rsidP="00593711">
      <w:pPr>
        <w:pStyle w:val="NoSpacing"/>
        <w:jc w:val="center"/>
        <w:rPr>
          <w:rFonts w:ascii="Times New Roman" w:hAnsi="Times New Roman" w:cs="Times New Roman"/>
          <w:sz w:val="28"/>
          <w:szCs w:val="28"/>
          <w:lang w:val="uk-UA" w:eastAsia="ru-RU"/>
        </w:rPr>
      </w:pPr>
      <w:r w:rsidRPr="001935D0">
        <w:rPr>
          <w:rFonts w:ascii="Times New Roman" w:hAnsi="Times New Roman" w:cs="Times New Roman"/>
          <w:noProof/>
          <w:sz w:val="28"/>
          <w:szCs w:val="28"/>
          <w:lang w:eastAsia="ru-RU"/>
        </w:rPr>
        <w:lastRenderedPageBreak/>
        <w:drawing>
          <wp:inline distT="0" distB="0" distL="0" distR="0" wp14:anchorId="7B00C372" wp14:editId="4781C9E5">
            <wp:extent cx="5486400" cy="2476500"/>
            <wp:effectExtent l="0" t="0" r="0" b="1905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8A1DDAA" w14:textId="77777777" w:rsidR="007931DB" w:rsidRPr="006016C5" w:rsidRDefault="007931DB" w:rsidP="00593711">
      <w:pPr>
        <w:pStyle w:val="NoSpacing"/>
        <w:rPr>
          <w:rFonts w:ascii="Times New Roman" w:hAnsi="Times New Roman" w:cs="Times New Roman"/>
          <w:sz w:val="16"/>
          <w:szCs w:val="16"/>
          <w:lang w:val="uk-UA" w:eastAsia="ru-RU"/>
        </w:rPr>
      </w:pPr>
    </w:p>
    <w:p w14:paraId="64C186F1" w14:textId="4ABF4186" w:rsidR="007931DB" w:rsidRPr="001935D0" w:rsidRDefault="007931DB" w:rsidP="00593711">
      <w:pPr>
        <w:pStyle w:val="NoSpacing"/>
        <w:jc w:val="center"/>
        <w:rPr>
          <w:rFonts w:ascii="Times New Roman" w:hAnsi="Times New Roman" w:cs="Times New Roman"/>
          <w:sz w:val="28"/>
          <w:szCs w:val="28"/>
          <w:lang w:eastAsia="ru-RU"/>
        </w:rPr>
      </w:pPr>
      <w:r w:rsidRPr="001935D0">
        <w:rPr>
          <w:rFonts w:ascii="Times New Roman" w:hAnsi="Times New Roman" w:cs="Times New Roman"/>
          <w:sz w:val="28"/>
          <w:szCs w:val="28"/>
          <w:lang w:val="uk-UA" w:eastAsia="ru-RU"/>
        </w:rPr>
        <w:t>Рис</w:t>
      </w:r>
      <w:r w:rsidR="006016C5">
        <w:rPr>
          <w:rFonts w:ascii="Times New Roman" w:hAnsi="Times New Roman" w:cs="Times New Roman"/>
          <w:sz w:val="28"/>
          <w:szCs w:val="28"/>
          <w:lang w:val="uk-UA" w:eastAsia="ru-RU"/>
        </w:rPr>
        <w:t>унок</w:t>
      </w:r>
      <w:r w:rsidRPr="001935D0">
        <w:rPr>
          <w:rFonts w:ascii="Times New Roman" w:hAnsi="Times New Roman" w:cs="Times New Roman"/>
          <w:sz w:val="28"/>
          <w:szCs w:val="28"/>
          <w:lang w:eastAsia="ru-RU"/>
        </w:rPr>
        <w:t xml:space="preserve"> 1.</w:t>
      </w:r>
      <w:r w:rsidRPr="001935D0">
        <w:rPr>
          <w:rFonts w:ascii="Times New Roman" w:hAnsi="Times New Roman" w:cs="Times New Roman"/>
          <w:sz w:val="28"/>
          <w:szCs w:val="28"/>
          <w:lang w:val="uk-UA" w:eastAsia="ru-RU"/>
        </w:rPr>
        <w:t xml:space="preserve">4 </w:t>
      </w:r>
      <w:r w:rsidR="006016C5">
        <w:rPr>
          <w:rFonts w:ascii="Times New Roman" w:hAnsi="Times New Roman" w:cs="Times New Roman"/>
          <w:sz w:val="28"/>
          <w:szCs w:val="28"/>
          <w:lang w:val="uk-UA" w:eastAsia="ru-RU"/>
        </w:rPr>
        <w:t>–</w:t>
      </w:r>
      <w:r w:rsidRPr="001935D0">
        <w:rPr>
          <w:rFonts w:ascii="Times New Roman" w:hAnsi="Times New Roman" w:cs="Times New Roman"/>
          <w:sz w:val="28"/>
          <w:szCs w:val="28"/>
          <w:lang w:eastAsia="ru-RU"/>
        </w:rPr>
        <w:t xml:space="preserve"> Интеграция ESG-инструментов ЕС в политику защиты прав человека</w:t>
      </w:r>
    </w:p>
    <w:p w14:paraId="264198A2" w14:textId="77777777" w:rsidR="006016C5" w:rsidRPr="006016C5" w:rsidRDefault="006016C5" w:rsidP="006016C5">
      <w:pPr>
        <w:pStyle w:val="NoSpacing"/>
        <w:ind w:firstLine="709"/>
        <w:jc w:val="both"/>
        <w:rPr>
          <w:rFonts w:ascii="Times New Roman" w:hAnsi="Times New Roman" w:cs="Times New Roman"/>
          <w:sz w:val="16"/>
          <w:szCs w:val="16"/>
          <w:lang w:val="kk-KZ" w:eastAsia="ru-RU"/>
        </w:rPr>
      </w:pPr>
    </w:p>
    <w:p w14:paraId="307DF681" w14:textId="77777777" w:rsidR="00F03A16" w:rsidRPr="001935D0" w:rsidRDefault="00F03A16" w:rsidP="00F03A16">
      <w:pPr>
        <w:pStyle w:val="NoSpacing"/>
        <w:ind w:firstLine="709"/>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Примечание – С</w:t>
      </w:r>
      <w:r w:rsidRPr="001935D0">
        <w:rPr>
          <w:rFonts w:ascii="Times New Roman" w:hAnsi="Times New Roman" w:cs="Times New Roman"/>
          <w:sz w:val="24"/>
          <w:szCs w:val="24"/>
        </w:rPr>
        <w:t xml:space="preserve">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sidRPr="001935D0">
        <w:rPr>
          <w:rFonts w:ascii="Times New Roman" w:hAnsi="Times New Roman" w:cs="Times New Roman"/>
          <w:sz w:val="24"/>
          <w:szCs w:val="24"/>
          <w:lang w:val="uk-UA" w:eastAsia="ru-RU"/>
        </w:rPr>
        <w:t>46</w:t>
      </w:r>
      <w:r>
        <w:rPr>
          <w:rFonts w:ascii="Times New Roman" w:hAnsi="Times New Roman" w:cs="Times New Roman"/>
          <w:sz w:val="24"/>
          <w:szCs w:val="24"/>
          <w:lang w:val="uk-UA" w:eastAsia="ru-RU"/>
        </w:rPr>
        <w:t xml:space="preserve">; 47; 48; 49; </w:t>
      </w:r>
      <w:r w:rsidRPr="001935D0">
        <w:rPr>
          <w:rFonts w:ascii="Times New Roman" w:hAnsi="Times New Roman" w:cs="Times New Roman"/>
          <w:sz w:val="24"/>
          <w:szCs w:val="24"/>
          <w:lang w:val="uk-UA" w:eastAsia="ru-RU"/>
        </w:rPr>
        <w:t>50</w:t>
      </w:r>
      <w:r w:rsidRPr="001935D0">
        <w:rPr>
          <w:rFonts w:ascii="Times New Roman" w:hAnsi="Times New Roman" w:cs="Times New Roman"/>
          <w:sz w:val="24"/>
          <w:szCs w:val="24"/>
        </w:rPr>
        <w:t>]</w:t>
      </w:r>
      <w:r w:rsidRPr="001935D0">
        <w:rPr>
          <w:rFonts w:ascii="Times New Roman" w:hAnsi="Times New Roman" w:cs="Times New Roman"/>
          <w:sz w:val="24"/>
          <w:szCs w:val="24"/>
          <w:lang w:val="uk-UA" w:eastAsia="ru-RU"/>
        </w:rPr>
        <w:t xml:space="preserve"> </w:t>
      </w:r>
    </w:p>
    <w:p w14:paraId="381EEB9A" w14:textId="77777777" w:rsidR="00FB42C6" w:rsidRPr="001935D0" w:rsidRDefault="00FB42C6" w:rsidP="00593711">
      <w:pPr>
        <w:pStyle w:val="NoSpacing"/>
        <w:ind w:firstLine="567"/>
        <w:jc w:val="both"/>
        <w:rPr>
          <w:rFonts w:ascii="Times New Roman" w:hAnsi="Times New Roman" w:cs="Times New Roman"/>
          <w:sz w:val="28"/>
          <w:szCs w:val="28"/>
          <w:lang w:val="uk-UA" w:eastAsia="ru-RU"/>
        </w:rPr>
      </w:pPr>
    </w:p>
    <w:p w14:paraId="047394F9" w14:textId="6E50AE40" w:rsidR="007931DB" w:rsidRPr="001935D0" w:rsidRDefault="007931DB"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Таким образом, ESG-инструменты в контексте внешней политики ЕС представляют собой не просто технический регламент устойчивости, а целостную нормативную парадигму, направленную на институционализацию прав человека как обязательного элемента международных экономических отношений. При условии устранения указанных барьеров эта модель может стать одним из наиболее эффективных и воспроизводимых механизмов внешнеполитического влияния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в XXI веке.</w:t>
      </w:r>
    </w:p>
    <w:p w14:paraId="6126C2B0" w14:textId="4008FBA9" w:rsidR="00BC5620" w:rsidRPr="001935D0" w:rsidRDefault="00BC5620"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В контексте институциональной эволюции ESG-архитектуры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важным элементом стало принятие Директивы о должной корпоративной проверке устойчивого развития (Corporate Sustainability Due Diligence Directiv</w:t>
      </w:r>
      <w:r w:rsidR="006016C5">
        <w:rPr>
          <w:rFonts w:ascii="Times New Roman" w:hAnsi="Times New Roman" w:cs="Times New Roman"/>
          <w:sz w:val="28"/>
          <w:szCs w:val="28"/>
          <w:lang w:eastAsia="ru-RU"/>
        </w:rPr>
        <w:t xml:space="preserve">e – </w:t>
      </w:r>
      <w:r w:rsidRPr="001935D0">
        <w:rPr>
          <w:rFonts w:ascii="Times New Roman" w:hAnsi="Times New Roman" w:cs="Times New Roman"/>
          <w:sz w:val="28"/>
          <w:szCs w:val="28"/>
          <w:lang w:eastAsia="ru-RU"/>
        </w:rPr>
        <w:t>CSDDD), опубликованной в Официальном журнале ЕС в июле 2024 года</w:t>
      </w:r>
      <w:r w:rsidR="00FB42C6" w:rsidRPr="001935D0">
        <w:rPr>
          <w:rFonts w:ascii="Times New Roman" w:hAnsi="Times New Roman" w:cs="Times New Roman"/>
          <w:sz w:val="28"/>
          <w:szCs w:val="28"/>
          <w:lang w:val="uk-UA" w:eastAsia="ru-RU"/>
        </w:rPr>
        <w:t xml:space="preserve"> </w:t>
      </w:r>
      <w:r w:rsidR="00FB42C6" w:rsidRPr="001935D0">
        <w:rPr>
          <w:rFonts w:ascii="Times New Roman" w:hAnsi="Times New Roman" w:cs="Times New Roman"/>
          <w:sz w:val="28"/>
          <w:szCs w:val="28"/>
          <w:lang w:eastAsia="ru-RU"/>
        </w:rPr>
        <w:t>[51]</w:t>
      </w:r>
      <w:r w:rsidRPr="001935D0">
        <w:rPr>
          <w:rFonts w:ascii="Times New Roman" w:hAnsi="Times New Roman" w:cs="Times New Roman"/>
          <w:sz w:val="28"/>
          <w:szCs w:val="28"/>
          <w:lang w:eastAsia="ru-RU"/>
        </w:rPr>
        <w:t>. Этот нормативно-правовой акт знаменует переход от добровольного следования стандартам к юридически обязательному соблюдению норм в области прав человека и экологической ответственности, включая трансграничные цепочки поставок.</w:t>
      </w:r>
    </w:p>
    <w:p w14:paraId="2707B68D" w14:textId="0EBB728C" w:rsidR="00BC5620" w:rsidRPr="001935D0" w:rsidRDefault="00BC5620"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CSDDD, охватывая как крупные европейские компании, так и транснациональные корпорации, осуществляющие значительный объём операций на территории ЕС, возлагает на бизнес прямые обязательства по выявлению, предотвращению, устранению и смягчению рисков нарушений прав человека и экологических стандартов в своей деятельности. Согласно директиве, под её действие подпадают юридические лица, имеющие более 1</w:t>
      </w:r>
      <w:r w:rsidR="006016C5">
        <w:rPr>
          <w:rFonts w:ascii="Times New Roman" w:hAnsi="Times New Roman" w:cs="Times New Roman"/>
          <w:sz w:val="28"/>
          <w:szCs w:val="28"/>
          <w:lang w:val="kk-KZ" w:eastAsia="ru-RU"/>
        </w:rPr>
        <w:t> </w:t>
      </w:r>
      <w:r w:rsidRPr="001935D0">
        <w:rPr>
          <w:rFonts w:ascii="Times New Roman" w:hAnsi="Times New Roman" w:cs="Times New Roman"/>
          <w:sz w:val="28"/>
          <w:szCs w:val="28"/>
          <w:lang w:eastAsia="ru-RU"/>
        </w:rPr>
        <w:t>000 сотрудников и оборот, превышающий €450 млн</w:t>
      </w:r>
      <w:r w:rsidR="006016C5">
        <w:rPr>
          <w:rFonts w:ascii="Times New Roman" w:hAnsi="Times New Roman" w:cs="Times New Roman"/>
          <w:sz w:val="28"/>
          <w:szCs w:val="28"/>
          <w:lang w:val="kk-KZ" w:eastAsia="ru-RU"/>
        </w:rPr>
        <w:t>.</w:t>
      </w:r>
      <w:r w:rsidRPr="001935D0">
        <w:rPr>
          <w:rFonts w:ascii="Times New Roman" w:hAnsi="Times New Roman" w:cs="Times New Roman"/>
          <w:sz w:val="28"/>
          <w:szCs w:val="28"/>
          <w:lang w:eastAsia="ru-RU"/>
        </w:rPr>
        <w:t xml:space="preserve"> (для компаний из третьих стран – при условии сопоставимого экономического присутствия в ЕС). В случае несоблюдения требований, предусмотрены штрафы вплоть до 5% от глобального оборота компании, что наглядно демонстрирует жёсткость правового режима.</w:t>
      </w:r>
    </w:p>
    <w:p w14:paraId="6DF3062D" w14:textId="7924458A" w:rsidR="00BC5620" w:rsidRPr="001935D0" w:rsidRDefault="00BC5620"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Уникальность CSDDD заключается в институционализации принципа due diligence как механизма не только профилактики, но и системной трансформации корпоративных стратегий устойчивости. В этом контексте директива образует </w:t>
      </w:r>
      <w:r w:rsidRPr="001935D0">
        <w:rPr>
          <w:rFonts w:ascii="Times New Roman" w:hAnsi="Times New Roman" w:cs="Times New Roman"/>
          <w:sz w:val="28"/>
          <w:szCs w:val="28"/>
          <w:lang w:eastAsia="ru-RU"/>
        </w:rPr>
        <w:lastRenderedPageBreak/>
        <w:t>функциональную триаду с CSRD (директива о корпоративной отчётности в сфере устойчивого развития) и SFDR (регламент о раскрытии информации в области устойчивого финансирования). Если CSRD формирует рамки обязательной нефинансовой отчётности, а SFDR обеспечивает прозрачность инвестиционных решений, то CSDDD концентрируется на принуждении компаний к практическим действиям по защите прав человека и устойчивости по всей цепочке добавленной стоимости</w:t>
      </w:r>
      <w:r w:rsidR="006016C5">
        <w:rPr>
          <w:rFonts w:ascii="Times New Roman" w:hAnsi="Times New Roman" w:cs="Times New Roman"/>
          <w:sz w:val="28"/>
          <w:szCs w:val="28"/>
          <w:lang w:val="kk-KZ" w:eastAsia="ru-RU"/>
        </w:rPr>
        <w:t> </w:t>
      </w:r>
      <w:r w:rsidR="00FB42C6" w:rsidRPr="001935D0">
        <w:rPr>
          <w:rFonts w:ascii="Times New Roman" w:hAnsi="Times New Roman" w:cs="Times New Roman"/>
          <w:sz w:val="28"/>
          <w:szCs w:val="28"/>
          <w:lang w:eastAsia="ru-RU"/>
        </w:rPr>
        <w:t>[52]</w:t>
      </w:r>
      <w:r w:rsidRPr="001935D0">
        <w:rPr>
          <w:rFonts w:ascii="Times New Roman" w:hAnsi="Times New Roman" w:cs="Times New Roman"/>
          <w:sz w:val="28"/>
          <w:szCs w:val="28"/>
          <w:lang w:eastAsia="ru-RU"/>
        </w:rPr>
        <w:t>.</w:t>
      </w:r>
    </w:p>
    <w:p w14:paraId="1F40ED14" w14:textId="77777777" w:rsidR="00BC5620" w:rsidRPr="001935D0" w:rsidRDefault="00BC5620"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Наглядно эта взаимосвязь может быть представлена как последовательная логика нормативной интеграции ESG-принципов: от прозрачности (CSRD, SFDR) – к ответственности и обязательствам действия (CSDDD). Более того, директива требует розробки климатических переходных планов, что усиливает её синергию с климатическим регулированием в рамках Европейского зелёного курса.</w:t>
      </w:r>
    </w:p>
    <w:p w14:paraId="18D3CE24" w14:textId="77777777" w:rsidR="00BC5620" w:rsidRPr="001935D0" w:rsidRDefault="00BC5620"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Несмотря на значительный прогрессивный потенциал, реализация CSDDD сопряжена с рядом институциональных вызовов. Прежде всего, это – фрагментарность текущих национальных режимов надлежащей проверки (например, во Франции, Германии, Нидерландах), недостаточный уровень готовности компаний к внедрению системного мониторинга, а также отсутствие механизмов санкционного давления на государства-члены в случае слабой имплементации директивы. По данным World Benchmarking Alliance, более 90% крупных компаний из индекса SDG2000 не демонстрируют достаточной результативности в обеспечении прав человека</w:t>
      </w:r>
      <w:r w:rsidR="00FB42C6" w:rsidRPr="001935D0">
        <w:rPr>
          <w:rFonts w:ascii="Times New Roman" w:hAnsi="Times New Roman" w:cs="Times New Roman"/>
          <w:sz w:val="28"/>
          <w:szCs w:val="28"/>
          <w:lang w:eastAsia="ru-RU"/>
        </w:rPr>
        <w:t xml:space="preserve"> [</w:t>
      </w:r>
      <w:r w:rsidR="00C65CF0" w:rsidRPr="001935D0">
        <w:rPr>
          <w:rFonts w:ascii="Times New Roman" w:hAnsi="Times New Roman" w:cs="Times New Roman"/>
          <w:sz w:val="28"/>
          <w:szCs w:val="28"/>
          <w:lang w:eastAsia="ru-RU"/>
        </w:rPr>
        <w:t>53</w:t>
      </w:r>
      <w:r w:rsidR="00FB42C6" w:rsidRPr="001935D0">
        <w:rPr>
          <w:rFonts w:ascii="Times New Roman" w:hAnsi="Times New Roman" w:cs="Times New Roman"/>
          <w:sz w:val="28"/>
          <w:szCs w:val="28"/>
          <w:lang w:eastAsia="ru-RU"/>
        </w:rPr>
        <w:t>]</w:t>
      </w:r>
      <w:r w:rsidRPr="001935D0">
        <w:rPr>
          <w:rFonts w:ascii="Times New Roman" w:hAnsi="Times New Roman" w:cs="Times New Roman"/>
          <w:sz w:val="28"/>
          <w:szCs w:val="28"/>
          <w:lang w:eastAsia="ru-RU"/>
        </w:rPr>
        <w:t>. Это свидетельствует о наличии глубокой нормативной лакуны, которую CSDDD стремится восполнить, унифицируя стандарты и усиливая правовую предсказуемость.</w:t>
      </w:r>
    </w:p>
    <w:p w14:paraId="1098058F" w14:textId="3037DC30" w:rsidR="00BC5620" w:rsidRPr="001935D0" w:rsidRDefault="00BC5620" w:rsidP="006016C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Следовательно, CSDDD представляет собой не просто очередной правовой акт в сфере ESG, а инструмент нормативной трансляции гуманистических ценностей Европейского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в экономико-правовую плоскость. В отличие от прежних soft law механизмов, данная директива инициирует переход к enforceable governance – модели, при которой соблюдение прав человека и экологических стандартов становится критерием легитимности экономического актора в глобальной системе. Таким образом, права человека получают не только политико-этическое, но и контрактно-юридическое закрепление в архитектуре корпоративного управления XXI века.</w:t>
      </w:r>
    </w:p>
    <w:p w14:paraId="331A078E" w14:textId="77777777" w:rsidR="00FC4348" w:rsidRPr="001935D0" w:rsidRDefault="00FC4348" w:rsidP="006016C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Современная геополитическая повестка требует от Европейского Союза не только реагировать на вызовы, связанные с правами человека, но и вырабатывать целостную стратегию, сочетающую ценностную идентичность с прагматизмом международных отношений. В рамках данной диссертации предлагается авторская аналитическая модель «геополитической многовекторности прав человека», основанная на трех функционально взаимодополняющих подходах, которые воплощаются в институциональных инструментах внешней деятельности ЕС.</w:t>
      </w:r>
    </w:p>
    <w:p w14:paraId="08A0ACCE" w14:textId="54CEC0D6" w:rsidR="00FC4348" w:rsidRPr="001935D0" w:rsidRDefault="00FC4348" w:rsidP="006016C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Авторская модель исходит из предпосылки, что внешняя политика ЕС в области прав человека представляет собой адаптивный механизм, балансирующий между ценностной нормативностью и стратегической </w:t>
      </w:r>
      <w:r w:rsidRPr="001935D0">
        <w:rPr>
          <w:rFonts w:ascii="Times New Roman" w:hAnsi="Times New Roman" w:cs="Times New Roman"/>
          <w:sz w:val="28"/>
          <w:szCs w:val="28"/>
        </w:rPr>
        <w:lastRenderedPageBreak/>
        <w:t>гибкостью. Такой подход позволяет рассматривать действия ЕС как целостную систему реагирования на меняющееся международное окружение</w:t>
      </w:r>
      <w:r w:rsidR="00741C76" w:rsidRPr="001935D0">
        <w:rPr>
          <w:rFonts w:ascii="Times New Roman" w:hAnsi="Times New Roman" w:cs="Times New Roman"/>
          <w:sz w:val="28"/>
          <w:szCs w:val="28"/>
          <w:lang w:val="uk-UA"/>
        </w:rPr>
        <w:t xml:space="preserve"> (рис</w:t>
      </w:r>
      <w:r w:rsidR="006016C5">
        <w:rPr>
          <w:rFonts w:ascii="Times New Roman" w:hAnsi="Times New Roman" w:cs="Times New Roman"/>
          <w:sz w:val="28"/>
          <w:szCs w:val="28"/>
          <w:lang w:val="uk-UA"/>
        </w:rPr>
        <w:t>унок</w:t>
      </w:r>
      <w:r w:rsidR="00741C76" w:rsidRPr="001935D0">
        <w:rPr>
          <w:rFonts w:ascii="Times New Roman" w:hAnsi="Times New Roman" w:cs="Times New Roman"/>
          <w:sz w:val="28"/>
          <w:szCs w:val="28"/>
          <w:lang w:val="uk-UA"/>
        </w:rPr>
        <w:t xml:space="preserve"> 1.5)</w:t>
      </w:r>
      <w:r w:rsidRPr="001935D0">
        <w:rPr>
          <w:rFonts w:ascii="Times New Roman" w:hAnsi="Times New Roman" w:cs="Times New Roman"/>
          <w:sz w:val="28"/>
          <w:szCs w:val="28"/>
        </w:rPr>
        <w:t xml:space="preserve">. </w:t>
      </w:r>
    </w:p>
    <w:p w14:paraId="171202A0" w14:textId="77777777" w:rsidR="00FC4348" w:rsidRPr="001935D0" w:rsidRDefault="00FC4348" w:rsidP="00593711">
      <w:pPr>
        <w:pStyle w:val="NoSpacing"/>
        <w:ind w:firstLine="567"/>
        <w:jc w:val="both"/>
        <w:rPr>
          <w:rFonts w:ascii="Times New Roman" w:hAnsi="Times New Roman" w:cs="Times New Roman"/>
          <w:sz w:val="28"/>
          <w:szCs w:val="28"/>
        </w:rPr>
      </w:pPr>
    </w:p>
    <w:p w14:paraId="28FB78E9" w14:textId="77777777" w:rsidR="00BC5620" w:rsidRPr="001935D0" w:rsidRDefault="00BC5620" w:rsidP="00593711">
      <w:pPr>
        <w:pStyle w:val="NoSpacing"/>
        <w:jc w:val="both"/>
        <w:rPr>
          <w:rFonts w:ascii="Times New Roman" w:hAnsi="Times New Roman" w:cs="Times New Roman"/>
          <w:sz w:val="28"/>
          <w:szCs w:val="28"/>
        </w:rPr>
      </w:pPr>
      <w:r w:rsidRPr="001935D0">
        <w:rPr>
          <w:rFonts w:ascii="Times New Roman" w:hAnsi="Times New Roman" w:cs="Times New Roman"/>
          <w:noProof/>
          <w:sz w:val="28"/>
          <w:szCs w:val="28"/>
          <w:lang w:eastAsia="ru-RU"/>
        </w:rPr>
        <w:drawing>
          <wp:inline distT="0" distB="0" distL="0" distR="0" wp14:anchorId="0DBA4FF9" wp14:editId="09B12D93">
            <wp:extent cx="5829300" cy="3779520"/>
            <wp:effectExtent l="57150" t="38100" r="0" b="14478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25A52BE" w14:textId="77777777" w:rsidR="00BC5620" w:rsidRPr="006016C5" w:rsidRDefault="00BC5620" w:rsidP="00593711">
      <w:pPr>
        <w:pStyle w:val="NoSpacing"/>
        <w:ind w:firstLine="567"/>
        <w:jc w:val="both"/>
        <w:rPr>
          <w:rFonts w:ascii="Times New Roman" w:hAnsi="Times New Roman" w:cs="Times New Roman"/>
          <w:sz w:val="16"/>
          <w:szCs w:val="16"/>
        </w:rPr>
      </w:pPr>
    </w:p>
    <w:p w14:paraId="6E252387" w14:textId="4CAD6050" w:rsidR="00BC5620" w:rsidRPr="001935D0" w:rsidRDefault="00741C76" w:rsidP="006016C5">
      <w:pPr>
        <w:pStyle w:val="NoSpacing"/>
        <w:jc w:val="center"/>
        <w:rPr>
          <w:rFonts w:ascii="Times New Roman" w:hAnsi="Times New Roman" w:cs="Times New Roman"/>
          <w:sz w:val="28"/>
          <w:szCs w:val="28"/>
        </w:rPr>
      </w:pPr>
      <w:r w:rsidRPr="001935D0">
        <w:rPr>
          <w:rFonts w:ascii="Times New Roman" w:hAnsi="Times New Roman" w:cs="Times New Roman"/>
          <w:sz w:val="28"/>
          <w:szCs w:val="28"/>
          <w:lang w:val="uk-UA"/>
        </w:rPr>
        <w:t>Рис</w:t>
      </w:r>
      <w:r w:rsidR="006016C5">
        <w:rPr>
          <w:rFonts w:ascii="Times New Roman" w:hAnsi="Times New Roman" w:cs="Times New Roman"/>
          <w:sz w:val="28"/>
          <w:szCs w:val="28"/>
          <w:lang w:val="uk-UA"/>
        </w:rPr>
        <w:t>унок</w:t>
      </w:r>
      <w:r w:rsidRPr="001935D0">
        <w:rPr>
          <w:rFonts w:ascii="Times New Roman" w:hAnsi="Times New Roman" w:cs="Times New Roman"/>
          <w:sz w:val="28"/>
          <w:szCs w:val="28"/>
          <w:lang w:val="uk-UA"/>
        </w:rPr>
        <w:t xml:space="preserve"> 1.5 </w:t>
      </w:r>
      <w:r w:rsidR="006016C5">
        <w:rPr>
          <w:rFonts w:ascii="Times New Roman" w:hAnsi="Times New Roman" w:cs="Times New Roman"/>
          <w:sz w:val="28"/>
          <w:szCs w:val="28"/>
          <w:lang w:val="uk-UA"/>
        </w:rPr>
        <w:t xml:space="preserve">– </w:t>
      </w:r>
      <w:r w:rsidR="00BC5620" w:rsidRPr="001935D0">
        <w:rPr>
          <w:rFonts w:ascii="Times New Roman" w:hAnsi="Times New Roman" w:cs="Times New Roman"/>
          <w:sz w:val="28"/>
          <w:szCs w:val="28"/>
        </w:rPr>
        <w:t>Модель геополитической многовекторности ЕС в сфере прав человека</w:t>
      </w:r>
    </w:p>
    <w:p w14:paraId="1C6D85A0" w14:textId="77777777" w:rsidR="006016C5" w:rsidRPr="006016C5" w:rsidRDefault="006016C5" w:rsidP="00593711">
      <w:pPr>
        <w:pStyle w:val="NoSpacing"/>
        <w:ind w:firstLine="567"/>
        <w:jc w:val="both"/>
        <w:rPr>
          <w:rFonts w:ascii="Times New Roman" w:hAnsi="Times New Roman" w:cs="Times New Roman"/>
          <w:sz w:val="16"/>
          <w:szCs w:val="16"/>
          <w:lang w:val="uk-UA"/>
        </w:rPr>
      </w:pPr>
    </w:p>
    <w:p w14:paraId="21D0F073" w14:textId="513383A8" w:rsidR="00FC4348" w:rsidRPr="001935D0" w:rsidRDefault="006016C5" w:rsidP="006016C5">
      <w:pPr>
        <w:pStyle w:val="NoSpacing"/>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Примечание – </w:t>
      </w:r>
      <w:r w:rsidRPr="001935D0">
        <w:rPr>
          <w:rFonts w:ascii="Times New Roman" w:hAnsi="Times New Roman" w:cs="Times New Roman"/>
          <w:sz w:val="24"/>
          <w:szCs w:val="24"/>
        </w:rPr>
        <w:t>С</w:t>
      </w:r>
      <w:r w:rsidR="000B0429" w:rsidRPr="001935D0">
        <w:rPr>
          <w:rFonts w:ascii="Times New Roman" w:hAnsi="Times New Roman" w:cs="Times New Roman"/>
          <w:sz w:val="24"/>
          <w:szCs w:val="24"/>
        </w:rPr>
        <w:t xml:space="preserve">оставлено автором </w:t>
      </w:r>
    </w:p>
    <w:p w14:paraId="67A52FBC" w14:textId="77777777" w:rsidR="00BF5E41" w:rsidRPr="001935D0" w:rsidRDefault="00BF5E41" w:rsidP="006016C5">
      <w:pPr>
        <w:pStyle w:val="NoSpacing"/>
        <w:ind w:firstLine="709"/>
        <w:jc w:val="both"/>
        <w:rPr>
          <w:rFonts w:ascii="Times New Roman" w:hAnsi="Times New Roman" w:cs="Times New Roman"/>
          <w:sz w:val="28"/>
          <w:szCs w:val="28"/>
        </w:rPr>
      </w:pPr>
    </w:p>
    <w:p w14:paraId="472535D5" w14:textId="20F94595" w:rsidR="00BF5E41" w:rsidRPr="001935D0" w:rsidRDefault="00BF5E41" w:rsidP="006016C5">
      <w:pPr>
        <w:pStyle w:val="NoSpacing"/>
        <w:ind w:firstLine="709"/>
        <w:jc w:val="both"/>
        <w:rPr>
          <w:rFonts w:ascii="Times New Roman" w:hAnsi="Times New Roman" w:cs="Times New Roman"/>
          <w:sz w:val="28"/>
          <w:szCs w:val="28"/>
        </w:rPr>
      </w:pPr>
      <w:r w:rsidRPr="001935D0">
        <w:rPr>
          <w:rStyle w:val="Strong"/>
          <w:rFonts w:ascii="Times New Roman" w:hAnsi="Times New Roman" w:cs="Times New Roman"/>
          <w:b w:val="0"/>
          <w:sz w:val="28"/>
          <w:szCs w:val="28"/>
        </w:rPr>
        <w:t>Реактивный</w:t>
      </w:r>
      <w:r w:rsidRPr="001935D0">
        <w:rPr>
          <w:rFonts w:ascii="Times New Roman" w:hAnsi="Times New Roman" w:cs="Times New Roman"/>
          <w:sz w:val="28"/>
          <w:szCs w:val="28"/>
        </w:rPr>
        <w:t xml:space="preserve"> вектор реализуется через Глобальный режим санкций ЕС в области прав человека (EUGHRSR), аналогичный западным механизмам типа «Акта Магнитского». Он позволяет применять точечные меры к лицам и структурам, причастным к грубым нарушениям прав человека, независимо от географического положения. Санкции становятся формой политического сигнала и юридического давления, но их применение ограничивается необходимостью консенсуса в Совете ЕС, высокой доказательной планкой и геополитическими соображениями. Несмотря на это, их символическая значимость остаётся высокой,</w:t>
      </w:r>
      <w:r w:rsidR="00675232" w:rsidRPr="001935D0">
        <w:rPr>
          <w:rFonts w:ascii="Times New Roman" w:hAnsi="Times New Roman" w:cs="Times New Roman"/>
          <w:sz w:val="28"/>
          <w:szCs w:val="28"/>
        </w:rPr>
        <w:t xml:space="preserve"> а потенциальная эффективность –</w:t>
      </w:r>
      <w:r w:rsidRPr="001935D0">
        <w:rPr>
          <w:rFonts w:ascii="Times New Roman" w:hAnsi="Times New Roman" w:cs="Times New Roman"/>
          <w:sz w:val="28"/>
          <w:szCs w:val="28"/>
        </w:rPr>
        <w:t xml:space="preserve"> избирательной.</w:t>
      </w:r>
    </w:p>
    <w:p w14:paraId="798F13DA" w14:textId="77777777" w:rsidR="00BF5E41" w:rsidRPr="001935D0" w:rsidRDefault="00741C76" w:rsidP="006016C5">
      <w:pPr>
        <w:pStyle w:val="NoSpacing"/>
        <w:ind w:firstLine="709"/>
        <w:jc w:val="both"/>
        <w:rPr>
          <w:rFonts w:ascii="Times New Roman" w:hAnsi="Times New Roman" w:cs="Times New Roman"/>
          <w:sz w:val="28"/>
          <w:szCs w:val="28"/>
        </w:rPr>
      </w:pPr>
      <w:r w:rsidRPr="001935D0">
        <w:rPr>
          <w:rStyle w:val="Strong"/>
          <w:rFonts w:ascii="Times New Roman" w:hAnsi="Times New Roman" w:cs="Times New Roman"/>
          <w:b w:val="0"/>
          <w:sz w:val="28"/>
          <w:szCs w:val="28"/>
        </w:rPr>
        <w:t>Проактивный вектор</w:t>
      </w:r>
      <w:r w:rsidRPr="001935D0">
        <w:rPr>
          <w:rStyle w:val="Strong"/>
          <w:rFonts w:ascii="Times New Roman" w:hAnsi="Times New Roman" w:cs="Times New Roman"/>
          <w:sz w:val="28"/>
          <w:szCs w:val="28"/>
        </w:rPr>
        <w:t xml:space="preserve"> </w:t>
      </w:r>
      <w:r w:rsidR="00BF5E41" w:rsidRPr="001935D0">
        <w:rPr>
          <w:rFonts w:ascii="Times New Roman" w:hAnsi="Times New Roman" w:cs="Times New Roman"/>
          <w:sz w:val="28"/>
          <w:szCs w:val="28"/>
        </w:rPr>
        <w:t xml:space="preserve">базируется на комплексных Планах действий ЕС по правам человека и демократии (2020–2027), а также на деятельности тематических послов и делегаций EEAS. ЕС развивает формы дипломатии, направленные на поддержку правозащитников, институтов гражданского общества и свободных медиа, в том числе в авторитарных или переходных режимах. Такой проактивный подход направлен не на наказание, а на трансформацию через вовлечение. Он особенно проявляется в политике расширения, европейской политике соседства, а также в программах </w:t>
      </w:r>
      <w:r w:rsidR="00BF5E41" w:rsidRPr="001935D0">
        <w:rPr>
          <w:rFonts w:ascii="Times New Roman" w:hAnsi="Times New Roman" w:cs="Times New Roman"/>
          <w:sz w:val="28"/>
          <w:szCs w:val="28"/>
        </w:rPr>
        <w:lastRenderedPageBreak/>
        <w:t>«Глобальная Европа» (NDICI), где поддержка прав человека интегрирована в повестку устойчивого развития.</w:t>
      </w:r>
    </w:p>
    <w:p w14:paraId="00F98C7C" w14:textId="77777777" w:rsidR="00BF5E41" w:rsidRPr="001935D0" w:rsidRDefault="00741C76" w:rsidP="006016C5">
      <w:pPr>
        <w:pStyle w:val="NoSpacing"/>
        <w:ind w:firstLine="709"/>
        <w:jc w:val="both"/>
        <w:rPr>
          <w:rFonts w:ascii="Times New Roman" w:hAnsi="Times New Roman" w:cs="Times New Roman"/>
          <w:sz w:val="28"/>
          <w:szCs w:val="28"/>
        </w:rPr>
      </w:pPr>
      <w:r w:rsidRPr="001935D0">
        <w:rPr>
          <w:rStyle w:val="Strong"/>
          <w:rFonts w:ascii="Times New Roman" w:hAnsi="Times New Roman" w:cs="Times New Roman"/>
          <w:b w:val="0"/>
          <w:sz w:val="28"/>
          <w:szCs w:val="28"/>
        </w:rPr>
        <w:t>Структурный вектор</w:t>
      </w:r>
      <w:r w:rsidRPr="001935D0">
        <w:rPr>
          <w:rStyle w:val="Strong"/>
          <w:rFonts w:ascii="Times New Roman" w:hAnsi="Times New Roman" w:cs="Times New Roman"/>
          <w:sz w:val="28"/>
          <w:szCs w:val="28"/>
        </w:rPr>
        <w:t xml:space="preserve"> </w:t>
      </w:r>
      <w:r w:rsidR="00BF5E41" w:rsidRPr="001935D0">
        <w:rPr>
          <w:rFonts w:ascii="Times New Roman" w:hAnsi="Times New Roman" w:cs="Times New Roman"/>
          <w:sz w:val="28"/>
          <w:szCs w:val="28"/>
        </w:rPr>
        <w:t>наиболее инновационное направление внешнеполитической деятельности ЕС. Оно воплощается в интеграции стандартов прав человека и экологической устойчивости в экономическую деятельность через директиву о корпоративной должной осмотрительности (CSDDD), регламенты SFDR и CSRD, а также через EU Taxonomy. Такой подход превращает прозрачность цепочек поставок и учет рисков для прав человека в новый вектор регулирования внешнеэкономических связей. Тем самым ЕС формирует «этикоцентричную» модель глобализации, где нормативность становится частью рыночного доступа.</w:t>
      </w:r>
    </w:p>
    <w:p w14:paraId="5408A668" w14:textId="54E7A784" w:rsidR="00EA4AC2" w:rsidRPr="001935D0" w:rsidRDefault="00EA4AC2" w:rsidP="006016C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Таким образом, </w:t>
      </w:r>
      <w:r w:rsidR="007239F6" w:rsidRPr="001935D0">
        <w:rPr>
          <w:rFonts w:ascii="Times New Roman" w:hAnsi="Times New Roman" w:cs="Times New Roman"/>
          <w:sz w:val="28"/>
          <w:szCs w:val="28"/>
        </w:rPr>
        <w:t>ЕС</w:t>
      </w:r>
      <w:r w:rsidRPr="001935D0">
        <w:rPr>
          <w:rFonts w:ascii="Times New Roman" w:hAnsi="Times New Roman" w:cs="Times New Roman"/>
          <w:sz w:val="28"/>
          <w:szCs w:val="28"/>
        </w:rPr>
        <w:t xml:space="preserve"> формирует многовекторную архитектуру защиты пра</w:t>
      </w:r>
      <w:r w:rsidR="00473B9E" w:rsidRPr="001935D0">
        <w:rPr>
          <w:rFonts w:ascii="Times New Roman" w:hAnsi="Times New Roman" w:cs="Times New Roman"/>
          <w:sz w:val="28"/>
          <w:szCs w:val="28"/>
        </w:rPr>
        <w:t>в человека, где каждый элемент –</w:t>
      </w:r>
      <w:r w:rsidRPr="001935D0">
        <w:rPr>
          <w:rFonts w:ascii="Times New Roman" w:hAnsi="Times New Roman" w:cs="Times New Roman"/>
          <w:sz w:val="28"/>
          <w:szCs w:val="28"/>
        </w:rPr>
        <w:t xml:space="preserve"> санкционные механизмы, партнёрские диалоги и стр</w:t>
      </w:r>
      <w:r w:rsidR="00473B9E" w:rsidRPr="001935D0">
        <w:rPr>
          <w:rFonts w:ascii="Times New Roman" w:hAnsi="Times New Roman" w:cs="Times New Roman"/>
          <w:sz w:val="28"/>
          <w:szCs w:val="28"/>
        </w:rPr>
        <w:t>уктурная интеграция нормативов –</w:t>
      </w:r>
      <w:r w:rsidRPr="001935D0">
        <w:rPr>
          <w:rFonts w:ascii="Times New Roman" w:hAnsi="Times New Roman" w:cs="Times New Roman"/>
          <w:sz w:val="28"/>
          <w:szCs w:val="28"/>
        </w:rPr>
        <w:t xml:space="preserve"> не только выполняет собственную функцию, но и усиливает остальные. Санкции подчёркивают символическую ценность правозащитных принципов, диалоги укрепляют политическую устойчивость партнёров, а нормативное встраивание задаёт долгосрочные правила поведения. Такая система позволяет ЕС адаптироваться к меняющейся геополитической среде, сохраняя баланс между этикой, эффективностью и стратегической устойчивостью. Предлагаемая модель может служить аналитической основой как для оценки нормативных стратегий самого Союза, так и для изучения их применимости в странах-партнёрах, включая государства Восточного партнёрства и Центральной Азии.</w:t>
      </w:r>
    </w:p>
    <w:p w14:paraId="5D28A7EE" w14:textId="2477DC70" w:rsidR="00EA4AC2" w:rsidRPr="001935D0" w:rsidRDefault="00EA4AC2" w:rsidP="006016C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условиях растущей фрагментации международного порядка Брюссель активизирует региональный компонент правозащитной политики, рассматривая Центральную Азию как одно из приоритетных направлений. Обновлённая Ст</w:t>
      </w:r>
      <w:r w:rsidR="0080126E" w:rsidRPr="001935D0">
        <w:rPr>
          <w:rFonts w:ascii="Times New Roman" w:hAnsi="Times New Roman" w:cs="Times New Roman"/>
          <w:sz w:val="28"/>
          <w:szCs w:val="28"/>
        </w:rPr>
        <w:t xml:space="preserve">ратегия ЕС по Центральной Азии </w:t>
      </w:r>
      <w:r w:rsidRPr="001935D0">
        <w:rPr>
          <w:rFonts w:ascii="Times New Roman" w:hAnsi="Times New Roman" w:cs="Times New Roman"/>
          <w:sz w:val="28"/>
          <w:szCs w:val="28"/>
        </w:rPr>
        <w:t>«</w:t>
      </w:r>
      <w:r w:rsidR="007239F6" w:rsidRPr="001935D0">
        <w:rPr>
          <w:rFonts w:ascii="Times New Roman" w:hAnsi="Times New Roman" w:cs="Times New Roman"/>
          <w:sz w:val="28"/>
          <w:szCs w:val="28"/>
        </w:rPr>
        <w:t>REPORT on the EU strategy on Central Asia</w:t>
      </w:r>
      <w:r w:rsidRPr="001935D0">
        <w:rPr>
          <w:rFonts w:ascii="Times New Roman" w:hAnsi="Times New Roman" w:cs="Times New Roman"/>
          <w:sz w:val="28"/>
          <w:szCs w:val="28"/>
        </w:rPr>
        <w:t>»</w:t>
      </w:r>
      <w:r w:rsidR="00675232" w:rsidRPr="001935D0">
        <w:rPr>
          <w:rFonts w:ascii="Times New Roman" w:hAnsi="Times New Roman" w:cs="Times New Roman"/>
          <w:sz w:val="28"/>
          <w:szCs w:val="28"/>
        </w:rPr>
        <w:t xml:space="preserve"> [54]</w:t>
      </w:r>
      <w:r w:rsidRPr="001935D0">
        <w:rPr>
          <w:rFonts w:ascii="Times New Roman" w:hAnsi="Times New Roman" w:cs="Times New Roman"/>
          <w:sz w:val="28"/>
          <w:szCs w:val="28"/>
        </w:rPr>
        <w:t xml:space="preserve"> закрепила принцип «ценности через партнёрство» и подтвердила, что продвижение прав человека, верховенства права и устойчивого развития является неотъемлемой составляющей как двусторонних, так и многосторонних программ Европейского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в регионе.</w:t>
      </w:r>
    </w:p>
    <w:p w14:paraId="7EB04ED2" w14:textId="5EEAF6FB" w:rsidR="00800496" w:rsidRDefault="00800496" w:rsidP="006016C5">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Для Республики Казахстан европейские механизмы важны как інструмент институционального сближения c ЕС и ресурс внутренней модернизации управленческих практик. Их значимость проявляется в трёх взаимодополняющих плоскостях</w:t>
      </w:r>
      <w:r w:rsidR="00473B9E" w:rsidRPr="001935D0">
        <w:rPr>
          <w:rFonts w:ascii="Times New Roman" w:hAnsi="Times New Roman" w:cs="Times New Roman"/>
          <w:sz w:val="28"/>
          <w:szCs w:val="28"/>
        </w:rPr>
        <w:t xml:space="preserve"> (рис</w:t>
      </w:r>
      <w:r w:rsidR="006016C5">
        <w:rPr>
          <w:rFonts w:ascii="Times New Roman" w:hAnsi="Times New Roman" w:cs="Times New Roman"/>
          <w:sz w:val="28"/>
          <w:szCs w:val="28"/>
          <w:lang w:val="kk-KZ"/>
        </w:rPr>
        <w:t>унок</w:t>
      </w:r>
      <w:r w:rsidR="00473B9E" w:rsidRPr="001935D0">
        <w:rPr>
          <w:rFonts w:ascii="Times New Roman" w:hAnsi="Times New Roman" w:cs="Times New Roman"/>
          <w:sz w:val="28"/>
          <w:szCs w:val="28"/>
        </w:rPr>
        <w:t xml:space="preserve"> 1.6)</w:t>
      </w:r>
      <w:r w:rsidRPr="001935D0">
        <w:rPr>
          <w:rFonts w:ascii="Times New Roman" w:hAnsi="Times New Roman" w:cs="Times New Roman"/>
          <w:sz w:val="28"/>
          <w:szCs w:val="28"/>
        </w:rPr>
        <w:t>.</w:t>
      </w:r>
    </w:p>
    <w:p w14:paraId="7711D518" w14:textId="77777777" w:rsidR="006016C5" w:rsidRPr="006016C5" w:rsidRDefault="006016C5" w:rsidP="006016C5">
      <w:pPr>
        <w:pStyle w:val="NoSpacing"/>
        <w:ind w:firstLine="709"/>
        <w:jc w:val="both"/>
        <w:rPr>
          <w:rFonts w:ascii="Times New Roman" w:hAnsi="Times New Roman" w:cs="Times New Roman"/>
          <w:sz w:val="28"/>
          <w:szCs w:val="28"/>
          <w:lang w:val="kk-KZ"/>
        </w:rPr>
      </w:pPr>
    </w:p>
    <w:p w14:paraId="7A1DB1F5" w14:textId="37798BF4" w:rsidR="00AD7ADB" w:rsidRPr="001935D0" w:rsidRDefault="00AD7ADB" w:rsidP="00593711">
      <w:pPr>
        <w:pStyle w:val="NoSpacing"/>
        <w:ind w:firstLine="567"/>
        <w:jc w:val="both"/>
        <w:rPr>
          <w:rFonts w:ascii="Times New Roman" w:hAnsi="Times New Roman" w:cs="Times New Roman"/>
          <w:sz w:val="28"/>
          <w:szCs w:val="28"/>
        </w:rPr>
      </w:pPr>
      <w:r w:rsidRPr="001935D0">
        <w:rPr>
          <w:rFonts w:ascii="Times New Roman" w:hAnsi="Times New Roman" w:cs="Times New Roman"/>
          <w:noProof/>
          <w:sz w:val="28"/>
          <w:szCs w:val="28"/>
          <w:lang w:eastAsia="ru-RU"/>
        </w:rPr>
        <w:lastRenderedPageBreak/>
        <w:drawing>
          <wp:inline distT="0" distB="0" distL="0" distR="0" wp14:anchorId="4CFAD912" wp14:editId="7313F895">
            <wp:extent cx="5486400" cy="4270198"/>
            <wp:effectExtent l="0" t="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0228F8BA" w14:textId="77777777" w:rsidR="006016C5" w:rsidRPr="006016C5" w:rsidRDefault="006016C5" w:rsidP="00593711">
      <w:pPr>
        <w:pStyle w:val="NoSpacing"/>
        <w:ind w:firstLine="567"/>
        <w:jc w:val="both"/>
        <w:rPr>
          <w:rFonts w:ascii="Times New Roman" w:hAnsi="Times New Roman" w:cs="Times New Roman"/>
          <w:sz w:val="16"/>
          <w:szCs w:val="16"/>
          <w:lang w:val="kk-KZ"/>
        </w:rPr>
      </w:pPr>
    </w:p>
    <w:p w14:paraId="2C7809F6" w14:textId="21447FA3" w:rsidR="00473B9E" w:rsidRPr="001935D0" w:rsidRDefault="00473B9E" w:rsidP="006016C5">
      <w:pPr>
        <w:pStyle w:val="NoSpacing"/>
        <w:jc w:val="center"/>
        <w:rPr>
          <w:rFonts w:ascii="Times New Roman" w:hAnsi="Times New Roman" w:cs="Times New Roman"/>
          <w:sz w:val="28"/>
          <w:szCs w:val="28"/>
        </w:rPr>
      </w:pPr>
      <w:r w:rsidRPr="001935D0">
        <w:rPr>
          <w:rFonts w:ascii="Times New Roman" w:hAnsi="Times New Roman" w:cs="Times New Roman"/>
          <w:sz w:val="28"/>
          <w:szCs w:val="28"/>
        </w:rPr>
        <w:t>Рис</w:t>
      </w:r>
      <w:r w:rsidR="006016C5">
        <w:rPr>
          <w:rFonts w:ascii="Times New Roman" w:hAnsi="Times New Roman" w:cs="Times New Roman"/>
          <w:sz w:val="28"/>
          <w:szCs w:val="28"/>
          <w:lang w:val="kk-KZ"/>
        </w:rPr>
        <w:t>унок</w:t>
      </w:r>
      <w:r w:rsidRPr="001935D0">
        <w:rPr>
          <w:rFonts w:ascii="Times New Roman" w:hAnsi="Times New Roman" w:cs="Times New Roman"/>
          <w:sz w:val="28"/>
          <w:szCs w:val="28"/>
        </w:rPr>
        <w:t xml:space="preserve"> 1.6</w:t>
      </w:r>
      <w:r w:rsidRPr="001935D0">
        <w:rPr>
          <w:rFonts w:ascii="Times New Roman" w:hAnsi="Times New Roman" w:cs="Times New Roman"/>
        </w:rPr>
        <w:t xml:space="preserve"> </w:t>
      </w:r>
      <w:r w:rsidR="006016C5">
        <w:rPr>
          <w:rFonts w:ascii="Times New Roman" w:hAnsi="Times New Roman" w:cs="Times New Roman"/>
          <w:lang w:val="kk-KZ"/>
        </w:rPr>
        <w:t xml:space="preserve">– </w:t>
      </w:r>
      <w:r w:rsidRPr="001935D0">
        <w:rPr>
          <w:rFonts w:ascii="Times New Roman" w:hAnsi="Times New Roman" w:cs="Times New Roman"/>
          <w:sz w:val="28"/>
          <w:szCs w:val="28"/>
        </w:rPr>
        <w:t>Трёхуровневая модель институционального взаимодействия ЕС и Казахстана</w:t>
      </w:r>
    </w:p>
    <w:p w14:paraId="2B3FFAC9" w14:textId="77777777" w:rsidR="006016C5" w:rsidRPr="006016C5" w:rsidRDefault="006016C5" w:rsidP="00593711">
      <w:pPr>
        <w:pStyle w:val="NoSpacing"/>
        <w:ind w:firstLine="567"/>
        <w:jc w:val="both"/>
        <w:rPr>
          <w:rFonts w:ascii="Times New Roman" w:hAnsi="Times New Roman" w:cs="Times New Roman"/>
          <w:sz w:val="16"/>
          <w:szCs w:val="16"/>
          <w:lang w:val="kk-KZ"/>
        </w:rPr>
      </w:pPr>
    </w:p>
    <w:p w14:paraId="09A03CEE" w14:textId="77777777" w:rsidR="00614B7F" w:rsidRPr="001935D0" w:rsidRDefault="00614B7F" w:rsidP="00614B7F">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[54</w:t>
      </w:r>
      <w:r>
        <w:rPr>
          <w:rFonts w:ascii="Times New Roman" w:hAnsi="Times New Roman" w:cs="Times New Roman"/>
          <w:sz w:val="24"/>
          <w:szCs w:val="24"/>
          <w:lang w:val="kk-KZ"/>
        </w:rPr>
        <w:t xml:space="preserve">; 55; 56; 57; </w:t>
      </w:r>
      <w:r w:rsidRPr="001935D0">
        <w:rPr>
          <w:rFonts w:ascii="Times New Roman" w:hAnsi="Times New Roman" w:cs="Times New Roman"/>
          <w:sz w:val="24"/>
          <w:szCs w:val="24"/>
        </w:rPr>
        <w:t>58]</w:t>
      </w:r>
    </w:p>
    <w:p w14:paraId="5B1B86AA" w14:textId="77777777" w:rsidR="00675232" w:rsidRPr="001935D0" w:rsidRDefault="00675232" w:rsidP="006016C5">
      <w:pPr>
        <w:pStyle w:val="NoSpacing"/>
        <w:ind w:firstLine="709"/>
        <w:jc w:val="both"/>
        <w:rPr>
          <w:rFonts w:ascii="Times New Roman" w:hAnsi="Times New Roman" w:cs="Times New Roman"/>
          <w:sz w:val="28"/>
          <w:szCs w:val="28"/>
        </w:rPr>
      </w:pPr>
    </w:p>
    <w:p w14:paraId="4CCCD60F" w14:textId="2F13E8D3" w:rsidR="00800496" w:rsidRPr="001935D0" w:rsidRDefault="00473B9E" w:rsidP="0082230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Анализируя модель необходимо отметить, что с</w:t>
      </w:r>
      <w:r w:rsidR="00800496" w:rsidRPr="001935D0">
        <w:rPr>
          <w:rFonts w:ascii="Times New Roman" w:hAnsi="Times New Roman" w:cs="Times New Roman"/>
          <w:sz w:val="28"/>
          <w:szCs w:val="28"/>
        </w:rPr>
        <w:t xml:space="preserve"> 2008 года проводятся ежегодные Диалоги ЕС – Казахстан по правам человека. На пятнадцатом раунде (Астана, апрель 2024 года) стороны согласовали «дорожные карты» по свободе мирных собраний, предупреждению пыток и об</w:t>
      </w:r>
      <w:r w:rsidR="0080126E" w:rsidRPr="001935D0">
        <w:rPr>
          <w:rFonts w:ascii="Times New Roman" w:hAnsi="Times New Roman" w:cs="Times New Roman"/>
          <w:sz w:val="28"/>
          <w:szCs w:val="28"/>
        </w:rPr>
        <w:t>еспечению гендерного равенства</w:t>
      </w:r>
      <w:r w:rsidR="00800496" w:rsidRPr="001935D0">
        <w:rPr>
          <w:rFonts w:ascii="Times New Roman" w:hAnsi="Times New Roman" w:cs="Times New Roman"/>
          <w:sz w:val="28"/>
          <w:szCs w:val="28"/>
        </w:rPr>
        <w:t>, что позволяет регулярно оценивать выполнение рекомендаций и формировать стратегический вектор правозащитных реформ</w:t>
      </w:r>
      <w:r w:rsidR="00675232" w:rsidRPr="001935D0">
        <w:rPr>
          <w:rFonts w:ascii="Times New Roman" w:hAnsi="Times New Roman" w:cs="Times New Roman"/>
          <w:sz w:val="28"/>
          <w:szCs w:val="28"/>
        </w:rPr>
        <w:t xml:space="preserve"> [55]</w:t>
      </w:r>
      <w:r w:rsidR="00800496" w:rsidRPr="001935D0">
        <w:rPr>
          <w:rFonts w:ascii="Times New Roman" w:hAnsi="Times New Roman" w:cs="Times New Roman"/>
          <w:sz w:val="28"/>
          <w:szCs w:val="28"/>
        </w:rPr>
        <w:t>.</w:t>
      </w:r>
    </w:p>
    <w:p w14:paraId="5EDF7AC2" w14:textId="1D29FC1A" w:rsidR="00800496" w:rsidRPr="001935D0" w:rsidRDefault="00800496" w:rsidP="0082230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Казахстан наряду с другими государствами региона может претендовать на грантовое финансирование (до €300 млн</w:t>
      </w:r>
      <w:r w:rsidR="00822303">
        <w:rPr>
          <w:rFonts w:ascii="Times New Roman" w:hAnsi="Times New Roman" w:cs="Times New Roman"/>
          <w:sz w:val="28"/>
          <w:szCs w:val="28"/>
          <w:lang w:val="kk-KZ"/>
        </w:rPr>
        <w:t>.</w:t>
      </w:r>
      <w:r w:rsidRPr="001935D0">
        <w:rPr>
          <w:rFonts w:ascii="Times New Roman" w:hAnsi="Times New Roman" w:cs="Times New Roman"/>
          <w:sz w:val="28"/>
          <w:szCs w:val="28"/>
        </w:rPr>
        <w:t xml:space="preserve"> по региональной тематике) для проектов судебной реформы, расширения цифровы</w:t>
      </w:r>
      <w:r w:rsidR="0080126E" w:rsidRPr="001935D0">
        <w:rPr>
          <w:rFonts w:ascii="Times New Roman" w:hAnsi="Times New Roman" w:cs="Times New Roman"/>
          <w:sz w:val="28"/>
          <w:szCs w:val="28"/>
        </w:rPr>
        <w:t>х прав и «зелёной» экономики. При этом д</w:t>
      </w:r>
      <w:r w:rsidRPr="001935D0">
        <w:rPr>
          <w:rFonts w:ascii="Times New Roman" w:hAnsi="Times New Roman" w:cs="Times New Roman"/>
          <w:sz w:val="28"/>
          <w:szCs w:val="28"/>
        </w:rPr>
        <w:t xml:space="preserve">ирективы ЕС </w:t>
      </w:r>
      <w:r w:rsidR="00AD7ADB" w:rsidRPr="001935D0">
        <w:rPr>
          <w:rFonts w:ascii="Times New Roman" w:hAnsi="Times New Roman" w:cs="Times New Roman"/>
          <w:sz w:val="28"/>
          <w:szCs w:val="28"/>
        </w:rPr>
        <w:t>–</w:t>
      </w:r>
      <w:r w:rsidRPr="001935D0">
        <w:rPr>
          <w:rFonts w:ascii="Times New Roman" w:hAnsi="Times New Roman" w:cs="Times New Roman"/>
          <w:sz w:val="28"/>
          <w:szCs w:val="28"/>
        </w:rPr>
        <w:t xml:space="preserve"> </w:t>
      </w:r>
      <w:r w:rsidR="00675232" w:rsidRPr="001935D0">
        <w:rPr>
          <w:rFonts w:ascii="Times New Roman" w:hAnsi="Times New Roman" w:cs="Times New Roman"/>
          <w:sz w:val="28"/>
          <w:szCs w:val="28"/>
        </w:rPr>
        <w:t>Corporate Sustainability Reporting Directive (</w:t>
      </w:r>
      <w:r w:rsidRPr="001935D0">
        <w:rPr>
          <w:rFonts w:ascii="Times New Roman" w:hAnsi="Times New Roman" w:cs="Times New Roman"/>
          <w:sz w:val="28"/>
          <w:szCs w:val="28"/>
        </w:rPr>
        <w:t>CSRD</w:t>
      </w:r>
      <w:r w:rsidR="00675232" w:rsidRPr="001935D0">
        <w:rPr>
          <w:rFonts w:ascii="Times New Roman" w:hAnsi="Times New Roman" w:cs="Times New Roman"/>
          <w:sz w:val="28"/>
          <w:szCs w:val="28"/>
        </w:rPr>
        <w:t>)</w:t>
      </w:r>
      <w:r w:rsidRPr="001935D0">
        <w:rPr>
          <w:rFonts w:ascii="Times New Roman" w:hAnsi="Times New Roman" w:cs="Times New Roman"/>
          <w:sz w:val="28"/>
          <w:szCs w:val="28"/>
        </w:rPr>
        <w:t xml:space="preserve"> и </w:t>
      </w:r>
      <w:r w:rsidR="00675232" w:rsidRPr="001935D0">
        <w:rPr>
          <w:rFonts w:ascii="Times New Roman" w:hAnsi="Times New Roman" w:cs="Times New Roman"/>
          <w:sz w:val="28"/>
          <w:szCs w:val="28"/>
        </w:rPr>
        <w:t>Corporate Sustainability Due Diligence Directive (</w:t>
      </w:r>
      <w:r w:rsidRPr="001935D0">
        <w:rPr>
          <w:rFonts w:ascii="Times New Roman" w:hAnsi="Times New Roman" w:cs="Times New Roman"/>
          <w:sz w:val="28"/>
          <w:szCs w:val="28"/>
        </w:rPr>
        <w:t>CSDDD</w:t>
      </w:r>
      <w:r w:rsidR="00675232" w:rsidRPr="001935D0">
        <w:rPr>
          <w:rFonts w:ascii="Times New Roman" w:hAnsi="Times New Roman" w:cs="Times New Roman"/>
          <w:sz w:val="28"/>
          <w:szCs w:val="28"/>
        </w:rPr>
        <w:t>)</w:t>
      </w:r>
      <w:r w:rsidRPr="001935D0">
        <w:rPr>
          <w:rFonts w:ascii="Times New Roman" w:hAnsi="Times New Roman" w:cs="Times New Roman"/>
          <w:sz w:val="28"/>
          <w:szCs w:val="28"/>
        </w:rPr>
        <w:t xml:space="preserve"> </w:t>
      </w:r>
      <w:r w:rsidR="00AD7ADB" w:rsidRPr="001935D0">
        <w:rPr>
          <w:rFonts w:ascii="Times New Roman" w:hAnsi="Times New Roman" w:cs="Times New Roman"/>
          <w:sz w:val="28"/>
          <w:szCs w:val="28"/>
        </w:rPr>
        <w:t>–</w:t>
      </w:r>
      <w:r w:rsidRPr="001935D0">
        <w:rPr>
          <w:rFonts w:ascii="Times New Roman" w:hAnsi="Times New Roman" w:cs="Times New Roman"/>
          <w:sz w:val="28"/>
          <w:szCs w:val="28"/>
        </w:rPr>
        <w:t xml:space="preserve"> становятся ориентиром для экспортёров</w:t>
      </w:r>
      <w:r w:rsidR="007239F6" w:rsidRPr="001935D0">
        <w:rPr>
          <w:rFonts w:ascii="Times New Roman" w:hAnsi="Times New Roman" w:cs="Times New Roman"/>
          <w:sz w:val="28"/>
          <w:szCs w:val="28"/>
        </w:rPr>
        <w:t xml:space="preserve"> Казахстана в</w:t>
      </w:r>
      <w:r w:rsidRPr="001935D0">
        <w:rPr>
          <w:rFonts w:ascii="Times New Roman" w:hAnsi="Times New Roman" w:cs="Times New Roman"/>
          <w:sz w:val="28"/>
          <w:szCs w:val="28"/>
        </w:rPr>
        <w:t xml:space="preserve"> нефтегазово</w:t>
      </w:r>
      <w:r w:rsidR="007239F6" w:rsidRPr="001935D0">
        <w:rPr>
          <w:rFonts w:ascii="Times New Roman" w:hAnsi="Times New Roman" w:cs="Times New Roman"/>
          <w:sz w:val="28"/>
          <w:szCs w:val="28"/>
        </w:rPr>
        <w:t>й</w:t>
      </w:r>
      <w:r w:rsidRPr="001935D0">
        <w:rPr>
          <w:rFonts w:ascii="Times New Roman" w:hAnsi="Times New Roman" w:cs="Times New Roman"/>
          <w:sz w:val="28"/>
          <w:szCs w:val="28"/>
        </w:rPr>
        <w:t>, горнодобывающе</w:t>
      </w:r>
      <w:r w:rsidR="007239F6" w:rsidRPr="001935D0">
        <w:rPr>
          <w:rFonts w:ascii="Times New Roman" w:hAnsi="Times New Roman" w:cs="Times New Roman"/>
          <w:sz w:val="28"/>
          <w:szCs w:val="28"/>
        </w:rPr>
        <w:t xml:space="preserve">й </w:t>
      </w:r>
      <w:r w:rsidRPr="001935D0">
        <w:rPr>
          <w:rFonts w:ascii="Times New Roman" w:hAnsi="Times New Roman" w:cs="Times New Roman"/>
          <w:sz w:val="28"/>
          <w:szCs w:val="28"/>
        </w:rPr>
        <w:t>и агропромышленно</w:t>
      </w:r>
      <w:r w:rsidR="007239F6" w:rsidRPr="001935D0">
        <w:rPr>
          <w:rFonts w:ascii="Times New Roman" w:hAnsi="Times New Roman" w:cs="Times New Roman"/>
          <w:sz w:val="28"/>
          <w:szCs w:val="28"/>
        </w:rPr>
        <w:t>м</w:t>
      </w:r>
      <w:r w:rsidRPr="001935D0">
        <w:rPr>
          <w:rFonts w:ascii="Times New Roman" w:hAnsi="Times New Roman" w:cs="Times New Roman"/>
          <w:sz w:val="28"/>
          <w:szCs w:val="28"/>
        </w:rPr>
        <w:t xml:space="preserve"> сектор</w:t>
      </w:r>
      <w:r w:rsidR="007239F6" w:rsidRPr="001935D0">
        <w:rPr>
          <w:rFonts w:ascii="Times New Roman" w:hAnsi="Times New Roman" w:cs="Times New Roman"/>
          <w:sz w:val="28"/>
          <w:szCs w:val="28"/>
        </w:rPr>
        <w:t>ах</w:t>
      </w:r>
      <w:r w:rsidR="00675232" w:rsidRPr="001935D0">
        <w:rPr>
          <w:rFonts w:ascii="Times New Roman" w:hAnsi="Times New Roman" w:cs="Times New Roman"/>
          <w:sz w:val="28"/>
          <w:szCs w:val="28"/>
        </w:rPr>
        <w:t xml:space="preserve"> [56</w:t>
      </w:r>
      <w:r w:rsidR="0014676E">
        <w:rPr>
          <w:rFonts w:ascii="Times New Roman" w:hAnsi="Times New Roman" w:cs="Times New Roman"/>
          <w:sz w:val="28"/>
          <w:szCs w:val="28"/>
          <w:lang w:val="kk-KZ"/>
        </w:rPr>
        <w:t xml:space="preserve">; </w:t>
      </w:r>
      <w:r w:rsidR="00675232" w:rsidRPr="001935D0">
        <w:rPr>
          <w:rFonts w:ascii="Times New Roman" w:hAnsi="Times New Roman" w:cs="Times New Roman"/>
          <w:sz w:val="28"/>
          <w:szCs w:val="28"/>
        </w:rPr>
        <w:t>57]</w:t>
      </w:r>
      <w:r w:rsidRPr="001935D0">
        <w:rPr>
          <w:rFonts w:ascii="Times New Roman" w:hAnsi="Times New Roman" w:cs="Times New Roman"/>
          <w:sz w:val="28"/>
          <w:szCs w:val="28"/>
        </w:rPr>
        <w:t xml:space="preserve">. </w:t>
      </w:r>
      <w:r w:rsidRPr="001935D0">
        <w:rPr>
          <w:rStyle w:val="Emphasis"/>
          <w:rFonts w:ascii="Times New Roman" w:hAnsi="Times New Roman" w:cs="Times New Roman"/>
          <w:i w:val="0"/>
          <w:sz w:val="28"/>
          <w:szCs w:val="28"/>
        </w:rPr>
        <w:t>План действий по правам человека и верховенству права №258</w:t>
      </w:r>
      <w:r w:rsidRPr="001935D0">
        <w:rPr>
          <w:rFonts w:ascii="Times New Roman" w:hAnsi="Times New Roman" w:cs="Times New Roman"/>
          <w:sz w:val="28"/>
          <w:szCs w:val="28"/>
        </w:rPr>
        <w:t xml:space="preserve"> уже включает пилотное внедрение ESG-индикаторов в отчёт</w:t>
      </w:r>
      <w:r w:rsidR="00AD7ADB" w:rsidRPr="001935D0">
        <w:rPr>
          <w:rFonts w:ascii="Times New Roman" w:hAnsi="Times New Roman" w:cs="Times New Roman"/>
          <w:sz w:val="28"/>
          <w:szCs w:val="28"/>
        </w:rPr>
        <w:t>ности государственных компаний</w:t>
      </w:r>
      <w:r w:rsidR="00675232" w:rsidRPr="001935D0">
        <w:rPr>
          <w:rFonts w:ascii="Times New Roman" w:hAnsi="Times New Roman" w:cs="Times New Roman"/>
          <w:sz w:val="28"/>
          <w:szCs w:val="28"/>
        </w:rPr>
        <w:t xml:space="preserve"> [58]</w:t>
      </w:r>
      <w:r w:rsidRPr="001935D0">
        <w:rPr>
          <w:rFonts w:ascii="Times New Roman" w:hAnsi="Times New Roman" w:cs="Times New Roman"/>
          <w:sz w:val="28"/>
          <w:szCs w:val="28"/>
        </w:rPr>
        <w:t>.</w:t>
      </w:r>
    </w:p>
    <w:p w14:paraId="3E75588A" w14:textId="77777777" w:rsidR="00800496" w:rsidRPr="001935D0" w:rsidRDefault="00800496" w:rsidP="0082230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Таким образом, правозащитные инструменты ЕС формируют для Казахстана не только внешнеполитический ориентир, но и практический ресурс институциональной трансформации, соединяющий политический диалог, финансируемые реформы и регуляторную адаптацию.</w:t>
      </w:r>
    </w:p>
    <w:p w14:paraId="42F21313" w14:textId="07BA0090" w:rsidR="00183C5B" w:rsidRPr="001935D0" w:rsidRDefault="00183C5B" w:rsidP="00822303">
      <w:pPr>
        <w:spacing w:after="0" w:line="240" w:lineRule="auto"/>
        <w:ind w:firstLine="709"/>
        <w:jc w:val="both"/>
        <w:rPr>
          <w:rFonts w:ascii="Times New Roman" w:hAnsi="Times New Roman" w:cs="Times New Roman"/>
          <w:b/>
          <w:bCs/>
          <w:sz w:val="28"/>
          <w:szCs w:val="28"/>
          <w:lang w:val="kk-KZ"/>
        </w:rPr>
      </w:pPr>
      <w:r w:rsidRPr="001935D0">
        <w:rPr>
          <w:rFonts w:ascii="Times New Roman" w:hAnsi="Times New Roman" w:cs="Times New Roman"/>
          <w:b/>
          <w:bCs/>
          <w:sz w:val="28"/>
          <w:szCs w:val="28"/>
        </w:rPr>
        <w:lastRenderedPageBreak/>
        <w:t>1.3</w:t>
      </w:r>
      <w:r w:rsidR="009E3B02">
        <w:rPr>
          <w:rFonts w:ascii="Times New Roman" w:hAnsi="Times New Roman" w:cs="Times New Roman"/>
          <w:b/>
          <w:bCs/>
          <w:sz w:val="28"/>
          <w:szCs w:val="28"/>
          <w:lang w:val="kk-KZ"/>
        </w:rPr>
        <w:t xml:space="preserve"> </w:t>
      </w:r>
      <w:r w:rsidR="000954CD" w:rsidRPr="001935D0">
        <w:rPr>
          <w:rFonts w:ascii="Times New Roman" w:hAnsi="Times New Roman" w:cs="Times New Roman"/>
          <w:b/>
          <w:bCs/>
          <w:sz w:val="28"/>
          <w:szCs w:val="28"/>
          <w:lang w:val="kk-KZ"/>
        </w:rPr>
        <w:t>Методологические подходы к исследованию европейской модели защиты прав человека с точки зрения её применимости в Казахстане</w:t>
      </w:r>
    </w:p>
    <w:p w14:paraId="28257A62" w14:textId="1BAA030C" w:rsidR="003A67E1" w:rsidRPr="001935D0" w:rsidRDefault="003A67E1" w:rsidP="0082230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Методологические ориентиры Европейского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в области защиты прав человека формализованы в рамках </w:t>
      </w:r>
      <w:r w:rsidRPr="001935D0">
        <w:rPr>
          <w:rStyle w:val="Strong"/>
          <w:rFonts w:ascii="Times New Roman" w:hAnsi="Times New Roman" w:cs="Times New Roman"/>
          <w:b w:val="0"/>
          <w:bCs w:val="0"/>
          <w:sz w:val="28"/>
          <w:szCs w:val="28"/>
        </w:rPr>
        <w:t>Плана действий ЕС по правам человека и демократии на 2020–2027 годы</w:t>
      </w:r>
      <w:r w:rsidRPr="001935D0">
        <w:rPr>
          <w:rFonts w:ascii="Times New Roman" w:hAnsi="Times New Roman" w:cs="Times New Roman"/>
          <w:sz w:val="28"/>
          <w:szCs w:val="28"/>
        </w:rPr>
        <w:t>, утверждённого Советом ЕС и пролонгированного в мае 2024 года</w:t>
      </w:r>
      <w:r w:rsidR="005A0016" w:rsidRPr="001935D0">
        <w:rPr>
          <w:rFonts w:ascii="Times New Roman" w:hAnsi="Times New Roman" w:cs="Times New Roman"/>
          <w:sz w:val="28"/>
          <w:szCs w:val="28"/>
          <w:lang w:val="uk-UA"/>
        </w:rPr>
        <w:t xml:space="preserve"> </w:t>
      </w:r>
      <w:r w:rsidR="005A0016" w:rsidRPr="001935D0">
        <w:rPr>
          <w:rFonts w:ascii="Times New Roman" w:hAnsi="Times New Roman" w:cs="Times New Roman"/>
          <w:sz w:val="28"/>
          <w:szCs w:val="28"/>
        </w:rPr>
        <w:t>[59]</w:t>
      </w:r>
      <w:r w:rsidRPr="001935D0">
        <w:rPr>
          <w:rFonts w:ascii="Times New Roman" w:hAnsi="Times New Roman" w:cs="Times New Roman"/>
          <w:sz w:val="28"/>
          <w:szCs w:val="28"/>
        </w:rPr>
        <w:t>. Этот стратегический документ определяет принципы интеграции прав человека во внешнюю политику ЕС, включая подход, основанный на правах человека (HRBA), использование количественных индикаторов, результативный мониторинг и институциональное взаимодействие с партнёрскими государ</w:t>
      </w:r>
      <w:r w:rsidR="005A0016" w:rsidRPr="001935D0">
        <w:rPr>
          <w:rFonts w:ascii="Times New Roman" w:hAnsi="Times New Roman" w:cs="Times New Roman"/>
          <w:sz w:val="28"/>
          <w:szCs w:val="28"/>
        </w:rPr>
        <w:t>ствами</w:t>
      </w:r>
      <w:r w:rsidRPr="001935D0">
        <w:rPr>
          <w:rFonts w:ascii="Times New Roman" w:hAnsi="Times New Roman" w:cs="Times New Roman"/>
          <w:sz w:val="28"/>
          <w:szCs w:val="28"/>
        </w:rPr>
        <w:t>.</w:t>
      </w:r>
    </w:p>
    <w:p w14:paraId="40D4D0F3" w14:textId="15670792" w:rsidR="003A67E1" w:rsidRPr="001935D0" w:rsidRDefault="003A67E1" w:rsidP="0082230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Внутренний контекст Казахстана также демонстрирует последовательное движение в сторону институциональной модернизации и сближения с международными стандартами. Так, в Послании Президента Касым-Жомарта Токаева от 1 сентября 2024 года был обозначен курс на построение «Справедливого Казахстана»,</w:t>
      </w:r>
      <w:r w:rsidR="0080126E" w:rsidRPr="001935D0">
        <w:rPr>
          <w:rFonts w:ascii="Times New Roman" w:hAnsi="Times New Roman" w:cs="Times New Roman"/>
        </w:rPr>
        <w:t xml:space="preserve"> </w:t>
      </w:r>
      <w:r w:rsidRPr="001935D0">
        <w:rPr>
          <w:rFonts w:ascii="Times New Roman" w:hAnsi="Times New Roman" w:cs="Times New Roman"/>
          <w:sz w:val="28"/>
          <w:szCs w:val="28"/>
        </w:rPr>
        <w:t>основанного на верховенстве закона и защите прав граждан</w:t>
      </w:r>
      <w:r w:rsidR="005A0016" w:rsidRPr="001935D0">
        <w:rPr>
          <w:rFonts w:ascii="Times New Roman" w:hAnsi="Times New Roman" w:cs="Times New Roman"/>
          <w:sz w:val="28"/>
          <w:szCs w:val="28"/>
        </w:rPr>
        <w:t xml:space="preserve"> [60]</w:t>
      </w:r>
      <w:r w:rsidRPr="001935D0">
        <w:rPr>
          <w:rFonts w:ascii="Times New Roman" w:hAnsi="Times New Roman" w:cs="Times New Roman"/>
          <w:sz w:val="28"/>
          <w:szCs w:val="28"/>
        </w:rPr>
        <w:t xml:space="preserve">. Реализации этого курса способствует </w:t>
      </w:r>
      <w:r w:rsidRPr="001935D0">
        <w:rPr>
          <w:rStyle w:val="Strong"/>
          <w:rFonts w:ascii="Times New Roman" w:hAnsi="Times New Roman" w:cs="Times New Roman"/>
          <w:b w:val="0"/>
          <w:bCs w:val="0"/>
          <w:sz w:val="28"/>
          <w:szCs w:val="28"/>
        </w:rPr>
        <w:t>План дальнейших мер в области прав человека и верховенства закона</w:t>
      </w:r>
      <w:r w:rsidRPr="001935D0">
        <w:rPr>
          <w:rFonts w:ascii="Times New Roman" w:hAnsi="Times New Roman" w:cs="Times New Roman"/>
          <w:sz w:val="28"/>
          <w:szCs w:val="28"/>
        </w:rPr>
        <w:t>, в котором чётко обозначены приоритеты по гармонизации национального законодательства с международными обязательствами.</w:t>
      </w:r>
    </w:p>
    <w:p w14:paraId="6DCF208B" w14:textId="77777777" w:rsidR="00A56E77" w:rsidRPr="001935D0" w:rsidRDefault="00A56E77" w:rsidP="00593711">
      <w:pPr>
        <w:pStyle w:val="NoSpacing"/>
        <w:rPr>
          <w:rStyle w:val="Strong"/>
          <w:rFonts w:ascii="Times New Roman" w:hAnsi="Times New Roman" w:cs="Times New Roman"/>
        </w:rPr>
      </w:pPr>
    </w:p>
    <w:p w14:paraId="3E2054DB" w14:textId="1426C5BE" w:rsidR="00A56E77" w:rsidRPr="001935D0" w:rsidRDefault="00A56E77" w:rsidP="00593711">
      <w:pPr>
        <w:pStyle w:val="NoSpacing"/>
        <w:rPr>
          <w:rStyle w:val="Strong"/>
          <w:rFonts w:ascii="Times New Roman" w:hAnsi="Times New Roman" w:cs="Times New Roman"/>
        </w:rPr>
      </w:pPr>
      <w:r w:rsidRPr="001935D0">
        <w:rPr>
          <w:rFonts w:ascii="Times New Roman" w:hAnsi="Times New Roman" w:cs="Times New Roman"/>
          <w:b/>
          <w:bCs/>
          <w:noProof/>
          <w:lang w:eastAsia="ru-RU"/>
        </w:rPr>
        <w:drawing>
          <wp:inline distT="0" distB="0" distL="0" distR="0" wp14:anchorId="33CEE201" wp14:editId="5FEB0F9B">
            <wp:extent cx="6071616" cy="3233319"/>
            <wp:effectExtent l="0" t="19050" r="62865" b="24765"/>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4F24EB77" w14:textId="5EB1D9DD" w:rsidR="00A56E77" w:rsidRPr="00822303" w:rsidRDefault="00A56E77" w:rsidP="00593711">
      <w:pPr>
        <w:pStyle w:val="NoSpacing"/>
        <w:rPr>
          <w:rFonts w:ascii="Times New Roman" w:hAnsi="Times New Roman" w:cs="Times New Roman"/>
          <w:sz w:val="16"/>
          <w:szCs w:val="16"/>
        </w:rPr>
      </w:pPr>
    </w:p>
    <w:p w14:paraId="3DBDF671" w14:textId="3D8056E0" w:rsidR="00A56E77" w:rsidRPr="001935D0" w:rsidRDefault="00A56E77" w:rsidP="00822303">
      <w:pPr>
        <w:pStyle w:val="NoSpacing"/>
        <w:jc w:val="center"/>
        <w:rPr>
          <w:rFonts w:ascii="Times New Roman" w:hAnsi="Times New Roman" w:cs="Times New Roman"/>
          <w:sz w:val="28"/>
          <w:szCs w:val="28"/>
        </w:rPr>
      </w:pPr>
      <w:r w:rsidRPr="001935D0">
        <w:rPr>
          <w:rFonts w:ascii="Times New Roman" w:hAnsi="Times New Roman" w:cs="Times New Roman"/>
          <w:sz w:val="28"/>
          <w:szCs w:val="28"/>
        </w:rPr>
        <w:t>Рис</w:t>
      </w:r>
      <w:r w:rsidR="00822303">
        <w:rPr>
          <w:rFonts w:ascii="Times New Roman" w:hAnsi="Times New Roman" w:cs="Times New Roman"/>
          <w:sz w:val="28"/>
          <w:szCs w:val="28"/>
          <w:lang w:val="kk-KZ"/>
        </w:rPr>
        <w:t>унок</w:t>
      </w:r>
      <w:r w:rsidRPr="001935D0">
        <w:rPr>
          <w:rFonts w:ascii="Times New Roman" w:hAnsi="Times New Roman" w:cs="Times New Roman"/>
          <w:sz w:val="28"/>
          <w:szCs w:val="28"/>
        </w:rPr>
        <w:t xml:space="preserve"> 1.7 </w:t>
      </w:r>
      <w:r w:rsidR="00822303">
        <w:rPr>
          <w:rFonts w:ascii="Times New Roman" w:hAnsi="Times New Roman" w:cs="Times New Roman"/>
          <w:sz w:val="28"/>
          <w:szCs w:val="28"/>
          <w:lang w:val="kk-KZ"/>
        </w:rPr>
        <w:t xml:space="preserve">– </w:t>
      </w:r>
      <w:r w:rsidRPr="001935D0">
        <w:rPr>
          <w:rFonts w:ascii="Times New Roman" w:hAnsi="Times New Roman" w:cs="Times New Roman"/>
          <w:sz w:val="28"/>
          <w:szCs w:val="28"/>
        </w:rPr>
        <w:t>Ключевые методологические векто</w:t>
      </w:r>
      <w:r w:rsidR="001A6DAB" w:rsidRPr="001935D0">
        <w:rPr>
          <w:rFonts w:ascii="Times New Roman" w:hAnsi="Times New Roman" w:cs="Times New Roman"/>
          <w:sz w:val="28"/>
          <w:szCs w:val="28"/>
        </w:rPr>
        <w:t xml:space="preserve">ры взаимодействия Европейского </w:t>
      </w:r>
      <w:r w:rsidR="001A6DAB" w:rsidRPr="001935D0">
        <w:rPr>
          <w:rFonts w:ascii="Times New Roman" w:hAnsi="Times New Roman" w:cs="Times New Roman"/>
          <w:sz w:val="28"/>
          <w:szCs w:val="28"/>
          <w:lang w:val="kk-KZ"/>
        </w:rPr>
        <w:t>С</w:t>
      </w:r>
      <w:r w:rsidRPr="001935D0">
        <w:rPr>
          <w:rFonts w:ascii="Times New Roman" w:hAnsi="Times New Roman" w:cs="Times New Roman"/>
          <w:sz w:val="28"/>
          <w:szCs w:val="28"/>
        </w:rPr>
        <w:t>оюза и Республики Казахстан в сфере прав человека</w:t>
      </w:r>
    </w:p>
    <w:p w14:paraId="75054E28" w14:textId="77777777" w:rsidR="00822303" w:rsidRPr="00822303" w:rsidRDefault="00822303" w:rsidP="00822303">
      <w:pPr>
        <w:pStyle w:val="NoSpacing"/>
        <w:ind w:firstLine="709"/>
        <w:rPr>
          <w:rFonts w:ascii="Times New Roman" w:hAnsi="Times New Roman" w:cs="Times New Roman"/>
          <w:sz w:val="16"/>
          <w:szCs w:val="16"/>
          <w:lang w:val="uk-UA"/>
        </w:rPr>
      </w:pPr>
    </w:p>
    <w:p w14:paraId="6CC7056C" w14:textId="77777777" w:rsidR="00614B7F" w:rsidRPr="001935D0" w:rsidRDefault="00614B7F" w:rsidP="00614B7F">
      <w:pPr>
        <w:pStyle w:val="NoSpacing"/>
        <w:ind w:firstLine="709"/>
        <w:rPr>
          <w:rFonts w:ascii="Times New Roman" w:hAnsi="Times New Roman" w:cs="Times New Roman"/>
          <w:sz w:val="24"/>
          <w:szCs w:val="24"/>
        </w:rPr>
      </w:pPr>
      <w:r>
        <w:rPr>
          <w:rFonts w:ascii="Times New Roman" w:hAnsi="Times New Roman" w:cs="Times New Roman"/>
          <w:sz w:val="24"/>
          <w:szCs w:val="24"/>
          <w:lang w:val="uk-UA"/>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[58</w:t>
      </w:r>
      <w:r>
        <w:rPr>
          <w:rFonts w:ascii="Times New Roman" w:hAnsi="Times New Roman" w:cs="Times New Roman"/>
          <w:sz w:val="24"/>
          <w:szCs w:val="24"/>
          <w:lang w:val="kk-KZ"/>
        </w:rPr>
        <w:t xml:space="preserve">; 59; 60; 61; </w:t>
      </w:r>
      <w:r w:rsidRPr="001935D0">
        <w:rPr>
          <w:rFonts w:ascii="Times New Roman" w:hAnsi="Times New Roman" w:cs="Times New Roman"/>
          <w:sz w:val="24"/>
          <w:szCs w:val="24"/>
          <w:lang w:val="uk-UA"/>
        </w:rPr>
        <w:t>62</w:t>
      </w:r>
      <w:r w:rsidRPr="001935D0">
        <w:rPr>
          <w:rFonts w:ascii="Times New Roman" w:hAnsi="Times New Roman" w:cs="Times New Roman"/>
          <w:sz w:val="24"/>
          <w:szCs w:val="24"/>
        </w:rPr>
        <w:t xml:space="preserve">] </w:t>
      </w:r>
    </w:p>
    <w:p w14:paraId="5C89AC64" w14:textId="77777777" w:rsidR="006A0854" w:rsidRPr="00614B7F" w:rsidRDefault="006A0854" w:rsidP="00822303">
      <w:pPr>
        <w:pStyle w:val="NoSpacing"/>
        <w:ind w:firstLine="709"/>
        <w:jc w:val="both"/>
        <w:rPr>
          <w:rFonts w:ascii="Times New Roman" w:hAnsi="Times New Roman" w:cs="Times New Roman"/>
          <w:sz w:val="28"/>
          <w:szCs w:val="28"/>
        </w:rPr>
      </w:pPr>
    </w:p>
    <w:p w14:paraId="78026683" w14:textId="00D6117A" w:rsidR="00822303" w:rsidRPr="001935D0" w:rsidRDefault="007E5770" w:rsidP="0082230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По направлениям</w:t>
      </w:r>
      <w:r w:rsidRPr="001935D0">
        <w:rPr>
          <w:rFonts w:ascii="Times New Roman" w:hAnsi="Times New Roman" w:cs="Times New Roman"/>
          <w:sz w:val="28"/>
          <w:szCs w:val="28"/>
          <w:lang w:val="uk-UA"/>
        </w:rPr>
        <w:t xml:space="preserve"> представлен</w:t>
      </w:r>
      <w:r w:rsidRPr="001935D0">
        <w:rPr>
          <w:rFonts w:ascii="Times New Roman" w:hAnsi="Times New Roman" w:cs="Times New Roman"/>
          <w:sz w:val="28"/>
          <w:szCs w:val="28"/>
        </w:rPr>
        <w:t>ым</w:t>
      </w:r>
      <w:r>
        <w:rPr>
          <w:rFonts w:ascii="Times New Roman" w:hAnsi="Times New Roman" w:cs="Times New Roman"/>
          <w:sz w:val="28"/>
          <w:szCs w:val="28"/>
          <w:lang w:val="kk-KZ"/>
        </w:rPr>
        <w:t>и</w:t>
      </w:r>
      <w:r w:rsidRPr="001935D0">
        <w:rPr>
          <w:rFonts w:ascii="Times New Roman" w:hAnsi="Times New Roman" w:cs="Times New Roman"/>
          <w:sz w:val="28"/>
          <w:szCs w:val="28"/>
        </w:rPr>
        <w:t xml:space="preserve"> на рис</w:t>
      </w:r>
      <w:r>
        <w:rPr>
          <w:rFonts w:ascii="Times New Roman" w:hAnsi="Times New Roman" w:cs="Times New Roman"/>
          <w:sz w:val="28"/>
          <w:szCs w:val="28"/>
          <w:lang w:val="kk-KZ"/>
        </w:rPr>
        <w:t>унке</w:t>
      </w:r>
      <w:r w:rsidRPr="001935D0">
        <w:rPr>
          <w:rFonts w:ascii="Times New Roman" w:hAnsi="Times New Roman" w:cs="Times New Roman"/>
          <w:sz w:val="28"/>
          <w:szCs w:val="28"/>
        </w:rPr>
        <w:t xml:space="preserve"> 1.7</w:t>
      </w:r>
      <w:r>
        <w:rPr>
          <w:rFonts w:ascii="Times New Roman" w:hAnsi="Times New Roman" w:cs="Times New Roman"/>
          <w:sz w:val="28"/>
          <w:szCs w:val="28"/>
          <w:lang w:val="kk-KZ"/>
        </w:rPr>
        <w:t xml:space="preserve">, </w:t>
      </w:r>
      <w:r w:rsidR="00822303" w:rsidRPr="001935D0">
        <w:rPr>
          <w:rFonts w:ascii="Times New Roman" w:hAnsi="Times New Roman" w:cs="Times New Roman"/>
          <w:sz w:val="28"/>
          <w:szCs w:val="28"/>
        </w:rPr>
        <w:t>методологическое изучение европейской модели защиты прав человека приобретает для Казахстана особую актуальность.</w:t>
      </w:r>
    </w:p>
    <w:p w14:paraId="40009E09" w14:textId="7B8E7639" w:rsidR="00402237" w:rsidRPr="001935D0" w:rsidRDefault="00402237" w:rsidP="00822303">
      <w:pPr>
        <w:pStyle w:val="NoSpacing"/>
        <w:ind w:firstLine="709"/>
        <w:jc w:val="both"/>
        <w:rPr>
          <w:rFonts w:ascii="Times New Roman" w:eastAsia="Times New Roman" w:hAnsi="Times New Roman" w:cs="Times New Roman"/>
          <w:sz w:val="28"/>
          <w:szCs w:val="28"/>
          <w:lang w:eastAsia="ru-RU"/>
        </w:rPr>
      </w:pPr>
      <w:r w:rsidRPr="001935D0">
        <w:rPr>
          <w:rFonts w:ascii="Times New Roman" w:hAnsi="Times New Roman" w:cs="Times New Roman"/>
          <w:sz w:val="28"/>
          <w:szCs w:val="28"/>
        </w:rPr>
        <w:lastRenderedPageBreak/>
        <w:t xml:space="preserve">Таким образом, </w:t>
      </w:r>
      <w:r w:rsidRPr="001935D0">
        <w:rPr>
          <w:rFonts w:ascii="Times New Roman" w:eastAsia="Times New Roman" w:hAnsi="Times New Roman" w:cs="Times New Roman"/>
          <w:sz w:val="28"/>
          <w:szCs w:val="28"/>
          <w:lang w:eastAsia="ru-RU"/>
        </w:rPr>
        <w:t>с</w:t>
      </w:r>
      <w:r w:rsidR="003751B9" w:rsidRPr="001935D0">
        <w:rPr>
          <w:rFonts w:ascii="Times New Roman" w:eastAsia="Times New Roman" w:hAnsi="Times New Roman" w:cs="Times New Roman"/>
          <w:sz w:val="28"/>
          <w:szCs w:val="28"/>
          <w:lang w:eastAsia="ru-RU"/>
        </w:rPr>
        <w:t>овременная европейская модель защиты прав человека представляет собой сложный многоуровневый комплекс норм, институтов и процедур, сформировавшийся в результате длительной эволюции законодательства, судебной практики и политической интеграции. Для Казахстана, который в соответствии с Соглашением о расширенном партнёрстве и сотрудничестве (EPCA, 2015) и «Планом дальнейших мер в области прав человека и верховенства закона» (Постановление №258, 2022) взял курс на сближение с международными стандартами, методологический анализ этой модели имеет не только теоретическую, но и прикладную ценность</w:t>
      </w:r>
      <w:r w:rsidR="00997DAC" w:rsidRPr="001935D0">
        <w:rPr>
          <w:rFonts w:ascii="Times New Roman" w:eastAsia="Times New Roman" w:hAnsi="Times New Roman" w:cs="Times New Roman"/>
          <w:sz w:val="28"/>
          <w:szCs w:val="28"/>
          <w:lang w:eastAsia="ru-RU"/>
        </w:rPr>
        <w:t xml:space="preserve"> </w:t>
      </w:r>
      <w:r w:rsidR="00997DAC" w:rsidRPr="001935D0">
        <w:rPr>
          <w:rFonts w:ascii="Times New Roman" w:eastAsia="Times New Roman" w:hAnsi="Times New Roman" w:cs="Times New Roman"/>
          <w:sz w:val="28"/>
          <w:szCs w:val="28"/>
          <w:lang w:val="uk-UA" w:eastAsia="ru-RU"/>
        </w:rPr>
        <w:t>[</w:t>
      </w:r>
      <w:r w:rsidR="00997DAC" w:rsidRPr="001935D0">
        <w:rPr>
          <w:rFonts w:ascii="Times New Roman" w:eastAsia="Times New Roman" w:hAnsi="Times New Roman" w:cs="Times New Roman"/>
          <w:sz w:val="28"/>
          <w:szCs w:val="28"/>
          <w:lang w:eastAsia="ru-RU"/>
        </w:rPr>
        <w:t>58</w:t>
      </w:r>
      <w:r w:rsidR="0014676E">
        <w:rPr>
          <w:rFonts w:ascii="Times New Roman" w:eastAsia="Times New Roman" w:hAnsi="Times New Roman" w:cs="Times New Roman"/>
          <w:sz w:val="28"/>
          <w:szCs w:val="28"/>
          <w:lang w:val="kk-KZ" w:eastAsia="ru-RU"/>
        </w:rPr>
        <w:t>;</w:t>
      </w:r>
      <w:r w:rsidR="00822303">
        <w:rPr>
          <w:rFonts w:ascii="Times New Roman" w:eastAsia="Times New Roman" w:hAnsi="Times New Roman" w:cs="Times New Roman"/>
          <w:sz w:val="28"/>
          <w:szCs w:val="28"/>
          <w:lang w:val="kk-KZ" w:eastAsia="ru-RU"/>
        </w:rPr>
        <w:t xml:space="preserve"> </w:t>
      </w:r>
      <w:r w:rsidR="00997DAC" w:rsidRPr="001935D0">
        <w:rPr>
          <w:rFonts w:ascii="Times New Roman" w:eastAsia="Times New Roman" w:hAnsi="Times New Roman" w:cs="Times New Roman"/>
          <w:sz w:val="28"/>
          <w:szCs w:val="28"/>
          <w:lang w:eastAsia="ru-RU"/>
        </w:rPr>
        <w:t>6</w:t>
      </w:r>
      <w:r w:rsidR="0014676E">
        <w:rPr>
          <w:rFonts w:ascii="Times New Roman" w:eastAsia="Times New Roman" w:hAnsi="Times New Roman" w:cs="Times New Roman"/>
          <w:sz w:val="28"/>
          <w:szCs w:val="28"/>
          <w:lang w:val="kk-KZ" w:eastAsia="ru-RU"/>
        </w:rPr>
        <w:t>1</w:t>
      </w:r>
      <w:r w:rsidR="00997DAC" w:rsidRPr="001935D0">
        <w:rPr>
          <w:rFonts w:ascii="Times New Roman" w:eastAsia="Times New Roman" w:hAnsi="Times New Roman" w:cs="Times New Roman"/>
          <w:sz w:val="28"/>
          <w:szCs w:val="28"/>
          <w:lang w:val="uk-UA" w:eastAsia="ru-RU"/>
        </w:rPr>
        <w:t>]</w:t>
      </w:r>
      <w:r w:rsidR="003751B9" w:rsidRPr="001935D0">
        <w:rPr>
          <w:rFonts w:ascii="Times New Roman" w:eastAsia="Times New Roman" w:hAnsi="Times New Roman" w:cs="Times New Roman"/>
          <w:sz w:val="28"/>
          <w:szCs w:val="28"/>
          <w:lang w:eastAsia="ru-RU"/>
        </w:rPr>
        <w:t xml:space="preserve">. </w:t>
      </w:r>
      <w:r w:rsidRPr="001935D0">
        <w:rPr>
          <w:rFonts w:ascii="Times New Roman" w:eastAsia="Times New Roman" w:hAnsi="Times New Roman" w:cs="Times New Roman"/>
          <w:sz w:val="28"/>
          <w:szCs w:val="28"/>
          <w:lang w:eastAsia="ru-RU"/>
        </w:rPr>
        <w:t>Типологизация исследовательских подход</w:t>
      </w:r>
      <w:r w:rsidR="007E5770">
        <w:rPr>
          <w:rFonts w:ascii="Times New Roman" w:eastAsia="Times New Roman" w:hAnsi="Times New Roman" w:cs="Times New Roman"/>
          <w:sz w:val="28"/>
          <w:szCs w:val="28"/>
          <w:lang w:eastAsia="ru-RU"/>
        </w:rPr>
        <w:t>ов, представленная в таблице</w:t>
      </w:r>
      <w:r w:rsidR="007E5770">
        <w:rPr>
          <w:rFonts w:ascii="Times New Roman" w:eastAsia="Times New Roman" w:hAnsi="Times New Roman" w:cs="Times New Roman"/>
          <w:sz w:val="28"/>
          <w:szCs w:val="28"/>
          <w:lang w:val="kk-KZ" w:eastAsia="ru-RU"/>
        </w:rPr>
        <w:t> 1.</w:t>
      </w:r>
      <w:r w:rsidR="00CB436A" w:rsidRPr="001935D0">
        <w:rPr>
          <w:rFonts w:ascii="Times New Roman" w:eastAsia="Times New Roman" w:hAnsi="Times New Roman" w:cs="Times New Roman"/>
          <w:sz w:val="28"/>
          <w:szCs w:val="28"/>
          <w:lang w:eastAsia="ru-RU"/>
        </w:rPr>
        <w:t>10</w:t>
      </w:r>
      <w:r w:rsidRPr="001935D0">
        <w:rPr>
          <w:rFonts w:ascii="Times New Roman" w:eastAsia="Times New Roman" w:hAnsi="Times New Roman" w:cs="Times New Roman"/>
          <w:sz w:val="28"/>
          <w:szCs w:val="28"/>
          <w:lang w:eastAsia="ru-RU"/>
        </w:rPr>
        <w:t>, обеспечивает методологическую основу для соотнесения академических инструментов анализа с приоритетами национальной правозащитной реформы.</w:t>
      </w:r>
    </w:p>
    <w:p w14:paraId="2F19C3BD" w14:textId="77777777" w:rsidR="00AE47D3" w:rsidRPr="001935D0" w:rsidRDefault="00AE47D3" w:rsidP="00593711">
      <w:pPr>
        <w:pStyle w:val="NoSpacing"/>
        <w:ind w:firstLine="567"/>
        <w:jc w:val="both"/>
        <w:rPr>
          <w:rFonts w:ascii="Times New Roman" w:eastAsia="Times New Roman" w:hAnsi="Times New Roman" w:cs="Times New Roman"/>
          <w:sz w:val="28"/>
          <w:szCs w:val="28"/>
          <w:lang w:eastAsia="ru-RU"/>
        </w:rPr>
      </w:pPr>
    </w:p>
    <w:p w14:paraId="2E31836D" w14:textId="5611D25C" w:rsidR="00402237" w:rsidRDefault="00CE1D94" w:rsidP="007E5770">
      <w:pPr>
        <w:pStyle w:val="NoSpacing"/>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eastAsia="ru-RU"/>
        </w:rPr>
        <w:t>Таблица</w:t>
      </w:r>
      <w:r w:rsidR="00CB436A" w:rsidRPr="001935D0">
        <w:rPr>
          <w:rFonts w:ascii="Times New Roman" w:eastAsia="Times New Roman" w:hAnsi="Times New Roman" w:cs="Times New Roman"/>
          <w:sz w:val="28"/>
          <w:szCs w:val="28"/>
          <w:lang w:eastAsia="ru-RU"/>
        </w:rPr>
        <w:t xml:space="preserve"> 1.10</w:t>
      </w:r>
      <w:r w:rsidR="00402237" w:rsidRPr="001935D0">
        <w:rPr>
          <w:rFonts w:ascii="Times New Roman" w:eastAsia="Times New Roman" w:hAnsi="Times New Roman" w:cs="Times New Roman"/>
          <w:sz w:val="28"/>
          <w:szCs w:val="28"/>
          <w:lang w:eastAsia="ru-RU"/>
        </w:rPr>
        <w:t xml:space="preserve"> </w:t>
      </w:r>
      <w:r w:rsidR="007E5770">
        <w:rPr>
          <w:rFonts w:ascii="Times New Roman" w:eastAsia="Times New Roman" w:hAnsi="Times New Roman" w:cs="Times New Roman"/>
          <w:sz w:val="28"/>
          <w:szCs w:val="28"/>
          <w:lang w:eastAsia="ru-RU"/>
        </w:rPr>
        <w:t>‒</w:t>
      </w:r>
      <w:r w:rsidR="007E5770">
        <w:rPr>
          <w:rFonts w:ascii="Times New Roman" w:eastAsia="Times New Roman" w:hAnsi="Times New Roman" w:cs="Times New Roman"/>
          <w:sz w:val="28"/>
          <w:szCs w:val="28"/>
          <w:lang w:val="kk-KZ" w:eastAsia="ru-RU"/>
        </w:rPr>
        <w:t xml:space="preserve"> </w:t>
      </w:r>
      <w:r w:rsidR="00402237" w:rsidRPr="001935D0">
        <w:rPr>
          <w:rFonts w:ascii="Times New Roman" w:eastAsia="Times New Roman" w:hAnsi="Times New Roman" w:cs="Times New Roman"/>
          <w:sz w:val="28"/>
          <w:szCs w:val="28"/>
          <w:lang w:eastAsia="ru-RU"/>
        </w:rPr>
        <w:t>Типологизация аналитических методов в контексте адаптации европейских стандартов в Казахстане</w:t>
      </w:r>
    </w:p>
    <w:p w14:paraId="04BFEF10" w14:textId="77777777" w:rsidR="007E5770" w:rsidRPr="007E5770" w:rsidRDefault="007E5770" w:rsidP="007E5770">
      <w:pPr>
        <w:pStyle w:val="NoSpacing"/>
        <w:jc w:val="both"/>
        <w:rPr>
          <w:rFonts w:ascii="Times New Roman" w:eastAsia="Times New Roman" w:hAnsi="Times New Roman" w:cs="Times New Roman"/>
          <w:sz w:val="16"/>
          <w:szCs w:val="16"/>
          <w:lang w:val="kk-KZ" w:eastAsia="ru-RU"/>
        </w:rPr>
      </w:pPr>
    </w:p>
    <w:tbl>
      <w:tblPr>
        <w:tblStyle w:val="TableGrid"/>
        <w:tblW w:w="0" w:type="auto"/>
        <w:jc w:val="center"/>
        <w:tblLayout w:type="fixed"/>
        <w:tblLook w:val="04A0" w:firstRow="1" w:lastRow="0" w:firstColumn="1" w:lastColumn="0" w:noHBand="0" w:noVBand="1"/>
      </w:tblPr>
      <w:tblGrid>
        <w:gridCol w:w="1702"/>
        <w:gridCol w:w="3680"/>
        <w:gridCol w:w="4257"/>
      </w:tblGrid>
      <w:tr w:rsidR="00402237" w:rsidRPr="001935D0" w14:paraId="1803A29B" w14:textId="2995DA95" w:rsidTr="006A0854">
        <w:trPr>
          <w:jc w:val="center"/>
        </w:trPr>
        <w:tc>
          <w:tcPr>
            <w:tcW w:w="1702" w:type="dxa"/>
            <w:vAlign w:val="center"/>
          </w:tcPr>
          <w:p w14:paraId="3301B4B9" w14:textId="1CEBF605" w:rsidR="00402237" w:rsidRPr="001935D0" w:rsidRDefault="00402237" w:rsidP="00593711">
            <w:pPr>
              <w:pStyle w:val="NoSpacing"/>
              <w:jc w:val="center"/>
              <w:rPr>
                <w:rFonts w:ascii="Times New Roman" w:hAnsi="Times New Roman" w:cs="Times New Roman"/>
                <w:i/>
                <w:sz w:val="24"/>
                <w:szCs w:val="24"/>
              </w:rPr>
            </w:pPr>
            <w:r w:rsidRPr="001935D0">
              <w:rPr>
                <w:rFonts w:ascii="Times New Roman" w:hAnsi="Times New Roman" w:cs="Times New Roman"/>
                <w:i/>
                <w:sz w:val="24"/>
                <w:szCs w:val="24"/>
              </w:rPr>
              <w:t>Подход</w:t>
            </w:r>
          </w:p>
        </w:tc>
        <w:tc>
          <w:tcPr>
            <w:tcW w:w="3680" w:type="dxa"/>
            <w:vAlign w:val="center"/>
          </w:tcPr>
          <w:p w14:paraId="637EF180" w14:textId="2349D68A" w:rsidR="00402237" w:rsidRPr="001935D0" w:rsidRDefault="00402237" w:rsidP="00593711">
            <w:pPr>
              <w:pStyle w:val="NoSpacing"/>
              <w:jc w:val="center"/>
              <w:rPr>
                <w:rFonts w:ascii="Times New Roman" w:hAnsi="Times New Roman" w:cs="Times New Roman"/>
                <w:i/>
                <w:sz w:val="24"/>
                <w:szCs w:val="24"/>
              </w:rPr>
            </w:pPr>
            <w:r w:rsidRPr="001935D0">
              <w:rPr>
                <w:rFonts w:ascii="Times New Roman" w:hAnsi="Times New Roman" w:cs="Times New Roman"/>
                <w:i/>
                <w:sz w:val="24"/>
                <w:szCs w:val="24"/>
              </w:rPr>
              <w:t>Сущность и аналитическое значение</w:t>
            </w:r>
          </w:p>
        </w:tc>
        <w:tc>
          <w:tcPr>
            <w:tcW w:w="4257" w:type="dxa"/>
            <w:vAlign w:val="center"/>
          </w:tcPr>
          <w:p w14:paraId="74EF4E82" w14:textId="62B832DD" w:rsidR="00402237" w:rsidRPr="001935D0" w:rsidRDefault="00402237" w:rsidP="00593711">
            <w:pPr>
              <w:pStyle w:val="NoSpacing"/>
              <w:jc w:val="center"/>
              <w:rPr>
                <w:rFonts w:ascii="Times New Roman" w:hAnsi="Times New Roman" w:cs="Times New Roman"/>
                <w:i/>
                <w:sz w:val="24"/>
                <w:szCs w:val="24"/>
              </w:rPr>
            </w:pPr>
            <w:r w:rsidRPr="001935D0">
              <w:rPr>
                <w:rFonts w:ascii="Times New Roman" w:hAnsi="Times New Roman" w:cs="Times New Roman"/>
                <w:i/>
                <w:sz w:val="24"/>
                <w:szCs w:val="24"/>
              </w:rPr>
              <w:t>Применимость для Казахстана</w:t>
            </w:r>
          </w:p>
        </w:tc>
      </w:tr>
      <w:tr w:rsidR="00402237" w:rsidRPr="001935D0" w14:paraId="3FEC240A" w14:textId="1BA3BCE7" w:rsidTr="006A0854">
        <w:trPr>
          <w:jc w:val="center"/>
        </w:trPr>
        <w:tc>
          <w:tcPr>
            <w:tcW w:w="1702" w:type="dxa"/>
            <w:vAlign w:val="center"/>
          </w:tcPr>
          <w:p w14:paraId="337E3FD5" w14:textId="1DCFD843" w:rsidR="00402237" w:rsidRPr="001935D0" w:rsidRDefault="00402237"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Нормативно-правовой</w:t>
            </w:r>
          </w:p>
        </w:tc>
        <w:tc>
          <w:tcPr>
            <w:tcW w:w="3680" w:type="dxa"/>
            <w:vAlign w:val="center"/>
          </w:tcPr>
          <w:p w14:paraId="0D639231" w14:textId="456815C9" w:rsidR="00402237" w:rsidRPr="001935D0" w:rsidRDefault="00402237"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Изучение ключевых актов (Европейская кон</w:t>
            </w:r>
            <w:r w:rsidR="007E5770">
              <w:rPr>
                <w:rFonts w:ascii="Times New Roman" w:hAnsi="Times New Roman" w:cs="Times New Roman"/>
                <w:sz w:val="24"/>
                <w:szCs w:val="24"/>
                <w:lang w:val="kk-KZ"/>
              </w:rPr>
              <w:t xml:space="preserve"> </w:t>
            </w:r>
            <w:r w:rsidRPr="001935D0">
              <w:rPr>
                <w:rFonts w:ascii="Times New Roman" w:hAnsi="Times New Roman" w:cs="Times New Roman"/>
                <w:sz w:val="24"/>
                <w:szCs w:val="24"/>
              </w:rPr>
              <w:t>венция о правах челове</w:t>
            </w:r>
            <w:r w:rsidR="007E5770">
              <w:rPr>
                <w:rFonts w:ascii="Times New Roman" w:hAnsi="Times New Roman" w:cs="Times New Roman"/>
                <w:sz w:val="24"/>
                <w:szCs w:val="24"/>
                <w:lang w:val="kk-KZ"/>
              </w:rPr>
              <w:t xml:space="preserve"> </w:t>
            </w:r>
            <w:r w:rsidRPr="001935D0">
              <w:rPr>
                <w:rFonts w:ascii="Times New Roman" w:hAnsi="Times New Roman" w:cs="Times New Roman"/>
                <w:sz w:val="24"/>
                <w:szCs w:val="24"/>
              </w:rPr>
              <w:t>ка, Хартия ЕС, прецеден</w:t>
            </w:r>
            <w:r w:rsidR="007E5770">
              <w:rPr>
                <w:rFonts w:ascii="Times New Roman" w:hAnsi="Times New Roman" w:cs="Times New Roman"/>
                <w:sz w:val="24"/>
                <w:szCs w:val="24"/>
                <w:lang w:val="kk-KZ"/>
              </w:rPr>
              <w:t xml:space="preserve"> </w:t>
            </w:r>
            <w:r w:rsidRPr="001935D0">
              <w:rPr>
                <w:rFonts w:ascii="Times New Roman" w:hAnsi="Times New Roman" w:cs="Times New Roman"/>
                <w:sz w:val="24"/>
                <w:szCs w:val="24"/>
              </w:rPr>
              <w:t>ты ЕСПЧ) для выявления базовых стандартов</w:t>
            </w:r>
          </w:p>
        </w:tc>
        <w:tc>
          <w:tcPr>
            <w:tcW w:w="4257" w:type="dxa"/>
            <w:vAlign w:val="center"/>
          </w:tcPr>
          <w:p w14:paraId="73929E24" w14:textId="4518A77F" w:rsidR="00402237" w:rsidRPr="001935D0" w:rsidRDefault="00402237"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Используется при оценке соответствия казахстанского законодательства обязательствам EPCA и рекоменда</w:t>
            </w:r>
            <w:r w:rsidR="007E5770">
              <w:rPr>
                <w:rFonts w:ascii="Times New Roman" w:hAnsi="Times New Roman" w:cs="Times New Roman"/>
                <w:sz w:val="24"/>
                <w:szCs w:val="24"/>
                <w:lang w:val="kk-KZ"/>
              </w:rPr>
              <w:t xml:space="preserve"> </w:t>
            </w:r>
            <w:r w:rsidRPr="001935D0">
              <w:rPr>
                <w:rFonts w:ascii="Times New Roman" w:hAnsi="Times New Roman" w:cs="Times New Roman"/>
                <w:sz w:val="24"/>
                <w:szCs w:val="24"/>
              </w:rPr>
              <w:t>циям Всеобщего периодического обзора ООН (UPR-2025)</w:t>
            </w:r>
          </w:p>
        </w:tc>
      </w:tr>
      <w:tr w:rsidR="00402237" w:rsidRPr="001935D0" w14:paraId="5AC6FA6E" w14:textId="5AC9BC12" w:rsidTr="006A0854">
        <w:trPr>
          <w:jc w:val="center"/>
        </w:trPr>
        <w:tc>
          <w:tcPr>
            <w:tcW w:w="1702" w:type="dxa"/>
            <w:vAlign w:val="center"/>
          </w:tcPr>
          <w:p w14:paraId="710F2914" w14:textId="355DC62D" w:rsidR="00402237" w:rsidRPr="001935D0" w:rsidRDefault="00402237"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Сравнительно-правовой</w:t>
            </w:r>
          </w:p>
        </w:tc>
        <w:tc>
          <w:tcPr>
            <w:tcW w:w="3680" w:type="dxa"/>
            <w:vAlign w:val="center"/>
          </w:tcPr>
          <w:p w14:paraId="6DA7D5EE" w14:textId="69888270" w:rsidR="00402237" w:rsidRPr="001935D0" w:rsidRDefault="00402237"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Сопоставление правовых систем государств ЕС и третьих стран</w:t>
            </w:r>
          </w:p>
        </w:tc>
        <w:tc>
          <w:tcPr>
            <w:tcW w:w="4257" w:type="dxa"/>
            <w:vAlign w:val="center"/>
          </w:tcPr>
          <w:p w14:paraId="0840D516" w14:textId="4C91A5BF" w:rsidR="00402237" w:rsidRPr="001935D0" w:rsidRDefault="00402237"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Позволяет выявлять пробелы и лучшие практики имплементации при подго</w:t>
            </w:r>
            <w:r w:rsidR="006A0854">
              <w:rPr>
                <w:rFonts w:ascii="Times New Roman" w:hAnsi="Times New Roman" w:cs="Times New Roman"/>
                <w:sz w:val="24"/>
                <w:szCs w:val="24"/>
                <w:lang w:val="kk-KZ"/>
              </w:rPr>
              <w:t xml:space="preserve"> </w:t>
            </w:r>
            <w:r w:rsidRPr="001935D0">
              <w:rPr>
                <w:rFonts w:ascii="Times New Roman" w:hAnsi="Times New Roman" w:cs="Times New Roman"/>
                <w:sz w:val="24"/>
                <w:szCs w:val="24"/>
              </w:rPr>
              <w:t>товке законодательных поправок в РК</w:t>
            </w:r>
          </w:p>
        </w:tc>
      </w:tr>
      <w:tr w:rsidR="00402237" w:rsidRPr="001935D0" w14:paraId="1B910BD3" w14:textId="3A3B589A" w:rsidTr="006A0854">
        <w:trPr>
          <w:jc w:val="center"/>
        </w:trPr>
        <w:tc>
          <w:tcPr>
            <w:tcW w:w="1702" w:type="dxa"/>
            <w:vAlign w:val="center"/>
          </w:tcPr>
          <w:p w14:paraId="024EF45F" w14:textId="371C00E1" w:rsidR="00402237" w:rsidRPr="001935D0" w:rsidRDefault="00402237"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Институцио</w:t>
            </w:r>
            <w:r w:rsidR="006A0854">
              <w:rPr>
                <w:rFonts w:ascii="Times New Roman" w:hAnsi="Times New Roman" w:cs="Times New Roman"/>
                <w:i/>
                <w:sz w:val="24"/>
                <w:szCs w:val="24"/>
                <w:lang w:val="kk-KZ"/>
              </w:rPr>
              <w:t xml:space="preserve"> </w:t>
            </w:r>
            <w:r w:rsidRPr="001935D0">
              <w:rPr>
                <w:rFonts w:ascii="Times New Roman" w:hAnsi="Times New Roman" w:cs="Times New Roman"/>
                <w:i/>
                <w:sz w:val="24"/>
                <w:szCs w:val="24"/>
              </w:rPr>
              <w:t>нальный</w:t>
            </w:r>
          </w:p>
        </w:tc>
        <w:tc>
          <w:tcPr>
            <w:tcW w:w="3680" w:type="dxa"/>
            <w:vAlign w:val="center"/>
          </w:tcPr>
          <w:p w14:paraId="2A01A12D" w14:textId="495D1B70" w:rsidR="00402237" w:rsidRPr="001935D0" w:rsidRDefault="00402237"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Анализ механизмов работы ЕСПЧ, Агенции ЕС по основным правам, CPT и др.</w:t>
            </w:r>
          </w:p>
        </w:tc>
        <w:tc>
          <w:tcPr>
            <w:tcW w:w="4257" w:type="dxa"/>
            <w:vAlign w:val="center"/>
          </w:tcPr>
          <w:p w14:paraId="11C2DAD9" w14:textId="5DDE870E" w:rsidR="00402237" w:rsidRPr="001935D0" w:rsidRDefault="00402237"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Пригоден для проектирования собст</w:t>
            </w:r>
            <w:r w:rsidR="007E5770">
              <w:rPr>
                <w:rFonts w:ascii="Times New Roman" w:hAnsi="Times New Roman" w:cs="Times New Roman"/>
                <w:sz w:val="24"/>
                <w:szCs w:val="24"/>
                <w:lang w:val="kk-KZ"/>
              </w:rPr>
              <w:t xml:space="preserve"> </w:t>
            </w:r>
            <w:r w:rsidRPr="001935D0">
              <w:rPr>
                <w:rFonts w:ascii="Times New Roman" w:hAnsi="Times New Roman" w:cs="Times New Roman"/>
                <w:sz w:val="24"/>
                <w:szCs w:val="24"/>
              </w:rPr>
              <w:t>венных индикаторных панелей и мониторинговых органов на базе Омбудсмена РК</w:t>
            </w:r>
          </w:p>
        </w:tc>
      </w:tr>
      <w:tr w:rsidR="00402237" w:rsidRPr="001935D0" w14:paraId="7747F002" w14:textId="7B527492" w:rsidTr="006A0854">
        <w:trPr>
          <w:jc w:val="center"/>
        </w:trPr>
        <w:tc>
          <w:tcPr>
            <w:tcW w:w="1702" w:type="dxa"/>
            <w:vAlign w:val="center"/>
          </w:tcPr>
          <w:p w14:paraId="01436388" w14:textId="2A918276" w:rsidR="00402237" w:rsidRPr="001935D0" w:rsidRDefault="00402237"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Социально-правовой</w:t>
            </w:r>
          </w:p>
        </w:tc>
        <w:tc>
          <w:tcPr>
            <w:tcW w:w="3680" w:type="dxa"/>
            <w:vAlign w:val="center"/>
          </w:tcPr>
          <w:p w14:paraId="114DF8A1" w14:textId="3CF00EB6" w:rsidR="00402237" w:rsidRPr="001935D0" w:rsidRDefault="00402237"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Оценка влияния правоза</w:t>
            </w:r>
            <w:r w:rsidR="007E5770">
              <w:rPr>
                <w:rFonts w:ascii="Times New Roman" w:hAnsi="Times New Roman" w:cs="Times New Roman"/>
                <w:sz w:val="24"/>
                <w:szCs w:val="24"/>
                <w:lang w:val="kk-KZ"/>
              </w:rPr>
              <w:t xml:space="preserve"> </w:t>
            </w:r>
            <w:r w:rsidRPr="001935D0">
              <w:rPr>
                <w:rFonts w:ascii="Times New Roman" w:hAnsi="Times New Roman" w:cs="Times New Roman"/>
                <w:sz w:val="24"/>
                <w:szCs w:val="24"/>
              </w:rPr>
              <w:t>щитных инструментов на социальные процессы и уязвимые группы</w:t>
            </w:r>
          </w:p>
        </w:tc>
        <w:tc>
          <w:tcPr>
            <w:tcW w:w="4257" w:type="dxa"/>
            <w:vAlign w:val="center"/>
          </w:tcPr>
          <w:p w14:paraId="254EF8A8" w14:textId="52B721CC" w:rsidR="00402237" w:rsidRPr="001935D0" w:rsidRDefault="00402237"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Актуален при разработке KPI в Плане № 258 (гендерное равенство, доступ к правосудию, защита уязвимых групп)</w:t>
            </w:r>
          </w:p>
        </w:tc>
      </w:tr>
      <w:tr w:rsidR="00402237" w:rsidRPr="001935D0" w14:paraId="6BAF0E58" w14:textId="61A602FF" w:rsidTr="006A0854">
        <w:trPr>
          <w:jc w:val="center"/>
        </w:trPr>
        <w:tc>
          <w:tcPr>
            <w:tcW w:w="1702" w:type="dxa"/>
            <w:vAlign w:val="center"/>
          </w:tcPr>
          <w:p w14:paraId="3B5EBF17" w14:textId="485A8524" w:rsidR="00402237" w:rsidRPr="001935D0" w:rsidRDefault="00402237"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Истори</w:t>
            </w:r>
            <w:r w:rsidR="006A0854">
              <w:rPr>
                <w:rFonts w:ascii="Times New Roman" w:hAnsi="Times New Roman" w:cs="Times New Roman"/>
                <w:i/>
                <w:sz w:val="24"/>
                <w:szCs w:val="24"/>
                <w:lang w:val="kk-KZ"/>
              </w:rPr>
              <w:t xml:space="preserve"> </w:t>
            </w:r>
            <w:r w:rsidRPr="001935D0">
              <w:rPr>
                <w:rFonts w:ascii="Times New Roman" w:hAnsi="Times New Roman" w:cs="Times New Roman"/>
                <w:i/>
                <w:sz w:val="24"/>
                <w:szCs w:val="24"/>
              </w:rPr>
              <w:t>ческий</w:t>
            </w:r>
          </w:p>
        </w:tc>
        <w:tc>
          <w:tcPr>
            <w:tcW w:w="3680" w:type="dxa"/>
            <w:vAlign w:val="center"/>
          </w:tcPr>
          <w:p w14:paraId="3CD5A887" w14:textId="607121CD" w:rsidR="00402237" w:rsidRPr="001935D0" w:rsidRDefault="00402237"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Прослеживание этапов формирования европей</w:t>
            </w:r>
            <w:r w:rsidR="007E5770">
              <w:rPr>
                <w:rFonts w:ascii="Times New Roman" w:hAnsi="Times New Roman" w:cs="Times New Roman"/>
                <w:sz w:val="24"/>
                <w:szCs w:val="24"/>
                <w:lang w:val="kk-KZ"/>
              </w:rPr>
              <w:t xml:space="preserve"> </w:t>
            </w:r>
            <w:r w:rsidRPr="001935D0">
              <w:rPr>
                <w:rFonts w:ascii="Times New Roman" w:hAnsi="Times New Roman" w:cs="Times New Roman"/>
                <w:sz w:val="24"/>
                <w:szCs w:val="24"/>
              </w:rPr>
              <w:t>ской правозащитной архитектуры</w:t>
            </w:r>
          </w:p>
        </w:tc>
        <w:tc>
          <w:tcPr>
            <w:tcW w:w="4257" w:type="dxa"/>
            <w:vAlign w:val="center"/>
          </w:tcPr>
          <w:p w14:paraId="38CDD2CB" w14:textId="43C5EBC2" w:rsidR="00402237" w:rsidRPr="001935D0" w:rsidRDefault="00402237"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Позволяет сопоставить этапы эволюции институтов РК (1991–2025) с европейскими реформами</w:t>
            </w:r>
          </w:p>
        </w:tc>
      </w:tr>
      <w:tr w:rsidR="00402237" w:rsidRPr="001935D0" w14:paraId="36469B9F" w14:textId="4B1C8DA3" w:rsidTr="006A0854">
        <w:trPr>
          <w:jc w:val="center"/>
        </w:trPr>
        <w:tc>
          <w:tcPr>
            <w:tcW w:w="1702" w:type="dxa"/>
            <w:vAlign w:val="center"/>
          </w:tcPr>
          <w:p w14:paraId="0FE6D589" w14:textId="5ABC258E" w:rsidR="00402237" w:rsidRPr="001935D0" w:rsidRDefault="00402237"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Критический</w:t>
            </w:r>
          </w:p>
        </w:tc>
        <w:tc>
          <w:tcPr>
            <w:tcW w:w="3680" w:type="dxa"/>
            <w:vAlign w:val="center"/>
          </w:tcPr>
          <w:p w14:paraId="259A94AE" w14:textId="74419117" w:rsidR="00402237" w:rsidRPr="001935D0" w:rsidRDefault="00402237" w:rsidP="00AD6D54">
            <w:pPr>
              <w:pStyle w:val="NoSpacing"/>
              <w:rPr>
                <w:rFonts w:ascii="Times New Roman" w:hAnsi="Times New Roman" w:cs="Times New Roman"/>
                <w:sz w:val="24"/>
                <w:szCs w:val="24"/>
              </w:rPr>
            </w:pPr>
            <w:r w:rsidRPr="001935D0">
              <w:rPr>
                <w:rFonts w:ascii="Times New Roman" w:hAnsi="Times New Roman" w:cs="Times New Roman"/>
                <w:sz w:val="24"/>
                <w:szCs w:val="24"/>
              </w:rPr>
              <w:t>Идентификация институ</w:t>
            </w:r>
            <w:r w:rsidR="007E5770">
              <w:rPr>
                <w:rFonts w:ascii="Times New Roman" w:hAnsi="Times New Roman" w:cs="Times New Roman"/>
                <w:sz w:val="24"/>
                <w:szCs w:val="24"/>
                <w:lang w:val="kk-KZ"/>
              </w:rPr>
              <w:t xml:space="preserve"> </w:t>
            </w:r>
            <w:r w:rsidRPr="001935D0">
              <w:rPr>
                <w:rFonts w:ascii="Times New Roman" w:hAnsi="Times New Roman" w:cs="Times New Roman"/>
                <w:sz w:val="24"/>
                <w:szCs w:val="24"/>
              </w:rPr>
              <w:t xml:space="preserve">циональных </w:t>
            </w:r>
            <w:r w:rsidR="00AD6D54">
              <w:rPr>
                <w:rFonts w:ascii="Times New Roman" w:hAnsi="Times New Roman" w:cs="Times New Roman"/>
                <w:sz w:val="24"/>
                <w:szCs w:val="24"/>
                <w:lang w:val="kk-KZ"/>
              </w:rPr>
              <w:t xml:space="preserve">пробелов </w:t>
            </w:r>
            <w:r w:rsidRPr="001935D0">
              <w:rPr>
                <w:rFonts w:ascii="Times New Roman" w:hAnsi="Times New Roman" w:cs="Times New Roman"/>
                <w:sz w:val="24"/>
                <w:szCs w:val="24"/>
              </w:rPr>
              <w:t xml:space="preserve"> и путей оптимизации</w:t>
            </w:r>
          </w:p>
        </w:tc>
        <w:tc>
          <w:tcPr>
            <w:tcW w:w="4257" w:type="dxa"/>
            <w:vAlign w:val="center"/>
          </w:tcPr>
          <w:p w14:paraId="21728287" w14:textId="330C0D47" w:rsidR="00402237" w:rsidRPr="001935D0" w:rsidRDefault="00402237" w:rsidP="006A0854">
            <w:pPr>
              <w:pStyle w:val="NoSpacing"/>
              <w:rPr>
                <w:rFonts w:ascii="Times New Roman" w:hAnsi="Times New Roman" w:cs="Times New Roman"/>
                <w:sz w:val="24"/>
                <w:szCs w:val="24"/>
              </w:rPr>
            </w:pPr>
            <w:r w:rsidRPr="001935D0">
              <w:rPr>
                <w:rFonts w:ascii="Times New Roman" w:hAnsi="Times New Roman" w:cs="Times New Roman"/>
                <w:sz w:val="24"/>
                <w:szCs w:val="24"/>
              </w:rPr>
              <w:t>Используется для целевой корректи</w:t>
            </w:r>
            <w:r w:rsidR="006A0854">
              <w:rPr>
                <w:rFonts w:ascii="Times New Roman" w:hAnsi="Times New Roman" w:cs="Times New Roman"/>
                <w:sz w:val="24"/>
                <w:szCs w:val="24"/>
                <w:lang w:val="kk-KZ"/>
              </w:rPr>
              <w:t xml:space="preserve"> </w:t>
            </w:r>
            <w:r w:rsidRPr="001935D0">
              <w:rPr>
                <w:rFonts w:ascii="Times New Roman" w:hAnsi="Times New Roman" w:cs="Times New Roman"/>
                <w:sz w:val="24"/>
                <w:szCs w:val="24"/>
              </w:rPr>
              <w:t>ровки национальных стратегий и повы</w:t>
            </w:r>
            <w:r w:rsidR="007E5770">
              <w:rPr>
                <w:rFonts w:ascii="Times New Roman" w:hAnsi="Times New Roman" w:cs="Times New Roman"/>
                <w:sz w:val="24"/>
                <w:szCs w:val="24"/>
                <w:lang w:val="kk-KZ"/>
              </w:rPr>
              <w:t xml:space="preserve"> </w:t>
            </w:r>
            <w:r w:rsidRPr="001935D0">
              <w:rPr>
                <w:rFonts w:ascii="Times New Roman" w:hAnsi="Times New Roman" w:cs="Times New Roman"/>
                <w:sz w:val="24"/>
                <w:szCs w:val="24"/>
              </w:rPr>
              <w:t>шения эффективности правоприменения</w:t>
            </w:r>
          </w:p>
        </w:tc>
      </w:tr>
      <w:tr w:rsidR="007E5770" w:rsidRPr="001935D0" w14:paraId="6C4AEDBB" w14:textId="77777777" w:rsidTr="008F2BB1">
        <w:trPr>
          <w:jc w:val="center"/>
        </w:trPr>
        <w:tc>
          <w:tcPr>
            <w:tcW w:w="9639" w:type="dxa"/>
            <w:gridSpan w:val="3"/>
            <w:vAlign w:val="center"/>
          </w:tcPr>
          <w:p w14:paraId="7D9C3284" w14:textId="7FA9967D" w:rsidR="007E5770" w:rsidRPr="001935D0" w:rsidRDefault="00614B7F" w:rsidP="0014676E">
            <w:pPr>
              <w:pStyle w:val="NoSpacing"/>
              <w:ind w:firstLine="602"/>
              <w:rPr>
                <w:rFonts w:ascii="Times New Roman" w:hAnsi="Times New Roman" w:cs="Times New Roman"/>
                <w:sz w:val="24"/>
                <w:szCs w:val="24"/>
              </w:rPr>
            </w:pPr>
            <w:r>
              <w:rPr>
                <w:rFonts w:ascii="Times New Roman" w:hAnsi="Times New Roman" w:cs="Times New Roman"/>
                <w:sz w:val="24"/>
                <w:szCs w:val="24"/>
                <w:lang w:val="uk-UA"/>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[58</w:t>
            </w:r>
            <w:r>
              <w:rPr>
                <w:rFonts w:ascii="Times New Roman" w:hAnsi="Times New Roman" w:cs="Times New Roman"/>
                <w:sz w:val="24"/>
                <w:szCs w:val="24"/>
                <w:lang w:val="kk-KZ"/>
              </w:rPr>
              <w:t xml:space="preserve">; </w:t>
            </w:r>
            <w:r w:rsidRPr="001935D0">
              <w:rPr>
                <w:rFonts w:ascii="Times New Roman" w:hAnsi="Times New Roman" w:cs="Times New Roman"/>
                <w:sz w:val="24"/>
                <w:szCs w:val="24"/>
              </w:rPr>
              <w:t>60</w:t>
            </w:r>
            <w:r>
              <w:rPr>
                <w:rFonts w:ascii="Times New Roman" w:hAnsi="Times New Roman" w:cs="Times New Roman"/>
                <w:sz w:val="24"/>
                <w:szCs w:val="24"/>
                <w:lang w:val="uk-UA"/>
              </w:rPr>
              <w:t xml:space="preserve">; </w:t>
            </w:r>
            <w:r w:rsidRPr="001935D0">
              <w:rPr>
                <w:rFonts w:ascii="Times New Roman" w:hAnsi="Times New Roman" w:cs="Times New Roman"/>
                <w:sz w:val="24"/>
                <w:szCs w:val="24"/>
                <w:lang w:val="uk-UA"/>
              </w:rPr>
              <w:t>6</w:t>
            </w:r>
            <w:r>
              <w:rPr>
                <w:rFonts w:ascii="Times New Roman" w:hAnsi="Times New Roman" w:cs="Times New Roman"/>
                <w:sz w:val="24"/>
                <w:szCs w:val="24"/>
                <w:lang w:val="uk-UA"/>
              </w:rPr>
              <w:t>1</w:t>
            </w:r>
            <w:r w:rsidRPr="001935D0">
              <w:rPr>
                <w:rFonts w:ascii="Times New Roman" w:hAnsi="Times New Roman" w:cs="Times New Roman"/>
                <w:sz w:val="24"/>
                <w:szCs w:val="24"/>
              </w:rPr>
              <w:t>]</w:t>
            </w:r>
          </w:p>
        </w:tc>
      </w:tr>
    </w:tbl>
    <w:p w14:paraId="28A7595D" w14:textId="77777777" w:rsidR="006A0854" w:rsidRDefault="006A0854" w:rsidP="007E5770">
      <w:pPr>
        <w:pStyle w:val="NoSpacing"/>
        <w:ind w:firstLine="709"/>
        <w:jc w:val="both"/>
        <w:rPr>
          <w:rFonts w:ascii="Times New Roman" w:hAnsi="Times New Roman" w:cs="Times New Roman"/>
          <w:sz w:val="28"/>
          <w:szCs w:val="28"/>
          <w:lang w:val="kk-KZ"/>
        </w:rPr>
      </w:pPr>
    </w:p>
    <w:p w14:paraId="08B99DEF" w14:textId="09DC98F5" w:rsidR="00DA69AD" w:rsidRPr="001935D0" w:rsidRDefault="00DA69AD"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Систематический обзор</w:t>
      </w:r>
      <w:r w:rsidR="00704D95" w:rsidRPr="001935D0">
        <w:rPr>
          <w:rFonts w:ascii="Times New Roman" w:hAnsi="Times New Roman" w:cs="Times New Roman"/>
          <w:sz w:val="28"/>
          <w:szCs w:val="28"/>
        </w:rPr>
        <w:t xml:space="preserve"> методологических подходов (</w:t>
      </w:r>
      <w:r w:rsidRPr="001935D0">
        <w:rPr>
          <w:rFonts w:ascii="Times New Roman" w:hAnsi="Times New Roman" w:cs="Times New Roman"/>
          <w:sz w:val="28"/>
          <w:szCs w:val="28"/>
        </w:rPr>
        <w:t>табл</w:t>
      </w:r>
      <w:r w:rsidR="007E5770">
        <w:rPr>
          <w:rFonts w:ascii="Times New Roman" w:hAnsi="Times New Roman" w:cs="Times New Roman"/>
          <w:sz w:val="28"/>
          <w:szCs w:val="28"/>
          <w:lang w:val="kk-KZ"/>
        </w:rPr>
        <w:t>ица</w:t>
      </w:r>
      <w:r w:rsidRPr="001935D0">
        <w:rPr>
          <w:rFonts w:ascii="Times New Roman" w:hAnsi="Times New Roman" w:cs="Times New Roman"/>
          <w:sz w:val="28"/>
          <w:szCs w:val="28"/>
        </w:rPr>
        <w:t xml:space="preserve"> 1.9) выявил необходимость разработать проверяемые и сопоставимые показатели, позволяющие не только фиксировать текущее состояние прав человека, но и объективно оценивать эффективность проводимых реформ. Внешнеполитические документы Европейского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прежде всего План действий ЕС по правам человека и демократии на 2020–2027 гг. (Council of the </w:t>
      </w:r>
      <w:r w:rsidRPr="001935D0">
        <w:rPr>
          <w:rFonts w:ascii="Times New Roman" w:hAnsi="Times New Roman" w:cs="Times New Roman"/>
          <w:sz w:val="28"/>
          <w:szCs w:val="28"/>
        </w:rPr>
        <w:lastRenderedPageBreak/>
        <w:t>EU, 2024), подчёркивают приоритетность индикаторного подхода, отвечающего критериям прозрачности, воспроизводимости и результативности</w:t>
      </w:r>
      <w:r w:rsidR="00997DAC" w:rsidRPr="001935D0">
        <w:rPr>
          <w:rFonts w:ascii="Times New Roman" w:hAnsi="Times New Roman" w:cs="Times New Roman"/>
          <w:sz w:val="28"/>
          <w:szCs w:val="28"/>
        </w:rPr>
        <w:t xml:space="preserve"> [59]</w:t>
      </w:r>
      <w:r w:rsidRPr="001935D0">
        <w:rPr>
          <w:rFonts w:ascii="Times New Roman" w:hAnsi="Times New Roman" w:cs="Times New Roman"/>
          <w:sz w:val="28"/>
          <w:szCs w:val="28"/>
        </w:rPr>
        <w:t>. Схожие требования содержатся в методическом руководстве ООН Human Rights Indicators: A Guide to Measurement and Implementation</w:t>
      </w:r>
      <w:r w:rsidR="00997DAC" w:rsidRPr="001935D0">
        <w:rPr>
          <w:rFonts w:ascii="Times New Roman" w:hAnsi="Times New Roman" w:cs="Times New Roman"/>
          <w:sz w:val="28"/>
          <w:szCs w:val="28"/>
        </w:rPr>
        <w:t xml:space="preserve"> [6</w:t>
      </w:r>
      <w:r w:rsidR="0014676E">
        <w:rPr>
          <w:rFonts w:ascii="Times New Roman" w:hAnsi="Times New Roman" w:cs="Times New Roman"/>
          <w:sz w:val="28"/>
          <w:szCs w:val="28"/>
          <w:lang w:val="kk-KZ"/>
        </w:rPr>
        <w:t>3</w:t>
      </w:r>
      <w:r w:rsidR="00997DAC" w:rsidRPr="001935D0">
        <w:rPr>
          <w:rFonts w:ascii="Times New Roman" w:hAnsi="Times New Roman" w:cs="Times New Roman"/>
          <w:sz w:val="28"/>
          <w:szCs w:val="28"/>
        </w:rPr>
        <w:t>]</w:t>
      </w:r>
      <w:r w:rsidRPr="001935D0">
        <w:rPr>
          <w:rFonts w:ascii="Times New Roman" w:hAnsi="Times New Roman" w:cs="Times New Roman"/>
          <w:sz w:val="28"/>
          <w:szCs w:val="28"/>
        </w:rPr>
        <w:t>, признанном универсальным стандартом в области правозащитной статистики.</w:t>
      </w:r>
    </w:p>
    <w:p w14:paraId="3EF988C8" w14:textId="05BA35E2" w:rsidR="00532BF7" w:rsidRPr="001935D0" w:rsidRDefault="00532BF7"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соответствии с международными стандартами, надлежащие индикаторы в сфере прав человека должны обладать рядом ключевых характеристик, обеспечивающих их достоверность и прикладную значимость. Прежде всего, речь идёт о валидности и репрезентативности – способности показателей адекватно отражать фактическое состояние правозащитной ситуации на основе эмпирически верифицируемых данных. Важным условием также является чувствительность индикаторов к динамике изменений, что позволяет зафиксировать как положительный прогресс, так и возможное ухудшение ситуации в рассматриваемых сферах.</w:t>
      </w:r>
    </w:p>
    <w:p w14:paraId="06012B37" w14:textId="77777777" w:rsidR="00532BF7" w:rsidRPr="001935D0" w:rsidRDefault="00532BF7"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Неотъемлемой характеристикой качественных индикаторов выступает их этическая обоснованность, включая обеспечение конфиденциальности собираемой информации, соблюдение прав респондентов и защиту персональных данных. Наряду с этим, существенное значение имеет доступность индикаторов: результаты мониторинга должны быть открыты для государственных институтов, науково-экспертного сообщества и институтов гражданского общества, что способствует повышению уровня прозрачности и общественного доверия к процессам оценки.</w:t>
      </w:r>
    </w:p>
    <w:p w14:paraId="35A4ECC2" w14:textId="11904762" w:rsidR="00DA69AD" w:rsidRDefault="00DA69AD" w:rsidP="007E5770">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Эти принципы зафиксированы в Основных принципах официальной статистики ООН </w:t>
      </w:r>
      <w:r w:rsidR="00997DAC" w:rsidRPr="001935D0">
        <w:rPr>
          <w:rFonts w:ascii="Times New Roman" w:hAnsi="Times New Roman" w:cs="Times New Roman"/>
          <w:sz w:val="28"/>
          <w:szCs w:val="28"/>
        </w:rPr>
        <w:t>[6</w:t>
      </w:r>
      <w:r w:rsidR="0014676E">
        <w:rPr>
          <w:rFonts w:ascii="Times New Roman" w:hAnsi="Times New Roman" w:cs="Times New Roman"/>
          <w:sz w:val="28"/>
          <w:szCs w:val="28"/>
          <w:lang w:val="kk-KZ"/>
        </w:rPr>
        <w:t>4</w:t>
      </w:r>
      <w:r w:rsidR="00997DAC" w:rsidRPr="001935D0">
        <w:rPr>
          <w:rFonts w:ascii="Times New Roman" w:hAnsi="Times New Roman" w:cs="Times New Roman"/>
          <w:sz w:val="28"/>
          <w:szCs w:val="28"/>
        </w:rPr>
        <w:t>]</w:t>
      </w:r>
      <w:r w:rsidRPr="001935D0">
        <w:rPr>
          <w:rFonts w:ascii="Times New Roman" w:hAnsi="Times New Roman" w:cs="Times New Roman"/>
          <w:sz w:val="28"/>
          <w:szCs w:val="28"/>
        </w:rPr>
        <w:t xml:space="preserve"> и Декларации профессиональной этики Международного статистического института </w:t>
      </w:r>
      <w:r w:rsidR="00997DAC" w:rsidRPr="001935D0">
        <w:rPr>
          <w:rFonts w:ascii="Times New Roman" w:hAnsi="Times New Roman" w:cs="Times New Roman"/>
          <w:sz w:val="28"/>
          <w:szCs w:val="28"/>
        </w:rPr>
        <w:t>[6</w:t>
      </w:r>
      <w:r w:rsidR="0014676E">
        <w:rPr>
          <w:rFonts w:ascii="Times New Roman" w:hAnsi="Times New Roman" w:cs="Times New Roman"/>
          <w:sz w:val="28"/>
          <w:szCs w:val="28"/>
          <w:lang w:val="kk-KZ"/>
        </w:rPr>
        <w:t>5</w:t>
      </w:r>
      <w:r w:rsidR="00997DAC" w:rsidRPr="001935D0">
        <w:rPr>
          <w:rFonts w:ascii="Times New Roman" w:hAnsi="Times New Roman" w:cs="Times New Roman"/>
          <w:sz w:val="28"/>
          <w:szCs w:val="28"/>
        </w:rPr>
        <w:t>]</w:t>
      </w:r>
      <w:r w:rsidRPr="001935D0">
        <w:rPr>
          <w:rFonts w:ascii="Times New Roman" w:hAnsi="Times New Roman" w:cs="Times New Roman"/>
          <w:sz w:val="28"/>
          <w:szCs w:val="28"/>
        </w:rPr>
        <w:t xml:space="preserve"> и реализуются, в частности, в механизме EU Justice Scoreboard</w:t>
      </w:r>
      <w:r w:rsidR="00997DAC" w:rsidRPr="001935D0">
        <w:rPr>
          <w:rFonts w:ascii="Times New Roman" w:hAnsi="Times New Roman" w:cs="Times New Roman"/>
          <w:sz w:val="28"/>
          <w:szCs w:val="28"/>
          <w:lang w:val="uk-UA"/>
        </w:rPr>
        <w:t xml:space="preserve"> </w:t>
      </w:r>
      <w:r w:rsidR="00997DAC" w:rsidRPr="001935D0">
        <w:rPr>
          <w:rFonts w:ascii="Times New Roman" w:hAnsi="Times New Roman" w:cs="Times New Roman"/>
          <w:sz w:val="28"/>
          <w:szCs w:val="28"/>
        </w:rPr>
        <w:t>[6</w:t>
      </w:r>
      <w:r w:rsidR="0014676E">
        <w:rPr>
          <w:rFonts w:ascii="Times New Roman" w:hAnsi="Times New Roman" w:cs="Times New Roman"/>
          <w:sz w:val="28"/>
          <w:szCs w:val="28"/>
          <w:lang w:val="kk-KZ"/>
        </w:rPr>
        <w:t>6</w:t>
      </w:r>
      <w:r w:rsidR="00997DAC" w:rsidRPr="001935D0">
        <w:rPr>
          <w:rFonts w:ascii="Times New Roman" w:hAnsi="Times New Roman" w:cs="Times New Roman"/>
          <w:sz w:val="28"/>
          <w:szCs w:val="28"/>
        </w:rPr>
        <w:t>]</w:t>
      </w:r>
      <w:r w:rsidRPr="001935D0">
        <w:rPr>
          <w:rFonts w:ascii="Times New Roman" w:hAnsi="Times New Roman" w:cs="Times New Roman"/>
          <w:sz w:val="28"/>
          <w:szCs w:val="28"/>
        </w:rPr>
        <w:t xml:space="preserve">, применяемом Европейской </w:t>
      </w:r>
      <w:r w:rsidR="004A3405">
        <w:rPr>
          <w:rFonts w:ascii="Times New Roman" w:hAnsi="Times New Roman" w:cs="Times New Roman"/>
          <w:sz w:val="28"/>
          <w:szCs w:val="28"/>
        </w:rPr>
        <w:t>К</w:t>
      </w:r>
      <w:r w:rsidRPr="001935D0">
        <w:rPr>
          <w:rFonts w:ascii="Times New Roman" w:hAnsi="Times New Roman" w:cs="Times New Roman"/>
          <w:sz w:val="28"/>
          <w:szCs w:val="28"/>
        </w:rPr>
        <w:t>омиссией для оценки судебных систем государств-членов. К концептуальным моделям относится и рамка RIGHTS</w:t>
      </w:r>
      <w:r w:rsidR="00444719" w:rsidRPr="001935D0">
        <w:rPr>
          <w:rFonts w:ascii="Times New Roman" w:hAnsi="Times New Roman" w:cs="Times New Roman"/>
          <w:sz w:val="28"/>
          <w:szCs w:val="28"/>
        </w:rPr>
        <w:t xml:space="preserve"> [6</w:t>
      </w:r>
      <w:r w:rsidR="0014676E">
        <w:rPr>
          <w:rFonts w:ascii="Times New Roman" w:hAnsi="Times New Roman" w:cs="Times New Roman"/>
          <w:sz w:val="28"/>
          <w:szCs w:val="28"/>
          <w:lang w:val="kk-KZ"/>
        </w:rPr>
        <w:t>7</w:t>
      </w:r>
      <w:r w:rsidR="00444719" w:rsidRPr="001935D0">
        <w:rPr>
          <w:rFonts w:ascii="Times New Roman" w:hAnsi="Times New Roman" w:cs="Times New Roman"/>
          <w:sz w:val="28"/>
          <w:szCs w:val="28"/>
        </w:rPr>
        <w:t>]</w:t>
      </w:r>
      <w:r w:rsidRPr="001935D0">
        <w:rPr>
          <w:rFonts w:ascii="Times New Roman" w:hAnsi="Times New Roman" w:cs="Times New Roman"/>
          <w:sz w:val="28"/>
          <w:szCs w:val="28"/>
        </w:rPr>
        <w:t>, сочетающая структурные, процессуальные и результативные показатели и позволяющая одновременно учитывать нормативные и статистические параметры</w:t>
      </w:r>
      <w:r w:rsidR="00914CC5" w:rsidRPr="001935D0">
        <w:rPr>
          <w:rFonts w:ascii="Times New Roman" w:hAnsi="Times New Roman" w:cs="Times New Roman"/>
          <w:sz w:val="28"/>
          <w:szCs w:val="28"/>
          <w:lang w:val="uk-UA"/>
        </w:rPr>
        <w:t xml:space="preserve"> (рис</w:t>
      </w:r>
      <w:r w:rsidR="007E5770">
        <w:rPr>
          <w:rFonts w:ascii="Times New Roman" w:hAnsi="Times New Roman" w:cs="Times New Roman"/>
          <w:sz w:val="28"/>
          <w:szCs w:val="28"/>
          <w:lang w:val="uk-UA"/>
        </w:rPr>
        <w:t>унок</w:t>
      </w:r>
      <w:r w:rsidR="00914CC5" w:rsidRPr="001935D0">
        <w:rPr>
          <w:rFonts w:ascii="Times New Roman" w:hAnsi="Times New Roman" w:cs="Times New Roman"/>
          <w:sz w:val="28"/>
          <w:szCs w:val="28"/>
          <w:lang w:val="uk-UA"/>
        </w:rPr>
        <w:t xml:space="preserve"> 1.8)</w:t>
      </w:r>
      <w:r w:rsidRPr="001935D0">
        <w:rPr>
          <w:rFonts w:ascii="Times New Roman" w:hAnsi="Times New Roman" w:cs="Times New Roman"/>
          <w:sz w:val="28"/>
          <w:szCs w:val="28"/>
        </w:rPr>
        <w:t>.</w:t>
      </w:r>
    </w:p>
    <w:p w14:paraId="22B970E0" w14:textId="3FF8D8CF" w:rsidR="007E5770" w:rsidRPr="001935D0" w:rsidRDefault="007E5770" w:rsidP="007E5770">
      <w:pPr>
        <w:pStyle w:val="NoSpacing"/>
        <w:ind w:firstLine="567"/>
        <w:jc w:val="both"/>
        <w:rPr>
          <w:rFonts w:ascii="Times New Roman" w:hAnsi="Times New Roman" w:cs="Times New Roman"/>
          <w:sz w:val="28"/>
          <w:szCs w:val="28"/>
        </w:rPr>
      </w:pPr>
      <w:r w:rsidRPr="001935D0">
        <w:rPr>
          <w:rFonts w:ascii="Times New Roman" w:hAnsi="Times New Roman" w:cs="Times New Roman"/>
          <w:sz w:val="28"/>
          <w:szCs w:val="28"/>
        </w:rPr>
        <w:t xml:space="preserve">Для Республики Казахстан разработка сопоставимых индикаторов в области прав человека имеет обоснованную актуальность по двум взаимосвязанным направлениям. С одной стороны, в соответствии с Планом дальнейших мер в области прав человека и верховенства закона, утверждённым Постановлением Правительства Республики Казахстан №258 от 28 апреля 2022 года, предусмотрено внедрение ключевых показателей результативности для системного мониторинга реализации правозащитной политики. С другой стороны, выполнение международных обязательств, вытекающих из Соглашения о расширенном партнёрстве и сотрудничестве между Республикой Казахстан и Европейским </w:t>
      </w:r>
      <w:r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[6</w:t>
      </w:r>
      <w:r w:rsidR="0014676E">
        <w:rPr>
          <w:rFonts w:ascii="Times New Roman" w:hAnsi="Times New Roman" w:cs="Times New Roman"/>
          <w:sz w:val="28"/>
          <w:szCs w:val="28"/>
          <w:lang w:val="kk-KZ"/>
        </w:rPr>
        <w:t>1</w:t>
      </w:r>
      <w:r w:rsidRPr="001935D0">
        <w:rPr>
          <w:rFonts w:ascii="Times New Roman" w:hAnsi="Times New Roman" w:cs="Times New Roman"/>
          <w:sz w:val="28"/>
          <w:szCs w:val="28"/>
        </w:rPr>
        <w:t>], а также участие в четвёртом цикле Универсального периодического обзора (Universal Periodic Review, UPR) в рамках Совета по правам человека ООН, обуславливают необходимость согласования национальных подходов к оценке с применяемыми в ЕС методологическими стандартами</w:t>
      </w:r>
      <w:r w:rsidRPr="001935D0">
        <w:rPr>
          <w:rFonts w:ascii="Times New Roman" w:hAnsi="Times New Roman" w:cs="Times New Roman"/>
          <w:sz w:val="28"/>
          <w:szCs w:val="28"/>
          <w:lang w:val="uk-UA"/>
        </w:rPr>
        <w:t xml:space="preserve"> </w:t>
      </w:r>
      <w:r w:rsidRPr="001935D0">
        <w:rPr>
          <w:rFonts w:ascii="Times New Roman" w:hAnsi="Times New Roman" w:cs="Times New Roman"/>
          <w:sz w:val="28"/>
          <w:szCs w:val="28"/>
        </w:rPr>
        <w:t>[6</w:t>
      </w:r>
      <w:r w:rsidR="0014676E">
        <w:rPr>
          <w:rFonts w:ascii="Times New Roman" w:hAnsi="Times New Roman" w:cs="Times New Roman"/>
          <w:sz w:val="28"/>
          <w:szCs w:val="28"/>
          <w:lang w:val="kk-KZ"/>
        </w:rPr>
        <w:t>7</w:t>
      </w:r>
      <w:r w:rsidRPr="001935D0">
        <w:rPr>
          <w:rFonts w:ascii="Times New Roman" w:hAnsi="Times New Roman" w:cs="Times New Roman"/>
          <w:sz w:val="28"/>
          <w:szCs w:val="28"/>
        </w:rPr>
        <w:t>].</w:t>
      </w:r>
    </w:p>
    <w:p w14:paraId="7430CC2D" w14:textId="286B835D" w:rsidR="00914CC5" w:rsidRPr="001935D0" w:rsidRDefault="00914CC5" w:rsidP="00593711">
      <w:pPr>
        <w:pStyle w:val="NoSpacing"/>
        <w:ind w:firstLine="567"/>
        <w:jc w:val="both"/>
        <w:rPr>
          <w:rFonts w:ascii="Times New Roman" w:hAnsi="Times New Roman" w:cs="Times New Roman"/>
          <w:sz w:val="28"/>
          <w:szCs w:val="28"/>
        </w:rPr>
      </w:pPr>
      <w:r w:rsidRPr="001935D0">
        <w:rPr>
          <w:rFonts w:ascii="Times New Roman" w:eastAsia="Times New Roman" w:hAnsi="Times New Roman" w:cs="Times New Roman"/>
          <w:b/>
          <w:bCs/>
          <w:noProof/>
          <w:sz w:val="27"/>
          <w:szCs w:val="27"/>
          <w:lang w:eastAsia="ru-RU"/>
        </w:rPr>
        <w:lastRenderedPageBreak/>
        <w:drawing>
          <wp:inline distT="0" distB="0" distL="0" distR="0" wp14:anchorId="5434A78E" wp14:editId="1980C3A5">
            <wp:extent cx="5486400" cy="3864930"/>
            <wp:effectExtent l="0" t="0" r="19050" b="254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BDE563F" w14:textId="77777777" w:rsidR="007E5770" w:rsidRPr="007E5770" w:rsidRDefault="007E5770" w:rsidP="00593711">
      <w:pPr>
        <w:autoSpaceDE w:val="0"/>
        <w:autoSpaceDN w:val="0"/>
        <w:adjustRightInd w:val="0"/>
        <w:spacing w:after="0" w:line="240" w:lineRule="auto"/>
        <w:jc w:val="center"/>
        <w:rPr>
          <w:rFonts w:ascii="Times New Roman" w:eastAsia="Times New Roman" w:hAnsi="Times New Roman" w:cs="Times New Roman"/>
          <w:sz w:val="16"/>
          <w:szCs w:val="16"/>
          <w:lang w:val="kk-KZ" w:eastAsia="uk-UA"/>
        </w:rPr>
      </w:pPr>
    </w:p>
    <w:p w14:paraId="6A659C26" w14:textId="12F06C08" w:rsidR="00914CC5" w:rsidRPr="001935D0" w:rsidRDefault="00914CC5" w:rsidP="00593711">
      <w:pPr>
        <w:autoSpaceDE w:val="0"/>
        <w:autoSpaceDN w:val="0"/>
        <w:adjustRightInd w:val="0"/>
        <w:spacing w:after="0" w:line="240" w:lineRule="auto"/>
        <w:jc w:val="center"/>
        <w:rPr>
          <w:rFonts w:ascii="Times New Roman" w:hAnsi="Times New Roman" w:cs="Times New Roman"/>
          <w:sz w:val="28"/>
          <w:szCs w:val="28"/>
        </w:rPr>
      </w:pPr>
      <w:r w:rsidRPr="001935D0">
        <w:rPr>
          <w:rFonts w:ascii="Times New Roman" w:eastAsia="Times New Roman" w:hAnsi="Times New Roman" w:cs="Times New Roman"/>
          <w:sz w:val="28"/>
          <w:szCs w:val="28"/>
          <w:lang w:eastAsia="uk-UA"/>
        </w:rPr>
        <w:t>Рис</w:t>
      </w:r>
      <w:r w:rsidR="007E5770">
        <w:rPr>
          <w:rFonts w:ascii="Times New Roman" w:eastAsia="Times New Roman" w:hAnsi="Times New Roman" w:cs="Times New Roman"/>
          <w:sz w:val="28"/>
          <w:szCs w:val="28"/>
          <w:lang w:val="kk-KZ" w:eastAsia="uk-UA"/>
        </w:rPr>
        <w:t>унок</w:t>
      </w:r>
      <w:r w:rsidRPr="001935D0">
        <w:rPr>
          <w:rFonts w:ascii="Times New Roman" w:eastAsia="Times New Roman" w:hAnsi="Times New Roman" w:cs="Times New Roman"/>
          <w:sz w:val="28"/>
          <w:szCs w:val="28"/>
          <w:lang w:eastAsia="uk-UA"/>
        </w:rPr>
        <w:t xml:space="preserve"> 1.</w:t>
      </w:r>
      <w:r w:rsidRPr="001935D0">
        <w:rPr>
          <w:rFonts w:ascii="Times New Roman" w:eastAsia="Times New Roman" w:hAnsi="Times New Roman" w:cs="Times New Roman"/>
          <w:sz w:val="28"/>
          <w:szCs w:val="28"/>
          <w:lang w:val="uk-UA" w:eastAsia="uk-UA"/>
        </w:rPr>
        <w:t>8</w:t>
      </w:r>
      <w:r w:rsidRPr="001935D0">
        <w:rPr>
          <w:rFonts w:ascii="Times New Roman" w:eastAsia="Times New Roman" w:hAnsi="Times New Roman" w:cs="Times New Roman"/>
          <w:sz w:val="28"/>
          <w:szCs w:val="28"/>
          <w:lang w:eastAsia="uk-UA"/>
        </w:rPr>
        <w:t xml:space="preserve"> </w:t>
      </w:r>
      <w:r w:rsidR="007E5770">
        <w:rPr>
          <w:rFonts w:ascii="Times New Roman" w:eastAsia="Times New Roman" w:hAnsi="Times New Roman" w:cs="Times New Roman"/>
          <w:sz w:val="28"/>
          <w:szCs w:val="28"/>
          <w:lang w:val="kk-KZ" w:eastAsia="uk-UA"/>
        </w:rPr>
        <w:t xml:space="preserve">– </w:t>
      </w:r>
      <w:r w:rsidRPr="001935D0">
        <w:rPr>
          <w:rFonts w:ascii="Times New Roman" w:hAnsi="Times New Roman" w:cs="Times New Roman"/>
          <w:sz w:val="28"/>
          <w:szCs w:val="28"/>
        </w:rPr>
        <w:t xml:space="preserve">Критерии RIGHTS, используемые при методических подходах при исследовании моделей защиты прав человека </w:t>
      </w:r>
    </w:p>
    <w:p w14:paraId="2C6D3378" w14:textId="77777777" w:rsidR="007E5770" w:rsidRPr="007E5770" w:rsidRDefault="007E5770" w:rsidP="00593711">
      <w:pPr>
        <w:shd w:val="clear" w:color="auto" w:fill="FFFFFF"/>
        <w:spacing w:after="0" w:line="240" w:lineRule="auto"/>
        <w:rPr>
          <w:rFonts w:ascii="Times New Roman" w:eastAsia="Times New Roman" w:hAnsi="Times New Roman" w:cs="Times New Roman"/>
          <w:sz w:val="16"/>
          <w:szCs w:val="16"/>
          <w:lang w:val="kk-KZ" w:eastAsia="uk-UA"/>
        </w:rPr>
      </w:pPr>
    </w:p>
    <w:p w14:paraId="57244042" w14:textId="1898794C" w:rsidR="00914CC5" w:rsidRPr="001935D0" w:rsidRDefault="007E5770" w:rsidP="007E5770">
      <w:pPr>
        <w:shd w:val="clear" w:color="auto" w:fill="FFFFFF"/>
        <w:spacing w:after="0" w:line="240" w:lineRule="auto"/>
        <w:ind w:firstLine="709"/>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val="kk-KZ" w:eastAsia="uk-UA"/>
        </w:rPr>
        <w:t xml:space="preserve">Примечание – </w:t>
      </w:r>
      <w:r w:rsidRPr="001935D0">
        <w:rPr>
          <w:rFonts w:ascii="Times New Roman" w:hAnsi="Times New Roman" w:cs="Times New Roman"/>
          <w:sz w:val="24"/>
          <w:szCs w:val="24"/>
        </w:rPr>
        <w:t>С</w:t>
      </w:r>
      <w:r w:rsidR="00914CC5" w:rsidRPr="001935D0">
        <w:rPr>
          <w:rFonts w:ascii="Times New Roman" w:hAnsi="Times New Roman" w:cs="Times New Roman"/>
          <w:sz w:val="24"/>
          <w:szCs w:val="24"/>
        </w:rPr>
        <w:t>оставлено автором по данным</w:t>
      </w:r>
      <w:r w:rsidR="00914CC5" w:rsidRPr="001935D0">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val="kk-KZ" w:eastAsia="uk-UA"/>
        </w:rPr>
        <w:t xml:space="preserve">источника </w:t>
      </w:r>
      <w:r w:rsidR="00914CC5" w:rsidRPr="001935D0">
        <w:rPr>
          <w:rFonts w:ascii="Times New Roman" w:eastAsia="Times New Roman" w:hAnsi="Times New Roman" w:cs="Times New Roman"/>
          <w:sz w:val="24"/>
          <w:szCs w:val="24"/>
          <w:lang w:eastAsia="uk-UA"/>
        </w:rPr>
        <w:t>[</w:t>
      </w:r>
      <w:r w:rsidR="00444719" w:rsidRPr="001935D0">
        <w:rPr>
          <w:rFonts w:ascii="Times New Roman" w:eastAsia="Times New Roman" w:hAnsi="Times New Roman" w:cs="Times New Roman"/>
          <w:sz w:val="24"/>
          <w:szCs w:val="24"/>
          <w:lang w:eastAsia="uk-UA"/>
        </w:rPr>
        <w:t>6</w:t>
      </w:r>
      <w:r w:rsidR="0014676E">
        <w:rPr>
          <w:rFonts w:ascii="Times New Roman" w:eastAsia="Times New Roman" w:hAnsi="Times New Roman" w:cs="Times New Roman"/>
          <w:sz w:val="24"/>
          <w:szCs w:val="24"/>
          <w:lang w:val="kk-KZ" w:eastAsia="uk-UA"/>
        </w:rPr>
        <w:t>7</w:t>
      </w:r>
      <w:r w:rsidR="00914CC5" w:rsidRPr="001935D0">
        <w:rPr>
          <w:rFonts w:ascii="Times New Roman" w:eastAsia="Times New Roman" w:hAnsi="Times New Roman" w:cs="Times New Roman"/>
          <w:sz w:val="24"/>
          <w:szCs w:val="24"/>
          <w:lang w:eastAsia="uk-UA"/>
        </w:rPr>
        <w:t>]</w:t>
      </w:r>
    </w:p>
    <w:p w14:paraId="7F9601DA" w14:textId="77777777" w:rsidR="00914CC5" w:rsidRPr="001935D0" w:rsidRDefault="00914CC5" w:rsidP="00593711">
      <w:pPr>
        <w:pStyle w:val="NoSpacing"/>
        <w:jc w:val="both"/>
        <w:rPr>
          <w:rFonts w:ascii="Times New Roman" w:hAnsi="Times New Roman" w:cs="Times New Roman"/>
          <w:sz w:val="28"/>
          <w:szCs w:val="28"/>
          <w:lang w:val="uk-UA"/>
        </w:rPr>
      </w:pPr>
    </w:p>
    <w:p w14:paraId="7E53E979" w14:textId="2F68CC9A" w:rsidR="00914CC5" w:rsidRPr="001935D0" w:rsidRDefault="00532BF7"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Институциональной основой для реализации указанных задач выступают уже функционирующие национальные механизмы, в частности: интеграция правозащитных индикаторов в отчётность по Целям устойчивого развития (Sustainable Development Goals, SDG), а также проводимая Бюро национальной статистики Агентства по стратегическому планированию и реформам Республики Казахстан реформа системы официальной статистики, ориентированная на повышение транспарентности и международной сопоставимости данных</w:t>
      </w:r>
      <w:r w:rsidR="00953E45" w:rsidRPr="001935D0">
        <w:rPr>
          <w:rFonts w:ascii="Times New Roman" w:hAnsi="Times New Roman" w:cs="Times New Roman"/>
          <w:sz w:val="28"/>
          <w:szCs w:val="28"/>
          <w:lang w:val="uk-UA"/>
        </w:rPr>
        <w:t xml:space="preserve"> </w:t>
      </w:r>
      <w:r w:rsidR="00953E45" w:rsidRPr="001935D0">
        <w:rPr>
          <w:rFonts w:ascii="Times New Roman" w:hAnsi="Times New Roman" w:cs="Times New Roman"/>
          <w:sz w:val="28"/>
          <w:szCs w:val="28"/>
        </w:rPr>
        <w:t>[6</w:t>
      </w:r>
      <w:r w:rsidR="0014676E">
        <w:rPr>
          <w:rFonts w:ascii="Times New Roman" w:hAnsi="Times New Roman" w:cs="Times New Roman"/>
          <w:sz w:val="28"/>
          <w:szCs w:val="28"/>
          <w:lang w:val="kk-KZ"/>
        </w:rPr>
        <w:t>8</w:t>
      </w:r>
      <w:r w:rsidR="00953E45" w:rsidRPr="001935D0">
        <w:rPr>
          <w:rFonts w:ascii="Times New Roman" w:hAnsi="Times New Roman" w:cs="Times New Roman"/>
          <w:sz w:val="28"/>
          <w:szCs w:val="28"/>
        </w:rPr>
        <w:t>]</w:t>
      </w:r>
      <w:r w:rsidRPr="001935D0">
        <w:rPr>
          <w:rFonts w:ascii="Times New Roman" w:hAnsi="Times New Roman" w:cs="Times New Roman"/>
          <w:sz w:val="28"/>
          <w:szCs w:val="28"/>
        </w:rPr>
        <w:t>.</w:t>
      </w:r>
    </w:p>
    <w:p w14:paraId="242DE735" w14:textId="0781FEEE" w:rsidR="00E34D04" w:rsidRPr="001935D0" w:rsidRDefault="00E34D04"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Комплементарным документом является </w:t>
      </w:r>
      <w:r w:rsidRPr="001935D0">
        <w:rPr>
          <w:rStyle w:val="Strong"/>
          <w:rFonts w:ascii="Times New Roman" w:hAnsi="Times New Roman" w:cs="Times New Roman"/>
          <w:b w:val="0"/>
          <w:bCs w:val="0"/>
          <w:sz w:val="28"/>
          <w:szCs w:val="28"/>
        </w:rPr>
        <w:t xml:space="preserve">руководство </w:t>
      </w:r>
      <w:r w:rsidR="00953E45" w:rsidRPr="001935D0">
        <w:rPr>
          <w:rStyle w:val="Strong"/>
          <w:rFonts w:ascii="Times New Roman" w:hAnsi="Times New Roman" w:cs="Times New Roman"/>
          <w:b w:val="0"/>
          <w:bCs w:val="0"/>
          <w:sz w:val="28"/>
          <w:szCs w:val="28"/>
        </w:rPr>
        <w:t>United Nations Economic Commission for Europe</w:t>
      </w:r>
      <w:r w:rsidRPr="001935D0">
        <w:rPr>
          <w:rStyle w:val="Strong"/>
          <w:rFonts w:ascii="Times New Roman" w:hAnsi="Times New Roman" w:cs="Times New Roman"/>
          <w:b w:val="0"/>
          <w:bCs w:val="0"/>
          <w:sz w:val="28"/>
          <w:szCs w:val="28"/>
        </w:rPr>
        <w:t xml:space="preserve"> «Guidelines on Statistical Data and Human Rights»</w:t>
      </w:r>
      <w:r w:rsidRPr="001935D0">
        <w:rPr>
          <w:rFonts w:ascii="Times New Roman" w:hAnsi="Times New Roman" w:cs="Times New Roman"/>
          <w:sz w:val="28"/>
          <w:szCs w:val="28"/>
        </w:rPr>
        <w:t>, в котором подчёркивается необходимость соблюдения баланса между прозрачностью данных и защитой личной информации</w:t>
      </w:r>
      <w:r w:rsidR="00953E45" w:rsidRPr="001935D0">
        <w:rPr>
          <w:rFonts w:ascii="Times New Roman" w:hAnsi="Times New Roman" w:cs="Times New Roman"/>
          <w:sz w:val="28"/>
          <w:szCs w:val="28"/>
        </w:rPr>
        <w:t xml:space="preserve"> [</w:t>
      </w:r>
      <w:r w:rsidR="0014676E">
        <w:rPr>
          <w:rFonts w:ascii="Times New Roman" w:hAnsi="Times New Roman" w:cs="Times New Roman"/>
          <w:sz w:val="28"/>
          <w:szCs w:val="28"/>
          <w:lang w:val="kk-KZ"/>
        </w:rPr>
        <w:t>69</w:t>
      </w:r>
      <w:r w:rsidR="00953E45" w:rsidRPr="001935D0">
        <w:rPr>
          <w:rFonts w:ascii="Times New Roman" w:hAnsi="Times New Roman" w:cs="Times New Roman"/>
          <w:sz w:val="28"/>
          <w:szCs w:val="28"/>
        </w:rPr>
        <w:t>]</w:t>
      </w:r>
      <w:r w:rsidRPr="001935D0">
        <w:rPr>
          <w:rFonts w:ascii="Times New Roman" w:hAnsi="Times New Roman" w:cs="Times New Roman"/>
          <w:sz w:val="28"/>
          <w:szCs w:val="28"/>
        </w:rPr>
        <w:t>. В частности, статистические агентства должны руководствоваться следующими принципами: соблюдение неприкосновенности частной жизни, предотвращение вторичной идентификации респондентов, обеспечение независимости статистических наблюдений от административного или политического давления.</w:t>
      </w:r>
    </w:p>
    <w:p w14:paraId="100B96C7" w14:textId="7FC57902" w:rsidR="00E34D04" w:rsidRPr="001935D0" w:rsidRDefault="00E34D04"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Эти стандарты, в свою очередь, полностью согласуются с </w:t>
      </w:r>
      <w:r w:rsidRPr="001935D0">
        <w:rPr>
          <w:rStyle w:val="Strong"/>
          <w:rFonts w:ascii="Times New Roman" w:hAnsi="Times New Roman" w:cs="Times New Roman"/>
          <w:b w:val="0"/>
          <w:bCs w:val="0"/>
          <w:sz w:val="28"/>
          <w:szCs w:val="28"/>
        </w:rPr>
        <w:t>Основными принципами официальной статистики ООН</w:t>
      </w:r>
      <w:r w:rsidRPr="001935D0">
        <w:rPr>
          <w:rFonts w:ascii="Times New Roman" w:hAnsi="Times New Roman" w:cs="Times New Roman"/>
          <w:sz w:val="28"/>
          <w:szCs w:val="28"/>
        </w:rPr>
        <w:t xml:space="preserve">, среди которых ключевыми являются: научная обоснованность методологии, защита конфиденциальности, соблюдение профессиональной независимости, универсальность охвата и приоритизация общественного интереса. Казахстан, как страна-участник </w:t>
      </w:r>
      <w:r w:rsidRPr="001935D0">
        <w:rPr>
          <w:rFonts w:ascii="Times New Roman" w:hAnsi="Times New Roman" w:cs="Times New Roman"/>
          <w:sz w:val="28"/>
          <w:szCs w:val="28"/>
        </w:rPr>
        <w:lastRenderedPageBreak/>
        <w:t>глобальной статистической системы, официально принял на себя обязательства соблюдать эти принципы при формировании национальных данных, включая информацию о реализации прав человека.</w:t>
      </w:r>
    </w:p>
    <w:p w14:paraId="592C3ABE" w14:textId="0B65E5FF" w:rsidR="00532BF7" w:rsidRPr="001935D0" w:rsidRDefault="00532BF7"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Таким образом, внедрение индикаторного подхода в сфере прав человека в Республике Казахстан предполагает не только разработку системы показателей, соответствующих национальному контексту, но и их согласование с международными стандартами. Использование концептуальной рамки RIGHTS, а также методологических рекомендаций Управления Верховного комиссара ООН по правам человека и Экономической</w:t>
      </w:r>
      <w:r w:rsidR="00953E45" w:rsidRPr="001935D0">
        <w:rPr>
          <w:rFonts w:ascii="Times New Roman" w:hAnsi="Times New Roman" w:cs="Times New Roman"/>
          <w:sz w:val="28"/>
          <w:szCs w:val="28"/>
        </w:rPr>
        <w:t xml:space="preserve"> комиссии ООН для Европы</w:t>
      </w:r>
      <w:r w:rsidRPr="001935D0">
        <w:rPr>
          <w:rFonts w:ascii="Times New Roman" w:hAnsi="Times New Roman" w:cs="Times New Roman"/>
          <w:sz w:val="28"/>
          <w:szCs w:val="28"/>
        </w:rPr>
        <w:t xml:space="preserve"> формирует основу для построения статистически обоснованной и институционально поддерживаемой системы мониторинга</w:t>
      </w:r>
      <w:r w:rsidR="00953E45" w:rsidRPr="001935D0">
        <w:rPr>
          <w:rFonts w:ascii="Times New Roman" w:hAnsi="Times New Roman" w:cs="Times New Roman"/>
          <w:sz w:val="28"/>
          <w:szCs w:val="28"/>
        </w:rPr>
        <w:t xml:space="preserve"> [7</w:t>
      </w:r>
      <w:r w:rsidR="0014676E">
        <w:rPr>
          <w:rFonts w:ascii="Times New Roman" w:hAnsi="Times New Roman" w:cs="Times New Roman"/>
          <w:sz w:val="28"/>
          <w:szCs w:val="28"/>
          <w:lang w:val="kk-KZ"/>
        </w:rPr>
        <w:t>1</w:t>
      </w:r>
      <w:r w:rsidR="00953E45" w:rsidRPr="001935D0">
        <w:rPr>
          <w:rFonts w:ascii="Times New Roman" w:hAnsi="Times New Roman" w:cs="Times New Roman"/>
          <w:sz w:val="28"/>
          <w:szCs w:val="28"/>
        </w:rPr>
        <w:t>]</w:t>
      </w:r>
      <w:r w:rsidRPr="001935D0">
        <w:rPr>
          <w:rFonts w:ascii="Times New Roman" w:hAnsi="Times New Roman" w:cs="Times New Roman"/>
          <w:sz w:val="28"/>
          <w:szCs w:val="28"/>
        </w:rPr>
        <w:t>. Такая система может служить как для внутреннего анализа реализации правозащитной политики, так и для подго</w:t>
      </w:r>
      <w:r w:rsidR="009428C0" w:rsidRPr="001935D0">
        <w:rPr>
          <w:rFonts w:ascii="Times New Roman" w:hAnsi="Times New Roman" w:cs="Times New Roman"/>
          <w:sz w:val="28"/>
          <w:szCs w:val="28"/>
        </w:rPr>
        <w:t>товки международной отчётности –</w:t>
      </w:r>
      <w:r w:rsidRPr="001935D0">
        <w:rPr>
          <w:rFonts w:ascii="Times New Roman" w:hAnsi="Times New Roman" w:cs="Times New Roman"/>
          <w:sz w:val="28"/>
          <w:szCs w:val="28"/>
        </w:rPr>
        <w:t xml:space="preserve"> в частности, в рамках Всеобщего периодического обзора, мониторинга достижения Целей устойчивого развития, а также исполнения обязательств по Соглашению о расширенном партнёрстве и сотрудниче</w:t>
      </w:r>
      <w:r w:rsidR="00953E45" w:rsidRPr="001935D0">
        <w:rPr>
          <w:rFonts w:ascii="Times New Roman" w:hAnsi="Times New Roman" w:cs="Times New Roman"/>
          <w:sz w:val="28"/>
          <w:szCs w:val="28"/>
        </w:rPr>
        <w:t xml:space="preserve">стве с Европейским </w:t>
      </w:r>
      <w:r w:rsidR="00CF2560" w:rsidRPr="001935D0">
        <w:rPr>
          <w:rFonts w:ascii="Times New Roman" w:hAnsi="Times New Roman" w:cs="Times New Roman"/>
          <w:sz w:val="28"/>
          <w:szCs w:val="28"/>
          <w:lang w:val="uk-UA"/>
        </w:rPr>
        <w:t>С</w:t>
      </w:r>
      <w:r w:rsidR="00953E45" w:rsidRPr="001935D0">
        <w:rPr>
          <w:rFonts w:ascii="Times New Roman" w:hAnsi="Times New Roman" w:cs="Times New Roman"/>
          <w:sz w:val="28"/>
          <w:szCs w:val="28"/>
        </w:rPr>
        <w:t>оюзом</w:t>
      </w:r>
      <w:r w:rsidRPr="001935D0">
        <w:rPr>
          <w:rFonts w:ascii="Times New Roman" w:hAnsi="Times New Roman" w:cs="Times New Roman"/>
          <w:sz w:val="28"/>
          <w:szCs w:val="28"/>
        </w:rPr>
        <w:t>.</w:t>
      </w:r>
    </w:p>
    <w:p w14:paraId="69F9D971" w14:textId="45D03F7E" w:rsidR="00442A3F" w:rsidRPr="001935D0" w:rsidRDefault="00532BF7"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Актуальность развития такой системы подтверждается и данными о взаимодействии Казахстана с наднациональными правозащитными институтами. Согласно информации из Реестра Европейского суда по права</w:t>
      </w:r>
      <w:r w:rsidR="00953E45" w:rsidRPr="001935D0">
        <w:rPr>
          <w:rFonts w:ascii="Times New Roman" w:hAnsi="Times New Roman" w:cs="Times New Roman"/>
          <w:sz w:val="28"/>
          <w:szCs w:val="28"/>
        </w:rPr>
        <w:t>м человека</w:t>
      </w:r>
      <w:r w:rsidRPr="001935D0">
        <w:rPr>
          <w:rFonts w:ascii="Times New Roman" w:hAnsi="Times New Roman" w:cs="Times New Roman"/>
          <w:sz w:val="28"/>
          <w:szCs w:val="28"/>
        </w:rPr>
        <w:t>, в период с 2015 по 2024 годы общее количество жалоб, поданных гражданами Казахстана, увеличилось на 37%</w:t>
      </w:r>
      <w:r w:rsidR="00953E45" w:rsidRPr="001935D0">
        <w:rPr>
          <w:rFonts w:ascii="Times New Roman" w:hAnsi="Times New Roman" w:cs="Times New Roman"/>
          <w:sz w:val="28"/>
          <w:szCs w:val="28"/>
        </w:rPr>
        <w:t xml:space="preserve"> [7</w:t>
      </w:r>
      <w:r w:rsidR="00E35819">
        <w:rPr>
          <w:rFonts w:ascii="Times New Roman" w:hAnsi="Times New Roman" w:cs="Times New Roman"/>
          <w:sz w:val="28"/>
          <w:szCs w:val="28"/>
          <w:lang w:val="kk-KZ"/>
        </w:rPr>
        <w:t>2</w:t>
      </w:r>
      <w:r w:rsidR="00953E45" w:rsidRPr="001935D0">
        <w:rPr>
          <w:rFonts w:ascii="Times New Roman" w:hAnsi="Times New Roman" w:cs="Times New Roman"/>
          <w:sz w:val="28"/>
          <w:szCs w:val="28"/>
        </w:rPr>
        <w:t>]</w:t>
      </w:r>
      <w:r w:rsidRPr="001935D0">
        <w:rPr>
          <w:rFonts w:ascii="Times New Roman" w:hAnsi="Times New Roman" w:cs="Times New Roman"/>
          <w:sz w:val="28"/>
          <w:szCs w:val="28"/>
        </w:rPr>
        <w:t>. При этом около 65% обращений отклоняются на стадии оценки приемлемости, что свидетельствует о наличии институциональных и информационно-правовых барьеров. Это, в свою очередь, подчёркивает необходимость укрепления механизмов правового просвещения населения, повышения доступности правовой помощи, а также совершенствования процедурных гарантий, направленных на повышение качества и обоснованности обращений в международные органы защиты прав человека.</w:t>
      </w:r>
    </w:p>
    <w:p w14:paraId="3A3474C6" w14:textId="1F63DE5C" w:rsidR="00442A3F" w:rsidRPr="001935D0" w:rsidRDefault="00442A3F" w:rsidP="007E5770">
      <w:pPr>
        <w:pStyle w:val="NoSpacing"/>
        <w:ind w:firstLine="709"/>
        <w:jc w:val="both"/>
        <w:rPr>
          <w:rFonts w:ascii="Times New Roman" w:hAnsi="Times New Roman" w:cs="Times New Roman"/>
          <w:sz w:val="28"/>
          <w:szCs w:val="28"/>
          <w:lang w:val="uk-UA"/>
        </w:rPr>
      </w:pPr>
      <w:r w:rsidRPr="001935D0">
        <w:rPr>
          <w:rFonts w:ascii="Times New Roman" w:hAnsi="Times New Roman" w:cs="Times New Roman"/>
          <w:sz w:val="28"/>
          <w:szCs w:val="28"/>
        </w:rPr>
        <w:t>Относительно статистики использования методик европейской модели защиты прав человека в Казахстане, то согласно последним данным, количество обращений в Европейский суд по правам человека (ЕСПЧ) от граждан Казахстана демонстрирует устойчивый рост. С 2015 по 2024 годы количество жалоб увеличилось на 37%, что свидетельствует о возрастающем интересе к европейским правозащитным стандартам. Основные категории дел отображено на рис</w:t>
      </w:r>
      <w:r w:rsidR="007E5770">
        <w:rPr>
          <w:rFonts w:ascii="Times New Roman" w:hAnsi="Times New Roman" w:cs="Times New Roman"/>
          <w:sz w:val="28"/>
          <w:szCs w:val="28"/>
          <w:lang w:val="kk-KZ"/>
        </w:rPr>
        <w:t>унке</w:t>
      </w:r>
      <w:r w:rsidRPr="001935D0">
        <w:rPr>
          <w:rFonts w:ascii="Times New Roman" w:hAnsi="Times New Roman" w:cs="Times New Roman"/>
          <w:sz w:val="28"/>
          <w:szCs w:val="28"/>
        </w:rPr>
        <w:t xml:space="preserve"> 1.</w:t>
      </w:r>
      <w:r w:rsidRPr="001935D0">
        <w:rPr>
          <w:rFonts w:ascii="Times New Roman" w:hAnsi="Times New Roman" w:cs="Times New Roman"/>
          <w:sz w:val="28"/>
          <w:szCs w:val="28"/>
          <w:lang w:val="uk-UA"/>
        </w:rPr>
        <w:t>9.</w:t>
      </w:r>
    </w:p>
    <w:p w14:paraId="08936B79" w14:textId="77777777" w:rsidR="00CD5B8D" w:rsidRPr="001935D0" w:rsidRDefault="00CD5B8D" w:rsidP="00CD5B8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Наибольшую часть составляют предполагаемые нарушения права на справедливое судебное разбирательство (42%), далее следуют жалобы на пытки и жестокое обращение (27%), нарушения права на личную свободу и неприкосновенность (18%) и прочие нарушения (13%). Данный индикатор напрямую соответствует компоненту I (Indicators) модели RIGHTS и демонстрирует практическую применимость европейских правозащитных механизмов для оценки национальной ситуации.</w:t>
      </w:r>
    </w:p>
    <w:p w14:paraId="7D3669F4" w14:textId="77777777" w:rsidR="00442A3F" w:rsidRPr="001935D0" w:rsidRDefault="00442A3F" w:rsidP="007E5770">
      <w:pPr>
        <w:pStyle w:val="NoSpacing"/>
        <w:ind w:firstLine="709"/>
        <w:jc w:val="both"/>
        <w:rPr>
          <w:rFonts w:ascii="Times New Roman" w:hAnsi="Times New Roman" w:cs="Times New Roman"/>
          <w:sz w:val="28"/>
          <w:szCs w:val="28"/>
        </w:rPr>
      </w:pPr>
    </w:p>
    <w:p w14:paraId="53F7287D" w14:textId="3117ADB3" w:rsidR="00914CC5" w:rsidRPr="001935D0" w:rsidRDefault="00914CC5" w:rsidP="00593711">
      <w:pPr>
        <w:pStyle w:val="NoSpacing"/>
        <w:ind w:firstLine="567"/>
        <w:jc w:val="both"/>
        <w:rPr>
          <w:rFonts w:ascii="Times New Roman" w:hAnsi="Times New Roman" w:cs="Times New Roman"/>
          <w:sz w:val="28"/>
          <w:szCs w:val="28"/>
        </w:rPr>
      </w:pPr>
      <w:r w:rsidRPr="001935D0">
        <w:rPr>
          <w:rFonts w:ascii="Times New Roman" w:hAnsi="Times New Roman" w:cs="Times New Roman"/>
          <w:noProof/>
          <w:sz w:val="28"/>
          <w:szCs w:val="28"/>
          <w:lang w:eastAsia="ru-RU"/>
        </w:rPr>
        <w:lastRenderedPageBreak/>
        <w:drawing>
          <wp:inline distT="0" distB="0" distL="0" distR="0" wp14:anchorId="63860EF2" wp14:editId="55562CDD">
            <wp:extent cx="5308600" cy="2647950"/>
            <wp:effectExtent l="0" t="0" r="6350" b="0"/>
            <wp:docPr id="1"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1EEE4B5" w14:textId="77777777" w:rsidR="00532BF7" w:rsidRPr="007E5770" w:rsidRDefault="00532BF7" w:rsidP="00593711">
      <w:pPr>
        <w:pStyle w:val="NoSpacing"/>
        <w:ind w:firstLine="567"/>
        <w:jc w:val="both"/>
        <w:rPr>
          <w:rFonts w:ascii="Times New Roman" w:hAnsi="Times New Roman" w:cs="Times New Roman"/>
          <w:sz w:val="16"/>
          <w:szCs w:val="16"/>
        </w:rPr>
      </w:pPr>
    </w:p>
    <w:p w14:paraId="3C282996" w14:textId="30A33AC0" w:rsidR="00585EC3" w:rsidRPr="001935D0" w:rsidRDefault="00EF3C7D" w:rsidP="00CD5B8D">
      <w:pPr>
        <w:pStyle w:val="NoSpacing"/>
        <w:jc w:val="center"/>
        <w:rPr>
          <w:rFonts w:ascii="Times New Roman" w:hAnsi="Times New Roman" w:cs="Times New Roman"/>
          <w:sz w:val="28"/>
          <w:szCs w:val="28"/>
        </w:rPr>
      </w:pPr>
      <w:r w:rsidRPr="001935D0">
        <w:rPr>
          <w:rFonts w:ascii="Times New Roman" w:hAnsi="Times New Roman" w:cs="Times New Roman"/>
          <w:sz w:val="28"/>
          <w:szCs w:val="28"/>
        </w:rPr>
        <w:t>Рис</w:t>
      </w:r>
      <w:r w:rsidR="00CD5B8D">
        <w:rPr>
          <w:rFonts w:ascii="Times New Roman" w:hAnsi="Times New Roman" w:cs="Times New Roman"/>
          <w:sz w:val="28"/>
          <w:szCs w:val="28"/>
          <w:lang w:val="kk-KZ"/>
        </w:rPr>
        <w:t>унок</w:t>
      </w:r>
      <w:r w:rsidRPr="001935D0">
        <w:rPr>
          <w:rFonts w:ascii="Times New Roman" w:hAnsi="Times New Roman" w:cs="Times New Roman"/>
          <w:sz w:val="28"/>
          <w:szCs w:val="28"/>
        </w:rPr>
        <w:t xml:space="preserve"> 1.9</w:t>
      </w:r>
      <w:r w:rsidR="00585EC3" w:rsidRPr="001935D0">
        <w:rPr>
          <w:rFonts w:ascii="Times New Roman" w:hAnsi="Times New Roman" w:cs="Times New Roman"/>
          <w:sz w:val="28"/>
          <w:szCs w:val="28"/>
        </w:rPr>
        <w:t xml:space="preserve"> </w:t>
      </w:r>
      <w:r w:rsidR="00CD5B8D">
        <w:rPr>
          <w:rFonts w:ascii="Times New Roman" w:hAnsi="Times New Roman" w:cs="Times New Roman"/>
          <w:sz w:val="28"/>
          <w:szCs w:val="28"/>
          <w:lang w:val="kk-KZ"/>
        </w:rPr>
        <w:t xml:space="preserve">– </w:t>
      </w:r>
      <w:r w:rsidR="00914CC5" w:rsidRPr="001935D0">
        <w:rPr>
          <w:rFonts w:ascii="Times New Roman" w:hAnsi="Times New Roman" w:cs="Times New Roman"/>
          <w:sz w:val="28"/>
          <w:szCs w:val="28"/>
        </w:rPr>
        <w:t>Основные категории дел, поданных гражд</w:t>
      </w:r>
      <w:r w:rsidR="00585EC3" w:rsidRPr="001935D0">
        <w:rPr>
          <w:rFonts w:ascii="Times New Roman" w:hAnsi="Times New Roman" w:cs="Times New Roman"/>
          <w:sz w:val="28"/>
          <w:szCs w:val="28"/>
        </w:rPr>
        <w:t>анами Казахстана в ЕСПЧ, 2024</w:t>
      </w:r>
    </w:p>
    <w:p w14:paraId="0E574510" w14:textId="77777777" w:rsidR="007E5770" w:rsidRPr="00CD5B8D" w:rsidRDefault="007E5770" w:rsidP="00593711">
      <w:pPr>
        <w:pStyle w:val="NoSpacing"/>
        <w:rPr>
          <w:rFonts w:ascii="Times New Roman" w:hAnsi="Times New Roman" w:cs="Times New Roman"/>
          <w:sz w:val="16"/>
          <w:szCs w:val="16"/>
          <w:lang w:val="uk-UA"/>
        </w:rPr>
      </w:pPr>
    </w:p>
    <w:p w14:paraId="4BD91EF9" w14:textId="642C4DB2" w:rsidR="00914CC5" w:rsidRPr="00E35819" w:rsidRDefault="00CD5B8D" w:rsidP="007E5770">
      <w:pPr>
        <w:pStyle w:val="NoSpacing"/>
        <w:ind w:firstLine="709"/>
        <w:rPr>
          <w:rFonts w:ascii="Times New Roman" w:hAnsi="Times New Roman" w:cs="Times New Roman"/>
          <w:sz w:val="24"/>
          <w:szCs w:val="24"/>
          <w:lang w:val="kk-KZ"/>
        </w:rPr>
      </w:pPr>
      <w:r>
        <w:rPr>
          <w:rFonts w:ascii="Times New Roman" w:hAnsi="Times New Roman" w:cs="Times New Roman"/>
          <w:sz w:val="24"/>
          <w:szCs w:val="24"/>
          <w:lang w:val="uk-UA"/>
        </w:rPr>
        <w:t xml:space="preserve">Примечание – </w:t>
      </w:r>
      <w:r w:rsidRPr="001935D0">
        <w:rPr>
          <w:rFonts w:ascii="Times New Roman" w:hAnsi="Times New Roman" w:cs="Times New Roman"/>
          <w:sz w:val="24"/>
          <w:szCs w:val="24"/>
        </w:rPr>
        <w:t>С</w:t>
      </w:r>
      <w:r w:rsidR="00953E45" w:rsidRPr="001935D0">
        <w:rPr>
          <w:rFonts w:ascii="Times New Roman" w:hAnsi="Times New Roman" w:cs="Times New Roman"/>
          <w:sz w:val="24"/>
          <w:szCs w:val="24"/>
        </w:rPr>
        <w:t xml:space="preserve">оставлено автором по данным </w:t>
      </w:r>
      <w:r>
        <w:rPr>
          <w:rFonts w:ascii="Times New Roman" w:hAnsi="Times New Roman" w:cs="Times New Roman"/>
          <w:sz w:val="24"/>
          <w:szCs w:val="24"/>
          <w:lang w:val="kk-KZ"/>
        </w:rPr>
        <w:t xml:space="preserve">источника </w:t>
      </w:r>
      <w:r w:rsidR="00953E45" w:rsidRPr="001935D0">
        <w:rPr>
          <w:rFonts w:ascii="Times New Roman" w:hAnsi="Times New Roman" w:cs="Times New Roman"/>
          <w:sz w:val="24"/>
          <w:szCs w:val="24"/>
        </w:rPr>
        <w:t>[7</w:t>
      </w:r>
      <w:r w:rsidR="00E35819">
        <w:rPr>
          <w:rFonts w:ascii="Times New Roman" w:hAnsi="Times New Roman" w:cs="Times New Roman"/>
          <w:sz w:val="24"/>
          <w:szCs w:val="24"/>
          <w:lang w:val="kk-KZ"/>
        </w:rPr>
        <w:t>2</w:t>
      </w:r>
      <w:r w:rsidR="00675232" w:rsidRPr="001935D0">
        <w:rPr>
          <w:rFonts w:ascii="Times New Roman" w:hAnsi="Times New Roman" w:cs="Times New Roman"/>
          <w:sz w:val="24"/>
          <w:szCs w:val="24"/>
        </w:rPr>
        <w:t>]</w:t>
      </w:r>
      <w:r w:rsidR="00E35819">
        <w:rPr>
          <w:rFonts w:ascii="Times New Roman" w:hAnsi="Times New Roman" w:cs="Times New Roman"/>
          <w:sz w:val="24"/>
          <w:szCs w:val="24"/>
        </w:rPr>
        <w:t xml:space="preserve"> </w:t>
      </w:r>
    </w:p>
    <w:p w14:paraId="27B29BEF" w14:textId="77777777" w:rsidR="00331411" w:rsidRPr="001935D0" w:rsidRDefault="00331411" w:rsidP="007E5770">
      <w:pPr>
        <w:pStyle w:val="NoSpacing"/>
        <w:ind w:firstLine="709"/>
        <w:jc w:val="both"/>
        <w:rPr>
          <w:rFonts w:ascii="Times New Roman" w:hAnsi="Times New Roman" w:cs="Times New Roman"/>
          <w:sz w:val="28"/>
          <w:szCs w:val="28"/>
        </w:rPr>
      </w:pPr>
    </w:p>
    <w:p w14:paraId="1D796DF5" w14:textId="2A4E0C7F" w:rsidR="00331411" w:rsidRPr="001935D0" w:rsidRDefault="00331411"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lang w:eastAsia="ru-RU"/>
        </w:rPr>
        <w:t xml:space="preserve">Таким образом, индикаторный анализ не только иллюстрирует практическую востребованность европейских механизмов защиты прав человека для казахстанских граждан, но и формирует инструментальную базу для дальнейшего совершенствования национальной правозащитной политики в рамках обязательств по </w:t>
      </w:r>
      <w:r w:rsidR="00953E45" w:rsidRPr="001935D0">
        <w:rPr>
          <w:rFonts w:ascii="Times New Roman" w:hAnsi="Times New Roman" w:cs="Times New Roman"/>
          <w:bCs/>
          <w:sz w:val="28"/>
          <w:szCs w:val="28"/>
          <w:lang w:eastAsia="ru-RU"/>
        </w:rPr>
        <w:t>Enhanced Partnership and Cooperation Agreement</w:t>
      </w:r>
      <w:r w:rsidRPr="001935D0">
        <w:rPr>
          <w:rFonts w:ascii="Times New Roman" w:hAnsi="Times New Roman" w:cs="Times New Roman"/>
          <w:sz w:val="28"/>
          <w:szCs w:val="28"/>
          <w:lang w:eastAsia="ru-RU"/>
        </w:rPr>
        <w:t xml:space="preserve"> и рекомендаций международных организаций</w:t>
      </w:r>
      <w:r w:rsidR="00953E45" w:rsidRPr="001935D0">
        <w:rPr>
          <w:rFonts w:ascii="Times New Roman" w:hAnsi="Times New Roman" w:cs="Times New Roman"/>
          <w:sz w:val="28"/>
          <w:szCs w:val="28"/>
          <w:lang w:eastAsia="ru-RU"/>
        </w:rPr>
        <w:t xml:space="preserve"> [6</w:t>
      </w:r>
      <w:r w:rsidR="00E35819">
        <w:rPr>
          <w:rFonts w:ascii="Times New Roman" w:hAnsi="Times New Roman" w:cs="Times New Roman"/>
          <w:sz w:val="28"/>
          <w:szCs w:val="28"/>
          <w:lang w:val="kk-KZ" w:eastAsia="ru-RU"/>
        </w:rPr>
        <w:t>1</w:t>
      </w:r>
      <w:r w:rsidR="00953E45" w:rsidRPr="001935D0">
        <w:rPr>
          <w:rFonts w:ascii="Times New Roman" w:hAnsi="Times New Roman" w:cs="Times New Roman"/>
          <w:sz w:val="28"/>
          <w:szCs w:val="28"/>
          <w:lang w:eastAsia="ru-RU"/>
        </w:rPr>
        <w:t>]</w:t>
      </w:r>
      <w:r w:rsidRPr="001935D0">
        <w:rPr>
          <w:rFonts w:ascii="Times New Roman" w:hAnsi="Times New Roman" w:cs="Times New Roman"/>
          <w:sz w:val="28"/>
          <w:szCs w:val="28"/>
          <w:lang w:eastAsia="ru-RU"/>
        </w:rPr>
        <w:t>.</w:t>
      </w:r>
    </w:p>
    <w:p w14:paraId="128DD3B5" w14:textId="4A7B65BE" w:rsidR="00442A3F" w:rsidRPr="001935D0" w:rsidRDefault="00442A3F"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Анализ эффективности индикаторного подхода невозможен без его сопоставления с международными механизмами мониторинга прав человека. Для Республики Казахстан основными внешними площадками оценки выступают Универс</w:t>
      </w:r>
      <w:r w:rsidR="00953E45" w:rsidRPr="001935D0">
        <w:rPr>
          <w:rFonts w:ascii="Times New Roman" w:hAnsi="Times New Roman" w:cs="Times New Roman"/>
          <w:sz w:val="28"/>
          <w:szCs w:val="28"/>
        </w:rPr>
        <w:t>альный периодический обзор</w:t>
      </w:r>
      <w:r w:rsidRPr="001935D0">
        <w:rPr>
          <w:rFonts w:ascii="Times New Roman" w:hAnsi="Times New Roman" w:cs="Times New Roman"/>
          <w:sz w:val="28"/>
          <w:szCs w:val="28"/>
        </w:rPr>
        <w:t xml:space="preserve"> Совета ООН по правам человека и </w:t>
      </w:r>
      <w:r w:rsidR="00CF2560" w:rsidRPr="001935D0">
        <w:rPr>
          <w:rFonts w:ascii="Times New Roman" w:hAnsi="Times New Roman" w:cs="Times New Roman"/>
          <w:sz w:val="28"/>
          <w:szCs w:val="28"/>
        </w:rPr>
        <w:t>ежегодные Диалоги Европейского С</w:t>
      </w:r>
      <w:r w:rsidRPr="001935D0">
        <w:rPr>
          <w:rFonts w:ascii="Times New Roman" w:hAnsi="Times New Roman" w:cs="Times New Roman"/>
          <w:sz w:val="28"/>
          <w:szCs w:val="28"/>
        </w:rPr>
        <w:t>оюза с Казахстаном по правам человека. Оба формата не только отражают текущее состояние правозащитной сферы, но и задают ориентиры для последующей корректировки национальной политики.</w:t>
      </w:r>
    </w:p>
    <w:p w14:paraId="17E0DA00" w14:textId="3ABD8D70" w:rsidR="00442A3F" w:rsidRPr="001935D0" w:rsidRDefault="00442A3F"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Четвёртый цикл UPR, проведённый 23 января 2025 года, продемонстрировал высокую степень вовлечённости Казахстана в глобальные правозащитные процедуры. Рабочая группа Совета ООН по правам человека выдвинула 294 рекомендации; из них 214 были безоговорочно приняты, </w:t>
      </w:r>
      <w:r w:rsidR="00496B7F" w:rsidRPr="001935D0">
        <w:rPr>
          <w:rFonts w:ascii="Times New Roman" w:hAnsi="Times New Roman" w:cs="Times New Roman"/>
          <w:sz w:val="28"/>
          <w:szCs w:val="28"/>
        </w:rPr>
        <w:t>а ещё 56 –</w:t>
      </w:r>
      <w:r w:rsidRPr="001935D0">
        <w:rPr>
          <w:rFonts w:ascii="Times New Roman" w:hAnsi="Times New Roman" w:cs="Times New Roman"/>
          <w:sz w:val="28"/>
          <w:szCs w:val="28"/>
        </w:rPr>
        <w:t xml:space="preserve"> взяты правительством к сведению для возможной реализации. Наибольшее внимание международное сообщество уделило обеспечению свободы мирных собраний и выражения мнений, предупреждению и расследованию случаев пыток, расширению антидискриминационного законодательства, укреплению независимости судебной системы, а также усилению гарантий прав женщин и детей. Для институционализации этих обязательств Министерство юстиции инициировало подготовку межведомственного Плана действий в области прав человека и верховенства права на 2025–2029 гг</w:t>
      </w:r>
      <w:r w:rsidR="00CD5B8D">
        <w:rPr>
          <w:rFonts w:ascii="Times New Roman" w:hAnsi="Times New Roman" w:cs="Times New Roman"/>
          <w:sz w:val="28"/>
          <w:szCs w:val="28"/>
          <w:lang w:val="kk-KZ"/>
        </w:rPr>
        <w:t>.</w:t>
      </w:r>
      <w:r w:rsidR="002640ED" w:rsidRPr="001935D0">
        <w:rPr>
          <w:rFonts w:ascii="Times New Roman" w:hAnsi="Times New Roman" w:cs="Times New Roman"/>
          <w:sz w:val="28"/>
          <w:szCs w:val="28"/>
          <w:lang w:val="uk-UA"/>
        </w:rPr>
        <w:t xml:space="preserve"> </w:t>
      </w:r>
      <w:r w:rsidR="002640ED" w:rsidRPr="001935D0">
        <w:rPr>
          <w:rFonts w:ascii="Times New Roman" w:hAnsi="Times New Roman" w:cs="Times New Roman"/>
          <w:sz w:val="28"/>
          <w:szCs w:val="28"/>
        </w:rPr>
        <w:t>[7</w:t>
      </w:r>
      <w:r w:rsidR="00E35819">
        <w:rPr>
          <w:rFonts w:ascii="Times New Roman" w:hAnsi="Times New Roman" w:cs="Times New Roman"/>
          <w:sz w:val="28"/>
          <w:szCs w:val="28"/>
          <w:lang w:val="kk-KZ"/>
        </w:rPr>
        <w:t>1</w:t>
      </w:r>
      <w:r w:rsidR="004F55B0">
        <w:rPr>
          <w:rFonts w:ascii="Times New Roman" w:hAnsi="Times New Roman" w:cs="Times New Roman"/>
          <w:sz w:val="28"/>
          <w:szCs w:val="28"/>
          <w:lang w:val="kk-KZ"/>
        </w:rPr>
        <w:t>-</w:t>
      </w:r>
      <w:r w:rsidR="002640ED" w:rsidRPr="001935D0">
        <w:rPr>
          <w:rFonts w:ascii="Times New Roman" w:hAnsi="Times New Roman" w:cs="Times New Roman"/>
          <w:sz w:val="28"/>
          <w:szCs w:val="28"/>
        </w:rPr>
        <w:t>7</w:t>
      </w:r>
      <w:r w:rsidR="00E35819">
        <w:rPr>
          <w:rFonts w:ascii="Times New Roman" w:hAnsi="Times New Roman" w:cs="Times New Roman"/>
          <w:sz w:val="28"/>
          <w:szCs w:val="28"/>
          <w:lang w:val="kk-KZ"/>
        </w:rPr>
        <w:t>3</w:t>
      </w:r>
      <w:r w:rsidR="002640ED" w:rsidRPr="001935D0">
        <w:rPr>
          <w:rFonts w:ascii="Times New Roman" w:hAnsi="Times New Roman" w:cs="Times New Roman"/>
          <w:sz w:val="28"/>
          <w:szCs w:val="28"/>
        </w:rPr>
        <w:t>]</w:t>
      </w:r>
      <w:r w:rsidRPr="001935D0">
        <w:rPr>
          <w:rFonts w:ascii="Times New Roman" w:hAnsi="Times New Roman" w:cs="Times New Roman"/>
          <w:sz w:val="28"/>
          <w:szCs w:val="28"/>
        </w:rPr>
        <w:t>.</w:t>
      </w:r>
    </w:p>
    <w:p w14:paraId="3A99EAA9" w14:textId="0949188D" w:rsidR="00442A3F" w:rsidRPr="001935D0" w:rsidRDefault="00442A3F"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 xml:space="preserve">Схожую проблематику затронул пятнадцатый ежегодный Диалог ЕС – Казахстан по правам человека, состоявшийся 17 апреля 2024 года в Астане. Европейский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подчеркнул важность завершения прозрачного и беспристрастного расследования событий января 2022 года, гарантирования условий для деятельности журналистов и правозащитников, укрепления свободы объединений и защиты уязвимых групп населения. Отдельное внимание было уделено поддержке национальных инициатив по криминализации домашнего насилия и реформированию уголовного судопроизводства, а также обмену передовыми методиками правового просвещения и статистической отчётности.</w:t>
      </w:r>
    </w:p>
    <w:p w14:paraId="5E0059AC" w14:textId="1A8EB350" w:rsidR="00442A3F" w:rsidRPr="001935D0" w:rsidRDefault="00442A3F"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Внутриполитический ответ на международные рекомендации зафиксирован в Постановлении Правительства Республики Казахстан №258 от 28 апреля 2022 года, утвердившем План дальнейших мер в области прав человека и верховенства закона. Документ предусматривает двадцать семь взаимосвязанных шагов, направленных на дерегуляцию деятельности неправительственных организаций, совершенствование административного и уголовного законодательства, повышение прозрачности судебных решений и развитие национальной статистической системы в сфере прав человека.</w:t>
      </w:r>
    </w:p>
    <w:p w14:paraId="7DBC3FCF" w14:textId="45013A8C" w:rsidR="00442A3F" w:rsidRDefault="00442A3F" w:rsidP="007E5770">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Содержательные акценты UPR, диалогов с ЕС и национального Плана №258 коррелируют с компонентами аналитической модели RIGHTS, предложенной в настоящем исследовании в качестве методологической базы. Именно поэтому дальнейший раздел диссертации посвящён сопоставлению внешних приоритетов и национальных задач с конкретными индикаторами модели RIGHTS; такое сопоставление позволит объективно измерять прогресс, а также обеспечит сопоставимость данных для отчётности в рамках UPR, мониторинга Целей устойчивого развития и выполнения обязательств по Соглашению о расширенном партнёрстве и сотрудничестве с Европейским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w:t>
      </w:r>
    </w:p>
    <w:p w14:paraId="11F1C6BB" w14:textId="0361A7CA" w:rsidR="00CD5B8D" w:rsidRPr="001935D0" w:rsidRDefault="00CD5B8D" w:rsidP="00CD5B8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Внедрение указанных индикаторов возможно только при условии соответствия принципам прозрачности, валидности, этической допустимости и системности сбора данных. Поэтому использование статистических стандартов, включая </w:t>
      </w:r>
      <w:r w:rsidRPr="001935D0">
        <w:rPr>
          <w:rStyle w:val="Strong"/>
          <w:rFonts w:ascii="Times New Roman" w:hAnsi="Times New Roman" w:cs="Times New Roman"/>
          <w:b w:val="0"/>
          <w:bCs w:val="0"/>
          <w:sz w:val="28"/>
          <w:szCs w:val="28"/>
        </w:rPr>
        <w:t>Принципы официальной статистики ООН</w:t>
      </w:r>
      <w:r w:rsidRPr="001935D0">
        <w:rPr>
          <w:rFonts w:ascii="Times New Roman" w:hAnsi="Times New Roman" w:cs="Times New Roman"/>
          <w:sz w:val="28"/>
          <w:szCs w:val="28"/>
        </w:rPr>
        <w:t xml:space="preserve"> и методические указания </w:t>
      </w:r>
      <w:r w:rsidRPr="001935D0">
        <w:rPr>
          <w:rStyle w:val="Strong"/>
          <w:rFonts w:ascii="Times New Roman" w:hAnsi="Times New Roman" w:cs="Times New Roman"/>
          <w:b w:val="0"/>
          <w:bCs w:val="0"/>
          <w:sz w:val="28"/>
          <w:szCs w:val="28"/>
        </w:rPr>
        <w:t>OHCHR</w:t>
      </w:r>
      <w:r w:rsidRPr="001935D0">
        <w:rPr>
          <w:rFonts w:ascii="Times New Roman" w:hAnsi="Times New Roman" w:cs="Times New Roman"/>
          <w:sz w:val="28"/>
          <w:szCs w:val="28"/>
        </w:rPr>
        <w:t>, является необходимым условием для сопоставимости данных Казахстана с европейскими и международными системами оценки.</w:t>
      </w:r>
      <w:r w:rsidRPr="001935D0">
        <w:rPr>
          <w:rFonts w:ascii="Times New Roman" w:hAnsi="Times New Roman" w:cs="Times New Roman"/>
          <w:sz w:val="28"/>
          <w:szCs w:val="28"/>
          <w:lang w:val="uk-UA"/>
        </w:rPr>
        <w:t xml:space="preserve"> М</w:t>
      </w:r>
      <w:r w:rsidRPr="001935D0">
        <w:rPr>
          <w:rFonts w:ascii="Times New Roman" w:hAnsi="Times New Roman" w:cs="Times New Roman"/>
          <w:sz w:val="28"/>
          <w:szCs w:val="28"/>
        </w:rPr>
        <w:t>еждународные оценки не только фиксируют текущее состояние соблюдения прав человека в Казахстане, но и задают вектор институционального и нормативного совершенствования, придавая практический смысл применению модели RIGHTS как инструменту академического и политико-правового анализа</w:t>
      </w:r>
      <w:r>
        <w:rPr>
          <w:rFonts w:ascii="Times New Roman" w:hAnsi="Times New Roman" w:cs="Times New Roman"/>
          <w:sz w:val="28"/>
          <w:szCs w:val="28"/>
          <w:lang w:val="kk-KZ"/>
        </w:rPr>
        <w:t xml:space="preserve"> (таблица 1.11)</w:t>
      </w:r>
      <w:r w:rsidRPr="001935D0">
        <w:rPr>
          <w:rFonts w:ascii="Times New Roman" w:hAnsi="Times New Roman" w:cs="Times New Roman"/>
          <w:sz w:val="28"/>
          <w:szCs w:val="28"/>
        </w:rPr>
        <w:t>.</w:t>
      </w:r>
    </w:p>
    <w:p w14:paraId="2AFCC987" w14:textId="77777777" w:rsidR="006A0854" w:rsidRPr="001935D0" w:rsidRDefault="006A0854" w:rsidP="006A0854">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Особую значимость приобретает формирование научно обоснованной, методологически цельной и одновременно чуткой к национальной специфике базы, способной служить двоякой цели: с одной стороны, обеспечивать корректный сравнительный анализ состояния соблюдения прав человека, а с другой – выступать инструментом последовательной імплементации европейских стандартов в отечественную правоприменительную практику. Разработанная в диссертации логико-структурная модель решает данную задачу </w:t>
      </w:r>
      <w:r w:rsidRPr="001935D0">
        <w:rPr>
          <w:rFonts w:ascii="Times New Roman" w:hAnsi="Times New Roman" w:cs="Times New Roman"/>
          <w:sz w:val="28"/>
          <w:szCs w:val="28"/>
          <w:lang w:eastAsia="ru-RU"/>
        </w:rPr>
        <w:lastRenderedPageBreak/>
        <w:t>посредством междисциплинарного синтеза правовых, статистических и институциональных компонент. В отличие от фрагментарных або преимущественно декларативных концепций, она воспроизводит полный цикл мониторинга – от нормативного анализа до управленческого реагирования, причём каждое звено логически спряжено с последующим.</w:t>
      </w:r>
    </w:p>
    <w:p w14:paraId="11529A62" w14:textId="77777777" w:rsidR="006A0854" w:rsidRPr="006A0854" w:rsidRDefault="006A0854" w:rsidP="007E5770">
      <w:pPr>
        <w:pStyle w:val="NoSpacing"/>
        <w:ind w:firstLine="709"/>
        <w:jc w:val="both"/>
        <w:rPr>
          <w:rFonts w:ascii="Times New Roman" w:hAnsi="Times New Roman" w:cs="Times New Roman"/>
          <w:sz w:val="28"/>
          <w:szCs w:val="28"/>
          <w:lang w:val="kk-KZ"/>
        </w:rPr>
      </w:pPr>
    </w:p>
    <w:p w14:paraId="06AC2F93" w14:textId="7EDB116C" w:rsidR="009607CE" w:rsidRDefault="00CB436A" w:rsidP="00CD5B8D">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Таблица 1.11</w:t>
      </w:r>
      <w:r w:rsidR="009607CE" w:rsidRPr="001935D0">
        <w:rPr>
          <w:rFonts w:ascii="Times New Roman" w:hAnsi="Times New Roman" w:cs="Times New Roman"/>
          <w:sz w:val="28"/>
          <w:szCs w:val="28"/>
        </w:rPr>
        <w:t xml:space="preserve"> </w:t>
      </w:r>
      <w:r w:rsidR="00CD5B8D">
        <w:rPr>
          <w:rFonts w:ascii="Times New Roman" w:hAnsi="Times New Roman" w:cs="Times New Roman"/>
          <w:sz w:val="28"/>
          <w:szCs w:val="28"/>
        </w:rPr>
        <w:t>‒</w:t>
      </w:r>
      <w:r w:rsidR="00CD5B8D">
        <w:rPr>
          <w:rFonts w:ascii="Times New Roman" w:hAnsi="Times New Roman" w:cs="Times New Roman"/>
          <w:sz w:val="28"/>
          <w:szCs w:val="28"/>
          <w:lang w:val="kk-KZ"/>
        </w:rPr>
        <w:t xml:space="preserve"> </w:t>
      </w:r>
      <w:r w:rsidR="009607CE" w:rsidRPr="001935D0">
        <w:rPr>
          <w:rFonts w:ascii="Times New Roman" w:hAnsi="Times New Roman" w:cs="Times New Roman"/>
          <w:sz w:val="28"/>
          <w:szCs w:val="28"/>
        </w:rPr>
        <w:t>Соотнесение внешних оценок с компонентами модели RIGHTS</w:t>
      </w:r>
    </w:p>
    <w:p w14:paraId="353867C0" w14:textId="77777777" w:rsidR="00CD5B8D" w:rsidRPr="00CD5B8D" w:rsidRDefault="00CD5B8D" w:rsidP="00CD5B8D">
      <w:pPr>
        <w:pStyle w:val="NoSpacing"/>
        <w:jc w:val="both"/>
        <w:rPr>
          <w:rFonts w:ascii="Times New Roman" w:hAnsi="Times New Roman" w:cs="Times New Roman"/>
          <w:sz w:val="16"/>
          <w:szCs w:val="16"/>
          <w:lang w:val="kk-KZ"/>
        </w:rPr>
      </w:pPr>
    </w:p>
    <w:tbl>
      <w:tblPr>
        <w:tblStyle w:val="TableGrid"/>
        <w:tblW w:w="0" w:type="auto"/>
        <w:jc w:val="center"/>
        <w:tblLook w:val="04A0" w:firstRow="1" w:lastRow="0" w:firstColumn="1" w:lastColumn="0" w:noHBand="0" w:noVBand="1"/>
      </w:tblPr>
      <w:tblGrid>
        <w:gridCol w:w="2482"/>
        <w:gridCol w:w="2336"/>
        <w:gridCol w:w="1844"/>
        <w:gridCol w:w="2829"/>
      </w:tblGrid>
      <w:tr w:rsidR="00496B7F" w:rsidRPr="00CD5B8D" w14:paraId="1663FE8D" w14:textId="77777777" w:rsidTr="00CD5B8D">
        <w:trPr>
          <w:jc w:val="center"/>
        </w:trPr>
        <w:tc>
          <w:tcPr>
            <w:tcW w:w="2482" w:type="dxa"/>
            <w:vAlign w:val="center"/>
          </w:tcPr>
          <w:p w14:paraId="54A226B7" w14:textId="1FDCC367" w:rsidR="00496B7F" w:rsidRPr="00CD5B8D" w:rsidRDefault="00496B7F" w:rsidP="00593711">
            <w:pPr>
              <w:pStyle w:val="NoSpacing"/>
              <w:jc w:val="center"/>
              <w:rPr>
                <w:rFonts w:ascii="Times New Roman" w:hAnsi="Times New Roman" w:cs="Times New Roman"/>
                <w:sz w:val="24"/>
                <w:szCs w:val="24"/>
              </w:rPr>
            </w:pPr>
            <w:r w:rsidRPr="00CD5B8D">
              <w:rPr>
                <w:rFonts w:ascii="Times New Roman" w:hAnsi="Times New Roman" w:cs="Times New Roman"/>
                <w:bCs/>
                <w:sz w:val="24"/>
                <w:szCs w:val="24"/>
              </w:rPr>
              <w:t>Тематический приоритет</w:t>
            </w:r>
          </w:p>
        </w:tc>
        <w:tc>
          <w:tcPr>
            <w:tcW w:w="2336" w:type="dxa"/>
            <w:vAlign w:val="center"/>
          </w:tcPr>
          <w:p w14:paraId="6BB41F2F" w14:textId="7340FD1D" w:rsidR="00496B7F" w:rsidRPr="00CD5B8D" w:rsidRDefault="00496B7F" w:rsidP="00593711">
            <w:pPr>
              <w:pStyle w:val="NoSpacing"/>
              <w:jc w:val="center"/>
              <w:rPr>
                <w:rFonts w:ascii="Times New Roman" w:hAnsi="Times New Roman" w:cs="Times New Roman"/>
                <w:sz w:val="24"/>
                <w:szCs w:val="24"/>
              </w:rPr>
            </w:pPr>
            <w:r w:rsidRPr="00CD5B8D">
              <w:rPr>
                <w:rFonts w:ascii="Times New Roman" w:hAnsi="Times New Roman" w:cs="Times New Roman"/>
                <w:bCs/>
                <w:sz w:val="24"/>
                <w:szCs w:val="24"/>
              </w:rPr>
              <w:t>Источник оценки</w:t>
            </w:r>
          </w:p>
        </w:tc>
        <w:tc>
          <w:tcPr>
            <w:tcW w:w="1844" w:type="dxa"/>
            <w:vAlign w:val="center"/>
          </w:tcPr>
          <w:p w14:paraId="781D2CB5" w14:textId="1F3B324E" w:rsidR="00496B7F" w:rsidRPr="00CD5B8D" w:rsidRDefault="00496B7F" w:rsidP="00593711">
            <w:pPr>
              <w:pStyle w:val="NoSpacing"/>
              <w:jc w:val="center"/>
              <w:rPr>
                <w:rFonts w:ascii="Times New Roman" w:hAnsi="Times New Roman" w:cs="Times New Roman"/>
                <w:sz w:val="24"/>
                <w:szCs w:val="24"/>
              </w:rPr>
            </w:pPr>
            <w:r w:rsidRPr="00CD5B8D">
              <w:rPr>
                <w:rFonts w:ascii="Times New Roman" w:hAnsi="Times New Roman" w:cs="Times New Roman"/>
                <w:bCs/>
                <w:sz w:val="24"/>
                <w:szCs w:val="24"/>
              </w:rPr>
              <w:t>Компонент модели RIGHTS</w:t>
            </w:r>
          </w:p>
        </w:tc>
        <w:tc>
          <w:tcPr>
            <w:tcW w:w="2829" w:type="dxa"/>
            <w:vAlign w:val="center"/>
          </w:tcPr>
          <w:p w14:paraId="1249057B" w14:textId="3D059C0C" w:rsidR="00496B7F" w:rsidRPr="00CD5B8D" w:rsidRDefault="00496B7F" w:rsidP="00593711">
            <w:pPr>
              <w:pStyle w:val="NoSpacing"/>
              <w:jc w:val="center"/>
              <w:rPr>
                <w:rFonts w:ascii="Times New Roman" w:hAnsi="Times New Roman" w:cs="Times New Roman"/>
                <w:sz w:val="24"/>
                <w:szCs w:val="24"/>
              </w:rPr>
            </w:pPr>
            <w:r w:rsidRPr="00CD5B8D">
              <w:rPr>
                <w:rFonts w:ascii="Times New Roman" w:hAnsi="Times New Roman" w:cs="Times New Roman"/>
                <w:bCs/>
                <w:sz w:val="24"/>
                <w:szCs w:val="24"/>
              </w:rPr>
              <w:t>Пример ключевого индикатора (KPI)</w:t>
            </w:r>
          </w:p>
        </w:tc>
      </w:tr>
      <w:tr w:rsidR="00496B7F" w:rsidRPr="001935D0" w14:paraId="2A0BE7BE" w14:textId="77777777" w:rsidTr="00CD5B8D">
        <w:trPr>
          <w:jc w:val="center"/>
        </w:trPr>
        <w:tc>
          <w:tcPr>
            <w:tcW w:w="2482" w:type="dxa"/>
            <w:vAlign w:val="center"/>
          </w:tcPr>
          <w:p w14:paraId="152929E9" w14:textId="1B405DAA"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Свобода собраний и ассоциаций</w:t>
            </w:r>
          </w:p>
        </w:tc>
        <w:tc>
          <w:tcPr>
            <w:tcW w:w="2336" w:type="dxa"/>
            <w:vAlign w:val="center"/>
          </w:tcPr>
          <w:p w14:paraId="67399C72" w14:textId="0F560C6A"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UPR-2025</w:t>
            </w:r>
          </w:p>
        </w:tc>
        <w:tc>
          <w:tcPr>
            <w:tcW w:w="1844" w:type="dxa"/>
            <w:vAlign w:val="center"/>
          </w:tcPr>
          <w:p w14:paraId="2833A239" w14:textId="7327072F" w:rsidR="00496B7F" w:rsidRPr="001935D0" w:rsidRDefault="00496B7F" w:rsidP="00593711">
            <w:pPr>
              <w:pStyle w:val="NoSpacing"/>
              <w:jc w:val="center"/>
              <w:rPr>
                <w:rFonts w:ascii="Times New Roman" w:hAnsi="Times New Roman" w:cs="Times New Roman"/>
                <w:b/>
                <w:sz w:val="24"/>
                <w:szCs w:val="24"/>
              </w:rPr>
            </w:pPr>
            <w:r w:rsidRPr="001935D0">
              <w:rPr>
                <w:rStyle w:val="Strong"/>
                <w:rFonts w:ascii="Times New Roman" w:hAnsi="Times New Roman" w:cs="Times New Roman"/>
                <w:b w:val="0"/>
                <w:sz w:val="24"/>
                <w:szCs w:val="24"/>
              </w:rPr>
              <w:t>R, H</w:t>
            </w:r>
          </w:p>
        </w:tc>
        <w:tc>
          <w:tcPr>
            <w:tcW w:w="2829" w:type="dxa"/>
            <w:vAlign w:val="center"/>
          </w:tcPr>
          <w:p w14:paraId="5FE33242" w14:textId="3B4B9D9F"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Доля одобренных заявок на проведение митингов</w:t>
            </w:r>
          </w:p>
        </w:tc>
      </w:tr>
      <w:tr w:rsidR="00496B7F" w:rsidRPr="001935D0" w14:paraId="6146CA96" w14:textId="77777777" w:rsidTr="00CD5B8D">
        <w:trPr>
          <w:jc w:val="center"/>
        </w:trPr>
        <w:tc>
          <w:tcPr>
            <w:tcW w:w="2482" w:type="dxa"/>
            <w:vAlign w:val="center"/>
          </w:tcPr>
          <w:p w14:paraId="25C62EBB" w14:textId="5EEAA6DD"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Независимость и безопасность журналистов</w:t>
            </w:r>
          </w:p>
        </w:tc>
        <w:tc>
          <w:tcPr>
            <w:tcW w:w="2336" w:type="dxa"/>
            <w:vAlign w:val="center"/>
          </w:tcPr>
          <w:p w14:paraId="3EFB7315" w14:textId="6B105EC6"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Диалог ЕС – Казахстан 2024</w:t>
            </w:r>
          </w:p>
        </w:tc>
        <w:tc>
          <w:tcPr>
            <w:tcW w:w="1844" w:type="dxa"/>
            <w:vAlign w:val="center"/>
          </w:tcPr>
          <w:p w14:paraId="4F7ABA7B" w14:textId="6E10C0BF" w:rsidR="00496B7F" w:rsidRPr="001935D0" w:rsidRDefault="00496B7F" w:rsidP="00593711">
            <w:pPr>
              <w:pStyle w:val="NoSpacing"/>
              <w:jc w:val="center"/>
              <w:rPr>
                <w:rFonts w:ascii="Times New Roman" w:hAnsi="Times New Roman" w:cs="Times New Roman"/>
                <w:b/>
                <w:sz w:val="24"/>
                <w:szCs w:val="24"/>
              </w:rPr>
            </w:pPr>
            <w:r w:rsidRPr="001935D0">
              <w:rPr>
                <w:rStyle w:val="Strong"/>
                <w:rFonts w:ascii="Times New Roman" w:hAnsi="Times New Roman" w:cs="Times New Roman"/>
                <w:b w:val="0"/>
                <w:sz w:val="24"/>
                <w:szCs w:val="24"/>
              </w:rPr>
              <w:t>T, G</w:t>
            </w:r>
          </w:p>
        </w:tc>
        <w:tc>
          <w:tcPr>
            <w:tcW w:w="2829" w:type="dxa"/>
            <w:vAlign w:val="center"/>
          </w:tcPr>
          <w:p w14:paraId="3250CFF5" w14:textId="4AD1D868"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Число зарегистрирован</w:t>
            </w:r>
            <w:r w:rsidR="00CD5B8D">
              <w:rPr>
                <w:rFonts w:ascii="Times New Roman" w:hAnsi="Times New Roman" w:cs="Times New Roman"/>
                <w:sz w:val="24"/>
                <w:szCs w:val="24"/>
                <w:lang w:val="kk-KZ"/>
              </w:rPr>
              <w:t xml:space="preserve"> </w:t>
            </w:r>
            <w:r w:rsidRPr="001935D0">
              <w:rPr>
                <w:rFonts w:ascii="Times New Roman" w:hAnsi="Times New Roman" w:cs="Times New Roman"/>
                <w:sz w:val="24"/>
                <w:szCs w:val="24"/>
              </w:rPr>
              <w:t>ных нападений на журналистов в год</w:t>
            </w:r>
          </w:p>
        </w:tc>
      </w:tr>
      <w:tr w:rsidR="00496B7F" w:rsidRPr="001935D0" w14:paraId="3ABBD372" w14:textId="77777777" w:rsidTr="00CD5B8D">
        <w:trPr>
          <w:jc w:val="center"/>
        </w:trPr>
        <w:tc>
          <w:tcPr>
            <w:tcW w:w="2482" w:type="dxa"/>
            <w:vAlign w:val="center"/>
          </w:tcPr>
          <w:p w14:paraId="73D6BB80" w14:textId="2DBD8CE2"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Предотвращение пыток</w:t>
            </w:r>
          </w:p>
        </w:tc>
        <w:tc>
          <w:tcPr>
            <w:tcW w:w="2336" w:type="dxa"/>
            <w:vAlign w:val="center"/>
          </w:tcPr>
          <w:p w14:paraId="0FE403A1" w14:textId="5BD280FB"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UPR-2025</w:t>
            </w:r>
          </w:p>
        </w:tc>
        <w:tc>
          <w:tcPr>
            <w:tcW w:w="1844" w:type="dxa"/>
            <w:vAlign w:val="center"/>
          </w:tcPr>
          <w:p w14:paraId="396C0125" w14:textId="35AB16F1" w:rsidR="00496B7F" w:rsidRPr="001935D0" w:rsidRDefault="00496B7F" w:rsidP="00593711">
            <w:pPr>
              <w:pStyle w:val="NoSpacing"/>
              <w:jc w:val="center"/>
              <w:rPr>
                <w:rFonts w:ascii="Times New Roman" w:hAnsi="Times New Roman" w:cs="Times New Roman"/>
                <w:b/>
                <w:sz w:val="24"/>
                <w:szCs w:val="24"/>
              </w:rPr>
            </w:pPr>
            <w:r w:rsidRPr="001935D0">
              <w:rPr>
                <w:rStyle w:val="Strong"/>
                <w:rFonts w:ascii="Times New Roman" w:hAnsi="Times New Roman" w:cs="Times New Roman"/>
                <w:b w:val="0"/>
                <w:sz w:val="24"/>
                <w:szCs w:val="24"/>
              </w:rPr>
              <w:t>G, E</w:t>
            </w:r>
          </w:p>
        </w:tc>
        <w:tc>
          <w:tcPr>
            <w:tcW w:w="2829" w:type="dxa"/>
            <w:vAlign w:val="center"/>
          </w:tcPr>
          <w:p w14:paraId="7F74B11E" w14:textId="234529EE"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 xml:space="preserve">Количество завершённых расследований </w:t>
            </w:r>
          </w:p>
        </w:tc>
      </w:tr>
      <w:tr w:rsidR="00496B7F" w:rsidRPr="001935D0" w14:paraId="388D7547" w14:textId="77777777" w:rsidTr="00CD5B8D">
        <w:trPr>
          <w:jc w:val="center"/>
        </w:trPr>
        <w:tc>
          <w:tcPr>
            <w:tcW w:w="2482" w:type="dxa"/>
            <w:vAlign w:val="center"/>
          </w:tcPr>
          <w:p w14:paraId="52AB8684" w14:textId="1E162402"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Гендерное и домашнее насилие</w:t>
            </w:r>
          </w:p>
        </w:tc>
        <w:tc>
          <w:tcPr>
            <w:tcW w:w="2336" w:type="dxa"/>
            <w:vAlign w:val="center"/>
          </w:tcPr>
          <w:p w14:paraId="19546872" w14:textId="5270352C"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Диалог ЕС – Казахстан 2024</w:t>
            </w:r>
          </w:p>
        </w:tc>
        <w:tc>
          <w:tcPr>
            <w:tcW w:w="1844" w:type="dxa"/>
            <w:vAlign w:val="center"/>
          </w:tcPr>
          <w:p w14:paraId="5637A5DE" w14:textId="35B4A7A9" w:rsidR="00496B7F" w:rsidRPr="001935D0" w:rsidRDefault="00496B7F" w:rsidP="00593711">
            <w:pPr>
              <w:pStyle w:val="NoSpacing"/>
              <w:jc w:val="center"/>
              <w:rPr>
                <w:rFonts w:ascii="Times New Roman" w:hAnsi="Times New Roman" w:cs="Times New Roman"/>
                <w:b/>
                <w:sz w:val="24"/>
                <w:szCs w:val="24"/>
              </w:rPr>
            </w:pPr>
            <w:r w:rsidRPr="001935D0">
              <w:rPr>
                <w:rStyle w:val="Strong"/>
                <w:rFonts w:ascii="Times New Roman" w:hAnsi="Times New Roman" w:cs="Times New Roman"/>
                <w:b w:val="0"/>
                <w:sz w:val="24"/>
                <w:szCs w:val="24"/>
              </w:rPr>
              <w:t>R, P</w:t>
            </w:r>
          </w:p>
        </w:tc>
        <w:tc>
          <w:tcPr>
            <w:tcW w:w="2829" w:type="dxa"/>
            <w:vAlign w:val="center"/>
          </w:tcPr>
          <w:p w14:paraId="2FE3284A" w14:textId="6E90CD97" w:rsidR="00496B7F" w:rsidRPr="001935D0" w:rsidRDefault="00496B7F"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Удельный вес дел, доведённых до суда, по фактам насилия</w:t>
            </w:r>
          </w:p>
        </w:tc>
      </w:tr>
      <w:tr w:rsidR="00CD5B8D" w:rsidRPr="001935D0" w14:paraId="0FD699B7" w14:textId="77777777" w:rsidTr="00CD5B8D">
        <w:trPr>
          <w:jc w:val="center"/>
        </w:trPr>
        <w:tc>
          <w:tcPr>
            <w:tcW w:w="9491" w:type="dxa"/>
            <w:gridSpan w:val="4"/>
            <w:vAlign w:val="center"/>
          </w:tcPr>
          <w:p w14:paraId="74DE5101" w14:textId="26229F2E" w:rsidR="00CD5B8D" w:rsidRPr="001935D0" w:rsidRDefault="00614B7F" w:rsidP="00E35819">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uk-UA"/>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Pr>
                <w:rFonts w:ascii="Times New Roman" w:hAnsi="Times New Roman" w:cs="Times New Roman"/>
                <w:sz w:val="24"/>
                <w:szCs w:val="24"/>
                <w:lang w:val="kk-KZ"/>
              </w:rPr>
              <w:t>69; 70; 71</w:t>
            </w:r>
            <w:r w:rsidRPr="001935D0">
              <w:rPr>
                <w:rFonts w:ascii="Times New Roman" w:hAnsi="Times New Roman" w:cs="Times New Roman"/>
                <w:sz w:val="24"/>
                <w:szCs w:val="24"/>
              </w:rPr>
              <w:t>]</w:t>
            </w:r>
          </w:p>
        </w:tc>
      </w:tr>
    </w:tbl>
    <w:p w14:paraId="546E982B" w14:textId="77777777" w:rsidR="00CD5B8D" w:rsidRDefault="00CD5B8D" w:rsidP="007E5770">
      <w:pPr>
        <w:pStyle w:val="NoSpacing"/>
        <w:ind w:firstLine="709"/>
        <w:jc w:val="both"/>
        <w:rPr>
          <w:rFonts w:ascii="Times New Roman" w:hAnsi="Times New Roman" w:cs="Times New Roman"/>
          <w:sz w:val="28"/>
          <w:szCs w:val="28"/>
          <w:lang w:val="kk-KZ" w:eastAsia="ru-RU"/>
        </w:rPr>
      </w:pPr>
    </w:p>
    <w:p w14:paraId="3FA96551" w14:textId="7894B46A" w:rsidR="00AD7DCA" w:rsidRPr="001935D0" w:rsidRDefault="00585EC3" w:rsidP="007E5770">
      <w:pPr>
        <w:pStyle w:val="NoSpacing"/>
        <w:ind w:firstLine="709"/>
        <w:jc w:val="both"/>
        <w:rPr>
          <w:rFonts w:ascii="Times New Roman" w:eastAsia="Times New Roman" w:hAnsi="Times New Roman" w:cs="Times New Roman"/>
          <w:bCs/>
          <w:sz w:val="27"/>
          <w:szCs w:val="27"/>
          <w:lang w:val="uk-UA" w:eastAsia="ru-RU"/>
        </w:rPr>
      </w:pPr>
      <w:r w:rsidRPr="001935D0">
        <w:rPr>
          <w:rFonts w:ascii="Times New Roman" w:hAnsi="Times New Roman" w:cs="Times New Roman"/>
          <w:sz w:val="28"/>
          <w:szCs w:val="28"/>
          <w:lang w:eastAsia="ru-RU"/>
        </w:rPr>
        <w:t>Методологический фундамент модели опирается на руководящие документы Управления Верховного комиссара ООН по правам человека и Экономи</w:t>
      </w:r>
      <w:r w:rsidR="00953E45" w:rsidRPr="001935D0">
        <w:rPr>
          <w:rFonts w:ascii="Times New Roman" w:hAnsi="Times New Roman" w:cs="Times New Roman"/>
          <w:sz w:val="28"/>
          <w:szCs w:val="28"/>
          <w:lang w:eastAsia="ru-RU"/>
        </w:rPr>
        <w:t>ческой комиссии ООН для Европы</w:t>
      </w:r>
      <w:r w:rsidRPr="001935D0">
        <w:rPr>
          <w:rFonts w:ascii="Times New Roman" w:hAnsi="Times New Roman" w:cs="Times New Roman"/>
          <w:sz w:val="28"/>
          <w:szCs w:val="28"/>
          <w:lang w:eastAsia="ru-RU"/>
        </w:rPr>
        <w:t>, а также на Основные принципы официальной статистики, утверждённые Ста</w:t>
      </w:r>
      <w:r w:rsidR="00953E45" w:rsidRPr="001935D0">
        <w:rPr>
          <w:rFonts w:ascii="Times New Roman" w:hAnsi="Times New Roman" w:cs="Times New Roman"/>
          <w:sz w:val="28"/>
          <w:szCs w:val="28"/>
          <w:lang w:eastAsia="ru-RU"/>
        </w:rPr>
        <w:t>тистической комиссией ООН</w:t>
      </w:r>
      <w:r w:rsidRPr="001935D0">
        <w:rPr>
          <w:rFonts w:ascii="Times New Roman" w:hAnsi="Times New Roman" w:cs="Times New Roman"/>
          <w:sz w:val="28"/>
          <w:szCs w:val="28"/>
          <w:lang w:eastAsia="ru-RU"/>
        </w:rPr>
        <w:t xml:space="preserve">. Эти международные ориентиры адаптированы к казахстанским реалиям через институциональные механизмы диалога с Европейским </w:t>
      </w:r>
      <w:r w:rsidR="00CF2560"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оюзом и практику Универсального периодического обзора. В совокупности предложенная структура задаёт методологическую рамку, которая способна обеспечить не только достоверное измерение правозащитного прогресса, но и его устойчивое институциональное закрепление.</w:t>
      </w:r>
      <w:r w:rsidRPr="001935D0">
        <w:rPr>
          <w:rFonts w:ascii="Times New Roman" w:hAnsi="Times New Roman" w:cs="Times New Roman"/>
          <w:sz w:val="28"/>
          <w:szCs w:val="28"/>
          <w:lang w:val="uk-UA" w:eastAsia="ru-RU"/>
        </w:rPr>
        <w:t xml:space="preserve"> </w:t>
      </w:r>
      <w:r w:rsidR="00E975EE" w:rsidRPr="001935D0">
        <w:rPr>
          <w:rFonts w:ascii="Times New Roman" w:eastAsia="Times New Roman" w:hAnsi="Times New Roman" w:cs="Times New Roman"/>
          <w:bCs/>
          <w:sz w:val="27"/>
          <w:szCs w:val="27"/>
          <w:lang w:eastAsia="ru-RU"/>
        </w:rPr>
        <w:t>Авторская методологическая модель анализа имплементации стандартов прав человека ЕС в Казахстане</w:t>
      </w:r>
      <w:r w:rsidRPr="001935D0">
        <w:rPr>
          <w:rFonts w:ascii="Times New Roman" w:eastAsia="Times New Roman" w:hAnsi="Times New Roman" w:cs="Times New Roman"/>
          <w:bCs/>
          <w:sz w:val="27"/>
          <w:szCs w:val="27"/>
          <w:lang w:val="uk-UA" w:eastAsia="ru-RU"/>
        </w:rPr>
        <w:t xml:space="preserve"> представлена на рис</w:t>
      </w:r>
      <w:r w:rsidR="00CD5B8D">
        <w:rPr>
          <w:rFonts w:ascii="Times New Roman" w:eastAsia="Times New Roman" w:hAnsi="Times New Roman" w:cs="Times New Roman"/>
          <w:bCs/>
          <w:sz w:val="27"/>
          <w:szCs w:val="27"/>
          <w:lang w:val="uk-UA" w:eastAsia="ru-RU"/>
        </w:rPr>
        <w:t>унке</w:t>
      </w:r>
      <w:r w:rsidR="00EF3C7D" w:rsidRPr="001935D0">
        <w:rPr>
          <w:rFonts w:ascii="Times New Roman" w:eastAsia="Times New Roman" w:hAnsi="Times New Roman" w:cs="Times New Roman"/>
          <w:bCs/>
          <w:sz w:val="27"/>
          <w:szCs w:val="27"/>
          <w:lang w:val="uk-UA" w:eastAsia="ru-RU"/>
        </w:rPr>
        <w:t xml:space="preserve"> 1.10</w:t>
      </w:r>
      <w:r w:rsidR="00AD7DCA" w:rsidRPr="001935D0">
        <w:rPr>
          <w:rFonts w:ascii="Times New Roman" w:eastAsia="Times New Roman" w:hAnsi="Times New Roman" w:cs="Times New Roman"/>
          <w:bCs/>
          <w:sz w:val="27"/>
          <w:szCs w:val="27"/>
          <w:lang w:val="uk-UA" w:eastAsia="ru-RU"/>
        </w:rPr>
        <w:t>.</w:t>
      </w:r>
    </w:p>
    <w:p w14:paraId="6B427129" w14:textId="77777777" w:rsidR="006A0854" w:rsidRPr="001935D0" w:rsidRDefault="006A0854" w:rsidP="006A0854">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Разработанная </w:t>
      </w:r>
      <w:r w:rsidRPr="001935D0">
        <w:rPr>
          <w:rFonts w:ascii="Times New Roman" w:hAnsi="Times New Roman" w:cs="Times New Roman"/>
          <w:sz w:val="28"/>
          <w:szCs w:val="28"/>
          <w:lang w:val="uk-UA"/>
        </w:rPr>
        <w:t>фазовая структура 1.7</w:t>
      </w:r>
      <w:r w:rsidRPr="001935D0">
        <w:rPr>
          <w:rFonts w:ascii="Times New Roman" w:hAnsi="Times New Roman" w:cs="Times New Roman"/>
          <w:sz w:val="28"/>
          <w:szCs w:val="28"/>
        </w:rPr>
        <w:t xml:space="preserve"> мониторинга прав человека представляет собой методологически выверенный инструмент, обеспечивающий как ретроспективную оценку соответствия национальной системы правового регулирования европейским стандартам, так и прогнозирование направлений институционального развития. Модель опирается на логически завершённый цикл анализа, охватывающий этапы нормативного сопоставления, формирования релевантных индикаторов, интерпретации полученных данных, выработки управленческих решений и последующей верификации результатов.</w:t>
      </w:r>
    </w:p>
    <w:p w14:paraId="708AAB90" w14:textId="77777777" w:rsidR="00E94B29" w:rsidRPr="001935D0" w:rsidRDefault="00E94B29" w:rsidP="007E5770">
      <w:pPr>
        <w:pStyle w:val="NoSpacing"/>
        <w:ind w:firstLine="709"/>
        <w:jc w:val="both"/>
        <w:rPr>
          <w:rFonts w:ascii="Times New Roman" w:hAnsi="Times New Roman" w:cs="Times New Roman"/>
          <w:sz w:val="28"/>
          <w:szCs w:val="28"/>
          <w:lang w:eastAsia="ru-RU"/>
        </w:rPr>
      </w:pPr>
    </w:p>
    <w:p w14:paraId="4B90D32F" w14:textId="71F3D82F" w:rsidR="00AD7DCA" w:rsidRPr="001935D0" w:rsidRDefault="00AD7DCA" w:rsidP="00CD5B8D">
      <w:pPr>
        <w:pStyle w:val="NormalWeb"/>
        <w:spacing w:before="0" w:beforeAutospacing="0" w:after="0" w:afterAutospacing="0"/>
        <w:ind w:left="284"/>
        <w:jc w:val="both"/>
        <w:rPr>
          <w:sz w:val="28"/>
          <w:szCs w:val="28"/>
          <w:lang w:val="uk-UA"/>
        </w:rPr>
      </w:pPr>
      <w:r w:rsidRPr="001935D0">
        <w:rPr>
          <w:noProof/>
          <w:sz w:val="28"/>
          <w:szCs w:val="28"/>
        </w:rPr>
        <w:lastRenderedPageBreak/>
        <w:drawing>
          <wp:inline distT="0" distB="0" distL="0" distR="0" wp14:anchorId="32B984B4" wp14:editId="7F8A5146">
            <wp:extent cx="5835015" cy="5354425"/>
            <wp:effectExtent l="0" t="19050" r="32385" b="3683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0E027F2E" w14:textId="77777777" w:rsidR="00AD7DCA" w:rsidRPr="00CD5B8D" w:rsidRDefault="00AD7DCA" w:rsidP="00593711">
      <w:pPr>
        <w:pStyle w:val="NormalWeb"/>
        <w:spacing w:before="0" w:beforeAutospacing="0" w:after="0" w:afterAutospacing="0"/>
        <w:ind w:firstLine="709"/>
        <w:jc w:val="both"/>
        <w:rPr>
          <w:sz w:val="16"/>
          <w:szCs w:val="16"/>
          <w:lang w:val="uk-UA"/>
        </w:rPr>
      </w:pPr>
    </w:p>
    <w:p w14:paraId="2303B4E0" w14:textId="2EE4171D" w:rsidR="009607CE" w:rsidRPr="001935D0" w:rsidRDefault="00EF3C7D" w:rsidP="00CD5B8D">
      <w:pPr>
        <w:pStyle w:val="NormalWeb"/>
        <w:spacing w:before="0" w:beforeAutospacing="0" w:after="0" w:afterAutospacing="0"/>
        <w:jc w:val="center"/>
        <w:rPr>
          <w:sz w:val="28"/>
          <w:szCs w:val="28"/>
        </w:rPr>
      </w:pPr>
      <w:r w:rsidRPr="001935D0">
        <w:rPr>
          <w:sz w:val="28"/>
          <w:szCs w:val="28"/>
          <w:lang w:val="uk-UA"/>
        </w:rPr>
        <w:t>Рис</w:t>
      </w:r>
      <w:r w:rsidR="00CD5B8D">
        <w:rPr>
          <w:sz w:val="28"/>
          <w:szCs w:val="28"/>
          <w:lang w:val="uk-UA"/>
        </w:rPr>
        <w:t>унок</w:t>
      </w:r>
      <w:r w:rsidRPr="001935D0">
        <w:rPr>
          <w:sz w:val="28"/>
          <w:szCs w:val="28"/>
          <w:lang w:val="uk-UA"/>
        </w:rPr>
        <w:t xml:space="preserve"> 1.10</w:t>
      </w:r>
      <w:r w:rsidR="00AD7DCA" w:rsidRPr="001935D0">
        <w:rPr>
          <w:sz w:val="28"/>
          <w:szCs w:val="28"/>
          <w:lang w:val="uk-UA"/>
        </w:rPr>
        <w:t xml:space="preserve"> </w:t>
      </w:r>
      <w:r w:rsidR="00CD5B8D">
        <w:rPr>
          <w:sz w:val="28"/>
          <w:szCs w:val="28"/>
          <w:lang w:val="uk-UA"/>
        </w:rPr>
        <w:t xml:space="preserve">– </w:t>
      </w:r>
      <w:r w:rsidR="00AD7DCA" w:rsidRPr="001935D0">
        <w:rPr>
          <w:sz w:val="28"/>
          <w:szCs w:val="28"/>
        </w:rPr>
        <w:t>Фазовая структура индикаторного цикла оценки соблюдения прав человека</w:t>
      </w:r>
    </w:p>
    <w:p w14:paraId="482D6F44" w14:textId="77777777" w:rsidR="00CD5B8D" w:rsidRPr="00CD5B8D" w:rsidRDefault="00CD5B8D" w:rsidP="00593711">
      <w:pPr>
        <w:pStyle w:val="NoSpacing"/>
        <w:rPr>
          <w:rFonts w:ascii="Times New Roman" w:hAnsi="Times New Roman" w:cs="Times New Roman"/>
          <w:sz w:val="16"/>
          <w:szCs w:val="16"/>
          <w:lang w:val="uk-UA"/>
        </w:rPr>
      </w:pPr>
    </w:p>
    <w:p w14:paraId="58F0F9D0" w14:textId="00C8524A" w:rsidR="00675232" w:rsidRPr="00614B7F" w:rsidRDefault="00CD5B8D" w:rsidP="00614B7F">
      <w:pPr>
        <w:pStyle w:val="NoSpacing"/>
        <w:ind w:firstLine="709"/>
        <w:rPr>
          <w:rFonts w:ascii="Times New Roman" w:hAnsi="Times New Roman" w:cs="Times New Roman"/>
          <w:sz w:val="24"/>
          <w:szCs w:val="24"/>
          <w:lang w:val="kk-KZ"/>
        </w:rPr>
      </w:pPr>
      <w:r>
        <w:rPr>
          <w:rFonts w:ascii="Times New Roman" w:hAnsi="Times New Roman" w:cs="Times New Roman"/>
          <w:sz w:val="24"/>
          <w:szCs w:val="24"/>
          <w:lang w:val="uk-UA"/>
        </w:rPr>
        <w:t xml:space="preserve">Примечание – </w:t>
      </w:r>
      <w:r w:rsidRPr="001935D0">
        <w:rPr>
          <w:rFonts w:ascii="Times New Roman" w:hAnsi="Times New Roman" w:cs="Times New Roman"/>
          <w:sz w:val="24"/>
          <w:szCs w:val="24"/>
        </w:rPr>
        <w:t xml:space="preserve">Составлено </w:t>
      </w:r>
      <w:r w:rsidR="00675232" w:rsidRPr="001935D0">
        <w:rPr>
          <w:rFonts w:ascii="Times New Roman" w:hAnsi="Times New Roman" w:cs="Times New Roman"/>
          <w:sz w:val="24"/>
          <w:szCs w:val="24"/>
        </w:rPr>
        <w:t xml:space="preserve">автором по данным </w:t>
      </w:r>
      <w:r>
        <w:rPr>
          <w:rFonts w:ascii="Times New Roman" w:hAnsi="Times New Roman" w:cs="Times New Roman"/>
          <w:sz w:val="24"/>
          <w:szCs w:val="24"/>
          <w:lang w:val="kk-KZ"/>
        </w:rPr>
        <w:t xml:space="preserve">источников </w:t>
      </w:r>
      <w:r w:rsidR="00614B7F" w:rsidRPr="001935D0">
        <w:rPr>
          <w:rFonts w:ascii="Times New Roman" w:hAnsi="Times New Roman" w:cs="Times New Roman"/>
          <w:sz w:val="24"/>
          <w:szCs w:val="24"/>
        </w:rPr>
        <w:t>[37</w:t>
      </w:r>
      <w:r w:rsidR="00614B7F">
        <w:rPr>
          <w:rFonts w:ascii="Times New Roman" w:hAnsi="Times New Roman" w:cs="Times New Roman"/>
          <w:sz w:val="24"/>
          <w:szCs w:val="24"/>
          <w:lang w:val="uk-UA"/>
        </w:rPr>
        <w:t>;</w:t>
      </w:r>
      <w:r w:rsidR="00614B7F" w:rsidRPr="001935D0">
        <w:rPr>
          <w:rFonts w:ascii="Times New Roman" w:hAnsi="Times New Roman" w:cs="Times New Roman"/>
          <w:sz w:val="24"/>
          <w:szCs w:val="24"/>
          <w:lang w:val="uk-UA"/>
        </w:rPr>
        <w:t xml:space="preserve"> </w:t>
      </w:r>
      <w:r w:rsidR="00614B7F" w:rsidRPr="001935D0">
        <w:rPr>
          <w:rFonts w:ascii="Times New Roman" w:hAnsi="Times New Roman" w:cs="Times New Roman"/>
          <w:sz w:val="24"/>
          <w:szCs w:val="24"/>
        </w:rPr>
        <w:t xml:space="preserve">38] </w:t>
      </w:r>
    </w:p>
    <w:p w14:paraId="1FDABB64" w14:textId="77777777" w:rsidR="00AD7DCA" w:rsidRPr="001935D0" w:rsidRDefault="00AD7DCA" w:rsidP="00593711">
      <w:pPr>
        <w:pStyle w:val="NormalWeb"/>
        <w:spacing w:before="0" w:beforeAutospacing="0" w:after="0" w:afterAutospacing="0"/>
        <w:ind w:firstLine="709"/>
        <w:jc w:val="both"/>
        <w:rPr>
          <w:sz w:val="28"/>
          <w:szCs w:val="28"/>
        </w:rPr>
      </w:pPr>
    </w:p>
    <w:p w14:paraId="03DBBDAD" w14:textId="77777777" w:rsidR="00AD7DCA" w:rsidRPr="001935D0" w:rsidRDefault="00AD7DCA"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Научная новизна заключается в интеграции международных подходов (в частности, элементов </w:t>
      </w:r>
      <w:r w:rsidRPr="001935D0">
        <w:rPr>
          <w:rStyle w:val="Emphasis"/>
          <w:rFonts w:ascii="Times New Roman" w:hAnsi="Times New Roman" w:cs="Times New Roman"/>
          <w:i w:val="0"/>
          <w:sz w:val="28"/>
          <w:szCs w:val="28"/>
        </w:rPr>
        <w:t>EU Justice Scoreboard</w:t>
      </w:r>
      <w:r w:rsidRPr="001935D0">
        <w:rPr>
          <w:rFonts w:ascii="Times New Roman" w:hAnsi="Times New Roman" w:cs="Times New Roman"/>
          <w:sz w:val="28"/>
          <w:szCs w:val="28"/>
        </w:rPr>
        <w:t>, индикаторов доступа к правосудию, методологии процедурного мониторинга судебной реформы) в институциональный контекст Республики Казахстан. Предложена адаптивная структура, учитывающая специфику национальной правовой системы и существующих административных процедур.</w:t>
      </w:r>
    </w:p>
    <w:p w14:paraId="20085371" w14:textId="77777777" w:rsidR="00AD7DCA" w:rsidRPr="001935D0" w:rsidRDefault="00AD7DCA"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Отдельное значение имеет формализация источников данных: модель систематизирует и объединяет официальную статистику, данные административных регистров, результаты независимого мониторинга, экспертные заключения и международные отчёты. Это позволяет повысить достоверность оценки и обеспечить её воспроизводимость.</w:t>
      </w:r>
    </w:p>
    <w:p w14:paraId="15873D49" w14:textId="775B61F0" w:rsidR="00AD7DCA" w:rsidRPr="001935D0" w:rsidRDefault="00AD7DCA"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качестве инструмента устойчивого правозащитного мониторинга предлагается создание национальной платформы, основанной на принципах </w:t>
      </w:r>
      <w:r w:rsidRPr="001935D0">
        <w:rPr>
          <w:rFonts w:ascii="Times New Roman" w:hAnsi="Times New Roman" w:cs="Times New Roman"/>
          <w:sz w:val="28"/>
          <w:szCs w:val="28"/>
        </w:rPr>
        <w:lastRenderedPageBreak/>
        <w:t>межведомственного и гражданского взаимодействия, с возможностью институционализации парламентского контроля за выполнением международных обязательств.</w:t>
      </w:r>
      <w:r w:rsidR="00B6261B" w:rsidRPr="001935D0">
        <w:rPr>
          <w:rFonts w:ascii="Times New Roman" w:hAnsi="Times New Roman" w:cs="Times New Roman"/>
          <w:sz w:val="28"/>
          <w:szCs w:val="28"/>
          <w:lang w:val="uk-UA"/>
        </w:rPr>
        <w:t xml:space="preserve"> </w:t>
      </w:r>
      <w:r w:rsidRPr="001935D0">
        <w:rPr>
          <w:rFonts w:ascii="Times New Roman" w:hAnsi="Times New Roman" w:cs="Times New Roman"/>
          <w:sz w:val="28"/>
          <w:szCs w:val="28"/>
        </w:rPr>
        <w:t>Разработан механизм обратной связи между результатами мониторинга и процессом политического регулирования, что повышает адаптивность управленческих решений и способствует их соответствию международным стандартам.</w:t>
      </w:r>
    </w:p>
    <w:p w14:paraId="0344D078" w14:textId="1911862A" w:rsidR="000B0429" w:rsidRPr="001935D0" w:rsidRDefault="00AD7DCA" w:rsidP="004F55B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Таким образом, представленная модель может быть использована как основа для формирования национальной системы мониторинга и реализации прав человека в Республике Казахстан, а также быть применима в других странах Центральной Азии, находящихся в фазе правового и институционального реформирования.</w:t>
      </w:r>
    </w:p>
    <w:p w14:paraId="4D8D70D6" w14:textId="30CA5BA4" w:rsidR="000B0429" w:rsidRPr="001935D0" w:rsidRDefault="000B0429" w:rsidP="007E5770">
      <w:pPr>
        <w:pStyle w:val="NoSpacing"/>
        <w:ind w:firstLine="709"/>
        <w:rPr>
          <w:rStyle w:val="Strong"/>
          <w:rFonts w:ascii="Times New Roman" w:hAnsi="Times New Roman" w:cs="Times New Roman"/>
          <w:bCs w:val="0"/>
          <w:sz w:val="28"/>
          <w:szCs w:val="28"/>
        </w:rPr>
      </w:pPr>
      <w:r w:rsidRPr="001935D0">
        <w:rPr>
          <w:rStyle w:val="Strong"/>
          <w:rFonts w:ascii="Times New Roman" w:hAnsi="Times New Roman" w:cs="Times New Roman"/>
          <w:bCs w:val="0"/>
          <w:sz w:val="28"/>
          <w:szCs w:val="28"/>
        </w:rPr>
        <w:t xml:space="preserve">Выводы к </w:t>
      </w:r>
      <w:r w:rsidR="009E3B02">
        <w:rPr>
          <w:rStyle w:val="Strong"/>
          <w:rFonts w:ascii="Times New Roman" w:hAnsi="Times New Roman" w:cs="Times New Roman"/>
          <w:bCs w:val="0"/>
          <w:sz w:val="28"/>
          <w:szCs w:val="28"/>
          <w:lang w:val="kk-KZ"/>
        </w:rPr>
        <w:t>разделу</w:t>
      </w:r>
      <w:r w:rsidRPr="001935D0">
        <w:rPr>
          <w:rStyle w:val="Strong"/>
          <w:rFonts w:ascii="Times New Roman" w:hAnsi="Times New Roman" w:cs="Times New Roman"/>
          <w:bCs w:val="0"/>
          <w:sz w:val="28"/>
          <w:szCs w:val="28"/>
        </w:rPr>
        <w:t xml:space="preserve"> 1</w:t>
      </w:r>
    </w:p>
    <w:p w14:paraId="4B5FDB4B" w14:textId="11958625" w:rsidR="00B34952" w:rsidRPr="001935D0" w:rsidRDefault="00B34952"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Проведённый в перво</w:t>
      </w:r>
      <w:r w:rsidR="009E3B02">
        <w:rPr>
          <w:rFonts w:ascii="Times New Roman" w:hAnsi="Times New Roman" w:cs="Times New Roman"/>
          <w:sz w:val="28"/>
          <w:szCs w:val="28"/>
          <w:lang w:val="kk-KZ"/>
        </w:rPr>
        <w:t>м</w:t>
      </w:r>
      <w:r w:rsidRPr="001935D0">
        <w:rPr>
          <w:rFonts w:ascii="Times New Roman" w:hAnsi="Times New Roman" w:cs="Times New Roman"/>
          <w:sz w:val="28"/>
          <w:szCs w:val="28"/>
        </w:rPr>
        <w:t xml:space="preserve"> </w:t>
      </w:r>
      <w:r w:rsidR="009E3B02">
        <w:rPr>
          <w:rFonts w:ascii="Times New Roman" w:hAnsi="Times New Roman" w:cs="Times New Roman"/>
          <w:sz w:val="28"/>
          <w:szCs w:val="28"/>
          <w:lang w:val="kk-KZ"/>
        </w:rPr>
        <w:t>раздел</w:t>
      </w:r>
      <w:r w:rsidRPr="001935D0">
        <w:rPr>
          <w:rFonts w:ascii="Times New Roman" w:hAnsi="Times New Roman" w:cs="Times New Roman"/>
          <w:sz w:val="28"/>
          <w:szCs w:val="28"/>
        </w:rPr>
        <w:t xml:space="preserve">е анализ подтвердил, что в XXI веке политика Европейского </w:t>
      </w:r>
      <w:r w:rsidR="00CF2560"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в области прав человека эволюционировала от декларативного провозглашения универсальных ценностей к разветвлённой нормативно-институциональной системе, интегрированной во внешнеполитические, экономические и регуляторные решения </w:t>
      </w:r>
      <w:r w:rsidR="00CF2560" w:rsidRPr="001935D0">
        <w:rPr>
          <w:rFonts w:ascii="Times New Roman" w:hAnsi="Times New Roman" w:cs="Times New Roman"/>
          <w:sz w:val="28"/>
          <w:szCs w:val="28"/>
          <w:lang w:eastAsia="ru-RU"/>
        </w:rPr>
        <w:t>Европейск</w:t>
      </w:r>
      <w:r w:rsidR="00CF2560" w:rsidRPr="001935D0">
        <w:rPr>
          <w:rFonts w:ascii="Times New Roman" w:hAnsi="Times New Roman" w:cs="Times New Roman"/>
          <w:sz w:val="28"/>
          <w:szCs w:val="28"/>
          <w:lang w:val="uk-UA" w:eastAsia="ru-RU"/>
        </w:rPr>
        <w:t>ого</w:t>
      </w:r>
      <w:r w:rsidR="00CF2560" w:rsidRPr="001935D0">
        <w:rPr>
          <w:rFonts w:ascii="Times New Roman" w:hAnsi="Times New Roman" w:cs="Times New Roman"/>
          <w:sz w:val="28"/>
          <w:szCs w:val="28"/>
          <w:lang w:eastAsia="ru-RU"/>
        </w:rPr>
        <w:t xml:space="preserve"> </w:t>
      </w:r>
      <w:r w:rsidR="00CF2560" w:rsidRPr="001935D0">
        <w:rPr>
          <w:rFonts w:ascii="Times New Roman" w:hAnsi="Times New Roman" w:cs="Times New Roman"/>
          <w:sz w:val="28"/>
          <w:szCs w:val="28"/>
          <w:lang w:val="uk-UA" w:eastAsia="ru-RU"/>
        </w:rPr>
        <w:t>С</w:t>
      </w:r>
      <w:r w:rsidR="00CF2560" w:rsidRPr="001935D0">
        <w:rPr>
          <w:rFonts w:ascii="Times New Roman" w:hAnsi="Times New Roman" w:cs="Times New Roman"/>
          <w:sz w:val="28"/>
          <w:szCs w:val="28"/>
          <w:lang w:eastAsia="ru-RU"/>
        </w:rPr>
        <w:t>оюз</w:t>
      </w:r>
      <w:r w:rsidRPr="001935D0">
        <w:rPr>
          <w:rFonts w:ascii="Times New Roman" w:hAnsi="Times New Roman" w:cs="Times New Roman"/>
          <w:sz w:val="28"/>
          <w:szCs w:val="28"/>
        </w:rPr>
        <w:t>а. Динамика этой трансформации обусловлена сочетанием внутренних факторов углубления интеграции и внешних вызовов глобальной безопасности, эрозии многостороннего порядка и усиления авторитарных тенденций на международной арене. В результате права человека заняли центральное место в стратегической идентичности ЕС, сформировав его образ «нормативной силы».</w:t>
      </w:r>
    </w:p>
    <w:p w14:paraId="6190849B" w14:textId="77777777" w:rsidR="00B34952" w:rsidRPr="001935D0" w:rsidRDefault="00B34952"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Конституционализация ценностей, закреплённая Лиссабонским договором и приданием Хартии основных прав юридически обязательного статуса, показала, что права человека выступают первичным кодом политико-правовой субъектности ЕС. Предложенная в исследовании модель нормативной идентичности раскрывает онтологический характер этого кода и демонстрирует, как нормативные принципы транслируются на операционном уровне через санкционные режимы, торговую и климатическую дипломатию, а также через директивы, регулирующие корпоративную ответственность.</w:t>
      </w:r>
    </w:p>
    <w:p w14:paraId="1D364745" w14:textId="5D7B0FC5" w:rsidR="00B34952" w:rsidRPr="001935D0" w:rsidRDefault="00B34952"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Анализ фазовой эвол</w:t>
      </w:r>
      <w:r w:rsidR="00B6261B" w:rsidRPr="001935D0">
        <w:rPr>
          <w:rFonts w:ascii="Times New Roman" w:hAnsi="Times New Roman" w:cs="Times New Roman"/>
          <w:sz w:val="28"/>
          <w:szCs w:val="28"/>
        </w:rPr>
        <w:t>юции правозащитной политики ЕС –</w:t>
      </w:r>
      <w:r w:rsidRPr="001935D0">
        <w:rPr>
          <w:rFonts w:ascii="Times New Roman" w:hAnsi="Times New Roman" w:cs="Times New Roman"/>
          <w:sz w:val="28"/>
          <w:szCs w:val="28"/>
        </w:rPr>
        <w:t xml:space="preserve"> от символического этапа к стру</w:t>
      </w:r>
      <w:r w:rsidR="00B6261B" w:rsidRPr="001935D0">
        <w:rPr>
          <w:rFonts w:ascii="Times New Roman" w:hAnsi="Times New Roman" w:cs="Times New Roman"/>
          <w:sz w:val="28"/>
          <w:szCs w:val="28"/>
        </w:rPr>
        <w:t>ктурному встраиванию ценностей –</w:t>
      </w:r>
      <w:r w:rsidRPr="001935D0">
        <w:rPr>
          <w:rFonts w:ascii="Times New Roman" w:hAnsi="Times New Roman" w:cs="Times New Roman"/>
          <w:sz w:val="28"/>
          <w:szCs w:val="28"/>
        </w:rPr>
        <w:t xml:space="preserve"> выявил устойчивую тенденцию к усложнению механизмов реализации. Нормативные стандарты постепенно превращаются в юридически обязательные инструменты, что проявляется в интеграции прав человека в глобальные цепочки поставок, цифровое регулирование и климатическую повестку. Многоуровневая модель легитимации, предложенная в работе, позволяет рассматривать этот процесс одновременно на символико-нормативном, институциональном, геостратегическом и операционном уровнях, что усиливает аналитическую глубину исследования.</w:t>
      </w:r>
    </w:p>
    <w:p w14:paraId="5880DB81" w14:textId="3552F448" w:rsidR="00B34952" w:rsidRPr="001935D0" w:rsidRDefault="00B34952"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Для Казахстана и других государств Центральной Азии значение европейского опыта состоит прежде всего в возможности адаптации структурно проверенных практик к собственным правовым системам. Разработанная междисциплинарная методология </w:t>
      </w:r>
      <w:r w:rsidR="00A162F7" w:rsidRPr="001935D0">
        <w:rPr>
          <w:rFonts w:ascii="Times New Roman" w:hAnsi="Times New Roman" w:cs="Times New Roman"/>
          <w:sz w:val="28"/>
          <w:szCs w:val="28"/>
        </w:rPr>
        <w:t>–</w:t>
      </w:r>
      <w:r w:rsidRPr="001935D0">
        <w:rPr>
          <w:rFonts w:ascii="Times New Roman" w:hAnsi="Times New Roman" w:cs="Times New Roman"/>
          <w:sz w:val="28"/>
          <w:szCs w:val="28"/>
        </w:rPr>
        <w:t xml:space="preserve"> с опорой на типологию исследовательских подходов, индикаторную рамку RIGHTS и институциональные механизмы </w:t>
      </w:r>
      <w:r w:rsidRPr="001935D0">
        <w:rPr>
          <w:rFonts w:ascii="Times New Roman" w:hAnsi="Times New Roman" w:cs="Times New Roman"/>
          <w:sz w:val="28"/>
          <w:szCs w:val="28"/>
        </w:rPr>
        <w:lastRenderedPageBreak/>
        <w:t xml:space="preserve">диалога с ЕС </w:t>
      </w:r>
      <w:r w:rsidR="00A162F7" w:rsidRPr="001935D0">
        <w:rPr>
          <w:rFonts w:ascii="Times New Roman" w:hAnsi="Times New Roman" w:cs="Times New Roman"/>
          <w:sz w:val="28"/>
          <w:szCs w:val="28"/>
        </w:rPr>
        <w:t>–</w:t>
      </w:r>
      <w:r w:rsidRPr="001935D0">
        <w:rPr>
          <w:rFonts w:ascii="Times New Roman" w:hAnsi="Times New Roman" w:cs="Times New Roman"/>
          <w:sz w:val="28"/>
          <w:szCs w:val="28"/>
        </w:rPr>
        <w:t xml:space="preserve"> формирует прикладной инструмент оценки и сопровождения национальных реформ. Встроенный механизм обратной связи, соединяющий мониторинг, интерпретацию данных и принятие политических решений, обеспечивает необходимую устойчивость правозащитной политики в условиях правового транзита.</w:t>
      </w:r>
    </w:p>
    <w:p w14:paraId="70D59A35" w14:textId="20552B11" w:rsidR="000B0429" w:rsidRPr="001935D0" w:rsidRDefault="00B34952" w:rsidP="007E577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Тем самым </w:t>
      </w:r>
      <w:r w:rsidR="007E5770">
        <w:rPr>
          <w:rFonts w:ascii="Times New Roman" w:hAnsi="Times New Roman" w:cs="Times New Roman"/>
          <w:sz w:val="28"/>
          <w:szCs w:val="28"/>
          <w:lang w:val="kk-KZ"/>
        </w:rPr>
        <w:t>раздел</w:t>
      </w:r>
      <w:r w:rsidRPr="001935D0">
        <w:rPr>
          <w:rFonts w:ascii="Times New Roman" w:hAnsi="Times New Roman" w:cs="Times New Roman"/>
          <w:sz w:val="28"/>
          <w:szCs w:val="28"/>
        </w:rPr>
        <w:t xml:space="preserve"> 1 создаёт концептуальную площадку для последующего сравнительного анализа казахстанского законодательства и оценки институционального потенциала национальных правозащитных структур. Сфо</w:t>
      </w:r>
      <w:r w:rsidR="00B6261B" w:rsidRPr="001935D0">
        <w:rPr>
          <w:rFonts w:ascii="Times New Roman" w:hAnsi="Times New Roman" w:cs="Times New Roman"/>
          <w:sz w:val="28"/>
          <w:szCs w:val="28"/>
        </w:rPr>
        <w:t>рмулированные авторские модели –</w:t>
      </w:r>
      <w:r w:rsidRPr="001935D0">
        <w:rPr>
          <w:rFonts w:ascii="Times New Roman" w:hAnsi="Times New Roman" w:cs="Times New Roman"/>
          <w:sz w:val="28"/>
          <w:szCs w:val="28"/>
        </w:rPr>
        <w:t xml:space="preserve"> нормативной идентичности, фазовой трансформации, многоуровневой легитимации и индикаторного цикла </w:t>
      </w:r>
      <w:r w:rsidR="00A162F7" w:rsidRPr="001935D0">
        <w:rPr>
          <w:rFonts w:ascii="Times New Roman" w:hAnsi="Times New Roman" w:cs="Times New Roman"/>
          <w:sz w:val="28"/>
          <w:szCs w:val="28"/>
        </w:rPr>
        <w:t>–</w:t>
      </w:r>
      <w:r w:rsidRPr="001935D0">
        <w:rPr>
          <w:rFonts w:ascii="Times New Roman" w:hAnsi="Times New Roman" w:cs="Times New Roman"/>
          <w:sz w:val="28"/>
          <w:szCs w:val="28"/>
        </w:rPr>
        <w:t xml:space="preserve"> задают целостную аналитическую рамку, пригодную как для теоретического осмысления роли ЕС, так и для практической адаптации его стандартов в национальных стратегиях стран-партнёров.</w:t>
      </w:r>
    </w:p>
    <w:p w14:paraId="4D89CF4D" w14:textId="77777777" w:rsidR="00203310" w:rsidRPr="001935D0" w:rsidRDefault="00203310" w:rsidP="007E5770">
      <w:pPr>
        <w:pStyle w:val="NoSpacing"/>
        <w:ind w:firstLine="709"/>
        <w:jc w:val="both"/>
        <w:rPr>
          <w:rFonts w:ascii="Times New Roman" w:hAnsi="Times New Roman" w:cs="Times New Roman"/>
          <w:sz w:val="28"/>
          <w:szCs w:val="28"/>
        </w:rPr>
      </w:pPr>
    </w:p>
    <w:p w14:paraId="3AE2941D" w14:textId="77777777" w:rsidR="00203310" w:rsidRPr="001935D0" w:rsidRDefault="00203310" w:rsidP="007E5770">
      <w:pPr>
        <w:pStyle w:val="NoSpacing"/>
        <w:ind w:firstLine="709"/>
        <w:jc w:val="both"/>
        <w:rPr>
          <w:rFonts w:ascii="Times New Roman" w:hAnsi="Times New Roman" w:cs="Times New Roman"/>
          <w:sz w:val="28"/>
          <w:szCs w:val="28"/>
        </w:rPr>
      </w:pPr>
    </w:p>
    <w:p w14:paraId="2158FFE4" w14:textId="77777777" w:rsidR="00203310" w:rsidRPr="001935D0" w:rsidRDefault="00203310" w:rsidP="007E5770">
      <w:pPr>
        <w:pStyle w:val="NoSpacing"/>
        <w:ind w:firstLine="709"/>
        <w:jc w:val="both"/>
        <w:rPr>
          <w:rFonts w:ascii="Times New Roman" w:hAnsi="Times New Roman" w:cs="Times New Roman"/>
          <w:sz w:val="28"/>
          <w:szCs w:val="28"/>
        </w:rPr>
      </w:pPr>
    </w:p>
    <w:p w14:paraId="6E5DA21F" w14:textId="77777777" w:rsidR="00203310" w:rsidRPr="001935D0" w:rsidRDefault="00203310" w:rsidP="007E5770">
      <w:pPr>
        <w:pStyle w:val="NoSpacing"/>
        <w:ind w:firstLine="709"/>
        <w:jc w:val="both"/>
        <w:rPr>
          <w:rFonts w:ascii="Times New Roman" w:hAnsi="Times New Roman" w:cs="Times New Roman"/>
          <w:sz w:val="28"/>
          <w:szCs w:val="28"/>
        </w:rPr>
      </w:pPr>
    </w:p>
    <w:p w14:paraId="1921665E" w14:textId="77777777" w:rsidR="00203310" w:rsidRPr="001935D0" w:rsidRDefault="00203310" w:rsidP="007E5770">
      <w:pPr>
        <w:pStyle w:val="NoSpacing"/>
        <w:ind w:firstLine="709"/>
        <w:jc w:val="both"/>
        <w:rPr>
          <w:rFonts w:ascii="Times New Roman" w:hAnsi="Times New Roman" w:cs="Times New Roman"/>
          <w:sz w:val="28"/>
          <w:szCs w:val="28"/>
        </w:rPr>
      </w:pPr>
    </w:p>
    <w:p w14:paraId="3160D53A" w14:textId="77777777" w:rsidR="00203310" w:rsidRPr="001935D0" w:rsidRDefault="00203310" w:rsidP="007E5770">
      <w:pPr>
        <w:pStyle w:val="NoSpacing"/>
        <w:ind w:firstLine="709"/>
        <w:jc w:val="both"/>
        <w:rPr>
          <w:rFonts w:ascii="Times New Roman" w:hAnsi="Times New Roman" w:cs="Times New Roman"/>
          <w:sz w:val="28"/>
          <w:szCs w:val="28"/>
        </w:rPr>
      </w:pPr>
    </w:p>
    <w:p w14:paraId="6AE0EAEF" w14:textId="77777777" w:rsidR="00203310" w:rsidRPr="001935D0" w:rsidRDefault="00203310" w:rsidP="007E5770">
      <w:pPr>
        <w:pStyle w:val="NoSpacing"/>
        <w:ind w:firstLine="709"/>
        <w:jc w:val="both"/>
        <w:rPr>
          <w:rFonts w:ascii="Times New Roman" w:hAnsi="Times New Roman" w:cs="Times New Roman"/>
          <w:sz w:val="28"/>
          <w:szCs w:val="28"/>
        </w:rPr>
      </w:pPr>
    </w:p>
    <w:p w14:paraId="51A1BCFF" w14:textId="77777777" w:rsidR="00203310" w:rsidRPr="001935D0" w:rsidRDefault="00203310" w:rsidP="007E5770">
      <w:pPr>
        <w:pStyle w:val="NoSpacing"/>
        <w:ind w:firstLine="709"/>
        <w:jc w:val="both"/>
        <w:rPr>
          <w:rFonts w:ascii="Times New Roman" w:hAnsi="Times New Roman" w:cs="Times New Roman"/>
          <w:sz w:val="28"/>
          <w:szCs w:val="28"/>
        </w:rPr>
      </w:pPr>
    </w:p>
    <w:p w14:paraId="44DC6B50" w14:textId="77777777" w:rsidR="00203310" w:rsidRDefault="00203310" w:rsidP="00593711">
      <w:pPr>
        <w:pStyle w:val="NoSpacing"/>
        <w:ind w:firstLine="567"/>
        <w:jc w:val="both"/>
        <w:rPr>
          <w:rFonts w:ascii="Times New Roman" w:hAnsi="Times New Roman" w:cs="Times New Roman"/>
          <w:sz w:val="28"/>
          <w:szCs w:val="28"/>
          <w:lang w:val="kk-KZ"/>
        </w:rPr>
      </w:pPr>
    </w:p>
    <w:p w14:paraId="30480738" w14:textId="77777777" w:rsidR="009E3B02" w:rsidRDefault="009E3B02" w:rsidP="00593711">
      <w:pPr>
        <w:pStyle w:val="NoSpacing"/>
        <w:ind w:firstLine="567"/>
        <w:jc w:val="both"/>
        <w:rPr>
          <w:rFonts w:ascii="Times New Roman" w:hAnsi="Times New Roman" w:cs="Times New Roman"/>
          <w:sz w:val="28"/>
          <w:szCs w:val="28"/>
          <w:lang w:val="kk-KZ"/>
        </w:rPr>
      </w:pPr>
    </w:p>
    <w:p w14:paraId="5649B7A6" w14:textId="77777777" w:rsidR="009E3B02" w:rsidRDefault="009E3B02" w:rsidP="00593711">
      <w:pPr>
        <w:pStyle w:val="NoSpacing"/>
        <w:ind w:firstLine="567"/>
        <w:jc w:val="both"/>
        <w:rPr>
          <w:rFonts w:ascii="Times New Roman" w:hAnsi="Times New Roman" w:cs="Times New Roman"/>
          <w:sz w:val="28"/>
          <w:szCs w:val="28"/>
          <w:lang w:val="kk-KZ"/>
        </w:rPr>
      </w:pPr>
    </w:p>
    <w:p w14:paraId="65174002" w14:textId="77777777" w:rsidR="009E3B02" w:rsidRDefault="009E3B02" w:rsidP="00593711">
      <w:pPr>
        <w:pStyle w:val="NoSpacing"/>
        <w:ind w:firstLine="567"/>
        <w:jc w:val="both"/>
        <w:rPr>
          <w:rFonts w:ascii="Times New Roman" w:hAnsi="Times New Roman" w:cs="Times New Roman"/>
          <w:sz w:val="28"/>
          <w:szCs w:val="28"/>
          <w:lang w:val="kk-KZ"/>
        </w:rPr>
      </w:pPr>
    </w:p>
    <w:p w14:paraId="47FF6B5C" w14:textId="77777777" w:rsidR="009E3B02" w:rsidRDefault="009E3B02" w:rsidP="00593711">
      <w:pPr>
        <w:pStyle w:val="NoSpacing"/>
        <w:ind w:firstLine="567"/>
        <w:jc w:val="both"/>
        <w:rPr>
          <w:rFonts w:ascii="Times New Roman" w:hAnsi="Times New Roman" w:cs="Times New Roman"/>
          <w:sz w:val="28"/>
          <w:szCs w:val="28"/>
          <w:lang w:val="kk-KZ"/>
        </w:rPr>
      </w:pPr>
    </w:p>
    <w:p w14:paraId="2CC69212" w14:textId="77777777" w:rsidR="009E3B02" w:rsidRDefault="009E3B02" w:rsidP="00593711">
      <w:pPr>
        <w:pStyle w:val="NoSpacing"/>
        <w:ind w:firstLine="567"/>
        <w:jc w:val="both"/>
        <w:rPr>
          <w:rFonts w:ascii="Times New Roman" w:hAnsi="Times New Roman" w:cs="Times New Roman"/>
          <w:sz w:val="28"/>
          <w:szCs w:val="28"/>
          <w:lang w:val="kk-KZ"/>
        </w:rPr>
      </w:pPr>
    </w:p>
    <w:p w14:paraId="58DE9AB9" w14:textId="77777777" w:rsidR="009E3B02" w:rsidRDefault="009E3B02" w:rsidP="00593711">
      <w:pPr>
        <w:pStyle w:val="NoSpacing"/>
        <w:ind w:firstLine="567"/>
        <w:jc w:val="both"/>
        <w:rPr>
          <w:rFonts w:ascii="Times New Roman" w:hAnsi="Times New Roman" w:cs="Times New Roman"/>
          <w:sz w:val="28"/>
          <w:szCs w:val="28"/>
          <w:lang w:val="kk-KZ"/>
        </w:rPr>
      </w:pPr>
    </w:p>
    <w:p w14:paraId="6EE29168" w14:textId="77777777" w:rsidR="009E3B02" w:rsidRDefault="009E3B02" w:rsidP="00593711">
      <w:pPr>
        <w:pStyle w:val="NoSpacing"/>
        <w:ind w:firstLine="567"/>
        <w:jc w:val="both"/>
        <w:rPr>
          <w:rFonts w:ascii="Times New Roman" w:hAnsi="Times New Roman" w:cs="Times New Roman"/>
          <w:sz w:val="28"/>
          <w:szCs w:val="28"/>
          <w:lang w:val="kk-KZ"/>
        </w:rPr>
      </w:pPr>
    </w:p>
    <w:p w14:paraId="04F139B2" w14:textId="77777777" w:rsidR="009E3B02" w:rsidRDefault="009E3B02" w:rsidP="00593711">
      <w:pPr>
        <w:pStyle w:val="NoSpacing"/>
        <w:ind w:firstLine="567"/>
        <w:jc w:val="both"/>
        <w:rPr>
          <w:rFonts w:ascii="Times New Roman" w:hAnsi="Times New Roman" w:cs="Times New Roman"/>
          <w:sz w:val="28"/>
          <w:szCs w:val="28"/>
          <w:lang w:val="kk-KZ"/>
        </w:rPr>
      </w:pPr>
    </w:p>
    <w:p w14:paraId="353F1F55" w14:textId="77777777" w:rsidR="009E3B02" w:rsidRDefault="009E3B02" w:rsidP="00593711">
      <w:pPr>
        <w:pStyle w:val="NoSpacing"/>
        <w:ind w:firstLine="567"/>
        <w:jc w:val="both"/>
        <w:rPr>
          <w:rFonts w:ascii="Times New Roman" w:hAnsi="Times New Roman" w:cs="Times New Roman"/>
          <w:sz w:val="28"/>
          <w:szCs w:val="28"/>
          <w:lang w:val="kk-KZ"/>
        </w:rPr>
      </w:pPr>
    </w:p>
    <w:p w14:paraId="51A1C629" w14:textId="77777777" w:rsidR="009E3B02" w:rsidRDefault="009E3B02" w:rsidP="00593711">
      <w:pPr>
        <w:pStyle w:val="NoSpacing"/>
        <w:ind w:firstLine="567"/>
        <w:jc w:val="both"/>
        <w:rPr>
          <w:rFonts w:ascii="Times New Roman" w:hAnsi="Times New Roman" w:cs="Times New Roman"/>
          <w:sz w:val="28"/>
          <w:szCs w:val="28"/>
          <w:lang w:val="kk-KZ"/>
        </w:rPr>
      </w:pPr>
    </w:p>
    <w:p w14:paraId="463BFB45" w14:textId="77777777" w:rsidR="009E3B02" w:rsidRDefault="009E3B02" w:rsidP="00593711">
      <w:pPr>
        <w:pStyle w:val="NoSpacing"/>
        <w:ind w:firstLine="567"/>
        <w:jc w:val="both"/>
        <w:rPr>
          <w:rFonts w:ascii="Times New Roman" w:hAnsi="Times New Roman" w:cs="Times New Roman"/>
          <w:sz w:val="28"/>
          <w:szCs w:val="28"/>
          <w:lang w:val="kk-KZ"/>
        </w:rPr>
      </w:pPr>
    </w:p>
    <w:p w14:paraId="6EFC34B7" w14:textId="77777777" w:rsidR="006A0854" w:rsidRDefault="006A0854" w:rsidP="00593711">
      <w:pPr>
        <w:pStyle w:val="NoSpacing"/>
        <w:ind w:firstLine="567"/>
        <w:jc w:val="both"/>
        <w:rPr>
          <w:rFonts w:ascii="Times New Roman" w:hAnsi="Times New Roman" w:cs="Times New Roman"/>
          <w:sz w:val="28"/>
          <w:szCs w:val="28"/>
          <w:lang w:val="kk-KZ"/>
        </w:rPr>
      </w:pPr>
    </w:p>
    <w:p w14:paraId="5C7F563A" w14:textId="77777777" w:rsidR="006A0854" w:rsidRDefault="006A0854" w:rsidP="00593711">
      <w:pPr>
        <w:pStyle w:val="NoSpacing"/>
        <w:ind w:firstLine="567"/>
        <w:jc w:val="both"/>
        <w:rPr>
          <w:rFonts w:ascii="Times New Roman" w:hAnsi="Times New Roman" w:cs="Times New Roman"/>
          <w:sz w:val="28"/>
          <w:szCs w:val="28"/>
          <w:lang w:val="kk-KZ"/>
        </w:rPr>
      </w:pPr>
    </w:p>
    <w:p w14:paraId="1C1BD1C1" w14:textId="77777777" w:rsidR="006A0854" w:rsidRDefault="006A0854" w:rsidP="00593711">
      <w:pPr>
        <w:pStyle w:val="NoSpacing"/>
        <w:ind w:firstLine="567"/>
        <w:jc w:val="both"/>
        <w:rPr>
          <w:rFonts w:ascii="Times New Roman" w:hAnsi="Times New Roman" w:cs="Times New Roman"/>
          <w:sz w:val="28"/>
          <w:szCs w:val="28"/>
          <w:lang w:val="kk-KZ"/>
        </w:rPr>
      </w:pPr>
    </w:p>
    <w:p w14:paraId="724A950E" w14:textId="77777777" w:rsidR="006A0854" w:rsidRDefault="006A0854" w:rsidP="00593711">
      <w:pPr>
        <w:pStyle w:val="NoSpacing"/>
        <w:ind w:firstLine="567"/>
        <w:jc w:val="both"/>
        <w:rPr>
          <w:rFonts w:ascii="Times New Roman" w:hAnsi="Times New Roman" w:cs="Times New Roman"/>
          <w:sz w:val="28"/>
          <w:szCs w:val="28"/>
          <w:lang w:val="kk-KZ"/>
        </w:rPr>
      </w:pPr>
    </w:p>
    <w:p w14:paraId="32451FEA" w14:textId="77777777" w:rsidR="006A0854" w:rsidRDefault="006A0854" w:rsidP="00593711">
      <w:pPr>
        <w:pStyle w:val="NoSpacing"/>
        <w:ind w:firstLine="567"/>
        <w:jc w:val="both"/>
        <w:rPr>
          <w:rFonts w:ascii="Times New Roman" w:hAnsi="Times New Roman" w:cs="Times New Roman"/>
          <w:sz w:val="28"/>
          <w:szCs w:val="28"/>
          <w:lang w:val="kk-KZ"/>
        </w:rPr>
      </w:pPr>
    </w:p>
    <w:p w14:paraId="20E62828" w14:textId="77777777" w:rsidR="006A0854" w:rsidRDefault="006A0854" w:rsidP="00593711">
      <w:pPr>
        <w:pStyle w:val="NoSpacing"/>
        <w:ind w:firstLine="567"/>
        <w:jc w:val="both"/>
        <w:rPr>
          <w:rFonts w:ascii="Times New Roman" w:hAnsi="Times New Roman" w:cs="Times New Roman"/>
          <w:sz w:val="28"/>
          <w:szCs w:val="28"/>
          <w:lang w:val="kk-KZ"/>
        </w:rPr>
      </w:pPr>
    </w:p>
    <w:p w14:paraId="389F3955" w14:textId="77777777" w:rsidR="006A0854" w:rsidRDefault="006A0854" w:rsidP="00593711">
      <w:pPr>
        <w:pStyle w:val="NoSpacing"/>
        <w:ind w:firstLine="567"/>
        <w:jc w:val="both"/>
        <w:rPr>
          <w:rFonts w:ascii="Times New Roman" w:hAnsi="Times New Roman" w:cs="Times New Roman"/>
          <w:sz w:val="28"/>
          <w:szCs w:val="28"/>
          <w:lang w:val="kk-KZ"/>
        </w:rPr>
      </w:pPr>
    </w:p>
    <w:p w14:paraId="4F675190" w14:textId="77777777" w:rsidR="006A0854" w:rsidRDefault="006A0854" w:rsidP="00593711">
      <w:pPr>
        <w:pStyle w:val="NoSpacing"/>
        <w:ind w:firstLine="567"/>
        <w:jc w:val="both"/>
        <w:rPr>
          <w:rFonts w:ascii="Times New Roman" w:hAnsi="Times New Roman" w:cs="Times New Roman"/>
          <w:sz w:val="28"/>
          <w:szCs w:val="28"/>
          <w:lang w:val="kk-KZ"/>
        </w:rPr>
      </w:pPr>
    </w:p>
    <w:p w14:paraId="49B0D96E" w14:textId="77777777" w:rsidR="006A0854" w:rsidRDefault="006A0854" w:rsidP="00593711">
      <w:pPr>
        <w:pStyle w:val="NoSpacing"/>
        <w:ind w:firstLine="567"/>
        <w:jc w:val="both"/>
        <w:rPr>
          <w:rFonts w:ascii="Times New Roman" w:hAnsi="Times New Roman" w:cs="Times New Roman"/>
          <w:sz w:val="28"/>
          <w:szCs w:val="28"/>
          <w:lang w:val="kk-KZ"/>
        </w:rPr>
      </w:pPr>
    </w:p>
    <w:p w14:paraId="20921BD1" w14:textId="77777777" w:rsidR="006A0854" w:rsidRDefault="006A0854" w:rsidP="00593711">
      <w:pPr>
        <w:pStyle w:val="NoSpacing"/>
        <w:ind w:firstLine="567"/>
        <w:jc w:val="both"/>
        <w:rPr>
          <w:rFonts w:ascii="Times New Roman" w:hAnsi="Times New Roman" w:cs="Times New Roman"/>
          <w:sz w:val="28"/>
          <w:szCs w:val="28"/>
          <w:lang w:val="kk-KZ"/>
        </w:rPr>
      </w:pPr>
    </w:p>
    <w:p w14:paraId="2041E603" w14:textId="77777777" w:rsidR="006A0854" w:rsidRDefault="006A0854" w:rsidP="00593711">
      <w:pPr>
        <w:pStyle w:val="NoSpacing"/>
        <w:ind w:firstLine="567"/>
        <w:jc w:val="both"/>
        <w:rPr>
          <w:rFonts w:ascii="Times New Roman" w:hAnsi="Times New Roman" w:cs="Times New Roman"/>
          <w:sz w:val="28"/>
          <w:szCs w:val="28"/>
          <w:lang w:val="kk-KZ"/>
        </w:rPr>
      </w:pPr>
    </w:p>
    <w:p w14:paraId="07CBB481" w14:textId="56365812" w:rsidR="00E94B29" w:rsidRPr="001935D0" w:rsidRDefault="00E94B29" w:rsidP="00FC7EB8">
      <w:pPr>
        <w:pStyle w:val="NoSpacing"/>
        <w:ind w:firstLine="709"/>
        <w:jc w:val="both"/>
        <w:rPr>
          <w:rFonts w:ascii="Times New Roman" w:hAnsi="Times New Roman" w:cs="Times New Roman"/>
          <w:b/>
          <w:sz w:val="28"/>
          <w:szCs w:val="28"/>
        </w:rPr>
      </w:pPr>
      <w:r w:rsidRPr="001935D0">
        <w:rPr>
          <w:rFonts w:ascii="Times New Roman" w:hAnsi="Times New Roman" w:cs="Times New Roman"/>
          <w:b/>
          <w:sz w:val="28"/>
          <w:szCs w:val="28"/>
        </w:rPr>
        <w:lastRenderedPageBreak/>
        <w:t>2 МОДЕЛЬ ЗАЩИТЫ ПРАВ ЧЕЛОВЕКА В ЕВРОПЕЙСКОМ СОЮЗЕ И ЕЁ РЕАЛИЗАЦИЯ В ТРЕТЬИХ СТРАНАХ: ОПЫТ И ПЕРСПЕКТИВЫ ДЛЯ КАЗАХСТАНА</w:t>
      </w:r>
    </w:p>
    <w:p w14:paraId="2CD87FBF" w14:textId="77777777" w:rsidR="00E94B29" w:rsidRPr="001935D0" w:rsidRDefault="00E94B29" w:rsidP="00FC7EB8">
      <w:pPr>
        <w:pStyle w:val="NoSpacing"/>
        <w:ind w:firstLine="709"/>
        <w:jc w:val="center"/>
        <w:rPr>
          <w:rFonts w:ascii="Times New Roman" w:hAnsi="Times New Roman" w:cs="Times New Roman"/>
          <w:b/>
          <w:sz w:val="28"/>
          <w:szCs w:val="28"/>
        </w:rPr>
      </w:pPr>
    </w:p>
    <w:p w14:paraId="08A995C9" w14:textId="7DDD8E0A" w:rsidR="00E94B29" w:rsidRPr="001935D0" w:rsidRDefault="00E94B29" w:rsidP="00FC7EB8">
      <w:pPr>
        <w:pStyle w:val="NoSpacing"/>
        <w:ind w:firstLine="709"/>
        <w:jc w:val="both"/>
        <w:rPr>
          <w:rFonts w:ascii="Times New Roman" w:hAnsi="Times New Roman" w:cs="Times New Roman"/>
          <w:b/>
          <w:sz w:val="28"/>
          <w:szCs w:val="28"/>
        </w:rPr>
      </w:pPr>
      <w:r w:rsidRPr="001935D0">
        <w:rPr>
          <w:rFonts w:ascii="Times New Roman" w:hAnsi="Times New Roman" w:cs="Times New Roman"/>
          <w:b/>
          <w:sz w:val="28"/>
          <w:szCs w:val="28"/>
        </w:rPr>
        <w:t>2.1 Нормативно-институциональные основы: хартии, конвенции и ключевые институты ЕС</w:t>
      </w:r>
    </w:p>
    <w:p w14:paraId="00F575D2" w14:textId="62DFB31C" w:rsidR="00E94B29" w:rsidRPr="001935D0" w:rsidRDefault="00E94B29" w:rsidP="00FC7EB8">
      <w:pPr>
        <w:spacing w:after="0" w:line="240" w:lineRule="auto"/>
        <w:ind w:firstLine="709"/>
        <w:jc w:val="both"/>
        <w:rPr>
          <w:rFonts w:ascii="Times New Roman" w:hAnsi="Times New Roman" w:cs="Times New Roman"/>
          <w:sz w:val="28"/>
          <w:szCs w:val="28"/>
        </w:rPr>
      </w:pPr>
      <w:r w:rsidRPr="001935D0">
        <w:rPr>
          <w:rFonts w:ascii="Times New Roman" w:hAnsi="Times New Roman" w:cs="Times New Roman"/>
          <w:sz w:val="28"/>
          <w:szCs w:val="28"/>
        </w:rPr>
        <w:t>Европейская конвенция о защите прав человека и основных свобод (ЕКПЧ), подписанная в Риме в 1950 году и вступившая в силу в 1953 году, представляет собой фундаментальный международный документ, определяющий обязательства государств по обеспечению базовых гражданских и политических прав [7</w:t>
      </w:r>
      <w:r w:rsidR="00E35819">
        <w:rPr>
          <w:rFonts w:ascii="Times New Roman" w:hAnsi="Times New Roman" w:cs="Times New Roman"/>
          <w:sz w:val="28"/>
          <w:szCs w:val="28"/>
          <w:lang w:val="kk-KZ"/>
        </w:rPr>
        <w:t>4</w:t>
      </w:r>
      <w:r w:rsidRPr="001935D0">
        <w:rPr>
          <w:rFonts w:ascii="Times New Roman" w:hAnsi="Times New Roman" w:cs="Times New Roman"/>
          <w:sz w:val="28"/>
          <w:szCs w:val="28"/>
        </w:rPr>
        <w:t>]. Особенность Конвенции заключается в том, что она не только содержит чётко сформулированные права – такие как право на жизнь (ст. 2), запрет пыток (ст. 3), право на справедливый суд (ст. 6), свобода выражения (ст. 10), свобода собраний (ст. 11), защита частной жизни (ст. 8) – но и создает эффективный механизм их защиты через Европейский суд по правам человека (ст. 19 и далее). Эта юрисдикционная модель, опирающаяся на индивидуальные жалобы (ст. 34), признана одной из наиболее успешных в мировой практике.</w:t>
      </w:r>
    </w:p>
    <w:p w14:paraId="63B5A75E" w14:textId="77777777" w:rsidR="00E94B29" w:rsidRPr="001935D0" w:rsidRDefault="00E94B29" w:rsidP="00FC7EB8">
      <w:pPr>
        <w:spacing w:after="0" w:line="240" w:lineRule="auto"/>
        <w:ind w:firstLine="709"/>
        <w:jc w:val="both"/>
        <w:rPr>
          <w:rFonts w:ascii="Times New Roman" w:hAnsi="Times New Roman" w:cs="Times New Roman"/>
          <w:sz w:val="28"/>
          <w:szCs w:val="28"/>
        </w:rPr>
      </w:pPr>
      <w:r w:rsidRPr="001935D0">
        <w:rPr>
          <w:rFonts w:ascii="Times New Roman" w:hAnsi="Times New Roman" w:cs="Times New Roman"/>
          <w:sz w:val="28"/>
          <w:szCs w:val="28"/>
        </w:rPr>
        <w:t>Необходимо отметить, что в отличие от многих декларативных документов, ЕКПЧ создаёт прямую ответственность государства за нарушение прав, а также предусматривает возможность компенсации (ст. 41), контроль за исполнением решений (ст. 46) и консультативную юрисдикцию (Протокол №16). Это делает Конвенцию не только источником основных норм, но и действующим инструментом права, взаимодействующего с национальными системами.</w:t>
      </w:r>
    </w:p>
    <w:p w14:paraId="4AE2B630" w14:textId="77777777" w:rsidR="00E94B29" w:rsidRPr="001935D0" w:rsidRDefault="00E94B29" w:rsidP="00FC7EB8">
      <w:pPr>
        <w:spacing w:after="0" w:line="240" w:lineRule="auto"/>
        <w:ind w:firstLine="709"/>
        <w:jc w:val="both"/>
        <w:rPr>
          <w:rFonts w:ascii="Times New Roman" w:hAnsi="Times New Roman" w:cs="Times New Roman"/>
          <w:sz w:val="28"/>
          <w:szCs w:val="28"/>
        </w:rPr>
      </w:pPr>
      <w:r w:rsidRPr="001935D0">
        <w:rPr>
          <w:rFonts w:ascii="Times New Roman" w:hAnsi="Times New Roman" w:cs="Times New Roman"/>
          <w:sz w:val="28"/>
          <w:szCs w:val="28"/>
        </w:rPr>
        <w:t>В частности, статьи, касающиеся запрета дискриминации (ст. 14), обеспечения справедливого судебного разбирательства (ст. 6) и защиты личных данных (в контексте ст. 8), могут лечь в основу тематических законов и программ правового просвещения. Кроме того, казахстанская практика может выиграть от применения институциональной логики Конвенции, предполагающей независимый надзор, доступность обжалования и соблюдение стандартов процессуальной справедливости.</w:t>
      </w:r>
    </w:p>
    <w:p w14:paraId="76742A19" w14:textId="77777777" w:rsidR="00E94B29" w:rsidRDefault="00E94B29" w:rsidP="00FC7EB8">
      <w:pPr>
        <w:spacing w:after="0" w:line="240" w:lineRule="auto"/>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Таким образом, Европейская конвенция по правам человека остаётся не только символом правового гуманизма, но и прагматичным источником моделей, которые при грамотной адаптации способны способствовать устойчивой правовой трансформации в государствах, стремящихся к укреплению верховенства права и открытости, рисунок 2.1.</w:t>
      </w:r>
    </w:p>
    <w:p w14:paraId="79C813B2" w14:textId="77777777" w:rsidR="00FC7EB8" w:rsidRPr="001935D0" w:rsidRDefault="00FC7EB8" w:rsidP="00FC7EB8">
      <w:pPr>
        <w:spacing w:after="0" w:line="240" w:lineRule="auto"/>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Значение Европейской конвенции о защите прав человека и основных свобод заключается не только в нормативной кодификации фундаментальных прав, но и в создании уникального институционального механизма их обеспечения. Учреждённый с момента вступления Конвенции в силу Европейский суд по правам человека является постоянно действующим органом, уполномоченным рассматривать индивидуальные и межгосударственные жалобы, решения которого обладают обязательной юридической силой и подлежат исполнению на национальном уровне. При этом ключевым принципом, закреплённым в Конвенции, выступает принцип субсидиарности: </w:t>
      </w:r>
      <w:r w:rsidRPr="001935D0">
        <w:rPr>
          <w:rFonts w:ascii="Times New Roman" w:hAnsi="Times New Roman" w:cs="Times New Roman"/>
          <w:sz w:val="28"/>
          <w:szCs w:val="28"/>
        </w:rPr>
        <w:lastRenderedPageBreak/>
        <w:t>первичная ответственность за защиту прав человека возлагается на национальные органы власти, а надзорная функция Суда реализуется лишь при исчерпании внутренних средств правовой защиты. Такая модель обеспечивает баланс между уважением государственного суверенитета и необходимостью соблюдения универсальных стандартов прав человека, что превращает Конвенцию из декларативного документа в де-факто наднациональный правовой инструмент.</w:t>
      </w:r>
    </w:p>
    <w:p w14:paraId="76F395D5" w14:textId="77777777" w:rsidR="00FC7EB8" w:rsidRPr="00FC7EB8" w:rsidRDefault="00FC7EB8" w:rsidP="00FC7EB8">
      <w:pPr>
        <w:spacing w:after="0" w:line="240" w:lineRule="auto"/>
        <w:ind w:firstLine="709"/>
        <w:jc w:val="both"/>
        <w:rPr>
          <w:rFonts w:ascii="Times New Roman" w:hAnsi="Times New Roman" w:cs="Times New Roman"/>
          <w:sz w:val="28"/>
          <w:szCs w:val="28"/>
        </w:rPr>
      </w:pPr>
    </w:p>
    <w:p w14:paraId="617FF90A" w14:textId="77777777" w:rsidR="00E94B29" w:rsidRPr="001935D0" w:rsidRDefault="00E94B29" w:rsidP="00593711">
      <w:pPr>
        <w:spacing w:after="0" w:line="240" w:lineRule="auto"/>
        <w:ind w:left="567"/>
        <w:jc w:val="both"/>
        <w:rPr>
          <w:rFonts w:ascii="Times New Roman" w:hAnsi="Times New Roman" w:cs="Times New Roman"/>
          <w:sz w:val="24"/>
          <w:szCs w:val="24"/>
        </w:rPr>
      </w:pPr>
    </w:p>
    <w:p w14:paraId="0581ED7F" w14:textId="77777777" w:rsidR="00E94B29" w:rsidRPr="001935D0" w:rsidRDefault="00E94B29" w:rsidP="00593711">
      <w:pPr>
        <w:spacing w:after="0" w:line="240" w:lineRule="auto"/>
        <w:ind w:left="567" w:hanging="567"/>
        <w:jc w:val="both"/>
        <w:rPr>
          <w:rFonts w:ascii="Times New Roman" w:hAnsi="Times New Roman" w:cs="Times New Roman"/>
          <w:sz w:val="24"/>
          <w:szCs w:val="24"/>
        </w:rPr>
      </w:pPr>
      <w:r w:rsidRPr="001935D0">
        <w:rPr>
          <w:rFonts w:ascii="Times New Roman" w:hAnsi="Times New Roman" w:cs="Times New Roman"/>
          <w:noProof/>
          <w:sz w:val="24"/>
          <w:szCs w:val="24"/>
          <w:lang w:eastAsia="ru-RU"/>
        </w:rPr>
        <w:drawing>
          <wp:inline distT="0" distB="0" distL="0" distR="0" wp14:anchorId="396BDE88" wp14:editId="4B668C53">
            <wp:extent cx="6156960" cy="4770120"/>
            <wp:effectExtent l="57150" t="0" r="0" b="49530"/>
            <wp:docPr id="29" name="Схема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382229BD" w14:textId="77777777" w:rsidR="00FC7EB8" w:rsidRPr="00FC7EB8" w:rsidRDefault="00FC7EB8" w:rsidP="00593711">
      <w:pPr>
        <w:spacing w:after="0" w:line="240" w:lineRule="auto"/>
        <w:ind w:left="567"/>
        <w:jc w:val="center"/>
        <w:rPr>
          <w:rFonts w:ascii="Times New Roman" w:hAnsi="Times New Roman" w:cs="Times New Roman"/>
          <w:sz w:val="16"/>
          <w:szCs w:val="16"/>
          <w:lang w:val="kk-KZ"/>
        </w:rPr>
      </w:pPr>
    </w:p>
    <w:p w14:paraId="6480D416" w14:textId="2D0C7F85" w:rsidR="00E94B29" w:rsidRPr="001935D0" w:rsidRDefault="00E94B29" w:rsidP="00FC7EB8">
      <w:pPr>
        <w:spacing w:after="0" w:line="240" w:lineRule="auto"/>
        <w:jc w:val="center"/>
        <w:rPr>
          <w:rFonts w:ascii="Times New Roman" w:hAnsi="Times New Roman" w:cs="Times New Roman"/>
          <w:sz w:val="28"/>
          <w:szCs w:val="28"/>
        </w:rPr>
      </w:pPr>
      <w:r w:rsidRPr="001935D0">
        <w:rPr>
          <w:rFonts w:ascii="Times New Roman" w:hAnsi="Times New Roman" w:cs="Times New Roman"/>
          <w:sz w:val="28"/>
          <w:szCs w:val="28"/>
        </w:rPr>
        <w:t>Рис</w:t>
      </w:r>
      <w:r w:rsidR="00FC7EB8">
        <w:rPr>
          <w:rFonts w:ascii="Times New Roman" w:hAnsi="Times New Roman" w:cs="Times New Roman"/>
          <w:sz w:val="28"/>
          <w:szCs w:val="28"/>
          <w:lang w:val="kk-KZ"/>
        </w:rPr>
        <w:t>унок</w:t>
      </w:r>
      <w:r w:rsidRPr="001935D0">
        <w:rPr>
          <w:rFonts w:ascii="Times New Roman" w:hAnsi="Times New Roman" w:cs="Times New Roman"/>
          <w:sz w:val="28"/>
          <w:szCs w:val="28"/>
        </w:rPr>
        <w:t xml:space="preserve"> 2.1 </w:t>
      </w:r>
      <w:r w:rsidR="00FC7EB8">
        <w:rPr>
          <w:rFonts w:ascii="Times New Roman" w:hAnsi="Times New Roman" w:cs="Times New Roman"/>
          <w:sz w:val="28"/>
          <w:szCs w:val="28"/>
          <w:lang w:val="kk-KZ"/>
        </w:rPr>
        <w:t xml:space="preserve">– </w:t>
      </w:r>
      <w:r w:rsidRPr="001935D0">
        <w:rPr>
          <w:rFonts w:ascii="Times New Roman" w:hAnsi="Times New Roman" w:cs="Times New Roman"/>
          <w:sz w:val="28"/>
          <w:szCs w:val="28"/>
        </w:rPr>
        <w:t>Ключевые статьи Европейской конвенции по правам человека по функциональному признаку</w:t>
      </w:r>
    </w:p>
    <w:p w14:paraId="5384D055" w14:textId="77777777" w:rsidR="00FC7EB8" w:rsidRDefault="00FC7EB8" w:rsidP="00593711">
      <w:pPr>
        <w:pStyle w:val="NoSpacing"/>
        <w:jc w:val="both"/>
        <w:rPr>
          <w:rFonts w:ascii="Times New Roman" w:hAnsi="Times New Roman" w:cs="Times New Roman"/>
          <w:sz w:val="24"/>
          <w:szCs w:val="24"/>
          <w:lang w:val="kk-KZ"/>
        </w:rPr>
      </w:pPr>
    </w:p>
    <w:p w14:paraId="3D553D9D" w14:textId="4F273C5F" w:rsidR="00E94B29" w:rsidRPr="001935D0" w:rsidRDefault="00FC7EB8" w:rsidP="00FC7EB8">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w:t>
      </w:r>
      <w:r w:rsidR="00E94B29" w:rsidRPr="001935D0">
        <w:rPr>
          <w:rFonts w:ascii="Times New Roman" w:hAnsi="Times New Roman" w:cs="Times New Roman"/>
          <w:sz w:val="24"/>
          <w:szCs w:val="24"/>
        </w:rPr>
        <w:t>оставлено автором по данным [7</w:t>
      </w:r>
      <w:r w:rsidR="00E35819">
        <w:rPr>
          <w:rFonts w:ascii="Times New Roman" w:hAnsi="Times New Roman" w:cs="Times New Roman"/>
          <w:sz w:val="24"/>
          <w:szCs w:val="24"/>
          <w:lang w:val="kk-KZ"/>
        </w:rPr>
        <w:t>4</w:t>
      </w:r>
      <w:r w:rsidR="00E94B29" w:rsidRPr="001935D0">
        <w:rPr>
          <w:rFonts w:ascii="Times New Roman" w:hAnsi="Times New Roman" w:cs="Times New Roman"/>
          <w:sz w:val="24"/>
          <w:szCs w:val="24"/>
        </w:rPr>
        <w:t>]</w:t>
      </w:r>
    </w:p>
    <w:p w14:paraId="0A297FEA" w14:textId="77777777" w:rsidR="00E94B29" w:rsidRPr="001935D0" w:rsidRDefault="00E94B29" w:rsidP="00593711">
      <w:pPr>
        <w:spacing w:after="0" w:line="240" w:lineRule="auto"/>
        <w:ind w:firstLine="709"/>
        <w:jc w:val="both"/>
        <w:rPr>
          <w:rFonts w:ascii="Times New Roman" w:hAnsi="Times New Roman" w:cs="Times New Roman"/>
          <w:sz w:val="28"/>
          <w:szCs w:val="28"/>
        </w:rPr>
      </w:pPr>
    </w:p>
    <w:p w14:paraId="6EC72A4A" w14:textId="77777777" w:rsidR="00E94B29" w:rsidRPr="001935D0" w:rsidRDefault="00E94B29" w:rsidP="00593711">
      <w:pPr>
        <w:spacing w:after="0" w:line="240" w:lineRule="auto"/>
        <w:ind w:firstLine="709"/>
        <w:jc w:val="both"/>
        <w:rPr>
          <w:rFonts w:ascii="Times New Roman" w:hAnsi="Times New Roman" w:cs="Times New Roman"/>
          <w:sz w:val="28"/>
          <w:szCs w:val="28"/>
        </w:rPr>
      </w:pPr>
      <w:r w:rsidRPr="001935D0">
        <w:rPr>
          <w:rFonts w:ascii="Times New Roman" w:hAnsi="Times New Roman" w:cs="Times New Roman"/>
          <w:sz w:val="28"/>
          <w:szCs w:val="28"/>
        </w:rPr>
        <w:t>Конвенция выполняет роль фундамента Европейской правовой идентичности. Её положения формируют эталонные критерии:</w:t>
      </w:r>
    </w:p>
    <w:p w14:paraId="69AE4201" w14:textId="77777777" w:rsidR="00E94B29" w:rsidRPr="001935D0" w:rsidRDefault="00E94B29" w:rsidP="00FC7EB8">
      <w:pPr>
        <w:pStyle w:val="ListParagraph"/>
        <w:numPr>
          <w:ilvl w:val="0"/>
          <w:numId w:val="7"/>
        </w:numPr>
        <w:tabs>
          <w:tab w:val="left" w:pos="993"/>
        </w:tabs>
        <w:spacing w:after="0" w:line="240" w:lineRule="auto"/>
        <w:ind w:left="0" w:firstLine="709"/>
        <w:jc w:val="both"/>
        <w:rPr>
          <w:rFonts w:ascii="Times New Roman" w:hAnsi="Times New Roman" w:cs="Times New Roman"/>
          <w:sz w:val="28"/>
          <w:szCs w:val="28"/>
        </w:rPr>
      </w:pPr>
      <w:r w:rsidRPr="001935D0">
        <w:rPr>
          <w:rFonts w:ascii="Times New Roman" w:hAnsi="Times New Roman" w:cs="Times New Roman"/>
          <w:sz w:val="28"/>
          <w:szCs w:val="28"/>
        </w:rPr>
        <w:t>допустимости ограничения прав и свобод;</w:t>
      </w:r>
    </w:p>
    <w:p w14:paraId="5D271A92" w14:textId="77777777" w:rsidR="00E94B29" w:rsidRPr="001935D0" w:rsidRDefault="00E94B29" w:rsidP="00FC7EB8">
      <w:pPr>
        <w:pStyle w:val="ListParagraph"/>
        <w:numPr>
          <w:ilvl w:val="0"/>
          <w:numId w:val="7"/>
        </w:numPr>
        <w:tabs>
          <w:tab w:val="left" w:pos="993"/>
        </w:tabs>
        <w:spacing w:after="0" w:line="240" w:lineRule="auto"/>
        <w:ind w:left="0" w:firstLine="709"/>
        <w:jc w:val="both"/>
        <w:rPr>
          <w:rFonts w:ascii="Times New Roman" w:hAnsi="Times New Roman" w:cs="Times New Roman"/>
          <w:sz w:val="28"/>
          <w:szCs w:val="28"/>
        </w:rPr>
      </w:pPr>
      <w:r w:rsidRPr="001935D0">
        <w:rPr>
          <w:rFonts w:ascii="Times New Roman" w:hAnsi="Times New Roman" w:cs="Times New Roman"/>
          <w:sz w:val="28"/>
          <w:szCs w:val="28"/>
        </w:rPr>
        <w:t>пропорциональности государственных вмешательств;</w:t>
      </w:r>
    </w:p>
    <w:p w14:paraId="403336B2" w14:textId="77777777" w:rsidR="00E94B29" w:rsidRPr="001935D0" w:rsidRDefault="00E94B29" w:rsidP="00FC7EB8">
      <w:pPr>
        <w:pStyle w:val="ListParagraph"/>
        <w:numPr>
          <w:ilvl w:val="0"/>
          <w:numId w:val="7"/>
        </w:numPr>
        <w:tabs>
          <w:tab w:val="left" w:pos="993"/>
        </w:tabs>
        <w:spacing w:after="0" w:line="240" w:lineRule="auto"/>
        <w:ind w:left="0" w:firstLine="709"/>
        <w:jc w:val="both"/>
        <w:rPr>
          <w:rFonts w:ascii="Times New Roman" w:hAnsi="Times New Roman" w:cs="Times New Roman"/>
          <w:sz w:val="28"/>
          <w:szCs w:val="28"/>
        </w:rPr>
      </w:pPr>
      <w:r w:rsidRPr="001935D0">
        <w:rPr>
          <w:rFonts w:ascii="Times New Roman" w:hAnsi="Times New Roman" w:cs="Times New Roman"/>
          <w:sz w:val="28"/>
          <w:szCs w:val="28"/>
        </w:rPr>
        <w:t>правовой определённости и предсказуемости;</w:t>
      </w:r>
    </w:p>
    <w:p w14:paraId="07C61479" w14:textId="77777777" w:rsidR="00E94B29" w:rsidRPr="001935D0" w:rsidRDefault="00E94B29" w:rsidP="00FC7EB8">
      <w:pPr>
        <w:pStyle w:val="ListParagraph"/>
        <w:numPr>
          <w:ilvl w:val="0"/>
          <w:numId w:val="7"/>
        </w:numPr>
        <w:tabs>
          <w:tab w:val="left" w:pos="993"/>
        </w:tabs>
        <w:spacing w:after="0" w:line="240" w:lineRule="auto"/>
        <w:ind w:left="0" w:firstLine="709"/>
        <w:jc w:val="both"/>
        <w:rPr>
          <w:rFonts w:ascii="Times New Roman" w:hAnsi="Times New Roman" w:cs="Times New Roman"/>
          <w:sz w:val="28"/>
          <w:szCs w:val="28"/>
        </w:rPr>
      </w:pPr>
      <w:r w:rsidRPr="001935D0">
        <w:rPr>
          <w:rFonts w:ascii="Times New Roman" w:hAnsi="Times New Roman" w:cs="Times New Roman"/>
          <w:sz w:val="28"/>
          <w:szCs w:val="28"/>
        </w:rPr>
        <w:t>независимости и беспристрастности судебной власти;</w:t>
      </w:r>
    </w:p>
    <w:p w14:paraId="550C1636" w14:textId="77777777" w:rsidR="00E94B29" w:rsidRPr="001935D0" w:rsidRDefault="00E94B29" w:rsidP="00593711">
      <w:pPr>
        <w:pStyle w:val="ListParagraph"/>
        <w:numPr>
          <w:ilvl w:val="0"/>
          <w:numId w:val="7"/>
        </w:numPr>
        <w:tabs>
          <w:tab w:val="left" w:pos="993"/>
        </w:tabs>
        <w:spacing w:after="0" w:line="240" w:lineRule="auto"/>
        <w:ind w:left="0" w:firstLine="709"/>
        <w:jc w:val="both"/>
        <w:rPr>
          <w:rFonts w:ascii="Times New Roman" w:hAnsi="Times New Roman" w:cs="Times New Roman"/>
          <w:sz w:val="28"/>
          <w:szCs w:val="28"/>
        </w:rPr>
      </w:pPr>
      <w:r w:rsidRPr="001935D0">
        <w:rPr>
          <w:rFonts w:ascii="Times New Roman" w:hAnsi="Times New Roman" w:cs="Times New Roman"/>
          <w:sz w:val="28"/>
          <w:szCs w:val="28"/>
        </w:rPr>
        <w:t>процедурной справедливости.</w:t>
      </w:r>
    </w:p>
    <w:p w14:paraId="4BBCEE8F" w14:textId="77777777" w:rsidR="00E94B29" w:rsidRPr="001935D0" w:rsidRDefault="00E94B29" w:rsidP="00593711">
      <w:pPr>
        <w:spacing w:after="0" w:line="240" w:lineRule="auto"/>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Для государств, не входящих в Совет Европы, в том числе Казахстана, Конвенция выполняет функцию референтной модели, позволяющей адаптировать лучшие правовые практики в условиях внутренней трансформации. В частности, она может служить источником:</w:t>
      </w:r>
    </w:p>
    <w:p w14:paraId="2A18AEBB" w14:textId="77777777" w:rsidR="00E94B29" w:rsidRPr="001935D0" w:rsidRDefault="00E94B29" w:rsidP="00593711">
      <w:pPr>
        <w:pStyle w:val="ListParagraph"/>
        <w:numPr>
          <w:ilvl w:val="0"/>
          <w:numId w:val="7"/>
        </w:numPr>
        <w:tabs>
          <w:tab w:val="left" w:pos="993"/>
        </w:tabs>
        <w:spacing w:after="0" w:line="240" w:lineRule="auto"/>
        <w:ind w:left="0" w:firstLine="709"/>
        <w:jc w:val="both"/>
        <w:rPr>
          <w:rFonts w:ascii="Times New Roman" w:hAnsi="Times New Roman" w:cs="Times New Roman"/>
          <w:sz w:val="28"/>
          <w:szCs w:val="28"/>
        </w:rPr>
      </w:pPr>
      <w:r w:rsidRPr="001935D0">
        <w:rPr>
          <w:rFonts w:ascii="Times New Roman" w:hAnsi="Times New Roman" w:cs="Times New Roman"/>
          <w:sz w:val="28"/>
          <w:szCs w:val="28"/>
        </w:rPr>
        <w:t>для модернизации законодательства в области недискриминации, свободы выражения, права на справедливый суд и частную жизнь;</w:t>
      </w:r>
    </w:p>
    <w:p w14:paraId="0FF3FA0D" w14:textId="77777777" w:rsidR="00E94B29" w:rsidRPr="001935D0" w:rsidRDefault="00E94B29" w:rsidP="00593711">
      <w:pPr>
        <w:pStyle w:val="ListParagraph"/>
        <w:numPr>
          <w:ilvl w:val="0"/>
          <w:numId w:val="7"/>
        </w:numPr>
        <w:tabs>
          <w:tab w:val="left" w:pos="993"/>
        </w:tabs>
        <w:spacing w:after="0" w:line="240" w:lineRule="auto"/>
        <w:ind w:left="0" w:firstLine="709"/>
        <w:jc w:val="both"/>
        <w:rPr>
          <w:rFonts w:ascii="Times New Roman" w:hAnsi="Times New Roman" w:cs="Times New Roman"/>
          <w:sz w:val="28"/>
          <w:szCs w:val="28"/>
        </w:rPr>
      </w:pPr>
      <w:r w:rsidRPr="001935D0">
        <w:rPr>
          <w:rFonts w:ascii="Times New Roman" w:hAnsi="Times New Roman" w:cs="Times New Roman"/>
          <w:sz w:val="28"/>
          <w:szCs w:val="28"/>
        </w:rPr>
        <w:t>для усиления институциональных механизмов контроля, таких как институт Омбудсмена, парламентский мониторинг и общественный контроль;</w:t>
      </w:r>
    </w:p>
    <w:p w14:paraId="1DCC8E74" w14:textId="77777777" w:rsidR="00E94B29" w:rsidRPr="001935D0" w:rsidRDefault="00E94B29" w:rsidP="00593711">
      <w:pPr>
        <w:pStyle w:val="ListParagraph"/>
        <w:numPr>
          <w:ilvl w:val="0"/>
          <w:numId w:val="7"/>
        </w:numPr>
        <w:tabs>
          <w:tab w:val="left" w:pos="993"/>
        </w:tabs>
        <w:spacing w:after="0" w:line="240" w:lineRule="auto"/>
        <w:ind w:left="0" w:firstLine="709"/>
        <w:jc w:val="both"/>
        <w:rPr>
          <w:rFonts w:ascii="Times New Roman" w:hAnsi="Times New Roman" w:cs="Times New Roman"/>
          <w:sz w:val="28"/>
          <w:szCs w:val="28"/>
        </w:rPr>
      </w:pPr>
      <w:r w:rsidRPr="001935D0">
        <w:rPr>
          <w:rFonts w:ascii="Times New Roman" w:hAnsi="Times New Roman" w:cs="Times New Roman"/>
          <w:sz w:val="28"/>
          <w:szCs w:val="28"/>
        </w:rPr>
        <w:t>для повышения доверия к судебной системе, через внедрение процедурных гарантий и обеспечение справедливого доступа к правосудию.</w:t>
      </w:r>
    </w:p>
    <w:p w14:paraId="4B81C7CA" w14:textId="77777777" w:rsidR="00E94B29" w:rsidRPr="001935D0" w:rsidRDefault="00E94B29" w:rsidP="00593711">
      <w:pPr>
        <w:spacing w:after="0" w:line="240" w:lineRule="auto"/>
        <w:ind w:firstLine="709"/>
        <w:jc w:val="both"/>
        <w:rPr>
          <w:rFonts w:ascii="Times New Roman" w:hAnsi="Times New Roman" w:cs="Times New Roman"/>
          <w:sz w:val="28"/>
          <w:szCs w:val="28"/>
        </w:rPr>
      </w:pPr>
      <w:r w:rsidRPr="001935D0">
        <w:rPr>
          <w:rFonts w:ascii="Times New Roman" w:hAnsi="Times New Roman" w:cs="Times New Roman"/>
          <w:sz w:val="28"/>
          <w:szCs w:val="28"/>
        </w:rPr>
        <w:t>Таким образом, даже в отсутствие формального членства в Совете Европы, влияние ЕКПЧ на правовые системы стран-партнёров остаётся неформальным, но глубоко трансформирующим. Это влияние реализуется через правовое обучение, стратегические партнёрства, программную и техническую помощь, а также мероприятиями по имплементации совместимых норм и стандартов в юриспруденцию Казахстана.</w:t>
      </w:r>
    </w:p>
    <w:p w14:paraId="4CDA6D71" w14:textId="77777777"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Анализ современных научных подходов демонстрирует усиливающееся внимание к функциональной роли Европейской конвенции по правам человека (ЕКПЧ) и юрисдикции Европейского суда по правам человека (ЕСПЧ) в условиях трансформации правового пространства. Исследователи всё чаще рассматривают Конвенцию не только как источник фундаментальных норм, но и как динамический ориентир, адаптируемый к новым социально-технологическим вызовам.</w:t>
      </w:r>
    </w:p>
    <w:p w14:paraId="72A578D1" w14:textId="22A8EC3C"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 xml:space="preserve">Так, </w:t>
      </w:r>
      <w:r w:rsidR="004F55B0">
        <w:rPr>
          <w:sz w:val="28"/>
          <w:szCs w:val="28"/>
        </w:rPr>
        <w:t>Д</w:t>
      </w:r>
      <w:r w:rsidRPr="001935D0">
        <w:rPr>
          <w:sz w:val="28"/>
          <w:szCs w:val="28"/>
        </w:rPr>
        <w:t xml:space="preserve">. </w:t>
      </w:r>
      <w:r w:rsidR="004F55B0">
        <w:rPr>
          <w:sz w:val="28"/>
          <w:szCs w:val="28"/>
        </w:rPr>
        <w:t>Финнерти</w:t>
      </w:r>
      <w:r w:rsidRPr="001935D0">
        <w:rPr>
          <w:sz w:val="28"/>
          <w:szCs w:val="28"/>
        </w:rPr>
        <w:t xml:space="preserve">, </w:t>
      </w:r>
      <w:r w:rsidR="004F55B0">
        <w:rPr>
          <w:sz w:val="28"/>
          <w:szCs w:val="28"/>
        </w:rPr>
        <w:t>Б</w:t>
      </w:r>
      <w:r w:rsidRPr="001935D0">
        <w:rPr>
          <w:sz w:val="28"/>
          <w:szCs w:val="28"/>
        </w:rPr>
        <w:t xml:space="preserve">. </w:t>
      </w:r>
      <w:r w:rsidR="004F55B0">
        <w:rPr>
          <w:sz w:val="28"/>
          <w:szCs w:val="28"/>
        </w:rPr>
        <w:t>Чалы</w:t>
      </w:r>
      <w:r w:rsidRPr="001935D0">
        <w:rPr>
          <w:sz w:val="28"/>
          <w:szCs w:val="28"/>
        </w:rPr>
        <w:t>[7</w:t>
      </w:r>
      <w:r w:rsidR="00E35819">
        <w:rPr>
          <w:sz w:val="28"/>
          <w:szCs w:val="28"/>
          <w:lang w:val="kk-KZ"/>
        </w:rPr>
        <w:t>5, р. 475-498</w:t>
      </w:r>
      <w:r w:rsidRPr="001935D0">
        <w:rPr>
          <w:sz w:val="28"/>
          <w:szCs w:val="28"/>
        </w:rPr>
        <w:t>] анализируют статью 18 ЕКПЧ как ключевой инструмент, применяемый Судом для реагирования на проявления авторитарных практик. Авторы предлагают концепцию «прогрессивного оригинализма» как метод толкования, сочетающий уважение к намерениям учредителей Конвенции с необходимостью ответов на современные угрозы правам человека. Это демонстрирует гибкость Судебной практики и способность ЕСПЧ к нормативной эволюции в рамках базовых ценностей.</w:t>
      </w:r>
    </w:p>
    <w:p w14:paraId="5118D1ED" w14:textId="501F5B05"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 xml:space="preserve">Другой вектор анализа представлен в работе S. Wachter </w:t>
      </w:r>
      <w:r w:rsidRPr="00FC7EB8">
        <w:rPr>
          <w:sz w:val="28"/>
          <w:szCs w:val="28"/>
        </w:rPr>
        <w:t>et al.</w:t>
      </w:r>
      <w:r w:rsidRPr="001935D0">
        <w:rPr>
          <w:sz w:val="28"/>
          <w:szCs w:val="28"/>
        </w:rPr>
        <w:t xml:space="preserve"> [7</w:t>
      </w:r>
      <w:r w:rsidR="00E35819">
        <w:rPr>
          <w:sz w:val="28"/>
          <w:szCs w:val="28"/>
          <w:lang w:val="kk-KZ"/>
        </w:rPr>
        <w:t>6</w:t>
      </w:r>
      <w:r w:rsidRPr="001935D0">
        <w:rPr>
          <w:sz w:val="28"/>
          <w:szCs w:val="28"/>
        </w:rPr>
        <w:t>], которые исследуют несовместимость автоматизированных моделей справедливости с принципами недискриминации, закреплёнными в праве ЕС. Авторы подчёркивают, что интуитивный, контекстуальный характер европейского подхода к дискриминации невозможно полностью алгоритмизировать. Они предлагают метрику Conditional Demographic Disparity (CDD), приближенную к стандартам Европейского суда, но признают границы автоматизации в юридически чувствительных сферах.</w:t>
      </w:r>
    </w:p>
    <w:p w14:paraId="403A4F6F" w14:textId="4D7E7B54"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 xml:space="preserve">Дополняет эту дискуссию работа T. </w:t>
      </w:r>
      <w:r w:rsidR="004F55B0">
        <w:rPr>
          <w:sz w:val="28"/>
          <w:szCs w:val="28"/>
        </w:rPr>
        <w:t>Сантош</w:t>
      </w:r>
      <w:r w:rsidRPr="001935D0">
        <w:rPr>
          <w:sz w:val="28"/>
          <w:szCs w:val="28"/>
        </w:rPr>
        <w:t xml:space="preserve"> [7</w:t>
      </w:r>
      <w:r w:rsidR="00E35819">
        <w:rPr>
          <w:sz w:val="28"/>
          <w:szCs w:val="28"/>
          <w:lang w:val="kk-KZ"/>
        </w:rPr>
        <w:t>7</w:t>
      </w:r>
      <w:r w:rsidRPr="001935D0">
        <w:rPr>
          <w:sz w:val="28"/>
          <w:szCs w:val="28"/>
        </w:rPr>
        <w:t xml:space="preserve">], где акцент сделан на возможностях и ограничениях ИИ-систем в предсказании решений ЕСПЧ. Авторы указывают на необходимость устранения юридически нерелевантных признаков в обучающих корпусах и доказывают, что только при наличии экспертных аннотаций и интерпретируемости моделей возможно достижение соответствия между результатами ИИ и правовыми аргументами специалистов. Это подтверждает, что даже в эпоху цифровизации ЕКПЧ сохраняет свою </w:t>
      </w:r>
      <w:r w:rsidRPr="001935D0">
        <w:rPr>
          <w:sz w:val="28"/>
          <w:szCs w:val="28"/>
        </w:rPr>
        <w:lastRenderedPageBreak/>
        <w:t>уникальную роль в обеспечении правовой достоверности и институциональной легитимности.</w:t>
      </w:r>
    </w:p>
    <w:p w14:paraId="1806231A" w14:textId="7940A38E"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Хартия Европейского Союза об основных правах была официально провозглашена 7 декабря 2000 года в Ницце, но приобрела юридическую обязательность лишь с вступлением в силу Лиссабонского договора в 2009 году. С этого момента она получила статус первичного права наряду с учредительными договорами, что превратило её в обязательную нормативную основу для институтов Европейского Союза и государств-членов при реализации права ЕС. Документ не только кодифицировал ранее признанные принципы, но и предоставил целостную, внутренне согласованную систему защиты прав и свобод личности на европейском континенте [7</w:t>
      </w:r>
      <w:r w:rsidR="00E35819">
        <w:rPr>
          <w:sz w:val="28"/>
          <w:szCs w:val="28"/>
          <w:lang w:val="kk-KZ"/>
        </w:rPr>
        <w:t>8</w:t>
      </w:r>
      <w:r w:rsidRPr="001935D0">
        <w:rPr>
          <w:sz w:val="28"/>
          <w:szCs w:val="28"/>
        </w:rPr>
        <w:t>].</w:t>
      </w:r>
    </w:p>
    <w:p w14:paraId="3E7D64C0" w14:textId="77777777"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Хартия служит источником юридически закреплённых стандартов в сфере прав человека, которые пронизывают как законодательную, так и судебную практику Европейского Союза. Благодаря закреплённым в ней положениям, Хартия выполняет роль систематизирующего и консолидирующего инструмента, соединяя нормы, заимствованные из общих конституционных традиций государств-членов, практики Европейского суда по правам человека, а также ключевых международных договоров, ратифицированных странами ЕС.</w:t>
      </w:r>
    </w:p>
    <w:p w14:paraId="6B8EFE74" w14:textId="77777777"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Кроме того, Хартия играет критически важную роль в юридическом толковании норм вторичного законодательства. Европейский суд систематически обращается к ней как к ориентиру, обеспечивая приведение любых законов и актов ЕС в соответствие с фундаментальными правами. В этом контексте особое значение приобретает принцип презумпции соответствия, согласно которому всё право ЕС должно интерпретироваться в духе Хартии.</w:t>
      </w:r>
    </w:p>
    <w:p w14:paraId="67C486C6" w14:textId="77777777"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Содержание вишеупомянутого документа отличается внутренней логической структурой: преамбула задаёт идеологический контекст, а семь глав охватывают основные сферы прав и свобод человека. Таблица 2.1 иллюстрирует логическую структуру документа.</w:t>
      </w:r>
    </w:p>
    <w:p w14:paraId="33AF0541" w14:textId="77777777" w:rsidR="008314DF" w:rsidRPr="001935D0" w:rsidRDefault="008314DF" w:rsidP="008314DF">
      <w:pPr>
        <w:pStyle w:val="NormalWeb"/>
        <w:spacing w:before="0" w:beforeAutospacing="0" w:after="0" w:afterAutospacing="0"/>
        <w:ind w:firstLine="709"/>
        <w:jc w:val="both"/>
        <w:rPr>
          <w:sz w:val="28"/>
          <w:szCs w:val="28"/>
        </w:rPr>
      </w:pPr>
      <w:r w:rsidRPr="001935D0">
        <w:rPr>
          <w:sz w:val="28"/>
          <w:szCs w:val="28"/>
        </w:rPr>
        <w:t>На международном уровне, в том числе в отношениях с третьими странами, таких как Казахстан, Хартия приобретает значение ориентира для построения и реформирования национальных систем защиты прав человека. Она предлагает универсальные модели правовой гармонизации, которые способны усиливать институциональную доверие, укреплять судоустройство и формировать новую культуру верховенства права.</w:t>
      </w:r>
    </w:p>
    <w:p w14:paraId="5C696288" w14:textId="17035457" w:rsidR="008314DF" w:rsidRDefault="008314DF" w:rsidP="008314DF">
      <w:pPr>
        <w:pStyle w:val="NormalWeb"/>
        <w:spacing w:before="0" w:beforeAutospacing="0" w:after="0" w:afterAutospacing="0"/>
        <w:ind w:firstLine="709"/>
        <w:jc w:val="both"/>
        <w:rPr>
          <w:sz w:val="28"/>
          <w:szCs w:val="28"/>
          <w:lang w:val="kk-KZ"/>
        </w:rPr>
      </w:pPr>
      <w:r w:rsidRPr="001935D0">
        <w:rPr>
          <w:sz w:val="28"/>
          <w:szCs w:val="28"/>
        </w:rPr>
        <w:t xml:space="preserve">Хартия Европейского </w:t>
      </w:r>
      <w:r w:rsidRPr="001935D0">
        <w:rPr>
          <w:sz w:val="28"/>
          <w:szCs w:val="28"/>
          <w:lang w:val="uk-UA"/>
        </w:rPr>
        <w:t>С</w:t>
      </w:r>
      <w:r w:rsidRPr="001935D0">
        <w:rPr>
          <w:sz w:val="28"/>
          <w:szCs w:val="28"/>
        </w:rPr>
        <w:t xml:space="preserve">оюза по правам человека выполняет ключевую институциональную функцию, интегрируя фундаментальные права во все сферы деятельности Европейского </w:t>
      </w:r>
      <w:r w:rsidRPr="001935D0">
        <w:rPr>
          <w:sz w:val="28"/>
          <w:szCs w:val="28"/>
          <w:lang w:val="uk-UA"/>
        </w:rPr>
        <w:t>С</w:t>
      </w:r>
      <w:r w:rsidRPr="001935D0">
        <w:rPr>
          <w:sz w:val="28"/>
          <w:szCs w:val="28"/>
        </w:rPr>
        <w:t>оюз</w:t>
      </w:r>
      <w:r w:rsidRPr="001935D0">
        <w:rPr>
          <w:sz w:val="28"/>
          <w:szCs w:val="28"/>
          <w:lang w:val="uk-UA"/>
        </w:rPr>
        <w:t>а</w:t>
      </w:r>
      <w:r w:rsidRPr="001935D0">
        <w:rPr>
          <w:sz w:val="28"/>
          <w:szCs w:val="28"/>
        </w:rPr>
        <w:t xml:space="preserve"> – от свободы передвижения, цифрового регулирования и экологической политики до миграции и судебной реформы. Её положения формируют единое правовое пространство ЕС, привязывая все уровни правотворчества и правоприменения к общим ценностям и стандартам. Принятие и применение Хартии ознаменовало переход от политической декларации к кодифицированной системе ценностей, обладающей реальным нормативным воздействием и определяющей правовой ландшафт Европы, что делает её не только декларативным, но и действенным инструментом нормативно-институциональной модели ЕС в области прав человека [7</w:t>
      </w:r>
      <w:r w:rsidR="00E35819">
        <w:rPr>
          <w:sz w:val="28"/>
          <w:szCs w:val="28"/>
          <w:lang w:val="kk-KZ"/>
        </w:rPr>
        <w:t>8</w:t>
      </w:r>
      <w:r w:rsidRPr="001935D0">
        <w:rPr>
          <w:sz w:val="28"/>
          <w:szCs w:val="28"/>
        </w:rPr>
        <w:t>].</w:t>
      </w:r>
    </w:p>
    <w:p w14:paraId="51F5E607" w14:textId="77777777" w:rsidR="008314DF" w:rsidRPr="008314DF" w:rsidRDefault="008314DF" w:rsidP="008314DF">
      <w:pPr>
        <w:pStyle w:val="NormalWeb"/>
        <w:spacing w:before="0" w:beforeAutospacing="0" w:after="0" w:afterAutospacing="0"/>
        <w:ind w:firstLine="709"/>
        <w:jc w:val="both"/>
        <w:rPr>
          <w:sz w:val="28"/>
          <w:szCs w:val="28"/>
          <w:lang w:val="kk-KZ"/>
        </w:rPr>
      </w:pPr>
    </w:p>
    <w:p w14:paraId="7DECF5F7" w14:textId="0E714948" w:rsidR="00E94B29" w:rsidRDefault="00E94B29" w:rsidP="00FC7EB8">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2.1 </w:t>
      </w:r>
      <w:r w:rsidR="00FC7EB8">
        <w:rPr>
          <w:rFonts w:ascii="Times New Roman" w:hAnsi="Times New Roman" w:cs="Times New Roman"/>
          <w:sz w:val="28"/>
          <w:szCs w:val="28"/>
        </w:rPr>
        <w:t>‒</w:t>
      </w:r>
      <w:r w:rsidRPr="001935D0">
        <w:rPr>
          <w:rFonts w:ascii="Times New Roman" w:hAnsi="Times New Roman" w:cs="Times New Roman"/>
          <w:sz w:val="28"/>
          <w:szCs w:val="28"/>
        </w:rPr>
        <w:t xml:space="preserve"> Структура и краткая характеристика глав и статей Хартии</w:t>
      </w:r>
    </w:p>
    <w:p w14:paraId="2B150182" w14:textId="77777777" w:rsidR="00FC7EB8" w:rsidRPr="00FC7EB8" w:rsidRDefault="00FC7EB8" w:rsidP="00FC7EB8">
      <w:pPr>
        <w:pStyle w:val="NoSpacing"/>
        <w:jc w:val="both"/>
        <w:rPr>
          <w:rFonts w:ascii="Times New Roman" w:hAnsi="Times New Roman" w:cs="Times New Roman"/>
          <w:sz w:val="16"/>
          <w:szCs w:val="16"/>
          <w:lang w:val="kk-KZ"/>
        </w:rPr>
      </w:pPr>
    </w:p>
    <w:tbl>
      <w:tblPr>
        <w:tblStyle w:val="TableGrid"/>
        <w:tblW w:w="0" w:type="auto"/>
        <w:jc w:val="center"/>
        <w:tblLook w:val="04A0" w:firstRow="1" w:lastRow="0" w:firstColumn="1" w:lastColumn="0" w:noHBand="0" w:noVBand="1"/>
      </w:tblPr>
      <w:tblGrid>
        <w:gridCol w:w="873"/>
        <w:gridCol w:w="2316"/>
        <w:gridCol w:w="6304"/>
      </w:tblGrid>
      <w:tr w:rsidR="00E94B29" w:rsidRPr="001935D0" w14:paraId="1ACBDA52" w14:textId="77777777" w:rsidTr="008314DF">
        <w:trPr>
          <w:jc w:val="center"/>
        </w:trPr>
        <w:tc>
          <w:tcPr>
            <w:tcW w:w="873" w:type="dxa"/>
            <w:vAlign w:val="center"/>
          </w:tcPr>
          <w:p w14:paraId="06A4F115" w14:textId="3F85D2A6" w:rsidR="00E94B29" w:rsidRPr="00FC7EB8" w:rsidRDefault="00FC7EB8" w:rsidP="00593711">
            <w:pPr>
              <w:jc w:val="both"/>
              <w:rPr>
                <w:rFonts w:ascii="Times New Roman" w:hAnsi="Times New Roman" w:cs="Times New Roman"/>
                <w:b/>
                <w:bCs/>
                <w:sz w:val="24"/>
                <w:szCs w:val="24"/>
                <w:lang w:val="kk-KZ"/>
              </w:rPr>
            </w:pPr>
            <w:r>
              <w:rPr>
                <w:rStyle w:val="Strong"/>
                <w:rFonts w:ascii="Times New Roman" w:hAnsi="Times New Roman" w:cs="Times New Roman"/>
                <w:b w:val="0"/>
                <w:sz w:val="24"/>
                <w:szCs w:val="24"/>
              </w:rPr>
              <w:t>Глав</w:t>
            </w:r>
            <w:r>
              <w:rPr>
                <w:rStyle w:val="Strong"/>
                <w:rFonts w:ascii="Times New Roman" w:hAnsi="Times New Roman" w:cs="Times New Roman"/>
                <w:b w:val="0"/>
                <w:sz w:val="24"/>
                <w:szCs w:val="24"/>
                <w:lang w:val="kk-KZ"/>
              </w:rPr>
              <w:t>ы</w:t>
            </w:r>
          </w:p>
        </w:tc>
        <w:tc>
          <w:tcPr>
            <w:tcW w:w="2316" w:type="dxa"/>
            <w:vAlign w:val="center"/>
          </w:tcPr>
          <w:p w14:paraId="00C158EC" w14:textId="77777777" w:rsidR="00E94B29" w:rsidRPr="00FC7EB8" w:rsidRDefault="00E94B29" w:rsidP="00593711">
            <w:pPr>
              <w:jc w:val="both"/>
              <w:rPr>
                <w:rFonts w:ascii="Times New Roman" w:hAnsi="Times New Roman" w:cs="Times New Roman"/>
                <w:b/>
                <w:bCs/>
                <w:sz w:val="24"/>
                <w:szCs w:val="24"/>
              </w:rPr>
            </w:pPr>
            <w:r w:rsidRPr="00FC7EB8">
              <w:rPr>
                <w:rStyle w:val="Strong"/>
                <w:rFonts w:ascii="Times New Roman" w:hAnsi="Times New Roman" w:cs="Times New Roman"/>
                <w:b w:val="0"/>
                <w:sz w:val="24"/>
                <w:szCs w:val="24"/>
              </w:rPr>
              <w:t>Название главы</w:t>
            </w:r>
          </w:p>
        </w:tc>
        <w:tc>
          <w:tcPr>
            <w:tcW w:w="6304" w:type="dxa"/>
            <w:vAlign w:val="center"/>
          </w:tcPr>
          <w:p w14:paraId="147D023F" w14:textId="77777777" w:rsidR="00E94B29" w:rsidRPr="00FC7EB8" w:rsidRDefault="00E94B29" w:rsidP="00593711">
            <w:pPr>
              <w:jc w:val="both"/>
              <w:rPr>
                <w:rFonts w:ascii="Times New Roman" w:hAnsi="Times New Roman" w:cs="Times New Roman"/>
                <w:b/>
                <w:bCs/>
                <w:sz w:val="24"/>
                <w:szCs w:val="24"/>
              </w:rPr>
            </w:pPr>
            <w:r w:rsidRPr="00FC7EB8">
              <w:rPr>
                <w:rStyle w:val="Strong"/>
                <w:rFonts w:ascii="Times New Roman" w:hAnsi="Times New Roman" w:cs="Times New Roman"/>
                <w:b w:val="0"/>
                <w:sz w:val="24"/>
                <w:szCs w:val="24"/>
              </w:rPr>
              <w:t>Охватываемые права и принципы</w:t>
            </w:r>
          </w:p>
        </w:tc>
      </w:tr>
      <w:tr w:rsidR="00E94B29" w:rsidRPr="001935D0" w14:paraId="0DB0ECCA" w14:textId="77777777" w:rsidTr="008314DF">
        <w:trPr>
          <w:jc w:val="center"/>
        </w:trPr>
        <w:tc>
          <w:tcPr>
            <w:tcW w:w="873" w:type="dxa"/>
            <w:vAlign w:val="center"/>
          </w:tcPr>
          <w:p w14:paraId="198339F2"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I</w:t>
            </w:r>
          </w:p>
        </w:tc>
        <w:tc>
          <w:tcPr>
            <w:tcW w:w="2316" w:type="dxa"/>
            <w:vAlign w:val="center"/>
          </w:tcPr>
          <w:p w14:paraId="5A52B2F2"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Достоинство (ст. 1–5)</w:t>
            </w:r>
          </w:p>
        </w:tc>
        <w:tc>
          <w:tcPr>
            <w:tcW w:w="6304" w:type="dxa"/>
            <w:vAlign w:val="center"/>
          </w:tcPr>
          <w:p w14:paraId="31A7CEAF" w14:textId="61868696"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Право на жизнь, телесную и моральную неприкос</w:t>
            </w:r>
            <w:r w:rsidR="008314DF">
              <w:rPr>
                <w:rFonts w:ascii="Times New Roman" w:hAnsi="Times New Roman" w:cs="Times New Roman"/>
                <w:sz w:val="24"/>
                <w:szCs w:val="24"/>
                <w:lang w:val="kk-KZ"/>
              </w:rPr>
              <w:t xml:space="preserve"> </w:t>
            </w:r>
            <w:r w:rsidRPr="001935D0">
              <w:rPr>
                <w:rFonts w:ascii="Times New Roman" w:hAnsi="Times New Roman" w:cs="Times New Roman"/>
                <w:sz w:val="24"/>
                <w:szCs w:val="24"/>
              </w:rPr>
              <w:t>новенность, запрет пыток, рабства и торговли людьми</w:t>
            </w:r>
          </w:p>
        </w:tc>
      </w:tr>
      <w:tr w:rsidR="00E94B29" w:rsidRPr="001935D0" w14:paraId="78325FD7" w14:textId="77777777" w:rsidTr="008314DF">
        <w:trPr>
          <w:jc w:val="center"/>
        </w:trPr>
        <w:tc>
          <w:tcPr>
            <w:tcW w:w="873" w:type="dxa"/>
            <w:vAlign w:val="center"/>
          </w:tcPr>
          <w:p w14:paraId="5778B35C"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II</w:t>
            </w:r>
          </w:p>
        </w:tc>
        <w:tc>
          <w:tcPr>
            <w:tcW w:w="2316" w:type="dxa"/>
            <w:vAlign w:val="center"/>
          </w:tcPr>
          <w:p w14:paraId="4C85B02E"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Свободы (ст. 6–19)</w:t>
            </w:r>
          </w:p>
        </w:tc>
        <w:tc>
          <w:tcPr>
            <w:tcW w:w="6304" w:type="dxa"/>
            <w:vAlign w:val="center"/>
          </w:tcPr>
          <w:p w14:paraId="3FC4B3CC"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Свобода личности, убеждений, передвижения, образования, предпринимательства; защита неприкосновенности жилья</w:t>
            </w:r>
          </w:p>
        </w:tc>
      </w:tr>
      <w:tr w:rsidR="00E94B29" w:rsidRPr="001935D0" w14:paraId="01B3CEE3" w14:textId="77777777" w:rsidTr="008314DF">
        <w:trPr>
          <w:jc w:val="center"/>
        </w:trPr>
        <w:tc>
          <w:tcPr>
            <w:tcW w:w="873" w:type="dxa"/>
            <w:vAlign w:val="center"/>
          </w:tcPr>
          <w:p w14:paraId="3F93A6ED"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III</w:t>
            </w:r>
          </w:p>
        </w:tc>
        <w:tc>
          <w:tcPr>
            <w:tcW w:w="2316" w:type="dxa"/>
            <w:vAlign w:val="center"/>
          </w:tcPr>
          <w:p w14:paraId="1E77BAA0"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Равенство (ст. 20–26)</w:t>
            </w:r>
          </w:p>
        </w:tc>
        <w:tc>
          <w:tcPr>
            <w:tcW w:w="6304" w:type="dxa"/>
            <w:vAlign w:val="center"/>
          </w:tcPr>
          <w:p w14:paraId="723F4E82"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Равенство перед законом, недискриминация, защита культурных, языковых и религиозных меньшинств</w:t>
            </w:r>
          </w:p>
        </w:tc>
      </w:tr>
      <w:tr w:rsidR="00E94B29" w:rsidRPr="001935D0" w14:paraId="3787B975" w14:textId="77777777" w:rsidTr="008314DF">
        <w:trPr>
          <w:jc w:val="center"/>
        </w:trPr>
        <w:tc>
          <w:tcPr>
            <w:tcW w:w="873" w:type="dxa"/>
            <w:vAlign w:val="center"/>
          </w:tcPr>
          <w:p w14:paraId="6A147F1A"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IV</w:t>
            </w:r>
          </w:p>
        </w:tc>
        <w:tc>
          <w:tcPr>
            <w:tcW w:w="2316" w:type="dxa"/>
            <w:vAlign w:val="center"/>
          </w:tcPr>
          <w:p w14:paraId="2F5D01D5"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Солидарность (ст. 27–38)</w:t>
            </w:r>
          </w:p>
        </w:tc>
        <w:tc>
          <w:tcPr>
            <w:tcW w:w="6304" w:type="dxa"/>
            <w:vAlign w:val="center"/>
          </w:tcPr>
          <w:p w14:paraId="1E1C1CC0"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Права работников, социальная защита, охрана здоровья, устойчивое развитие, защита потребителей</w:t>
            </w:r>
          </w:p>
        </w:tc>
      </w:tr>
      <w:tr w:rsidR="00E94B29" w:rsidRPr="001935D0" w14:paraId="3B728E8D" w14:textId="77777777" w:rsidTr="008314DF">
        <w:trPr>
          <w:jc w:val="center"/>
        </w:trPr>
        <w:tc>
          <w:tcPr>
            <w:tcW w:w="873" w:type="dxa"/>
            <w:vAlign w:val="center"/>
          </w:tcPr>
          <w:p w14:paraId="6CE290D2"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V</w:t>
            </w:r>
          </w:p>
        </w:tc>
        <w:tc>
          <w:tcPr>
            <w:tcW w:w="2316" w:type="dxa"/>
            <w:vAlign w:val="center"/>
          </w:tcPr>
          <w:p w14:paraId="4ADAC7E4"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Гражданские права (ст. 39–46)</w:t>
            </w:r>
          </w:p>
        </w:tc>
        <w:tc>
          <w:tcPr>
            <w:tcW w:w="6304" w:type="dxa"/>
            <w:vAlign w:val="center"/>
          </w:tcPr>
          <w:p w14:paraId="46335C8E"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Избирательные права, право на добросовестное администрирование, доступ к официальным документам</w:t>
            </w:r>
          </w:p>
        </w:tc>
      </w:tr>
      <w:tr w:rsidR="00E94B29" w:rsidRPr="001935D0" w14:paraId="3F4D3E39" w14:textId="77777777" w:rsidTr="008314DF">
        <w:trPr>
          <w:jc w:val="center"/>
        </w:trPr>
        <w:tc>
          <w:tcPr>
            <w:tcW w:w="873" w:type="dxa"/>
            <w:vAlign w:val="center"/>
          </w:tcPr>
          <w:p w14:paraId="34D37E55"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VI</w:t>
            </w:r>
          </w:p>
        </w:tc>
        <w:tc>
          <w:tcPr>
            <w:tcW w:w="2316" w:type="dxa"/>
            <w:vAlign w:val="center"/>
          </w:tcPr>
          <w:p w14:paraId="30A244D1"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Правосудие (ст. 47–50)</w:t>
            </w:r>
          </w:p>
        </w:tc>
        <w:tc>
          <w:tcPr>
            <w:tcW w:w="6304" w:type="dxa"/>
            <w:vAlign w:val="center"/>
          </w:tcPr>
          <w:p w14:paraId="5C36D9C5"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Право на справедливое судебное разбирательство, презумпция невиновности, принцип законности и неприменения ретроактивности</w:t>
            </w:r>
          </w:p>
        </w:tc>
      </w:tr>
      <w:tr w:rsidR="00E94B29" w:rsidRPr="001935D0" w14:paraId="43C024F1" w14:textId="77777777" w:rsidTr="008314DF">
        <w:trPr>
          <w:jc w:val="center"/>
        </w:trPr>
        <w:tc>
          <w:tcPr>
            <w:tcW w:w="873" w:type="dxa"/>
            <w:vAlign w:val="center"/>
          </w:tcPr>
          <w:p w14:paraId="1158DA84"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VII</w:t>
            </w:r>
          </w:p>
        </w:tc>
        <w:tc>
          <w:tcPr>
            <w:tcW w:w="2316" w:type="dxa"/>
            <w:vAlign w:val="center"/>
          </w:tcPr>
          <w:p w14:paraId="18C3AA36"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Общие положения (ст. 51–54)</w:t>
            </w:r>
          </w:p>
        </w:tc>
        <w:tc>
          <w:tcPr>
            <w:tcW w:w="6304" w:type="dxa"/>
            <w:vAlign w:val="center"/>
          </w:tcPr>
          <w:p w14:paraId="25658C32" w14:textId="00E625DA"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Определение сферы действия Хартии, толкование, уваже</w:t>
            </w:r>
            <w:r w:rsidR="008314DF">
              <w:rPr>
                <w:rFonts w:ascii="Times New Roman" w:hAnsi="Times New Roman" w:cs="Times New Roman"/>
                <w:sz w:val="24"/>
                <w:szCs w:val="24"/>
                <w:lang w:val="kk-KZ"/>
              </w:rPr>
              <w:t xml:space="preserve"> </w:t>
            </w:r>
            <w:r w:rsidRPr="001935D0">
              <w:rPr>
                <w:rFonts w:ascii="Times New Roman" w:hAnsi="Times New Roman" w:cs="Times New Roman"/>
                <w:sz w:val="24"/>
                <w:szCs w:val="24"/>
              </w:rPr>
              <w:t>ние национальной идентичности, пределы применения</w:t>
            </w:r>
          </w:p>
        </w:tc>
      </w:tr>
      <w:tr w:rsidR="008314DF" w:rsidRPr="001935D0" w14:paraId="6524123F" w14:textId="77777777" w:rsidTr="00187279">
        <w:trPr>
          <w:jc w:val="center"/>
        </w:trPr>
        <w:tc>
          <w:tcPr>
            <w:tcW w:w="9493" w:type="dxa"/>
            <w:gridSpan w:val="3"/>
            <w:vAlign w:val="center"/>
          </w:tcPr>
          <w:p w14:paraId="6C2867D4" w14:textId="29039CFC" w:rsidR="008314DF" w:rsidRPr="001935D0" w:rsidRDefault="008314DF" w:rsidP="00E35819">
            <w:pPr>
              <w:ind w:firstLine="52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sidR="00E35819">
              <w:rPr>
                <w:rFonts w:ascii="Times New Roman" w:hAnsi="Times New Roman" w:cs="Times New Roman"/>
                <w:sz w:val="24"/>
                <w:szCs w:val="24"/>
                <w:lang w:val="kk-KZ"/>
              </w:rPr>
              <w:t xml:space="preserve">источника </w:t>
            </w:r>
            <w:r w:rsidRPr="001935D0">
              <w:rPr>
                <w:rFonts w:ascii="Times New Roman" w:hAnsi="Times New Roman" w:cs="Times New Roman"/>
                <w:sz w:val="24"/>
                <w:szCs w:val="24"/>
              </w:rPr>
              <w:t>[7</w:t>
            </w:r>
            <w:r w:rsidR="00E35819">
              <w:rPr>
                <w:rFonts w:ascii="Times New Roman" w:hAnsi="Times New Roman" w:cs="Times New Roman"/>
                <w:sz w:val="24"/>
                <w:szCs w:val="24"/>
                <w:lang w:val="kk-KZ"/>
              </w:rPr>
              <w:t>8</w:t>
            </w:r>
            <w:r w:rsidRPr="001935D0">
              <w:rPr>
                <w:rFonts w:ascii="Times New Roman" w:hAnsi="Times New Roman" w:cs="Times New Roman"/>
                <w:sz w:val="24"/>
                <w:szCs w:val="24"/>
              </w:rPr>
              <w:t>]</w:t>
            </w:r>
          </w:p>
        </w:tc>
      </w:tr>
    </w:tbl>
    <w:p w14:paraId="2A97FAA3" w14:textId="77777777" w:rsidR="00E94B29" w:rsidRPr="001935D0" w:rsidRDefault="00E94B29" w:rsidP="00593711">
      <w:pPr>
        <w:pStyle w:val="NormalWeb"/>
        <w:spacing w:before="0" w:beforeAutospacing="0" w:after="0" w:afterAutospacing="0"/>
        <w:ind w:firstLine="709"/>
        <w:jc w:val="both"/>
        <w:rPr>
          <w:sz w:val="28"/>
          <w:szCs w:val="28"/>
        </w:rPr>
      </w:pPr>
    </w:p>
    <w:p w14:paraId="7DE04DBB" w14:textId="39E752FF"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 xml:space="preserve">Агентство Европейского Союза по основным правам в своём докладе </w:t>
      </w:r>
      <w:r w:rsidRPr="001935D0">
        <w:rPr>
          <w:rStyle w:val="Emphasis"/>
          <w:sz w:val="28"/>
          <w:szCs w:val="28"/>
        </w:rPr>
        <w:t>Fundamental Rights Report 2020</w:t>
      </w:r>
      <w:r w:rsidRPr="001935D0">
        <w:rPr>
          <w:sz w:val="28"/>
          <w:szCs w:val="28"/>
        </w:rPr>
        <w:t xml:space="preserve"> (FRA) [</w:t>
      </w:r>
      <w:r w:rsidR="00E35819">
        <w:rPr>
          <w:sz w:val="28"/>
          <w:szCs w:val="28"/>
          <w:lang w:val="kk-KZ"/>
        </w:rPr>
        <w:t>79</w:t>
      </w:r>
      <w:r w:rsidRPr="001935D0">
        <w:rPr>
          <w:sz w:val="28"/>
          <w:szCs w:val="28"/>
        </w:rPr>
        <w:t>] подвело итоги первого десятилетия действия Хартии ЕС об основных правах в качестве юридически обязательного документа. Данный обзор представляет собой ценный источник для оценки степени институционализации прав человека в рамках правовой системы ЕС, а также выявления пробелов в реализации положений Хартии на национальном уровне.</w:t>
      </w:r>
    </w:p>
    <w:p w14:paraId="21130D4D" w14:textId="77777777"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Однако, как отмечает FRA, на национальном уровне наблюдается значительная фрагментарность в применении Хартии. Многие государства-члены трактуют сферу её действия узко – только в случаях прямой реализации права ЕС. Кроме того, слабая информированность представителей судейского корпуса, госслужащих и практикующих юристов снижает её эффективность как инструмента защиты прав человека.</w:t>
      </w:r>
    </w:p>
    <w:p w14:paraId="72F1FAF1" w14:textId="77777777" w:rsidR="00E94B29" w:rsidRDefault="00E94B29" w:rsidP="00593711">
      <w:pPr>
        <w:pStyle w:val="NormalWeb"/>
        <w:spacing w:before="0" w:beforeAutospacing="0" w:after="0" w:afterAutospacing="0"/>
        <w:ind w:firstLine="709"/>
        <w:jc w:val="both"/>
        <w:rPr>
          <w:sz w:val="28"/>
          <w:szCs w:val="28"/>
          <w:lang w:val="kk-KZ"/>
        </w:rPr>
      </w:pPr>
      <w:r w:rsidRPr="001935D0">
        <w:rPr>
          <w:sz w:val="28"/>
          <w:szCs w:val="28"/>
        </w:rPr>
        <w:t>FRA указывает на необходимость перехода от декларативного статуса Хартии к её функциональному использованию (рисунок 2.2).</w:t>
      </w:r>
    </w:p>
    <w:p w14:paraId="4822949B" w14:textId="7D027DB7" w:rsidR="008314DF" w:rsidRPr="001935D0" w:rsidRDefault="008314DF" w:rsidP="008314DF">
      <w:pPr>
        <w:pStyle w:val="NormalWeb"/>
        <w:spacing w:before="0" w:beforeAutospacing="0" w:after="0" w:afterAutospacing="0"/>
        <w:ind w:firstLine="709"/>
        <w:jc w:val="both"/>
        <w:rPr>
          <w:sz w:val="16"/>
          <w:szCs w:val="16"/>
        </w:rPr>
      </w:pPr>
      <w:r w:rsidRPr="001935D0">
        <w:rPr>
          <w:sz w:val="28"/>
          <w:szCs w:val="28"/>
        </w:rPr>
        <w:t>Необходимо отметить, что Хартия играет ключевую роль в формировании единого правового пространства, основанного на уважении человеческого достоинства, верховенстве права и принципах демократического управления. Она обеспечивает нормативную связку между учредительными договорами ЕС, практикой Суда Европейского Союза и правовыми традициями государств-членов. Её институционализация способствует укреплению правовой идентичности ЕС и формированию согласованной системы защиты прав человека в условиях наднациональной интеграции [</w:t>
      </w:r>
      <w:r w:rsidR="00E35819">
        <w:rPr>
          <w:sz w:val="28"/>
          <w:szCs w:val="28"/>
          <w:lang w:val="kk-KZ"/>
        </w:rPr>
        <w:t>79</w:t>
      </w:r>
      <w:r w:rsidRPr="001935D0">
        <w:rPr>
          <w:sz w:val="28"/>
          <w:szCs w:val="28"/>
        </w:rPr>
        <w:t>]</w:t>
      </w:r>
      <w:r w:rsidRPr="001935D0">
        <w:t>.</w:t>
      </w:r>
    </w:p>
    <w:p w14:paraId="394EAC1C" w14:textId="77777777" w:rsidR="008314DF" w:rsidRDefault="008314DF" w:rsidP="00593711">
      <w:pPr>
        <w:pStyle w:val="NormalWeb"/>
        <w:spacing w:before="0" w:beforeAutospacing="0" w:after="0" w:afterAutospacing="0"/>
        <w:ind w:firstLine="709"/>
        <w:jc w:val="both"/>
        <w:rPr>
          <w:sz w:val="28"/>
          <w:szCs w:val="28"/>
          <w:lang w:val="kk-KZ"/>
        </w:rPr>
      </w:pPr>
    </w:p>
    <w:p w14:paraId="54C34651" w14:textId="77777777" w:rsidR="00C41150" w:rsidRDefault="00C41150" w:rsidP="00593711">
      <w:pPr>
        <w:pStyle w:val="NormalWeb"/>
        <w:spacing w:before="0" w:beforeAutospacing="0" w:after="0" w:afterAutospacing="0"/>
        <w:ind w:firstLine="709"/>
        <w:jc w:val="both"/>
        <w:rPr>
          <w:sz w:val="28"/>
          <w:szCs w:val="28"/>
          <w:lang w:val="kk-KZ"/>
        </w:rPr>
      </w:pPr>
    </w:p>
    <w:p w14:paraId="4834E3B1" w14:textId="59AE1CDF" w:rsidR="00E94B29" w:rsidRPr="001935D0" w:rsidRDefault="008314DF" w:rsidP="00593711">
      <w:pPr>
        <w:pStyle w:val="NormalWeb"/>
        <w:spacing w:before="0" w:beforeAutospacing="0" w:after="0" w:afterAutospacing="0"/>
        <w:ind w:firstLine="709"/>
        <w:jc w:val="both"/>
        <w:rPr>
          <w:sz w:val="28"/>
          <w:szCs w:val="28"/>
        </w:rPr>
      </w:pPr>
      <w:r>
        <w:rPr>
          <w:noProof/>
          <w:sz w:val="28"/>
          <w:szCs w:val="28"/>
        </w:rPr>
        <w:lastRenderedPageBreak/>
        <mc:AlternateContent>
          <mc:Choice Requires="wpg">
            <w:drawing>
              <wp:anchor distT="0" distB="0" distL="114300" distR="114300" simplePos="0" relativeHeight="251675648" behindDoc="0" locked="0" layoutInCell="1" allowOverlap="1" wp14:anchorId="079671E7" wp14:editId="22AFEE37">
                <wp:simplePos x="0" y="0"/>
                <wp:positionH relativeFrom="column">
                  <wp:posOffset>153242</wp:posOffset>
                </wp:positionH>
                <wp:positionV relativeFrom="paragraph">
                  <wp:posOffset>48733</wp:posOffset>
                </wp:positionV>
                <wp:extent cx="5966336" cy="4869711"/>
                <wp:effectExtent l="0" t="0" r="15875" b="26670"/>
                <wp:wrapNone/>
                <wp:docPr id="51" name="Группа 51"/>
                <wp:cNvGraphicFramePr/>
                <a:graphic xmlns:a="http://schemas.openxmlformats.org/drawingml/2006/main">
                  <a:graphicData uri="http://schemas.microsoft.com/office/word/2010/wordprocessingGroup">
                    <wpg:wgp>
                      <wpg:cNvGrpSpPr/>
                      <wpg:grpSpPr>
                        <a:xfrm>
                          <a:off x="0" y="0"/>
                          <a:ext cx="5966336" cy="4869711"/>
                          <a:chOff x="0" y="0"/>
                          <a:chExt cx="5966336" cy="4869711"/>
                        </a:xfrm>
                      </wpg:grpSpPr>
                      <wps:wsp>
                        <wps:cNvPr id="12" name="Прямокутник: округлені кути 7"/>
                        <wps:cNvSpPr/>
                        <wps:spPr>
                          <a:xfrm>
                            <a:off x="0" y="0"/>
                            <a:ext cx="5880100" cy="1771650"/>
                          </a:xfrm>
                          <a:prstGeom prst="roundRect">
                            <a:avLst/>
                          </a:prstGeom>
                          <a:noFill/>
                          <a:ln>
                            <a:solidFill>
                              <a:schemeClr val="tx1"/>
                            </a:solidFill>
                            <a:prstDash val="dash"/>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кутник: округлені кути 8"/>
                        <wps:cNvSpPr/>
                        <wps:spPr>
                          <a:xfrm>
                            <a:off x="570585" y="58522"/>
                            <a:ext cx="4705350" cy="30723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Стрілка: униз 10"/>
                        <wps:cNvSpPr/>
                        <wps:spPr>
                          <a:xfrm>
                            <a:off x="2596896" y="1770278"/>
                            <a:ext cx="585216" cy="307238"/>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окутник: округлені кути 11"/>
                        <wps:cNvSpPr/>
                        <wps:spPr>
                          <a:xfrm>
                            <a:off x="395021" y="2296973"/>
                            <a:ext cx="5397500" cy="3937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кутник 13"/>
                        <wps:cNvSpPr/>
                        <wps:spPr>
                          <a:xfrm>
                            <a:off x="124336" y="2128375"/>
                            <a:ext cx="5842000" cy="2741336"/>
                          </a:xfrm>
                          <a:prstGeom prst="rect">
                            <a:avLst/>
                          </a:prstGeom>
                          <a:noFill/>
                          <a:ln>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Поле 49"/>
                        <wps:cNvSpPr txBox="1"/>
                        <wps:spPr>
                          <a:xfrm>
                            <a:off x="512064" y="58522"/>
                            <a:ext cx="4791075" cy="2774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10E1E3" w14:textId="226E2E48" w:rsidR="005D5FED" w:rsidRDefault="005D5FED" w:rsidP="008314DF">
                              <w:pPr>
                                <w:jc w:val="center"/>
                              </w:pPr>
                              <w:r w:rsidRPr="001935D0">
                                <w:rPr>
                                  <w:rFonts w:ascii="Times New Roman" w:hAnsi="Times New Roman" w:cs="Times New Roman"/>
                                  <w:sz w:val="24"/>
                                  <w:szCs w:val="24"/>
                                </w:rPr>
                                <w:t>Ключевые вызовы функционального использования статуса Хартии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Поле 50"/>
                        <wps:cNvSpPr txBox="1"/>
                        <wps:spPr>
                          <a:xfrm>
                            <a:off x="1009497" y="2340864"/>
                            <a:ext cx="4373880"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7DA4C5" w14:textId="4AF57719" w:rsidR="005D5FED" w:rsidRPr="008314DF" w:rsidRDefault="005D5FED" w:rsidP="008314DF">
                              <w:pPr>
                                <w:jc w:val="center"/>
                                <w:rPr>
                                  <w:rFonts w:ascii="Times New Roman" w:hAnsi="Times New Roman" w:cs="Times New Roman"/>
                                  <w:sz w:val="24"/>
                                  <w:szCs w:val="24"/>
                                </w:rPr>
                              </w:pPr>
                              <w:r w:rsidRPr="008314DF">
                                <w:rPr>
                                  <w:rFonts w:ascii="Times New Roman" w:hAnsi="Times New Roman" w:cs="Times New Roman"/>
                                  <w:sz w:val="24"/>
                                  <w:szCs w:val="24"/>
                                </w:rPr>
                                <w:t>Для устранения этих проблем доклад рекомендуют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79671E7" id="Группа 51" o:spid="_x0000_s1026" style="position:absolute;left:0;text-align:left;margin-left:12.05pt;margin-top:3.85pt;width:469.8pt;height:383.45pt;z-index:251675648;mso-width-relative:margin;mso-height-relative:margin" coordsize="59663,48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">
                <v:roundrect id="Прямокутник: округлені кути 7" o:spid="_x0000_s1027" style="position:absolute;width:58801;height:17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" filled="f" strokecolor="black [3213]" strokeweight="1pt">
                  <v:stroke dashstyle="dash" joinstyle="miter"/>
                </v:roundrect>
                <v:roundrect id="Прямокутник: округлені кути 8" o:spid="_x0000_s1028" style="position:absolute;left:5705;top:585;width:47054;height:30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" filled="f" strokecolor="black [3213]" strokeweight="1pt">
                  <v:stroke joinstyle="miter"/>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униз 10" o:spid="_x0000_s1029" type="#_x0000_t67" style="position:absolute;left:25968;top:17702;width:5853;height:3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" adj="10800" fillcolor="white [3201]" strokecolor="black [3213]" strokeweight="1pt"/>
                <v:roundrect id="Прямокутник: округлені кути 11" o:spid="_x0000_s1030" style="position:absolute;left:3950;top:22969;width:53975;height:39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" filled="f" strokecolor="black [3213]" strokeweight="1pt">
                  <v:stroke joinstyle="miter"/>
                </v:roundrect>
                <v:rect id="Прямокутник 13" o:spid="_x0000_s1031" style="position:absolute;left:1243;top:21283;width:58420;height:27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" filled="f" strokecolor="black [3213]" strokeweight="1pt">
                  <v:stroke dashstyle="longDash"/>
                </v:rect>
                <v:shapetype id="_x0000_t202" coordsize="21600,21600" o:spt="202" path="m,l,21600r21600,l21600,xe">
                  <v:stroke joinstyle="miter"/>
                  <v:path gradientshapeok="t" o:connecttype="rect"/>
                </v:shapetype>
                <v:shape id="Поле 49" o:spid="_x0000_s1032" type="#_x0000_t202" style="position:absolute;left:5120;top:585;width:47911;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7210E1E3" w14:textId="226E2E48" w:rsidR="005D5FED" w:rsidRDefault="005D5FED" w:rsidP="008314DF">
                        <w:pPr>
                          <w:jc w:val="center"/>
                        </w:pPr>
                        <w:r w:rsidRPr="001935D0">
                          <w:rPr>
                            <w:rFonts w:ascii="Times New Roman" w:hAnsi="Times New Roman" w:cs="Times New Roman"/>
                            <w:sz w:val="24"/>
                            <w:szCs w:val="24"/>
                          </w:rPr>
                          <w:t>Ключевые вызовы функционального использования статуса Хартии</w:t>
                        </w:r>
                      </w:p>
                    </w:txbxContent>
                  </v:textbox>
                </v:shape>
                <v:shape id="Поле 50" o:spid="_x0000_s1033" type="#_x0000_t202" style="position:absolute;left:10094;top:23408;width:43739;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1B7DA4C5" w14:textId="4AF57719" w:rsidR="005D5FED" w:rsidRPr="008314DF" w:rsidRDefault="005D5FED" w:rsidP="008314DF">
                        <w:pPr>
                          <w:jc w:val="center"/>
                          <w:rPr>
                            <w:rFonts w:ascii="Times New Roman" w:hAnsi="Times New Roman" w:cs="Times New Roman"/>
                            <w:sz w:val="24"/>
                            <w:szCs w:val="24"/>
                          </w:rPr>
                        </w:pPr>
                        <w:r w:rsidRPr="008314DF">
                          <w:rPr>
                            <w:rFonts w:ascii="Times New Roman" w:hAnsi="Times New Roman" w:cs="Times New Roman"/>
                            <w:sz w:val="24"/>
                            <w:szCs w:val="24"/>
                          </w:rPr>
                          <w:t>Для устранения этих проблем доклад рекомендуют</w:t>
                        </w:r>
                      </w:p>
                    </w:txbxContent>
                  </v:textbox>
                </v:shape>
              </v:group>
            </w:pict>
          </mc:Fallback>
        </mc:AlternateContent>
      </w:r>
    </w:p>
    <w:p w14:paraId="300FC5C2" w14:textId="1F066173" w:rsidR="00E94B29" w:rsidRPr="001935D0" w:rsidRDefault="00E94B29" w:rsidP="00593711">
      <w:pPr>
        <w:pStyle w:val="NormalWeb"/>
        <w:spacing w:before="0" w:beforeAutospacing="0" w:after="0" w:afterAutospacing="0"/>
        <w:ind w:firstLine="709"/>
        <w:jc w:val="both"/>
        <w:rPr>
          <w:sz w:val="28"/>
          <w:szCs w:val="28"/>
        </w:rPr>
      </w:pPr>
    </w:p>
    <w:p w14:paraId="68226FC0" w14:textId="34119AD8" w:rsidR="00E94B29" w:rsidRPr="001935D0" w:rsidRDefault="00E94B29" w:rsidP="00593711">
      <w:pPr>
        <w:spacing w:after="0" w:line="240" w:lineRule="auto"/>
        <w:jc w:val="center"/>
        <w:rPr>
          <w:rFonts w:ascii="Times New Roman" w:hAnsi="Times New Roman" w:cs="Times New Roman"/>
          <w:sz w:val="24"/>
          <w:szCs w:val="24"/>
        </w:rPr>
      </w:pPr>
    </w:p>
    <w:p w14:paraId="0C261582" w14:textId="77777777" w:rsidR="00E94B29" w:rsidRPr="001935D0" w:rsidRDefault="00E94B29" w:rsidP="00593711">
      <w:pPr>
        <w:pStyle w:val="NormalWeb"/>
        <w:tabs>
          <w:tab w:val="left" w:pos="2490"/>
        </w:tabs>
        <w:spacing w:before="0" w:beforeAutospacing="0" w:after="0" w:afterAutospacing="0"/>
        <w:ind w:firstLine="709"/>
        <w:jc w:val="both"/>
        <w:rPr>
          <w:sz w:val="28"/>
          <w:szCs w:val="28"/>
        </w:rPr>
      </w:pPr>
      <w:r w:rsidRPr="001935D0">
        <w:rPr>
          <w:noProof/>
          <w:sz w:val="28"/>
          <w:szCs w:val="28"/>
        </w:rPr>
        <mc:AlternateContent>
          <mc:Choice Requires="wps">
            <w:drawing>
              <wp:anchor distT="0" distB="0" distL="114300" distR="114300" simplePos="0" relativeHeight="251663360" behindDoc="0" locked="0" layoutInCell="1" allowOverlap="1" wp14:anchorId="268C76C9" wp14:editId="58C3E482">
                <wp:simplePos x="0" y="0"/>
                <wp:positionH relativeFrom="column">
                  <wp:posOffset>3066415</wp:posOffset>
                </wp:positionH>
                <wp:positionV relativeFrom="paragraph">
                  <wp:posOffset>35560</wp:posOffset>
                </wp:positionV>
                <wp:extent cx="12700" cy="209550"/>
                <wp:effectExtent l="76200" t="0" r="63500" b="57150"/>
                <wp:wrapNone/>
                <wp:docPr id="13" name="Пряма зі стрілкою 9"/>
                <wp:cNvGraphicFramePr/>
                <a:graphic xmlns:a="http://schemas.openxmlformats.org/drawingml/2006/main">
                  <a:graphicData uri="http://schemas.microsoft.com/office/word/2010/wordprocessingShape">
                    <wps:wsp>
                      <wps:cNvCnPr/>
                      <wps:spPr>
                        <a:xfrm flipH="1">
                          <a:off x="0" y="0"/>
                          <a:ext cx="1270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A8602E6" id="_x0000_t32" coordsize="21600,21600" o:spt="32" o:oned="t" path="m,l21600,21600e" filled="f">
                <v:path arrowok="t" fillok="f" o:connecttype="none"/>
                <o:lock v:ext="edit" shapetype="t"/>
              </v:shapetype>
              <v:shape id="Пряма зі стрілкою 9" o:spid="_x0000_s1026" type="#_x0000_t32" style="position:absolute;margin-left:241.45pt;margin-top:2.8pt;width:1pt;height:16.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" strokecolor="black [3200]" strokeweight=".5pt">
                <v:stroke endarrow="block" joinstyle="miter"/>
              </v:shape>
            </w:pict>
          </mc:Fallback>
        </mc:AlternateContent>
      </w:r>
      <w:r w:rsidRPr="001935D0">
        <w:rPr>
          <w:noProof/>
          <w:sz w:val="28"/>
          <w:szCs w:val="28"/>
        </w:rPr>
        <mc:AlternateContent>
          <mc:Choice Requires="wps">
            <w:drawing>
              <wp:anchor distT="0" distB="0" distL="114300" distR="114300" simplePos="0" relativeHeight="251659264" behindDoc="0" locked="0" layoutInCell="1" allowOverlap="1" wp14:anchorId="57044103" wp14:editId="6E2222B2">
                <wp:simplePos x="0" y="0"/>
                <wp:positionH relativeFrom="column">
                  <wp:posOffset>1593215</wp:posOffset>
                </wp:positionH>
                <wp:positionV relativeFrom="paragraph">
                  <wp:posOffset>16510</wp:posOffset>
                </wp:positionV>
                <wp:extent cx="463550" cy="196850"/>
                <wp:effectExtent l="38100" t="0" r="31750" b="69850"/>
                <wp:wrapNone/>
                <wp:docPr id="14" name="Пряма зі стрілкою 4"/>
                <wp:cNvGraphicFramePr/>
                <a:graphic xmlns:a="http://schemas.openxmlformats.org/drawingml/2006/main">
                  <a:graphicData uri="http://schemas.microsoft.com/office/word/2010/wordprocessingShape">
                    <wps:wsp>
                      <wps:cNvCnPr/>
                      <wps:spPr>
                        <a:xfrm flipH="1">
                          <a:off x="0" y="0"/>
                          <a:ext cx="463550" cy="196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EB7B4DB" id="Пряма зі стрілкою 4" o:spid="_x0000_s1026" type="#_x0000_t32" style="position:absolute;margin-left:125.45pt;margin-top:1.3pt;width:36.5pt;height:1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" strokecolor="black [3200]" strokeweight=".5pt">
                <v:stroke endarrow="block" joinstyle="miter"/>
              </v:shape>
            </w:pict>
          </mc:Fallback>
        </mc:AlternateContent>
      </w:r>
      <w:r w:rsidRPr="001935D0">
        <w:rPr>
          <w:noProof/>
          <w:sz w:val="28"/>
          <w:szCs w:val="28"/>
        </w:rPr>
        <mc:AlternateContent>
          <mc:Choice Requires="wps">
            <w:drawing>
              <wp:anchor distT="0" distB="0" distL="114300" distR="114300" simplePos="0" relativeHeight="251660288" behindDoc="0" locked="0" layoutInCell="1" allowOverlap="1" wp14:anchorId="6194F39C" wp14:editId="2E99EDD7">
                <wp:simplePos x="0" y="0"/>
                <wp:positionH relativeFrom="column">
                  <wp:posOffset>3726815</wp:posOffset>
                </wp:positionH>
                <wp:positionV relativeFrom="paragraph">
                  <wp:posOffset>16510</wp:posOffset>
                </wp:positionV>
                <wp:extent cx="717550" cy="184150"/>
                <wp:effectExtent l="0" t="0" r="63500" b="82550"/>
                <wp:wrapNone/>
                <wp:docPr id="15" name="Пряма зі стрілкою 6"/>
                <wp:cNvGraphicFramePr/>
                <a:graphic xmlns:a="http://schemas.openxmlformats.org/drawingml/2006/main">
                  <a:graphicData uri="http://schemas.microsoft.com/office/word/2010/wordprocessingShape">
                    <wps:wsp>
                      <wps:cNvCnPr/>
                      <wps:spPr>
                        <a:xfrm>
                          <a:off x="0" y="0"/>
                          <a:ext cx="717550" cy="184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029FEAD" id="Пряма зі стрілкою 6" o:spid="_x0000_s1026" type="#_x0000_t32" style="position:absolute;margin-left:293.45pt;margin-top:1.3pt;width:56.5pt;height: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" strokecolor="black [3200]" strokeweight=".5pt">
                <v:stroke endarrow="block" joinstyle="miter"/>
              </v:shape>
            </w:pict>
          </mc:Fallback>
        </mc:AlternateContent>
      </w:r>
    </w:p>
    <w:p w14:paraId="2C13E043" w14:textId="77777777" w:rsidR="00E94B29" w:rsidRPr="001935D0" w:rsidRDefault="00E94B29" w:rsidP="00593711">
      <w:pPr>
        <w:pStyle w:val="NormalWeb"/>
        <w:spacing w:before="0" w:beforeAutospacing="0" w:after="0" w:afterAutospacing="0"/>
        <w:ind w:firstLine="709"/>
        <w:jc w:val="both"/>
        <w:rPr>
          <w:sz w:val="28"/>
          <w:szCs w:val="28"/>
        </w:rPr>
      </w:pPr>
      <w:r w:rsidRPr="001935D0">
        <w:rPr>
          <w:noProof/>
          <w:sz w:val="28"/>
          <w:szCs w:val="28"/>
        </w:rPr>
        <w:drawing>
          <wp:inline distT="0" distB="0" distL="0" distR="0" wp14:anchorId="3B42049F" wp14:editId="0B1BA33F">
            <wp:extent cx="5486400" cy="920750"/>
            <wp:effectExtent l="19050" t="0" r="57150" b="3175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118F417C" w14:textId="29AF1416" w:rsidR="00E94B29" w:rsidRPr="001935D0" w:rsidRDefault="00E94B29" w:rsidP="00593711">
      <w:pPr>
        <w:pStyle w:val="NormalWeb"/>
        <w:spacing w:before="0" w:beforeAutospacing="0" w:after="0" w:afterAutospacing="0"/>
        <w:ind w:firstLine="709"/>
        <w:jc w:val="both"/>
        <w:rPr>
          <w:sz w:val="28"/>
          <w:szCs w:val="28"/>
        </w:rPr>
      </w:pPr>
    </w:p>
    <w:p w14:paraId="3FCFEF0A" w14:textId="77777777" w:rsidR="00E94B29" w:rsidRPr="001935D0" w:rsidRDefault="00E94B29" w:rsidP="00593711">
      <w:pPr>
        <w:pStyle w:val="NormalWeb"/>
        <w:spacing w:before="0" w:beforeAutospacing="0" w:after="0" w:afterAutospacing="0"/>
        <w:jc w:val="both"/>
        <w:rPr>
          <w:sz w:val="28"/>
          <w:szCs w:val="28"/>
        </w:rPr>
      </w:pPr>
    </w:p>
    <w:p w14:paraId="271226EE" w14:textId="514E963C" w:rsidR="00E94B29" w:rsidRPr="001935D0" w:rsidRDefault="00E94B29" w:rsidP="00593711">
      <w:pPr>
        <w:pStyle w:val="NormalWeb"/>
        <w:spacing w:before="0" w:beforeAutospacing="0" w:after="0" w:afterAutospacing="0"/>
        <w:ind w:firstLine="709"/>
        <w:jc w:val="both"/>
        <w:rPr>
          <w:sz w:val="28"/>
          <w:szCs w:val="28"/>
        </w:rPr>
      </w:pPr>
    </w:p>
    <w:p w14:paraId="7E6C3932" w14:textId="419FAF1C" w:rsidR="00E94B29" w:rsidRPr="001935D0" w:rsidRDefault="00E94B29" w:rsidP="00593711">
      <w:pPr>
        <w:pStyle w:val="NormalWeb"/>
        <w:spacing w:before="0" w:beforeAutospacing="0" w:after="0" w:afterAutospacing="0"/>
        <w:ind w:firstLine="709"/>
        <w:jc w:val="both"/>
        <w:rPr>
          <w:sz w:val="28"/>
          <w:szCs w:val="28"/>
        </w:rPr>
      </w:pPr>
    </w:p>
    <w:p w14:paraId="18DB30F9" w14:textId="2A45986E" w:rsidR="00E94B29" w:rsidRPr="001935D0" w:rsidRDefault="00E94B29" w:rsidP="00593711">
      <w:pPr>
        <w:pStyle w:val="NormalWeb"/>
        <w:tabs>
          <w:tab w:val="left" w:pos="1800"/>
        </w:tabs>
        <w:spacing w:before="0" w:beforeAutospacing="0" w:after="0" w:afterAutospacing="0"/>
        <w:ind w:firstLine="709"/>
        <w:jc w:val="center"/>
      </w:pPr>
    </w:p>
    <w:p w14:paraId="57D23750" w14:textId="58E50DAE" w:rsidR="008314DF" w:rsidRDefault="00E94B29" w:rsidP="0027189F">
      <w:pPr>
        <w:pStyle w:val="NormalWeb"/>
        <w:spacing w:before="0" w:beforeAutospacing="0" w:after="0" w:afterAutospacing="0"/>
        <w:ind w:left="720"/>
        <w:jc w:val="both"/>
        <w:rPr>
          <w:sz w:val="16"/>
          <w:szCs w:val="16"/>
          <w:lang w:val="kk-KZ"/>
        </w:rPr>
      </w:pPr>
      <w:r w:rsidRPr="001935D0">
        <w:rPr>
          <w:noProof/>
        </w:rPr>
        <w:drawing>
          <wp:inline distT="0" distB="0" distL="0" distR="0" wp14:anchorId="65D962B8" wp14:editId="399C8F92">
            <wp:extent cx="5486400" cy="2184400"/>
            <wp:effectExtent l="0" t="0" r="19050" b="0"/>
            <wp:docPr id="30" name="Схема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664AA274" w14:textId="77777777" w:rsidR="0027189F" w:rsidRPr="008314DF" w:rsidRDefault="0027189F" w:rsidP="0027189F">
      <w:pPr>
        <w:pStyle w:val="NormalWeb"/>
        <w:spacing w:before="0" w:beforeAutospacing="0" w:after="0" w:afterAutospacing="0"/>
        <w:ind w:left="720"/>
        <w:jc w:val="both"/>
        <w:rPr>
          <w:sz w:val="16"/>
          <w:szCs w:val="16"/>
          <w:lang w:val="kk-KZ"/>
        </w:rPr>
      </w:pPr>
    </w:p>
    <w:p w14:paraId="0F33EB0D" w14:textId="31D87B27" w:rsidR="00E94B29" w:rsidRPr="001935D0" w:rsidRDefault="00E94B29" w:rsidP="00593711">
      <w:pPr>
        <w:pStyle w:val="NormalWeb"/>
        <w:spacing w:before="0" w:beforeAutospacing="0" w:after="0" w:afterAutospacing="0"/>
        <w:ind w:left="720"/>
        <w:jc w:val="center"/>
        <w:rPr>
          <w:sz w:val="28"/>
          <w:szCs w:val="28"/>
        </w:rPr>
      </w:pPr>
      <w:r w:rsidRPr="001935D0">
        <w:rPr>
          <w:sz w:val="28"/>
          <w:szCs w:val="28"/>
        </w:rPr>
        <w:t>Рис</w:t>
      </w:r>
      <w:r w:rsidR="008314DF">
        <w:rPr>
          <w:sz w:val="28"/>
          <w:szCs w:val="28"/>
          <w:lang w:val="kk-KZ"/>
        </w:rPr>
        <w:t>унок</w:t>
      </w:r>
      <w:r w:rsidR="00CE1D94" w:rsidRPr="001935D0">
        <w:rPr>
          <w:sz w:val="28"/>
          <w:szCs w:val="28"/>
          <w:lang w:val="uk-UA"/>
        </w:rPr>
        <w:t xml:space="preserve"> </w:t>
      </w:r>
      <w:r w:rsidR="00CE1D94" w:rsidRPr="001935D0">
        <w:rPr>
          <w:sz w:val="28"/>
          <w:szCs w:val="28"/>
        </w:rPr>
        <w:t>2.2</w:t>
      </w:r>
      <w:r w:rsidRPr="001935D0">
        <w:rPr>
          <w:sz w:val="28"/>
          <w:szCs w:val="28"/>
        </w:rPr>
        <w:t xml:space="preserve"> </w:t>
      </w:r>
      <w:r w:rsidR="008314DF">
        <w:rPr>
          <w:sz w:val="28"/>
          <w:szCs w:val="28"/>
          <w:lang w:val="kk-KZ"/>
        </w:rPr>
        <w:t xml:space="preserve">– </w:t>
      </w:r>
      <w:r w:rsidRPr="001935D0">
        <w:rPr>
          <w:sz w:val="28"/>
          <w:szCs w:val="28"/>
        </w:rPr>
        <w:t>Логическая блок-схема перехода от декларативного статуса Хартии к её функциональному использованию</w:t>
      </w:r>
    </w:p>
    <w:p w14:paraId="48F7067E" w14:textId="77777777" w:rsidR="008314DF" w:rsidRPr="008314DF" w:rsidRDefault="008314DF" w:rsidP="00593711">
      <w:pPr>
        <w:pStyle w:val="NoSpacing"/>
        <w:jc w:val="both"/>
        <w:rPr>
          <w:rFonts w:ascii="Times New Roman" w:hAnsi="Times New Roman" w:cs="Times New Roman"/>
          <w:sz w:val="16"/>
          <w:szCs w:val="16"/>
          <w:lang w:val="kk-KZ"/>
        </w:rPr>
      </w:pPr>
    </w:p>
    <w:p w14:paraId="0D052A72" w14:textId="77777777" w:rsidR="00614B7F" w:rsidRPr="001935D0" w:rsidRDefault="00614B7F" w:rsidP="00614B7F">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Pr>
          <w:rFonts w:ascii="Times New Roman" w:hAnsi="Times New Roman" w:cs="Times New Roman"/>
          <w:sz w:val="24"/>
          <w:szCs w:val="24"/>
        </w:rPr>
        <w:t>[7</w:t>
      </w:r>
      <w:r>
        <w:rPr>
          <w:rFonts w:ascii="Times New Roman" w:hAnsi="Times New Roman" w:cs="Times New Roman"/>
          <w:sz w:val="24"/>
          <w:szCs w:val="24"/>
          <w:lang w:val="kk-KZ"/>
        </w:rPr>
        <w:t>4;</w:t>
      </w:r>
      <w:r w:rsidRPr="001935D0">
        <w:rPr>
          <w:rFonts w:ascii="Times New Roman" w:hAnsi="Times New Roman" w:cs="Times New Roman"/>
          <w:sz w:val="24"/>
          <w:szCs w:val="24"/>
        </w:rPr>
        <w:t xml:space="preserve"> 7</w:t>
      </w:r>
      <w:r>
        <w:rPr>
          <w:rFonts w:ascii="Times New Roman" w:hAnsi="Times New Roman" w:cs="Times New Roman"/>
          <w:sz w:val="24"/>
          <w:szCs w:val="24"/>
          <w:lang w:val="kk-KZ"/>
        </w:rPr>
        <w:t>8; 7</w:t>
      </w:r>
      <w:r w:rsidRPr="001935D0">
        <w:rPr>
          <w:rFonts w:ascii="Times New Roman" w:hAnsi="Times New Roman" w:cs="Times New Roman"/>
          <w:sz w:val="24"/>
          <w:szCs w:val="24"/>
        </w:rPr>
        <w:t>9]</w:t>
      </w:r>
    </w:p>
    <w:p w14:paraId="36E574D6" w14:textId="77777777"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 xml:space="preserve"> </w:t>
      </w:r>
    </w:p>
    <w:p w14:paraId="309BAA64" w14:textId="1B9C7DFD" w:rsidR="00E94B29" w:rsidRPr="001935D0" w:rsidRDefault="00E94B29" w:rsidP="00593711">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Продолжая анализ Хартии Европейского Союза об основных правах, важно учитывать научные исследования, посвящённые институциональным и интерпретационным аспектам её применения. Особое значение в этом контексте имеет статья A. </w:t>
      </w:r>
      <w:r w:rsidR="00BF36C4">
        <w:rPr>
          <w:rFonts w:ascii="Times New Roman" w:hAnsi="Times New Roman" w:cs="Times New Roman"/>
          <w:sz w:val="28"/>
          <w:szCs w:val="28"/>
        </w:rPr>
        <w:t>Якоб</w:t>
      </w:r>
      <w:r w:rsidRPr="001935D0">
        <w:rPr>
          <w:rFonts w:ascii="Times New Roman" w:hAnsi="Times New Roman" w:cs="Times New Roman"/>
          <w:sz w:val="28"/>
          <w:szCs w:val="28"/>
        </w:rPr>
        <w:t xml:space="preserve"> и </w:t>
      </w:r>
      <w:r w:rsidR="00BF36C4" w:rsidRPr="00BF36C4">
        <w:rPr>
          <w:rFonts w:ascii="Times New Roman" w:hAnsi="Times New Roman" w:cs="Times New Roman"/>
          <w:sz w:val="28"/>
          <w:szCs w:val="28"/>
        </w:rPr>
        <w:t xml:space="preserve">Л. Кирхмайр </w:t>
      </w:r>
      <w:r w:rsidRPr="001935D0">
        <w:rPr>
          <w:rFonts w:ascii="Times New Roman" w:hAnsi="Times New Roman" w:cs="Times New Roman"/>
          <w:sz w:val="28"/>
          <w:szCs w:val="28"/>
        </w:rPr>
        <w:t>[8</w:t>
      </w:r>
      <w:r w:rsidR="00E35819">
        <w:rPr>
          <w:rFonts w:ascii="Times New Roman" w:hAnsi="Times New Roman" w:cs="Times New Roman"/>
          <w:sz w:val="28"/>
          <w:szCs w:val="28"/>
          <w:lang w:val="kk-KZ"/>
        </w:rPr>
        <w:t>0</w:t>
      </w:r>
      <w:r w:rsidRPr="001935D0">
        <w:rPr>
          <w:rFonts w:ascii="Times New Roman" w:hAnsi="Times New Roman" w:cs="Times New Roman"/>
          <w:sz w:val="28"/>
          <w:szCs w:val="28"/>
        </w:rPr>
        <w:t>], в которой авторы предлагают концептуально новое понимание роли Хартии в правовой системе ЕС. По их мнению, статья 51(1) Хартии в традиционном толковании ограничивает сферу действия документа лишь случаями реализации права ЕС государствами-членами. Однако в условиях системного кризиса верховенства права и демократии в ряде стран ЕС такое ограничение может препятствовать эффективной защите фундаментальных ценностей, закреплённых в с</w:t>
      </w:r>
      <w:r w:rsidR="001A6DAB" w:rsidRPr="001935D0">
        <w:rPr>
          <w:rFonts w:ascii="Times New Roman" w:hAnsi="Times New Roman" w:cs="Times New Roman"/>
          <w:sz w:val="28"/>
          <w:szCs w:val="28"/>
        </w:rPr>
        <w:t xml:space="preserve">татье 2 Договора о Европейском </w:t>
      </w:r>
      <w:r w:rsidR="001A6DAB" w:rsidRPr="001935D0">
        <w:rPr>
          <w:rFonts w:ascii="Times New Roman" w:hAnsi="Times New Roman" w:cs="Times New Roman"/>
          <w:sz w:val="28"/>
          <w:szCs w:val="28"/>
          <w:lang w:val="kk-KZ"/>
        </w:rPr>
        <w:t>С</w:t>
      </w:r>
      <w:r w:rsidRPr="001935D0">
        <w:rPr>
          <w:rFonts w:ascii="Times New Roman" w:hAnsi="Times New Roman" w:cs="Times New Roman"/>
          <w:sz w:val="28"/>
          <w:szCs w:val="28"/>
        </w:rPr>
        <w:t>оюзе (TEU). Чтобы преодолеть данную правовую коллизию, учёные предлагают два возможных пути: внесение поправок в договоры ЕС либо эволютивное переосмысление положений статьи 51(1) Хартии Европейским судом.</w:t>
      </w:r>
    </w:p>
    <w:p w14:paraId="5EE488BB" w14:textId="27277577" w:rsidR="00E94B29" w:rsidRPr="001935D0" w:rsidRDefault="00E94B29" w:rsidP="00593711">
      <w:pPr>
        <w:pStyle w:val="NoSpacing"/>
        <w:ind w:firstLine="709"/>
        <w:jc w:val="both"/>
        <w:rPr>
          <w:rStyle w:val="SubtleEmphasis"/>
          <w:rFonts w:ascii="Times New Roman" w:hAnsi="Times New Roman" w:cs="Times New Roman"/>
        </w:rPr>
      </w:pPr>
      <w:r w:rsidRPr="001935D0">
        <w:rPr>
          <w:rFonts w:ascii="Times New Roman" w:hAnsi="Times New Roman" w:cs="Times New Roman"/>
          <w:sz w:val="28"/>
          <w:szCs w:val="28"/>
        </w:rPr>
        <w:t xml:space="preserve">Идея «завершения союза фундаментальных прав» исходит из необходимости единообразной защиты прав человека во всех странах-членах </w:t>
      </w:r>
      <w:r w:rsidRPr="001935D0">
        <w:rPr>
          <w:rFonts w:ascii="Times New Roman" w:hAnsi="Times New Roman" w:cs="Times New Roman"/>
          <w:sz w:val="28"/>
          <w:szCs w:val="28"/>
        </w:rPr>
        <w:lastRenderedPageBreak/>
        <w:t>ЕС, независимо от национального уровня их соблюдения. В условиях, когда национальные правовые системы дают сбой, именно Хартия должна служить правовым щитом от отката к авторитаризму. Таким образом, авторы отстаивают необходимость интеграционного подхода, в рамках которого ЕС воспринимает себя не только как экономическое или политическое объединение, но как полноценное ценностно-правовое сообщество [</w:t>
      </w:r>
      <w:r w:rsidR="00E35819">
        <w:rPr>
          <w:rFonts w:ascii="Times New Roman" w:hAnsi="Times New Roman" w:cs="Times New Roman"/>
          <w:sz w:val="28"/>
          <w:szCs w:val="28"/>
          <w:lang w:val="kk-KZ"/>
        </w:rPr>
        <w:t>79</w:t>
      </w:r>
      <w:r w:rsidRPr="001935D0">
        <w:rPr>
          <w:rFonts w:ascii="Times New Roman" w:hAnsi="Times New Roman" w:cs="Times New Roman"/>
          <w:sz w:val="28"/>
          <w:szCs w:val="28"/>
        </w:rPr>
        <w:t>].</w:t>
      </w:r>
      <w:r w:rsidRPr="001935D0">
        <w:rPr>
          <w:rFonts w:ascii="Times New Roman" w:hAnsi="Times New Roman" w:cs="Times New Roman"/>
        </w:rPr>
        <w:t xml:space="preserve"> </w:t>
      </w:r>
    </w:p>
    <w:p w14:paraId="005E55F0" w14:textId="08FED915" w:rsidR="00E94B29" w:rsidRPr="001935D0" w:rsidRDefault="00E94B29" w:rsidP="00593711">
      <w:pPr>
        <w:pStyle w:val="NormalWeb"/>
        <w:spacing w:before="0" w:beforeAutospacing="0" w:after="0" w:afterAutospacing="0"/>
        <w:ind w:firstLine="709"/>
        <w:jc w:val="both"/>
      </w:pPr>
      <w:r w:rsidRPr="001935D0">
        <w:rPr>
          <w:sz w:val="28"/>
          <w:szCs w:val="28"/>
        </w:rPr>
        <w:t>В рабочем докуме</w:t>
      </w:r>
      <w:r w:rsidR="00E35819">
        <w:rPr>
          <w:sz w:val="28"/>
          <w:szCs w:val="28"/>
        </w:rPr>
        <w:t xml:space="preserve">нте </w:t>
      </w:r>
      <w:r w:rsidR="00BF36C4" w:rsidRPr="00BF36C4">
        <w:rPr>
          <w:sz w:val="28"/>
          <w:szCs w:val="28"/>
        </w:rPr>
        <w:t xml:space="preserve">Х. Эклунд </w:t>
      </w:r>
      <w:r w:rsidR="00E35819">
        <w:rPr>
          <w:sz w:val="28"/>
          <w:szCs w:val="28"/>
        </w:rPr>
        <w:t xml:space="preserve">и </w:t>
      </w:r>
      <w:r w:rsidR="00BF36C4" w:rsidRPr="00BF36C4">
        <w:rPr>
          <w:sz w:val="28"/>
          <w:szCs w:val="28"/>
        </w:rPr>
        <w:t xml:space="preserve">К. Килпатрик </w:t>
      </w:r>
      <w:r w:rsidR="00E35819">
        <w:rPr>
          <w:sz w:val="28"/>
          <w:szCs w:val="28"/>
        </w:rPr>
        <w:t>[8</w:t>
      </w:r>
      <w:r w:rsidR="00E35819">
        <w:rPr>
          <w:sz w:val="28"/>
          <w:szCs w:val="28"/>
          <w:lang w:val="kk-KZ"/>
        </w:rPr>
        <w:t>1</w:t>
      </w:r>
      <w:r w:rsidRPr="001935D0">
        <w:rPr>
          <w:sz w:val="28"/>
          <w:szCs w:val="28"/>
        </w:rPr>
        <w:t>] рассматривается статья 21 Хартии Европейского Союза об основных правах, которая запрещает дискриминацию, в частности по признаку национальности и «другого статусу». Авторы выделяют двухсоставную структуру статьи: отдельно анализируются нормы, касающиеся дискриминации по национальности, и положения, касающиеся дискриминации по статусу (например, иммиграционном, социальном, экономическом). Особое внимание уделяется эволюции практики Суда ЕС, который стал чаще применять статью 21 по делам о перекрестной дискриминации, а также ее взаимодействии с другими источниками права ЕС и международного права прав человека</w:t>
      </w:r>
      <w:r w:rsidRPr="001935D0">
        <w:t xml:space="preserve">. </w:t>
      </w:r>
    </w:p>
    <w:p w14:paraId="3E139029" w14:textId="2A2459BA" w:rsidR="00E94B29" w:rsidRPr="001935D0" w:rsidRDefault="00BF36C4" w:rsidP="00593711">
      <w:pPr>
        <w:pStyle w:val="NormalWeb"/>
        <w:spacing w:before="0" w:beforeAutospacing="0" w:after="0" w:afterAutospacing="0"/>
        <w:ind w:firstLine="709"/>
        <w:jc w:val="both"/>
        <w:rPr>
          <w:sz w:val="28"/>
          <w:szCs w:val="28"/>
        </w:rPr>
      </w:pPr>
      <w:r w:rsidRPr="00BF36C4">
        <w:rPr>
          <w:sz w:val="28"/>
          <w:szCs w:val="28"/>
        </w:rPr>
        <w:t xml:space="preserve">Ф. Кафаджи </w:t>
      </w:r>
      <w:r w:rsidR="00E94B29" w:rsidRPr="001935D0">
        <w:rPr>
          <w:sz w:val="28"/>
          <w:szCs w:val="28"/>
        </w:rPr>
        <w:t>[8</w:t>
      </w:r>
      <w:r w:rsidR="00E35819">
        <w:rPr>
          <w:sz w:val="28"/>
          <w:szCs w:val="28"/>
          <w:lang w:val="kk-KZ"/>
        </w:rPr>
        <w:t>2, р. 339-342</w:t>
      </w:r>
      <w:r w:rsidR="00E94B29" w:rsidRPr="001935D0">
        <w:rPr>
          <w:sz w:val="28"/>
          <w:szCs w:val="28"/>
        </w:rPr>
        <w:t>] отмечает, что анализ применения Хартии в национальных правовых системах требует комплексного подхода. На основе практики 16 государств-членов ЕС он показывает, что её действие, в соответствии со статьёй 51, ограничено случаями реализации права ЕС, что снижает её применимость в чисто внутренних делах. Это, по мнению исследователя, имеет особое значение для обеспечения единства и примата права ЕС в сфере фундаментальных прав. Кафаджи подчёркивает, что многоуровневая система правовой защиты – включающая Хартию, Европейскую конвенцию по правам человека, договоры ЕС и национальные конституции – должна функционировать в строгом соответствии с принципами эффективности и верховенства, чтобы предотвратить фрагментацию правозащитных стандартов.</w:t>
      </w:r>
    </w:p>
    <w:p w14:paraId="0F8E42AD" w14:textId="427C32A9"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 xml:space="preserve">В своей работе </w:t>
      </w:r>
      <w:r w:rsidR="000B61C4" w:rsidRPr="000B61C4">
        <w:rPr>
          <w:sz w:val="28"/>
          <w:szCs w:val="28"/>
        </w:rPr>
        <w:t xml:space="preserve">А. Лазовский </w:t>
      </w:r>
      <w:r w:rsidRPr="001935D0">
        <w:rPr>
          <w:sz w:val="28"/>
          <w:szCs w:val="28"/>
        </w:rPr>
        <w:t>[8</w:t>
      </w:r>
      <w:r w:rsidR="00E35819">
        <w:rPr>
          <w:sz w:val="28"/>
          <w:szCs w:val="28"/>
          <w:lang w:val="kk-KZ"/>
        </w:rPr>
        <w:t>3, р. 673-682</w:t>
      </w:r>
      <w:r w:rsidRPr="001935D0">
        <w:rPr>
          <w:sz w:val="28"/>
          <w:szCs w:val="28"/>
        </w:rPr>
        <w:t xml:space="preserve">], проводит системный анализ судебной практики Суда Европейского </w:t>
      </w:r>
      <w:r w:rsidR="00CF2560" w:rsidRPr="001935D0">
        <w:rPr>
          <w:sz w:val="28"/>
          <w:szCs w:val="28"/>
          <w:lang w:val="uk-UA"/>
        </w:rPr>
        <w:t>С</w:t>
      </w:r>
      <w:r w:rsidRPr="001935D0">
        <w:rPr>
          <w:sz w:val="28"/>
          <w:szCs w:val="28"/>
        </w:rPr>
        <w:t>оюза (СЕС) в контексте десятилетнего периода, прошедшего после принятия Мнения 2/13, которым была фактически заблокирована ратификация Договора о присоединении ЕС к Европейской конвенции по правам человека. Автор исходит из предположения, высказанного ранее совместно с Рамзесом Весселем, что отсрочка присоединения позволила СЕС сформировать устойчивую практику применения Хартии, не подвергаясь непосредственному влиянию решений Европейского суда по правам человека (ЕСПЧ). По мнению Лазовского, за прошедшее десятилетие развитие правовой позиции по Хартии происходило по пути «непрерывного наращивания», при этом основные достижения касались: применения Хартии в делах о верховенстве права, определения сущностного содержания прав и утверждения принципов прямого действия и примата норм Хартии в правопорядке ЕС.</w:t>
      </w:r>
    </w:p>
    <w:p w14:paraId="5FA0972D" w14:textId="3BB2B835"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 xml:space="preserve">В исследовании A. </w:t>
      </w:r>
      <w:r w:rsidR="000B61C4">
        <w:rPr>
          <w:sz w:val="28"/>
          <w:szCs w:val="28"/>
        </w:rPr>
        <w:t xml:space="preserve">Махмутович </w:t>
      </w:r>
      <w:r w:rsidRPr="001935D0">
        <w:rPr>
          <w:sz w:val="28"/>
          <w:szCs w:val="28"/>
        </w:rPr>
        <w:t>[8</w:t>
      </w:r>
      <w:r w:rsidR="00E35819">
        <w:rPr>
          <w:sz w:val="28"/>
          <w:szCs w:val="28"/>
          <w:lang w:val="kk-KZ"/>
        </w:rPr>
        <w:t>4, р. 17-34</w:t>
      </w:r>
      <w:r w:rsidRPr="001935D0">
        <w:rPr>
          <w:sz w:val="28"/>
          <w:szCs w:val="28"/>
        </w:rPr>
        <w:t xml:space="preserve">] рассматривается вклад Хартии в укрепление демократической легитимности Европейского </w:t>
      </w:r>
      <w:r w:rsidR="001A6DAB" w:rsidRPr="001935D0">
        <w:rPr>
          <w:sz w:val="28"/>
          <w:szCs w:val="28"/>
          <w:lang w:val="uk-UA"/>
        </w:rPr>
        <w:t>С</w:t>
      </w:r>
      <w:r w:rsidRPr="001935D0">
        <w:rPr>
          <w:sz w:val="28"/>
          <w:szCs w:val="28"/>
        </w:rPr>
        <w:t xml:space="preserve">оюза. Автор отмечает, что, несмотря на нормативную значимость документа, в научной литературе отсутствует целостный анализ того, каким образом конкретные положения Хартии способствуют развитию участия граждан в </w:t>
      </w:r>
      <w:r w:rsidRPr="001935D0">
        <w:rPr>
          <w:sz w:val="28"/>
          <w:szCs w:val="28"/>
        </w:rPr>
        <w:lastRenderedPageBreak/>
        <w:t xml:space="preserve">политических процессах ЕС и формированию более тесной связи между институтами </w:t>
      </w:r>
      <w:r w:rsidR="00CF2560" w:rsidRPr="001935D0">
        <w:rPr>
          <w:sz w:val="28"/>
          <w:szCs w:val="28"/>
        </w:rPr>
        <w:t>Европейск</w:t>
      </w:r>
      <w:r w:rsidR="00CF2560" w:rsidRPr="001935D0">
        <w:rPr>
          <w:sz w:val="28"/>
          <w:szCs w:val="28"/>
          <w:lang w:val="uk-UA"/>
        </w:rPr>
        <w:t>ого</w:t>
      </w:r>
      <w:r w:rsidR="00CF2560" w:rsidRPr="001935D0">
        <w:rPr>
          <w:sz w:val="28"/>
          <w:szCs w:val="28"/>
        </w:rPr>
        <w:t xml:space="preserve"> </w:t>
      </w:r>
      <w:r w:rsidR="00CF2560" w:rsidRPr="001935D0">
        <w:rPr>
          <w:sz w:val="28"/>
          <w:szCs w:val="28"/>
          <w:lang w:val="uk-UA"/>
        </w:rPr>
        <w:t>С</w:t>
      </w:r>
      <w:r w:rsidR="00CF2560" w:rsidRPr="001935D0">
        <w:rPr>
          <w:sz w:val="28"/>
          <w:szCs w:val="28"/>
        </w:rPr>
        <w:t>оюз</w:t>
      </w:r>
      <w:r w:rsidR="00CF2560" w:rsidRPr="001935D0">
        <w:rPr>
          <w:sz w:val="28"/>
          <w:szCs w:val="28"/>
          <w:lang w:val="uk-UA"/>
        </w:rPr>
        <w:t>а</w:t>
      </w:r>
      <w:r w:rsidR="00CF2560" w:rsidRPr="001935D0">
        <w:rPr>
          <w:sz w:val="28"/>
          <w:szCs w:val="28"/>
        </w:rPr>
        <w:t xml:space="preserve"> </w:t>
      </w:r>
      <w:r w:rsidRPr="001935D0">
        <w:rPr>
          <w:sz w:val="28"/>
          <w:szCs w:val="28"/>
        </w:rPr>
        <w:t xml:space="preserve">и обществом. Отдельно автор исследует вызовы, связанные с толкованием и применением правовых норм, особенно в контексте конфликтов между Судом Европейского </w:t>
      </w:r>
      <w:r w:rsidR="00CF2560" w:rsidRPr="001935D0">
        <w:rPr>
          <w:sz w:val="28"/>
          <w:szCs w:val="28"/>
          <w:lang w:val="uk-UA"/>
        </w:rPr>
        <w:t>С</w:t>
      </w:r>
      <w:r w:rsidRPr="001935D0">
        <w:rPr>
          <w:sz w:val="28"/>
          <w:szCs w:val="28"/>
        </w:rPr>
        <w:t>оюза и национальными конституционными судами. Это поднимает вопрос о пределах автономии национальных правопорядков в условиях укрепления единой правозащитной рамки ЕС.</w:t>
      </w:r>
    </w:p>
    <w:p w14:paraId="2ED47942" w14:textId="64BC7FE3" w:rsidR="00E94B29" w:rsidRPr="001935D0" w:rsidRDefault="00CA7410" w:rsidP="00593711">
      <w:pPr>
        <w:pStyle w:val="NoSpacing"/>
        <w:ind w:firstLine="708"/>
        <w:jc w:val="both"/>
        <w:rPr>
          <w:rFonts w:ascii="Times New Roman" w:hAnsi="Times New Roman" w:cs="Times New Roman"/>
          <w:sz w:val="28"/>
          <w:szCs w:val="28"/>
        </w:rPr>
      </w:pPr>
      <w:r w:rsidRPr="00CA7410">
        <w:rPr>
          <w:rFonts w:ascii="Times New Roman" w:hAnsi="Times New Roman" w:cs="Times New Roman"/>
          <w:sz w:val="28"/>
          <w:szCs w:val="28"/>
        </w:rPr>
        <w:t xml:space="preserve">Г. Петурссон </w:t>
      </w:r>
      <w:r w:rsidR="00E94B29" w:rsidRPr="001935D0">
        <w:rPr>
          <w:rFonts w:ascii="Times New Roman" w:hAnsi="Times New Roman" w:cs="Times New Roman"/>
          <w:sz w:val="28"/>
          <w:szCs w:val="28"/>
        </w:rPr>
        <w:t>[8</w:t>
      </w:r>
      <w:r w:rsidR="00E35819">
        <w:rPr>
          <w:rFonts w:ascii="Times New Roman" w:hAnsi="Times New Roman" w:cs="Times New Roman"/>
          <w:sz w:val="28"/>
          <w:szCs w:val="28"/>
          <w:lang w:val="kk-KZ"/>
        </w:rPr>
        <w:t>5, р. 239-251</w:t>
      </w:r>
      <w:r w:rsidR="00E94B29" w:rsidRPr="001935D0">
        <w:rPr>
          <w:rFonts w:ascii="Times New Roman" w:hAnsi="Times New Roman" w:cs="Times New Roman"/>
          <w:sz w:val="28"/>
          <w:szCs w:val="28"/>
        </w:rPr>
        <w:t xml:space="preserve">] рассматривает эволюцию применения статьи 52(1) Хартии Европейского Союза об основных правах как ключевого механизма регулирования допустимых ограничений прав человека в рамках правопорядка ЕС. По его наблюдениям, спустя почти 15 лет с момента вступления Хартии в юридическую силу перед законодателями и судебными органами </w:t>
      </w:r>
      <w:r w:rsidR="007C324F" w:rsidRPr="001935D0">
        <w:rPr>
          <w:rFonts w:ascii="Times New Roman" w:hAnsi="Times New Roman" w:cs="Times New Roman"/>
          <w:sz w:val="28"/>
          <w:szCs w:val="28"/>
        </w:rPr>
        <w:t>Европейского Союза</w:t>
      </w:r>
      <w:r w:rsidR="00E94B29" w:rsidRPr="001935D0">
        <w:rPr>
          <w:rFonts w:ascii="Times New Roman" w:hAnsi="Times New Roman" w:cs="Times New Roman"/>
          <w:sz w:val="28"/>
          <w:szCs w:val="28"/>
        </w:rPr>
        <w:t xml:space="preserve"> встали качественно иные вызовы, чем в 2009 году. Особое внимание исследователь [</w:t>
      </w:r>
      <w:r w:rsidR="00E35819" w:rsidRPr="001935D0">
        <w:rPr>
          <w:rFonts w:ascii="Times New Roman" w:hAnsi="Times New Roman" w:cs="Times New Roman"/>
          <w:sz w:val="28"/>
          <w:szCs w:val="28"/>
        </w:rPr>
        <w:t>8</w:t>
      </w:r>
      <w:r w:rsidR="00E35819">
        <w:rPr>
          <w:rFonts w:ascii="Times New Roman" w:hAnsi="Times New Roman" w:cs="Times New Roman"/>
          <w:sz w:val="28"/>
          <w:szCs w:val="28"/>
          <w:lang w:val="kk-KZ"/>
        </w:rPr>
        <w:t>5, р. 239-251</w:t>
      </w:r>
      <w:r w:rsidR="00E94B29" w:rsidRPr="001935D0">
        <w:rPr>
          <w:rFonts w:ascii="Times New Roman" w:hAnsi="Times New Roman" w:cs="Times New Roman"/>
          <w:sz w:val="28"/>
          <w:szCs w:val="28"/>
        </w:rPr>
        <w:t>] уделяет вопросам допустимости и пропорциональности ограничений, особенно в условиях цифровизации, защиты персональных данных и права на неприкосновенность частной жизни. Он аргументирует, что статья 52(1), устанавливающая условия вмешательства в основные права (наличие законной цели, правовой базы и соблюдение принципа соразмерности), приобрела новое значение в свете дел, рассматриваемых Судом ЕС, связанных с цифровыми правами.</w:t>
      </w:r>
    </w:p>
    <w:p w14:paraId="283C9FA3" w14:textId="4DA51898" w:rsidR="00E94B29" w:rsidRDefault="00E94B29" w:rsidP="00593711">
      <w:pPr>
        <w:pStyle w:val="NoSpacing"/>
        <w:ind w:firstLine="708"/>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В контексте формирования нормативно-институциональной базы правопорядка Европейского Союза в области защиты прав человека особое значение приобретают директивы, направленные на обеспечение принципа недискриминации и равного обращения. Анализ ключевых актов вторичного права ЕС, в частности Директив 2000/43/EC, 2000/78/EC и 2006/54/EC, позволяет очертить архитектуру европейской антидискриминационной политики, которая взаимодействует как с положениями Хартии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по правам человека, так и с обязательствами государств-членов по мониторингу, обеспечению и отчетности в сфере соблюдения прав [8</w:t>
      </w:r>
      <w:r w:rsidR="00E35819">
        <w:rPr>
          <w:rFonts w:ascii="Times New Roman" w:hAnsi="Times New Roman" w:cs="Times New Roman"/>
          <w:sz w:val="28"/>
          <w:szCs w:val="28"/>
          <w:lang w:val="kk-KZ"/>
        </w:rPr>
        <w:t>6; 87; 88</w:t>
      </w:r>
      <w:r w:rsidRPr="001935D0">
        <w:rPr>
          <w:rFonts w:ascii="Times New Roman" w:hAnsi="Times New Roman" w:cs="Times New Roman"/>
          <w:sz w:val="28"/>
          <w:szCs w:val="28"/>
        </w:rPr>
        <w:t>] (таблица 2.2).</w:t>
      </w:r>
    </w:p>
    <w:p w14:paraId="6EF4CAD5" w14:textId="77777777" w:rsidR="008314DF" w:rsidRPr="001935D0" w:rsidRDefault="008314DF" w:rsidP="008314D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По данным таблицы </w:t>
      </w:r>
      <w:r>
        <w:rPr>
          <w:rFonts w:ascii="Times New Roman" w:hAnsi="Times New Roman" w:cs="Times New Roman"/>
          <w:sz w:val="28"/>
          <w:szCs w:val="28"/>
          <w:lang w:val="kk-KZ"/>
        </w:rPr>
        <w:t xml:space="preserve">2.2 </w:t>
      </w:r>
      <w:r w:rsidRPr="001935D0">
        <w:rPr>
          <w:rFonts w:ascii="Times New Roman" w:hAnsi="Times New Roman" w:cs="Times New Roman"/>
          <w:sz w:val="28"/>
          <w:szCs w:val="28"/>
        </w:rPr>
        <w:t xml:space="preserve">можем отметить, что указаные директивы формируют взаимосвязанную правовую и институциональную систему защиты прав человека в Европейском </w:t>
      </w:r>
      <w:r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оюзе. Вместе они закладывают принципы:</w:t>
      </w:r>
    </w:p>
    <w:p w14:paraId="40164723" w14:textId="77777777" w:rsidR="008314DF" w:rsidRPr="001935D0" w:rsidRDefault="008314DF" w:rsidP="008314D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 равного отношения без дискриминации по признаку расы, этничности, пола, религии, инвалидности, возраста; </w:t>
      </w:r>
    </w:p>
    <w:p w14:paraId="31B3EA00" w14:textId="77777777" w:rsidR="008314DF" w:rsidRPr="001935D0" w:rsidRDefault="008314DF" w:rsidP="008314D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институциональной ответственности государств-членов за сбор и использование дезагрегированных данных;</w:t>
      </w:r>
    </w:p>
    <w:p w14:paraId="5E24C522" w14:textId="77777777" w:rsidR="008314DF" w:rsidRPr="001935D0" w:rsidRDefault="008314DF" w:rsidP="008314D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правовой транспарентности и подотчетности в сфере труда, социальной политики и корпоративного управления.</w:t>
      </w:r>
    </w:p>
    <w:p w14:paraId="2DE96C84" w14:textId="77777777" w:rsidR="008314DF" w:rsidRPr="008314DF" w:rsidRDefault="008314DF" w:rsidP="00593711">
      <w:pPr>
        <w:pStyle w:val="NoSpacing"/>
        <w:ind w:firstLine="708"/>
        <w:jc w:val="both"/>
        <w:rPr>
          <w:rFonts w:ascii="Times New Roman" w:hAnsi="Times New Roman" w:cs="Times New Roman"/>
          <w:sz w:val="28"/>
          <w:szCs w:val="28"/>
        </w:rPr>
      </w:pPr>
    </w:p>
    <w:p w14:paraId="76065BF5" w14:textId="6AE5E093" w:rsidR="00E94B29" w:rsidRDefault="00E94B29" w:rsidP="008314DF">
      <w:pPr>
        <w:pStyle w:val="NoSpacing"/>
        <w:jc w:val="both"/>
        <w:rPr>
          <w:rFonts w:ascii="Times New Roman" w:hAnsi="Times New Roman" w:cs="Times New Roman"/>
          <w:sz w:val="28"/>
          <w:szCs w:val="28"/>
          <w:lang w:val="uk-UA"/>
        </w:rPr>
      </w:pPr>
      <w:r w:rsidRPr="001935D0">
        <w:rPr>
          <w:rFonts w:ascii="Times New Roman" w:hAnsi="Times New Roman" w:cs="Times New Roman"/>
          <w:sz w:val="28"/>
          <w:szCs w:val="28"/>
        </w:rPr>
        <w:t xml:space="preserve">Таблица 2.2 </w:t>
      </w:r>
      <w:r w:rsidR="008314DF">
        <w:rPr>
          <w:rFonts w:ascii="Times New Roman" w:hAnsi="Times New Roman" w:cs="Times New Roman"/>
          <w:sz w:val="28"/>
          <w:szCs w:val="28"/>
        </w:rPr>
        <w:t>‒</w:t>
      </w:r>
      <w:r w:rsidR="008314DF">
        <w:rPr>
          <w:rFonts w:ascii="Times New Roman" w:hAnsi="Times New Roman" w:cs="Times New Roman"/>
          <w:sz w:val="28"/>
          <w:szCs w:val="28"/>
          <w:lang w:val="kk-KZ"/>
        </w:rPr>
        <w:t xml:space="preserve"> </w:t>
      </w:r>
      <w:r w:rsidRPr="001935D0">
        <w:rPr>
          <w:rFonts w:ascii="Times New Roman" w:hAnsi="Times New Roman" w:cs="Times New Roman"/>
          <w:sz w:val="28"/>
          <w:szCs w:val="28"/>
        </w:rPr>
        <w:t>Анализ Директив, которые характеризуют структуру европейской антидискриминационной политики</w:t>
      </w:r>
      <w:r w:rsidR="00CC6FB3" w:rsidRPr="001935D0">
        <w:rPr>
          <w:rFonts w:ascii="Times New Roman" w:hAnsi="Times New Roman" w:cs="Times New Roman"/>
          <w:sz w:val="28"/>
          <w:szCs w:val="28"/>
          <w:lang w:val="uk-UA"/>
        </w:rPr>
        <w:t xml:space="preserve"> </w:t>
      </w:r>
    </w:p>
    <w:p w14:paraId="259C1B28" w14:textId="77777777" w:rsidR="008314DF" w:rsidRPr="008314DF" w:rsidRDefault="008314DF" w:rsidP="008314DF">
      <w:pPr>
        <w:pStyle w:val="NoSpacing"/>
        <w:jc w:val="right"/>
        <w:rPr>
          <w:rFonts w:ascii="Times New Roman" w:hAnsi="Times New Roman" w:cs="Times New Roman"/>
          <w:sz w:val="16"/>
          <w:szCs w:val="16"/>
        </w:rPr>
      </w:pPr>
    </w:p>
    <w:tbl>
      <w:tblPr>
        <w:tblStyle w:val="TableGrid"/>
        <w:tblW w:w="0" w:type="auto"/>
        <w:jc w:val="center"/>
        <w:tblLook w:val="04A0" w:firstRow="1" w:lastRow="0" w:firstColumn="1" w:lastColumn="0" w:noHBand="0" w:noVBand="1"/>
      </w:tblPr>
      <w:tblGrid>
        <w:gridCol w:w="1955"/>
        <w:gridCol w:w="2008"/>
        <w:gridCol w:w="5665"/>
      </w:tblGrid>
      <w:tr w:rsidR="00E94B29" w:rsidRPr="001935D0" w14:paraId="48E206FC" w14:textId="77777777" w:rsidTr="008314DF">
        <w:trPr>
          <w:jc w:val="center"/>
        </w:trPr>
        <w:tc>
          <w:tcPr>
            <w:tcW w:w="1956" w:type="dxa"/>
            <w:vAlign w:val="center"/>
          </w:tcPr>
          <w:p w14:paraId="6D02CDC6" w14:textId="77777777" w:rsidR="00E94B29" w:rsidRPr="001935D0" w:rsidRDefault="00E94B29" w:rsidP="008314DF">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Название Директивы</w:t>
            </w:r>
          </w:p>
        </w:tc>
        <w:tc>
          <w:tcPr>
            <w:tcW w:w="2008" w:type="dxa"/>
            <w:vAlign w:val="center"/>
          </w:tcPr>
          <w:p w14:paraId="1F9D03DE" w14:textId="77777777" w:rsidR="00E94B29" w:rsidRPr="001935D0" w:rsidRDefault="00E94B29" w:rsidP="008314DF">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Принцип директивы</w:t>
            </w:r>
          </w:p>
        </w:tc>
        <w:tc>
          <w:tcPr>
            <w:tcW w:w="5671" w:type="dxa"/>
            <w:vAlign w:val="center"/>
          </w:tcPr>
          <w:p w14:paraId="65AA1484" w14:textId="77777777" w:rsidR="00E94B29" w:rsidRPr="001935D0" w:rsidRDefault="00E94B29" w:rsidP="008314DF">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Краткая характеристика</w:t>
            </w:r>
          </w:p>
        </w:tc>
      </w:tr>
      <w:tr w:rsidR="00E94B29" w:rsidRPr="001935D0" w14:paraId="236A46E5" w14:textId="77777777" w:rsidTr="008314DF">
        <w:trPr>
          <w:jc w:val="center"/>
        </w:trPr>
        <w:tc>
          <w:tcPr>
            <w:tcW w:w="1956" w:type="dxa"/>
          </w:tcPr>
          <w:p w14:paraId="2232D521" w14:textId="45839569" w:rsidR="00E94B29" w:rsidRPr="001935D0" w:rsidRDefault="00E94B29" w:rsidP="00593711">
            <w:pPr>
              <w:pStyle w:val="NoSpacing"/>
              <w:jc w:val="both"/>
              <w:rPr>
                <w:rFonts w:ascii="Times New Roman" w:hAnsi="Times New Roman" w:cs="Times New Roman"/>
                <w:sz w:val="24"/>
                <w:szCs w:val="24"/>
              </w:rPr>
            </w:pPr>
            <w:r w:rsidRPr="001935D0">
              <w:rPr>
                <w:rStyle w:val="Strong"/>
                <w:rFonts w:ascii="Times New Roman" w:hAnsi="Times New Roman" w:cs="Times New Roman"/>
                <w:b w:val="0"/>
                <w:sz w:val="24"/>
                <w:szCs w:val="24"/>
              </w:rPr>
              <w:t>Директива 2000/43/EC</w:t>
            </w:r>
            <w:r w:rsidRPr="001935D0">
              <w:rPr>
                <w:rFonts w:ascii="Times New Roman" w:hAnsi="Times New Roman" w:cs="Times New Roman"/>
                <w:sz w:val="24"/>
                <w:szCs w:val="24"/>
              </w:rPr>
              <w:t xml:space="preserve"> </w:t>
            </w:r>
            <w:r w:rsidRPr="001935D0">
              <w:rPr>
                <w:rFonts w:ascii="Times New Roman" w:hAnsi="Times New Roman" w:cs="Times New Roman"/>
                <w:sz w:val="24"/>
                <w:szCs w:val="24"/>
              </w:rPr>
              <w:lastRenderedPageBreak/>
              <w:t xml:space="preserve">Европейского </w:t>
            </w:r>
            <w:r w:rsidR="004A3405">
              <w:rPr>
                <w:rFonts w:ascii="Times New Roman" w:hAnsi="Times New Roman" w:cs="Times New Roman"/>
                <w:sz w:val="24"/>
                <w:szCs w:val="24"/>
              </w:rPr>
              <w:t>С</w:t>
            </w:r>
            <w:r w:rsidRPr="001935D0">
              <w:rPr>
                <w:rFonts w:ascii="Times New Roman" w:hAnsi="Times New Roman" w:cs="Times New Roman"/>
                <w:sz w:val="24"/>
                <w:szCs w:val="24"/>
              </w:rPr>
              <w:t>овета от 29 июня 2000 года</w:t>
            </w:r>
          </w:p>
        </w:tc>
        <w:tc>
          <w:tcPr>
            <w:tcW w:w="2008" w:type="dxa"/>
          </w:tcPr>
          <w:p w14:paraId="132715D4" w14:textId="77777777" w:rsidR="00E94B29" w:rsidRPr="001935D0" w:rsidRDefault="00E94B29" w:rsidP="00593711">
            <w:pPr>
              <w:pStyle w:val="NoSpacing"/>
              <w:jc w:val="both"/>
              <w:rPr>
                <w:rFonts w:ascii="Times New Roman" w:hAnsi="Times New Roman" w:cs="Times New Roman"/>
                <w:sz w:val="24"/>
                <w:szCs w:val="24"/>
              </w:rPr>
            </w:pPr>
            <w:r w:rsidRPr="001935D0">
              <w:rPr>
                <w:rStyle w:val="Emphasis"/>
                <w:rFonts w:ascii="Times New Roman" w:hAnsi="Times New Roman" w:cs="Times New Roman"/>
                <w:sz w:val="24"/>
                <w:szCs w:val="24"/>
              </w:rPr>
              <w:lastRenderedPageBreak/>
              <w:t xml:space="preserve">принцип равного обращения </w:t>
            </w:r>
            <w:r w:rsidRPr="001935D0">
              <w:rPr>
                <w:rStyle w:val="Emphasis"/>
                <w:rFonts w:ascii="Times New Roman" w:hAnsi="Times New Roman" w:cs="Times New Roman"/>
                <w:sz w:val="24"/>
                <w:szCs w:val="24"/>
              </w:rPr>
              <w:lastRenderedPageBreak/>
              <w:t>между лицами независимо от расового или этнического происхождения</w:t>
            </w:r>
          </w:p>
        </w:tc>
        <w:tc>
          <w:tcPr>
            <w:tcW w:w="5671" w:type="dxa"/>
          </w:tcPr>
          <w:p w14:paraId="5D7D1A64" w14:textId="525277CA"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lastRenderedPageBreak/>
              <w:t xml:space="preserve">запрещает дискриминацию на основании расы или этнической принадлежности в сферах занятости, </w:t>
            </w:r>
            <w:r w:rsidRPr="001935D0">
              <w:rPr>
                <w:rFonts w:ascii="Times New Roman" w:hAnsi="Times New Roman" w:cs="Times New Roman"/>
                <w:sz w:val="24"/>
                <w:szCs w:val="24"/>
              </w:rPr>
              <w:lastRenderedPageBreak/>
              <w:t>образования, здравоохранения, социальной защиты, доступа к жилью, товарам и услугам. Директива требует от государств-членов создания независимых органов по вопросам равенства, наделённых функциями рассмотрения жалоб, мониторинга и просвещения. Она является краеугольным камнем правовой конструкции ЕС в сфере недискриминации и служит правовым основанием для институционали</w:t>
            </w:r>
            <w:r w:rsidR="006A0854">
              <w:rPr>
                <w:rFonts w:ascii="Times New Roman" w:hAnsi="Times New Roman" w:cs="Times New Roman"/>
                <w:sz w:val="24"/>
                <w:szCs w:val="24"/>
                <w:lang w:val="kk-KZ"/>
              </w:rPr>
              <w:t xml:space="preserve"> </w:t>
            </w:r>
            <w:r w:rsidRPr="001935D0">
              <w:rPr>
                <w:rFonts w:ascii="Times New Roman" w:hAnsi="Times New Roman" w:cs="Times New Roman"/>
                <w:sz w:val="24"/>
                <w:szCs w:val="24"/>
              </w:rPr>
              <w:t>зации подходов к сбору дезагрегированных данных.</w:t>
            </w:r>
          </w:p>
        </w:tc>
      </w:tr>
      <w:tr w:rsidR="00E94B29" w:rsidRPr="001935D0" w14:paraId="7F54399A" w14:textId="77777777" w:rsidTr="008314DF">
        <w:trPr>
          <w:jc w:val="center"/>
        </w:trPr>
        <w:tc>
          <w:tcPr>
            <w:tcW w:w="1956" w:type="dxa"/>
          </w:tcPr>
          <w:p w14:paraId="3F2E8D7E" w14:textId="77777777" w:rsidR="00E94B29" w:rsidRPr="001935D0" w:rsidRDefault="00E94B29" w:rsidP="00593711">
            <w:pPr>
              <w:pStyle w:val="NoSpacing"/>
              <w:jc w:val="both"/>
              <w:rPr>
                <w:rFonts w:ascii="Times New Roman" w:hAnsi="Times New Roman" w:cs="Times New Roman"/>
                <w:sz w:val="24"/>
                <w:szCs w:val="24"/>
              </w:rPr>
            </w:pPr>
            <w:r w:rsidRPr="001935D0">
              <w:rPr>
                <w:rStyle w:val="Strong"/>
                <w:rFonts w:ascii="Times New Roman" w:hAnsi="Times New Roman" w:cs="Times New Roman"/>
                <w:b w:val="0"/>
                <w:sz w:val="24"/>
                <w:szCs w:val="24"/>
              </w:rPr>
              <w:lastRenderedPageBreak/>
              <w:t>Директива 2000/78/EC</w:t>
            </w:r>
            <w:r w:rsidRPr="001935D0">
              <w:rPr>
                <w:rFonts w:ascii="Times New Roman" w:hAnsi="Times New Roman" w:cs="Times New Roman"/>
                <w:sz w:val="24"/>
                <w:szCs w:val="24"/>
              </w:rPr>
              <w:t xml:space="preserve"> Совета от 27 ноября 2000 года</w:t>
            </w:r>
          </w:p>
        </w:tc>
        <w:tc>
          <w:tcPr>
            <w:tcW w:w="2008" w:type="dxa"/>
          </w:tcPr>
          <w:p w14:paraId="77F6ED7E" w14:textId="77777777" w:rsidR="00E94B29" w:rsidRPr="001935D0" w:rsidRDefault="00E94B29" w:rsidP="00593711">
            <w:pPr>
              <w:pStyle w:val="NoSpacing"/>
              <w:jc w:val="both"/>
              <w:rPr>
                <w:rFonts w:ascii="Times New Roman" w:hAnsi="Times New Roman" w:cs="Times New Roman"/>
                <w:sz w:val="24"/>
                <w:szCs w:val="24"/>
              </w:rPr>
            </w:pPr>
            <w:r w:rsidRPr="001935D0">
              <w:rPr>
                <w:rStyle w:val="Emphasis"/>
                <w:rFonts w:ascii="Times New Roman" w:hAnsi="Times New Roman" w:cs="Times New Roman"/>
                <w:sz w:val="24"/>
                <w:szCs w:val="24"/>
              </w:rPr>
              <w:t>принцип создания общей рамки равного обращения в сфере занятости и профессий</w:t>
            </w:r>
            <w:r w:rsidRPr="001935D0">
              <w:rPr>
                <w:rFonts w:ascii="Times New Roman" w:hAnsi="Times New Roman" w:cs="Times New Roman"/>
                <w:sz w:val="24"/>
                <w:szCs w:val="24"/>
              </w:rPr>
              <w:t xml:space="preserve">  </w:t>
            </w:r>
          </w:p>
        </w:tc>
        <w:tc>
          <w:tcPr>
            <w:tcW w:w="5671" w:type="dxa"/>
          </w:tcPr>
          <w:p w14:paraId="5701E8FE" w14:textId="43523EA9" w:rsidR="00E94B29" w:rsidRPr="006A0854" w:rsidRDefault="00E94B29" w:rsidP="00593711">
            <w:pPr>
              <w:pStyle w:val="NoSpacing"/>
              <w:jc w:val="both"/>
              <w:rPr>
                <w:rFonts w:ascii="Times New Roman" w:hAnsi="Times New Roman" w:cs="Times New Roman"/>
                <w:sz w:val="24"/>
                <w:szCs w:val="24"/>
                <w:lang w:val="kk-KZ"/>
              </w:rPr>
            </w:pPr>
            <w:r w:rsidRPr="001935D0">
              <w:rPr>
                <w:rFonts w:ascii="Times New Roman" w:hAnsi="Times New Roman" w:cs="Times New Roman"/>
                <w:sz w:val="24"/>
                <w:szCs w:val="24"/>
              </w:rPr>
              <w:t>формирует общую правовую рамку в отношении дискриминации по признаку религии или убеж</w:t>
            </w:r>
            <w:r w:rsidR="006A0854">
              <w:rPr>
                <w:rFonts w:ascii="Times New Roman" w:hAnsi="Times New Roman" w:cs="Times New Roman"/>
                <w:sz w:val="24"/>
                <w:szCs w:val="24"/>
                <w:lang w:val="kk-KZ"/>
              </w:rPr>
              <w:t xml:space="preserve"> </w:t>
            </w:r>
            <w:r w:rsidRPr="001935D0">
              <w:rPr>
                <w:rFonts w:ascii="Times New Roman" w:hAnsi="Times New Roman" w:cs="Times New Roman"/>
                <w:sz w:val="24"/>
                <w:szCs w:val="24"/>
              </w:rPr>
              <w:t>дений, инвалидности. В ней особое внимание уделя</w:t>
            </w:r>
            <w:r w:rsidR="006A0854">
              <w:rPr>
                <w:rFonts w:ascii="Times New Roman" w:hAnsi="Times New Roman" w:cs="Times New Roman"/>
                <w:sz w:val="24"/>
                <w:szCs w:val="24"/>
                <w:lang w:val="kk-KZ"/>
              </w:rPr>
              <w:t xml:space="preserve"> </w:t>
            </w:r>
            <w:r w:rsidRPr="001935D0">
              <w:rPr>
                <w:rFonts w:ascii="Times New Roman" w:hAnsi="Times New Roman" w:cs="Times New Roman"/>
                <w:sz w:val="24"/>
                <w:szCs w:val="24"/>
              </w:rPr>
              <w:t>ется обязательству работодателей предоставлять «разумные условия» (reasonable accommodation) для лиц с инвалидностью, что стало важной инновацией в трудовом праве ЕС. Эффективность применения директивы тесно связана с наличием достоверных и качественных данных о дискриминации, что подчёркивается и в аналитических документах, так</w:t>
            </w:r>
            <w:r w:rsidR="006A0854">
              <w:rPr>
                <w:rFonts w:ascii="Times New Roman" w:hAnsi="Times New Roman" w:cs="Times New Roman"/>
                <w:sz w:val="24"/>
                <w:szCs w:val="24"/>
              </w:rPr>
              <w:t>их как обсуждаемый доклад EFRAG</w:t>
            </w:r>
          </w:p>
        </w:tc>
      </w:tr>
      <w:tr w:rsidR="00E94B29" w:rsidRPr="001935D0" w14:paraId="71BBD80E" w14:textId="77777777" w:rsidTr="008314DF">
        <w:trPr>
          <w:jc w:val="center"/>
        </w:trPr>
        <w:tc>
          <w:tcPr>
            <w:tcW w:w="1956" w:type="dxa"/>
          </w:tcPr>
          <w:p w14:paraId="5D32C746" w14:textId="15A7E2DF" w:rsidR="00E94B29" w:rsidRPr="001935D0" w:rsidRDefault="00E94B29" w:rsidP="00593711">
            <w:pPr>
              <w:pStyle w:val="NoSpacing"/>
              <w:jc w:val="both"/>
              <w:rPr>
                <w:rFonts w:ascii="Times New Roman" w:hAnsi="Times New Roman" w:cs="Times New Roman"/>
                <w:sz w:val="24"/>
                <w:szCs w:val="24"/>
              </w:rPr>
            </w:pPr>
            <w:r w:rsidRPr="001935D0">
              <w:rPr>
                <w:rStyle w:val="Strong"/>
                <w:rFonts w:ascii="Times New Roman" w:hAnsi="Times New Roman" w:cs="Times New Roman"/>
                <w:b w:val="0"/>
                <w:sz w:val="24"/>
                <w:szCs w:val="24"/>
              </w:rPr>
              <w:t>Директива 2006/54/EC</w:t>
            </w:r>
            <w:r w:rsidRPr="001935D0">
              <w:rPr>
                <w:rFonts w:ascii="Times New Roman" w:hAnsi="Times New Roman" w:cs="Times New Roman"/>
                <w:sz w:val="24"/>
                <w:szCs w:val="24"/>
              </w:rPr>
              <w:t xml:space="preserve"> Европейского </w:t>
            </w:r>
            <w:r w:rsidR="004A3405">
              <w:rPr>
                <w:rFonts w:ascii="Times New Roman" w:hAnsi="Times New Roman" w:cs="Times New Roman"/>
                <w:sz w:val="24"/>
                <w:szCs w:val="24"/>
              </w:rPr>
              <w:t>П</w:t>
            </w:r>
            <w:r w:rsidRPr="001935D0">
              <w:rPr>
                <w:rFonts w:ascii="Times New Roman" w:hAnsi="Times New Roman" w:cs="Times New Roman"/>
                <w:sz w:val="24"/>
                <w:szCs w:val="24"/>
              </w:rPr>
              <w:t>арламента и Совета от 5 июля 2006 года</w:t>
            </w:r>
          </w:p>
        </w:tc>
        <w:tc>
          <w:tcPr>
            <w:tcW w:w="2008" w:type="dxa"/>
          </w:tcPr>
          <w:p w14:paraId="0013ABDD" w14:textId="44D7CB39" w:rsidR="00E94B29" w:rsidRPr="001935D0" w:rsidRDefault="00E94B29" w:rsidP="00593711">
            <w:pPr>
              <w:pStyle w:val="NoSpacing"/>
              <w:jc w:val="both"/>
              <w:rPr>
                <w:rFonts w:ascii="Times New Roman" w:hAnsi="Times New Roman" w:cs="Times New Roman"/>
                <w:sz w:val="24"/>
                <w:szCs w:val="24"/>
              </w:rPr>
            </w:pPr>
            <w:r w:rsidRPr="001935D0">
              <w:rPr>
                <w:rStyle w:val="Emphasis"/>
                <w:rFonts w:ascii="Times New Roman" w:hAnsi="Times New Roman" w:cs="Times New Roman"/>
                <w:sz w:val="24"/>
                <w:szCs w:val="24"/>
              </w:rPr>
              <w:t>принцип реали</w:t>
            </w:r>
            <w:r w:rsidR="008314DF">
              <w:rPr>
                <w:rStyle w:val="Emphasis"/>
                <w:rFonts w:ascii="Times New Roman" w:hAnsi="Times New Roman" w:cs="Times New Roman"/>
                <w:sz w:val="24"/>
                <w:szCs w:val="24"/>
                <w:lang w:val="kk-KZ"/>
              </w:rPr>
              <w:t xml:space="preserve"> </w:t>
            </w:r>
            <w:r w:rsidRPr="001935D0">
              <w:rPr>
                <w:rStyle w:val="Emphasis"/>
                <w:rFonts w:ascii="Times New Roman" w:hAnsi="Times New Roman" w:cs="Times New Roman"/>
                <w:sz w:val="24"/>
                <w:szCs w:val="24"/>
              </w:rPr>
              <w:t>зации принципа равных возмож</w:t>
            </w:r>
            <w:r w:rsidR="008314DF">
              <w:rPr>
                <w:rStyle w:val="Emphasis"/>
                <w:rFonts w:ascii="Times New Roman" w:hAnsi="Times New Roman" w:cs="Times New Roman"/>
                <w:sz w:val="24"/>
                <w:szCs w:val="24"/>
                <w:lang w:val="kk-KZ"/>
              </w:rPr>
              <w:t xml:space="preserve"> </w:t>
            </w:r>
            <w:r w:rsidRPr="001935D0">
              <w:rPr>
                <w:rStyle w:val="Emphasis"/>
                <w:rFonts w:ascii="Times New Roman" w:hAnsi="Times New Roman" w:cs="Times New Roman"/>
                <w:sz w:val="24"/>
                <w:szCs w:val="24"/>
              </w:rPr>
              <w:t>ностей и равного обращения муж</w:t>
            </w:r>
            <w:r w:rsidR="008314DF">
              <w:rPr>
                <w:rStyle w:val="Emphasis"/>
                <w:rFonts w:ascii="Times New Roman" w:hAnsi="Times New Roman" w:cs="Times New Roman"/>
                <w:sz w:val="24"/>
                <w:szCs w:val="24"/>
                <w:lang w:val="kk-KZ"/>
              </w:rPr>
              <w:t xml:space="preserve"> </w:t>
            </w:r>
            <w:r w:rsidRPr="001935D0">
              <w:rPr>
                <w:rStyle w:val="Emphasis"/>
                <w:rFonts w:ascii="Times New Roman" w:hAnsi="Times New Roman" w:cs="Times New Roman"/>
                <w:sz w:val="24"/>
                <w:szCs w:val="24"/>
              </w:rPr>
              <w:t>чин и женщин в вопросах заня</w:t>
            </w:r>
            <w:r w:rsidR="008314DF">
              <w:rPr>
                <w:rStyle w:val="Emphasis"/>
                <w:rFonts w:ascii="Times New Roman" w:hAnsi="Times New Roman" w:cs="Times New Roman"/>
                <w:sz w:val="24"/>
                <w:szCs w:val="24"/>
                <w:lang w:val="kk-KZ"/>
              </w:rPr>
              <w:t xml:space="preserve"> </w:t>
            </w:r>
            <w:r w:rsidRPr="001935D0">
              <w:rPr>
                <w:rStyle w:val="Emphasis"/>
                <w:rFonts w:ascii="Times New Roman" w:hAnsi="Times New Roman" w:cs="Times New Roman"/>
                <w:sz w:val="24"/>
                <w:szCs w:val="24"/>
              </w:rPr>
              <w:t>тости и профес</w:t>
            </w:r>
            <w:r w:rsidR="008314DF">
              <w:rPr>
                <w:rStyle w:val="Emphasis"/>
                <w:rFonts w:ascii="Times New Roman" w:hAnsi="Times New Roman" w:cs="Times New Roman"/>
                <w:sz w:val="24"/>
                <w:szCs w:val="24"/>
                <w:lang w:val="kk-KZ"/>
              </w:rPr>
              <w:t xml:space="preserve"> </w:t>
            </w:r>
            <w:r w:rsidRPr="001935D0">
              <w:rPr>
                <w:rStyle w:val="Emphasis"/>
                <w:rFonts w:ascii="Times New Roman" w:hAnsi="Times New Roman" w:cs="Times New Roman"/>
                <w:sz w:val="24"/>
                <w:szCs w:val="24"/>
              </w:rPr>
              <w:t>сий</w:t>
            </w:r>
          </w:p>
        </w:tc>
        <w:tc>
          <w:tcPr>
            <w:tcW w:w="5671" w:type="dxa"/>
          </w:tcPr>
          <w:p w14:paraId="0DB4F230"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посвящена гендерному равенству. Она закрепляет принципы равной оплаты за равный труд и системного анализа условий профессионального роста и занятости женщин. Директива закладывает правовую основу для интеграции гендерного равенства в политику устойчивого корпоративного управления, включая соответствие стандартам ESG и требованиям к отчетности, таким как CSRD (Corporate Sustainability Reporting Directive).</w:t>
            </w:r>
          </w:p>
        </w:tc>
      </w:tr>
      <w:tr w:rsidR="008314DF" w:rsidRPr="001935D0" w14:paraId="24A11F4B" w14:textId="77777777" w:rsidTr="00187279">
        <w:trPr>
          <w:jc w:val="center"/>
        </w:trPr>
        <w:tc>
          <w:tcPr>
            <w:tcW w:w="9635" w:type="dxa"/>
            <w:gridSpan w:val="3"/>
          </w:tcPr>
          <w:p w14:paraId="49503229" w14:textId="14C3292D" w:rsidR="008314DF" w:rsidRPr="009F3DD5" w:rsidRDefault="00614B7F" w:rsidP="009F3DD5">
            <w:pPr>
              <w:pStyle w:val="NoSpacing"/>
              <w:ind w:firstLine="60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Составлено автором по данным [8</w:t>
            </w:r>
            <w:r>
              <w:rPr>
                <w:rFonts w:ascii="Times New Roman" w:hAnsi="Times New Roman" w:cs="Times New Roman"/>
                <w:sz w:val="24"/>
                <w:szCs w:val="24"/>
                <w:lang w:val="kk-KZ"/>
              </w:rPr>
              <w:t>6; 8</w:t>
            </w:r>
            <w:r w:rsidRPr="001935D0">
              <w:rPr>
                <w:rFonts w:ascii="Times New Roman" w:hAnsi="Times New Roman" w:cs="Times New Roman"/>
                <w:sz w:val="24"/>
                <w:szCs w:val="24"/>
              </w:rPr>
              <w:t>7</w:t>
            </w:r>
            <w:r>
              <w:rPr>
                <w:rFonts w:ascii="Times New Roman" w:hAnsi="Times New Roman" w:cs="Times New Roman"/>
                <w:sz w:val="24"/>
                <w:szCs w:val="24"/>
                <w:lang w:val="kk-KZ"/>
              </w:rPr>
              <w:t>; 88</w:t>
            </w:r>
            <w:r w:rsidRPr="001935D0">
              <w:rPr>
                <w:rFonts w:ascii="Times New Roman" w:hAnsi="Times New Roman" w:cs="Times New Roman"/>
                <w:sz w:val="24"/>
                <w:szCs w:val="24"/>
              </w:rPr>
              <w:t>]</w:t>
            </w:r>
          </w:p>
        </w:tc>
      </w:tr>
    </w:tbl>
    <w:p w14:paraId="4C3D1BBF" w14:textId="77777777" w:rsidR="00E94B29" w:rsidRPr="00E05332" w:rsidRDefault="00E94B29" w:rsidP="00593711">
      <w:pPr>
        <w:pStyle w:val="NoSpacing"/>
        <w:jc w:val="both"/>
        <w:rPr>
          <w:rFonts w:ascii="Times New Roman" w:hAnsi="Times New Roman" w:cs="Times New Roman"/>
          <w:sz w:val="28"/>
          <w:szCs w:val="28"/>
        </w:rPr>
      </w:pPr>
    </w:p>
    <w:p w14:paraId="06E0616C" w14:textId="77777777" w:rsidR="008314DF" w:rsidRPr="001935D0" w:rsidRDefault="008314DF" w:rsidP="008314DF">
      <w:pPr>
        <w:pStyle w:val="NoSpacing"/>
        <w:ind w:firstLine="709"/>
        <w:jc w:val="both"/>
        <w:rPr>
          <w:rFonts w:ascii="Times New Roman" w:hAnsi="Times New Roman" w:cs="Times New Roman"/>
          <w:sz w:val="16"/>
          <w:szCs w:val="16"/>
        </w:rPr>
      </w:pPr>
      <w:r w:rsidRPr="001935D0">
        <w:rPr>
          <w:rFonts w:ascii="Times New Roman" w:hAnsi="Times New Roman" w:cs="Times New Roman"/>
          <w:sz w:val="28"/>
          <w:szCs w:val="28"/>
        </w:rPr>
        <w:t>В широкой перспективе, эти директивы являются не только инструментами внутренней гармонизации законодательства, но и важным элементом нормативной проекции ценностей ЕС в международном контексте. Они легитимизируют деятельность как национальных правозащитных учреждений, так и наднациональных органов, включая Суд Европейского Союза и Агентство по основным правам (FRA), формируя институциональную устойчивость правового порядка, основанного на уважении человеческого достоинства, равенства и правового государства.</w:t>
      </w:r>
      <w:r w:rsidRPr="001935D0">
        <w:rPr>
          <w:rFonts w:ascii="Times New Roman" w:hAnsi="Times New Roman" w:cs="Times New Roman"/>
          <w:sz w:val="24"/>
          <w:szCs w:val="24"/>
        </w:rPr>
        <w:t xml:space="preserve"> </w:t>
      </w:r>
      <w:bookmarkStart w:id="1" w:name="_Hlk204432753"/>
    </w:p>
    <w:bookmarkEnd w:id="1"/>
    <w:p w14:paraId="79982424" w14:textId="3A1879B9"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Необходимо отметить, что F. Van den Berghe [</w:t>
      </w:r>
      <w:r w:rsidR="00A45413">
        <w:rPr>
          <w:sz w:val="28"/>
          <w:szCs w:val="28"/>
          <w:lang w:val="kk-KZ"/>
        </w:rPr>
        <w:t>89</w:t>
      </w:r>
      <w:r w:rsidRPr="001935D0">
        <w:rPr>
          <w:sz w:val="28"/>
          <w:szCs w:val="28"/>
        </w:rPr>
        <w:t xml:space="preserve">], в своей статье проводит всесторонний анализ </w:t>
      </w:r>
      <w:r w:rsidRPr="001935D0">
        <w:rPr>
          <w:rStyle w:val="Emphasis"/>
          <w:sz w:val="28"/>
          <w:szCs w:val="28"/>
        </w:rPr>
        <w:t>Директивы 2000/43/EC</w:t>
      </w:r>
      <w:r w:rsidRPr="001935D0">
        <w:rPr>
          <w:sz w:val="28"/>
          <w:szCs w:val="28"/>
        </w:rPr>
        <w:t xml:space="preserve"> (Racial Equality Directive), принятой Советом ЕС в июне 2000 года как ответ на рост праворадикальных настроений в Европе. Автор рассматривает институциональные, правовые и политические предпосылки её принятия, а также трактует основные положения документа, включая сферу применения, механизмы защиты прав, исключения и особенности реализации.</w:t>
      </w:r>
    </w:p>
    <w:p w14:paraId="5CAF832B" w14:textId="77777777" w:rsidR="00E94B29" w:rsidRPr="001935D0" w:rsidRDefault="00E94B29" w:rsidP="00593711">
      <w:pPr>
        <w:pStyle w:val="NormalWeb"/>
        <w:spacing w:before="0" w:beforeAutospacing="0" w:after="0" w:afterAutospacing="0"/>
        <w:ind w:firstLine="709"/>
        <w:jc w:val="both"/>
      </w:pPr>
      <w:r w:rsidRPr="001935D0">
        <w:rPr>
          <w:sz w:val="28"/>
          <w:szCs w:val="28"/>
        </w:rPr>
        <w:t xml:space="preserve">Особое внимание уделяется понятию </w:t>
      </w:r>
      <w:r w:rsidRPr="001935D0">
        <w:rPr>
          <w:rStyle w:val="Emphasis"/>
          <w:sz w:val="28"/>
          <w:szCs w:val="28"/>
        </w:rPr>
        <w:t>«все лица»</w:t>
      </w:r>
      <w:r w:rsidRPr="001935D0">
        <w:rPr>
          <w:sz w:val="28"/>
          <w:szCs w:val="28"/>
        </w:rPr>
        <w:t xml:space="preserve"> в контексте антидискриминационной защиты, необходимости гармонизации национального законодательства, а также роли </w:t>
      </w:r>
      <w:r w:rsidRPr="001935D0">
        <w:rPr>
          <w:rStyle w:val="Emphasis"/>
          <w:sz w:val="28"/>
          <w:szCs w:val="28"/>
        </w:rPr>
        <w:t>социального диалога</w:t>
      </w:r>
      <w:r w:rsidRPr="001935D0">
        <w:rPr>
          <w:sz w:val="28"/>
          <w:szCs w:val="28"/>
        </w:rPr>
        <w:t xml:space="preserve"> и участия </w:t>
      </w:r>
      <w:r w:rsidRPr="001935D0">
        <w:rPr>
          <w:rStyle w:val="Emphasis"/>
          <w:sz w:val="28"/>
          <w:szCs w:val="28"/>
        </w:rPr>
        <w:t xml:space="preserve">гражданского </w:t>
      </w:r>
      <w:r w:rsidRPr="001935D0">
        <w:rPr>
          <w:rStyle w:val="Emphasis"/>
          <w:sz w:val="28"/>
          <w:szCs w:val="28"/>
        </w:rPr>
        <w:lastRenderedPageBreak/>
        <w:t>общества</w:t>
      </w:r>
      <w:r w:rsidRPr="001935D0">
        <w:rPr>
          <w:sz w:val="28"/>
          <w:szCs w:val="28"/>
        </w:rPr>
        <w:t xml:space="preserve"> в борьбе с дискриминацией по расовому и этническому признаку. Статья акцентирует на том, что директива представляет собой значительный шаг вперёд в институционализации принципа равного обращения в ЕС, несмотря на определённые пробелы и трудности в интерпретации отдельных положений (например, определения «социальной защиты»).</w:t>
      </w:r>
    </w:p>
    <w:p w14:paraId="5447FFD5" w14:textId="37C5D279" w:rsidR="00E94B29" w:rsidRPr="001935D0" w:rsidRDefault="00E91D45" w:rsidP="00593711">
      <w:pPr>
        <w:pStyle w:val="NormalWeb"/>
        <w:spacing w:before="0" w:beforeAutospacing="0" w:after="0" w:afterAutospacing="0"/>
        <w:ind w:firstLine="709"/>
        <w:jc w:val="both"/>
        <w:rPr>
          <w:sz w:val="28"/>
          <w:szCs w:val="28"/>
        </w:rPr>
      </w:pPr>
      <w:r w:rsidRPr="00E91D45">
        <w:rPr>
          <w:sz w:val="28"/>
          <w:szCs w:val="28"/>
        </w:rPr>
        <w:t>Н. Эрнандес Морено</w:t>
      </w:r>
      <w:r w:rsidR="00E94B29" w:rsidRPr="001935D0">
        <w:rPr>
          <w:sz w:val="28"/>
          <w:szCs w:val="28"/>
        </w:rPr>
        <w:t>, [9</w:t>
      </w:r>
      <w:r w:rsidR="00A45413">
        <w:rPr>
          <w:sz w:val="28"/>
          <w:szCs w:val="28"/>
          <w:lang w:val="kk-KZ"/>
        </w:rPr>
        <w:t>0, р. 137-165</w:t>
      </w:r>
      <w:r w:rsidR="00E94B29" w:rsidRPr="001935D0">
        <w:rPr>
          <w:sz w:val="28"/>
          <w:szCs w:val="28"/>
        </w:rPr>
        <w:t>] анализирует юриспруденцию Суда ЕС, связанную с дискриминацией по признаку расы и этнического происхождения, особенно в отношении мигрантов и этнических меньшинств. По его наблюдениям, несмотря на более чем 20-летний срок действия соответствующей директивы, число судебных решений остаётся ограниченным, что подтверждается данными Агентства ЕС по основным правам –</w:t>
      </w:r>
      <w:r w:rsidR="00A45413">
        <w:rPr>
          <w:sz w:val="28"/>
          <w:szCs w:val="28"/>
          <w:lang w:val="kk-KZ"/>
        </w:rPr>
        <w:t xml:space="preserve"> </w:t>
      </w:r>
      <w:r w:rsidR="00E94B29" w:rsidRPr="001935D0">
        <w:rPr>
          <w:sz w:val="28"/>
          <w:szCs w:val="28"/>
        </w:rPr>
        <w:t xml:space="preserve">European Union Agency for Fundamental Rights </w:t>
      </w:r>
      <w:r w:rsidR="00E94B29" w:rsidRPr="00A45413">
        <w:rPr>
          <w:sz w:val="28"/>
          <w:szCs w:val="28"/>
        </w:rPr>
        <w:t>[9</w:t>
      </w:r>
      <w:r w:rsidR="00A45413" w:rsidRPr="00A45413">
        <w:rPr>
          <w:sz w:val="28"/>
          <w:szCs w:val="28"/>
          <w:lang w:val="kk-KZ"/>
        </w:rPr>
        <w:t>1</w:t>
      </w:r>
      <w:r w:rsidR="00E94B29" w:rsidRPr="00A45413">
        <w:rPr>
          <w:sz w:val="28"/>
          <w:szCs w:val="28"/>
        </w:rPr>
        <w:t>].</w:t>
      </w:r>
      <w:r w:rsidR="00E94B29" w:rsidRPr="001935D0">
        <w:rPr>
          <w:sz w:val="28"/>
          <w:szCs w:val="28"/>
        </w:rPr>
        <w:t xml:space="preserve"> Это, по мнению исследователя, свидетельствует о наличии институциональных барьеров, недостаточной осведомлённости жертв дискриминации и пробелах в реализации директивы. Кроме того, он подчёркивает, что структурные уязвимости и ксенофобия продолжают препятствовать достижению реального равенства.</w:t>
      </w:r>
    </w:p>
    <w:p w14:paraId="692E67D7" w14:textId="4B6BCE05"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Произведенный анализ, дает возможность определить, что система защиты прав человека в Европейском Союзе основывается на взаимодействии специализированных органов, судебных механизмов и процедур оценки соблюдения ключевых правовых и демократических стандартов. Согласно ежегодному докладу Агентства Европейского Союза по основным правам [9</w:t>
      </w:r>
      <w:r w:rsidR="00A45413">
        <w:rPr>
          <w:sz w:val="28"/>
          <w:szCs w:val="28"/>
          <w:lang w:val="kk-KZ"/>
        </w:rPr>
        <w:t>2</w:t>
      </w:r>
      <w:r w:rsidRPr="001935D0">
        <w:rPr>
          <w:sz w:val="28"/>
          <w:szCs w:val="28"/>
        </w:rPr>
        <w:t xml:space="preserve">], особое внимание уделяется вопросам институциональной ответственности, системной дискриминации, доступу к правосудию, а также эффективному функционированию механизмов жалоб. Эти направления деятельности взаимно дополняются юрисдикцией Суда ЕС и мандатом Европейского омбудсмена. Ниже представлена таблица, в которой систематизированы ключевые институции, играющие фундаментальную роль в формировании нормативной базы прав человека в правопорядке ЕС </w:t>
      </w:r>
      <w:r w:rsidR="00A45413">
        <w:rPr>
          <w:sz w:val="28"/>
          <w:szCs w:val="28"/>
          <w:lang w:val="kk-KZ"/>
        </w:rPr>
        <w:t>(</w:t>
      </w:r>
      <w:r w:rsidRPr="001935D0">
        <w:rPr>
          <w:sz w:val="28"/>
          <w:szCs w:val="28"/>
        </w:rPr>
        <w:t>таблица 2.3</w:t>
      </w:r>
      <w:r w:rsidR="00A45413">
        <w:rPr>
          <w:sz w:val="28"/>
          <w:szCs w:val="28"/>
          <w:lang w:val="kk-KZ"/>
        </w:rPr>
        <w:t>)</w:t>
      </w:r>
      <w:r w:rsidRPr="001935D0">
        <w:rPr>
          <w:sz w:val="28"/>
          <w:szCs w:val="28"/>
        </w:rPr>
        <w:t>.</w:t>
      </w:r>
    </w:p>
    <w:p w14:paraId="79688E1D" w14:textId="77777777" w:rsidR="00E05332" w:rsidRPr="001935D0" w:rsidRDefault="00E05332" w:rsidP="00E05332">
      <w:pPr>
        <w:pStyle w:val="NormalWeb"/>
        <w:spacing w:before="0" w:beforeAutospacing="0" w:after="0" w:afterAutospacing="0"/>
        <w:ind w:firstLine="709"/>
        <w:jc w:val="both"/>
        <w:rPr>
          <w:sz w:val="28"/>
          <w:szCs w:val="28"/>
        </w:rPr>
      </w:pPr>
      <w:r w:rsidRPr="001935D0">
        <w:rPr>
          <w:sz w:val="28"/>
          <w:szCs w:val="28"/>
        </w:rPr>
        <w:t>Как видим, данные институции не только фиксируют нарушения, но и формируют основу прецедентного и нормативного права Европейского Союза. Суд ЕС, как судебный орган, определяет обязательные стандарты интерпретации прав человека, тем самым влияя на правоприменение во всех странах-членах. FRA предоставляет аналитическую базу, обобщающую вызовы, стоящие перед уязвимыми группами населения и национальными системы правосудия, а Европейский омбудсмен усиливает демократическую подотчетность наднациональных институтов. Их совместная деятельность обеспечивает всесторонний контроль над реализацией правовых гарантий в институциональной структуре ЕС.</w:t>
      </w:r>
    </w:p>
    <w:p w14:paraId="3F1DBD79" w14:textId="77777777" w:rsidR="00E05332" w:rsidRPr="00E05332" w:rsidRDefault="00E05332" w:rsidP="00593711">
      <w:pPr>
        <w:pStyle w:val="NormalWeb"/>
        <w:spacing w:before="0" w:beforeAutospacing="0" w:after="0" w:afterAutospacing="0"/>
        <w:ind w:firstLine="709"/>
        <w:jc w:val="both"/>
        <w:rPr>
          <w:sz w:val="28"/>
          <w:szCs w:val="28"/>
          <w:lang w:val="kk-KZ"/>
        </w:rPr>
      </w:pPr>
    </w:p>
    <w:p w14:paraId="609DA763" w14:textId="5BF8898B" w:rsidR="00E94B29" w:rsidRDefault="00E94B29" w:rsidP="00E05332">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2.3 </w:t>
      </w:r>
      <w:r w:rsidR="00E05332">
        <w:rPr>
          <w:rFonts w:ascii="Times New Roman" w:hAnsi="Times New Roman" w:cs="Times New Roman"/>
          <w:sz w:val="28"/>
          <w:szCs w:val="28"/>
        </w:rPr>
        <w:t>‒</w:t>
      </w:r>
      <w:r w:rsidR="00E05332">
        <w:rPr>
          <w:rFonts w:ascii="Times New Roman" w:hAnsi="Times New Roman" w:cs="Times New Roman"/>
          <w:sz w:val="28"/>
          <w:szCs w:val="28"/>
          <w:lang w:val="kk-KZ"/>
        </w:rPr>
        <w:t xml:space="preserve"> </w:t>
      </w:r>
      <w:r w:rsidRPr="001935D0">
        <w:rPr>
          <w:rFonts w:ascii="Times New Roman" w:hAnsi="Times New Roman" w:cs="Times New Roman"/>
          <w:sz w:val="28"/>
          <w:szCs w:val="28"/>
        </w:rPr>
        <w:t>Ключевые институциональные механизмы защиты прав человека в Европейском Союзе</w:t>
      </w:r>
    </w:p>
    <w:p w14:paraId="47E11A07" w14:textId="77777777" w:rsidR="00E05332" w:rsidRPr="00E05332" w:rsidRDefault="00E05332" w:rsidP="00593711">
      <w:pPr>
        <w:pStyle w:val="NoSpacing"/>
        <w:jc w:val="center"/>
        <w:rPr>
          <w:rFonts w:ascii="Times New Roman" w:hAnsi="Times New Roman" w:cs="Times New Roman"/>
          <w:sz w:val="16"/>
          <w:szCs w:val="16"/>
          <w:lang w:val="kk-KZ"/>
        </w:rPr>
      </w:pPr>
    </w:p>
    <w:tbl>
      <w:tblPr>
        <w:tblStyle w:val="TableGrid"/>
        <w:tblW w:w="0" w:type="auto"/>
        <w:jc w:val="center"/>
        <w:tblLook w:val="04A0" w:firstRow="1" w:lastRow="0" w:firstColumn="1" w:lastColumn="0" w:noHBand="0" w:noVBand="1"/>
      </w:tblPr>
      <w:tblGrid>
        <w:gridCol w:w="3115"/>
        <w:gridCol w:w="3115"/>
        <w:gridCol w:w="3227"/>
      </w:tblGrid>
      <w:tr w:rsidR="00E94B29" w:rsidRPr="001935D0" w14:paraId="03B8F505" w14:textId="77777777" w:rsidTr="00E05332">
        <w:trPr>
          <w:jc w:val="center"/>
        </w:trPr>
        <w:tc>
          <w:tcPr>
            <w:tcW w:w="3115" w:type="dxa"/>
            <w:vAlign w:val="center"/>
          </w:tcPr>
          <w:p w14:paraId="1B2B73AF" w14:textId="27E58155" w:rsidR="00E94B29" w:rsidRPr="001935D0" w:rsidRDefault="00E94B29" w:rsidP="00E05332">
            <w:pPr>
              <w:jc w:val="center"/>
              <w:rPr>
                <w:rFonts w:ascii="Times New Roman" w:hAnsi="Times New Roman" w:cs="Times New Roman"/>
                <w:bCs/>
                <w:sz w:val="24"/>
                <w:szCs w:val="24"/>
              </w:rPr>
            </w:pPr>
            <w:r w:rsidRPr="001935D0">
              <w:rPr>
                <w:rFonts w:ascii="Times New Roman" w:hAnsi="Times New Roman" w:cs="Times New Roman"/>
                <w:bCs/>
                <w:sz w:val="24"/>
                <w:szCs w:val="24"/>
              </w:rPr>
              <w:t>Институция</w:t>
            </w:r>
          </w:p>
        </w:tc>
        <w:tc>
          <w:tcPr>
            <w:tcW w:w="3115" w:type="dxa"/>
            <w:vAlign w:val="center"/>
          </w:tcPr>
          <w:p w14:paraId="6D01B792" w14:textId="77777777" w:rsidR="00E94B29" w:rsidRPr="001935D0" w:rsidRDefault="00E94B29" w:rsidP="00E05332">
            <w:pPr>
              <w:jc w:val="center"/>
              <w:rPr>
                <w:rFonts w:ascii="Times New Roman" w:hAnsi="Times New Roman" w:cs="Times New Roman"/>
                <w:bCs/>
                <w:sz w:val="24"/>
                <w:szCs w:val="24"/>
              </w:rPr>
            </w:pPr>
            <w:r w:rsidRPr="001935D0">
              <w:rPr>
                <w:rFonts w:ascii="Times New Roman" w:hAnsi="Times New Roman" w:cs="Times New Roman"/>
                <w:bCs/>
                <w:sz w:val="24"/>
                <w:szCs w:val="24"/>
              </w:rPr>
              <w:t>Функции и компетенции</w:t>
            </w:r>
          </w:p>
        </w:tc>
        <w:tc>
          <w:tcPr>
            <w:tcW w:w="3227" w:type="dxa"/>
            <w:vAlign w:val="center"/>
          </w:tcPr>
          <w:p w14:paraId="75EC4250" w14:textId="2A9F64BC" w:rsidR="00E94B29" w:rsidRPr="001935D0" w:rsidRDefault="00E94B29" w:rsidP="00E05332">
            <w:pPr>
              <w:jc w:val="center"/>
              <w:rPr>
                <w:rFonts w:ascii="Times New Roman" w:hAnsi="Times New Roman" w:cs="Times New Roman"/>
                <w:bCs/>
                <w:sz w:val="24"/>
                <w:szCs w:val="24"/>
              </w:rPr>
            </w:pPr>
            <w:r w:rsidRPr="001935D0">
              <w:rPr>
                <w:rFonts w:ascii="Times New Roman" w:hAnsi="Times New Roman" w:cs="Times New Roman"/>
                <w:bCs/>
                <w:sz w:val="24"/>
                <w:szCs w:val="24"/>
              </w:rPr>
              <w:t>Нормативная база</w:t>
            </w:r>
          </w:p>
        </w:tc>
      </w:tr>
      <w:tr w:rsidR="00E94B29" w:rsidRPr="00AD6D54" w14:paraId="3CC59C59" w14:textId="77777777" w:rsidTr="00E05332">
        <w:trPr>
          <w:jc w:val="center"/>
        </w:trPr>
        <w:tc>
          <w:tcPr>
            <w:tcW w:w="3115" w:type="dxa"/>
            <w:vAlign w:val="center"/>
          </w:tcPr>
          <w:p w14:paraId="699C8154"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Агентство ЕС по основным правам (FRA)</w:t>
            </w:r>
          </w:p>
        </w:tc>
        <w:tc>
          <w:tcPr>
            <w:tcW w:w="3115" w:type="dxa"/>
            <w:vAlign w:val="center"/>
          </w:tcPr>
          <w:p w14:paraId="341A5C6B" w14:textId="4CBA8636"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Независимый орган, осуще</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 xml:space="preserve">ствляющий мониторинг, </w:t>
            </w:r>
            <w:r w:rsidRPr="001935D0">
              <w:rPr>
                <w:rFonts w:ascii="Times New Roman" w:hAnsi="Times New Roman" w:cs="Times New Roman"/>
                <w:sz w:val="24"/>
                <w:szCs w:val="24"/>
              </w:rPr>
              <w:lastRenderedPageBreak/>
              <w:t>сбор данных, предостав</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ление экспертных оценок</w:t>
            </w:r>
          </w:p>
        </w:tc>
        <w:tc>
          <w:tcPr>
            <w:tcW w:w="3227" w:type="dxa"/>
            <w:vAlign w:val="center"/>
          </w:tcPr>
          <w:p w14:paraId="725833BC" w14:textId="3AE78849" w:rsidR="00E94B29" w:rsidRPr="001935D0" w:rsidRDefault="00E94B29" w:rsidP="00A45413">
            <w:pPr>
              <w:jc w:val="both"/>
              <w:rPr>
                <w:rFonts w:ascii="Times New Roman" w:hAnsi="Times New Roman" w:cs="Times New Roman"/>
                <w:sz w:val="24"/>
                <w:szCs w:val="24"/>
                <w:lang w:val="en-US"/>
              </w:rPr>
            </w:pPr>
            <w:r w:rsidRPr="001935D0">
              <w:rPr>
                <w:rFonts w:ascii="Times New Roman" w:hAnsi="Times New Roman" w:cs="Times New Roman"/>
                <w:sz w:val="24"/>
                <w:szCs w:val="24"/>
                <w:lang w:val="en-US"/>
              </w:rPr>
              <w:lastRenderedPageBreak/>
              <w:t xml:space="preserve">Fundamental Rights Report 2025; Council Regulation (EC) </w:t>
            </w:r>
            <w:r w:rsidR="00A45413">
              <w:rPr>
                <w:rFonts w:ascii="Times New Roman" w:hAnsi="Times New Roman" w:cs="Times New Roman"/>
                <w:sz w:val="24"/>
                <w:szCs w:val="24"/>
                <w:lang w:val="kk-KZ"/>
              </w:rPr>
              <w:t>№</w:t>
            </w:r>
            <w:r w:rsidRPr="001935D0">
              <w:rPr>
                <w:rFonts w:ascii="Times New Roman" w:hAnsi="Times New Roman" w:cs="Times New Roman"/>
                <w:sz w:val="24"/>
                <w:szCs w:val="24"/>
                <w:lang w:val="en-US"/>
              </w:rPr>
              <w:t>168/2007</w:t>
            </w:r>
          </w:p>
        </w:tc>
      </w:tr>
      <w:tr w:rsidR="00E94B29" w:rsidRPr="00AD6D54" w14:paraId="7F690595" w14:textId="77777777" w:rsidTr="00E05332">
        <w:trPr>
          <w:jc w:val="center"/>
        </w:trPr>
        <w:tc>
          <w:tcPr>
            <w:tcW w:w="3115" w:type="dxa"/>
            <w:vAlign w:val="center"/>
          </w:tcPr>
          <w:p w14:paraId="040BCF4A"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Суд Европейского Союза (CJEU)</w:t>
            </w:r>
          </w:p>
        </w:tc>
        <w:tc>
          <w:tcPr>
            <w:tcW w:w="3115" w:type="dxa"/>
            <w:vAlign w:val="center"/>
          </w:tcPr>
          <w:p w14:paraId="541BEBE6"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Толкует и применяет нормы права ЕС, включая Хартию основных прав ЕС</w:t>
            </w:r>
          </w:p>
        </w:tc>
        <w:tc>
          <w:tcPr>
            <w:tcW w:w="3227" w:type="dxa"/>
            <w:vAlign w:val="center"/>
          </w:tcPr>
          <w:p w14:paraId="4E35C23A" w14:textId="77777777" w:rsidR="00E94B29" w:rsidRPr="001935D0" w:rsidRDefault="00E94B29" w:rsidP="00593711">
            <w:pPr>
              <w:jc w:val="both"/>
              <w:rPr>
                <w:rFonts w:ascii="Times New Roman" w:hAnsi="Times New Roman" w:cs="Times New Roman"/>
                <w:sz w:val="24"/>
                <w:szCs w:val="24"/>
                <w:lang w:val="en-US"/>
              </w:rPr>
            </w:pPr>
            <w:r w:rsidRPr="001935D0">
              <w:rPr>
                <w:rFonts w:ascii="Times New Roman" w:hAnsi="Times New Roman" w:cs="Times New Roman"/>
                <w:sz w:val="24"/>
                <w:szCs w:val="24"/>
                <w:lang w:val="en-US"/>
              </w:rPr>
              <w:t>Charter of Fundamental Rights of the EU; Treaty on the Functioning of the EU</w:t>
            </w:r>
          </w:p>
        </w:tc>
      </w:tr>
      <w:tr w:rsidR="00E94B29" w:rsidRPr="00AD6D54" w14:paraId="799BEC13" w14:textId="77777777" w:rsidTr="00E05332">
        <w:trPr>
          <w:jc w:val="center"/>
        </w:trPr>
        <w:tc>
          <w:tcPr>
            <w:tcW w:w="3115" w:type="dxa"/>
            <w:vAlign w:val="center"/>
          </w:tcPr>
          <w:p w14:paraId="7B080F26"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Европейский омбудсмен</w:t>
            </w:r>
          </w:p>
        </w:tc>
        <w:tc>
          <w:tcPr>
            <w:tcW w:w="3115" w:type="dxa"/>
            <w:vAlign w:val="center"/>
          </w:tcPr>
          <w:p w14:paraId="7F3A25E7"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Рассматривает жалобы граждан и организаций на действия институтов ЕС, обеспечивая подотчетность</w:t>
            </w:r>
          </w:p>
        </w:tc>
        <w:tc>
          <w:tcPr>
            <w:tcW w:w="3227" w:type="dxa"/>
            <w:vAlign w:val="center"/>
          </w:tcPr>
          <w:p w14:paraId="74CD0DEB" w14:textId="77777777" w:rsidR="00E94B29" w:rsidRPr="001935D0" w:rsidRDefault="00E94B29" w:rsidP="00593711">
            <w:pPr>
              <w:jc w:val="both"/>
              <w:rPr>
                <w:rFonts w:ascii="Times New Roman" w:hAnsi="Times New Roman" w:cs="Times New Roman"/>
                <w:sz w:val="24"/>
                <w:szCs w:val="24"/>
                <w:lang w:val="en-US"/>
              </w:rPr>
            </w:pPr>
            <w:r w:rsidRPr="001935D0">
              <w:rPr>
                <w:rFonts w:ascii="Times New Roman" w:hAnsi="Times New Roman" w:cs="Times New Roman"/>
                <w:sz w:val="24"/>
                <w:szCs w:val="24"/>
                <w:lang w:val="en-US"/>
              </w:rPr>
              <w:t>European Ombudsman Statute; Annual Reports</w:t>
            </w:r>
          </w:p>
        </w:tc>
      </w:tr>
      <w:tr w:rsidR="00E05332" w:rsidRPr="00E05332" w14:paraId="11A6353B" w14:textId="77777777" w:rsidTr="00E05332">
        <w:trPr>
          <w:jc w:val="center"/>
        </w:trPr>
        <w:tc>
          <w:tcPr>
            <w:tcW w:w="9457" w:type="dxa"/>
            <w:gridSpan w:val="3"/>
            <w:vAlign w:val="center"/>
          </w:tcPr>
          <w:p w14:paraId="1007ADE0" w14:textId="77810F6E" w:rsidR="00E05332" w:rsidRPr="00E05332" w:rsidRDefault="00E05332" w:rsidP="00A45413">
            <w:pPr>
              <w:pStyle w:val="NoSpacing"/>
              <w:ind w:firstLine="51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источника </w:t>
            </w:r>
            <w:r w:rsidRPr="001935D0">
              <w:rPr>
                <w:rFonts w:ascii="Times New Roman" w:hAnsi="Times New Roman" w:cs="Times New Roman"/>
                <w:sz w:val="24"/>
                <w:szCs w:val="24"/>
              </w:rPr>
              <w:t>[9</w:t>
            </w:r>
            <w:r w:rsidR="00A45413">
              <w:rPr>
                <w:rFonts w:ascii="Times New Roman" w:hAnsi="Times New Roman" w:cs="Times New Roman"/>
                <w:sz w:val="24"/>
                <w:szCs w:val="24"/>
                <w:lang w:val="kk-KZ"/>
              </w:rPr>
              <w:t>2</w:t>
            </w:r>
            <w:r w:rsidRPr="001935D0">
              <w:rPr>
                <w:rFonts w:ascii="Times New Roman" w:hAnsi="Times New Roman" w:cs="Times New Roman"/>
                <w:sz w:val="24"/>
                <w:szCs w:val="24"/>
              </w:rPr>
              <w:t>]</w:t>
            </w:r>
          </w:p>
        </w:tc>
      </w:tr>
    </w:tbl>
    <w:p w14:paraId="761005CB" w14:textId="77777777" w:rsidR="00E94B29" w:rsidRPr="001935D0" w:rsidRDefault="00E94B29" w:rsidP="00593711">
      <w:pPr>
        <w:pStyle w:val="NormalWeb"/>
        <w:spacing w:before="0" w:beforeAutospacing="0" w:after="0" w:afterAutospacing="0"/>
        <w:ind w:firstLine="709"/>
        <w:jc w:val="both"/>
        <w:rPr>
          <w:sz w:val="28"/>
          <w:szCs w:val="28"/>
        </w:rPr>
      </w:pPr>
    </w:p>
    <w:p w14:paraId="2E31FB9C" w14:textId="14F07741"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 xml:space="preserve">Важным элементом обеспечения верховенства права и соблюдения прав человека в ЕС являются механизмы мониторинга, оценки и контроля. Эти инструменты применяются как внутри </w:t>
      </w:r>
      <w:r w:rsidR="007C324F" w:rsidRPr="001935D0">
        <w:rPr>
          <w:sz w:val="28"/>
          <w:szCs w:val="28"/>
        </w:rPr>
        <w:t xml:space="preserve">Европейского Союза </w:t>
      </w:r>
      <w:r w:rsidRPr="001935D0">
        <w:rPr>
          <w:sz w:val="28"/>
          <w:szCs w:val="28"/>
        </w:rPr>
        <w:t>(например, ежегодные доклады о верховенстве права), так и по отношению к странам-кандидатам на вступление. Особое место занимают Копенгагенские критерии, сформулированные в 1993 году, которые являются базовой точкой отсчета для институциональной совместимости новых государств-членов с правопорядком ЕС. Таблица 2.4 обобщает основные механизмы мониторинга и оценки, применяемые в соответствующей сфере.</w:t>
      </w:r>
    </w:p>
    <w:p w14:paraId="4E8E640A" w14:textId="77777777" w:rsidR="00E94B29" w:rsidRPr="001935D0" w:rsidRDefault="00E94B29" w:rsidP="00593711">
      <w:pPr>
        <w:pStyle w:val="NormalWeb"/>
        <w:spacing w:before="0" w:beforeAutospacing="0" w:after="0" w:afterAutospacing="0"/>
        <w:ind w:firstLine="709"/>
        <w:jc w:val="both"/>
        <w:rPr>
          <w:sz w:val="28"/>
          <w:szCs w:val="28"/>
        </w:rPr>
      </w:pPr>
    </w:p>
    <w:p w14:paraId="47A0C1B4" w14:textId="79CCB652" w:rsidR="00E94B29" w:rsidRDefault="00E94B29" w:rsidP="00E05332">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2.4 </w:t>
      </w:r>
      <w:r w:rsidR="00E05332">
        <w:rPr>
          <w:rFonts w:ascii="Times New Roman" w:hAnsi="Times New Roman" w:cs="Times New Roman"/>
          <w:sz w:val="28"/>
          <w:szCs w:val="28"/>
        </w:rPr>
        <w:t>‒</w:t>
      </w:r>
      <w:r w:rsidR="00E05332">
        <w:rPr>
          <w:rFonts w:ascii="Times New Roman" w:hAnsi="Times New Roman" w:cs="Times New Roman"/>
          <w:sz w:val="28"/>
          <w:szCs w:val="28"/>
          <w:lang w:val="kk-KZ"/>
        </w:rPr>
        <w:t xml:space="preserve"> </w:t>
      </w:r>
      <w:r w:rsidRPr="001935D0">
        <w:rPr>
          <w:rFonts w:ascii="Times New Roman" w:hAnsi="Times New Roman" w:cs="Times New Roman"/>
          <w:sz w:val="28"/>
          <w:szCs w:val="28"/>
        </w:rPr>
        <w:t>Механизмы мониторинга, оценки и соблюдения правовых стандартов в рамках ЕС</w:t>
      </w:r>
    </w:p>
    <w:p w14:paraId="3D7B5AE1" w14:textId="77777777" w:rsidR="00E05332" w:rsidRPr="00E05332" w:rsidRDefault="00E05332" w:rsidP="00E05332">
      <w:pPr>
        <w:pStyle w:val="NoSpacing"/>
        <w:jc w:val="both"/>
        <w:rPr>
          <w:rFonts w:ascii="Times New Roman" w:hAnsi="Times New Roman" w:cs="Times New Roman"/>
          <w:sz w:val="16"/>
          <w:szCs w:val="16"/>
          <w:lang w:val="kk-KZ"/>
        </w:rPr>
      </w:pPr>
    </w:p>
    <w:tbl>
      <w:tblPr>
        <w:tblStyle w:val="TableGrid"/>
        <w:tblW w:w="9524" w:type="dxa"/>
        <w:jc w:val="center"/>
        <w:tblLook w:val="04A0" w:firstRow="1" w:lastRow="0" w:firstColumn="1" w:lastColumn="0" w:noHBand="0" w:noVBand="1"/>
      </w:tblPr>
      <w:tblGrid>
        <w:gridCol w:w="2336"/>
        <w:gridCol w:w="3986"/>
        <w:gridCol w:w="3202"/>
      </w:tblGrid>
      <w:tr w:rsidR="00E94B29" w:rsidRPr="00E05332" w14:paraId="0193A2FD" w14:textId="77777777" w:rsidTr="00E05332">
        <w:trPr>
          <w:jc w:val="center"/>
        </w:trPr>
        <w:tc>
          <w:tcPr>
            <w:tcW w:w="2336" w:type="dxa"/>
            <w:vAlign w:val="center"/>
          </w:tcPr>
          <w:p w14:paraId="7D33E9B5" w14:textId="77777777" w:rsidR="00E94B29" w:rsidRPr="00E05332" w:rsidRDefault="00E94B29" w:rsidP="00593711">
            <w:pPr>
              <w:jc w:val="center"/>
              <w:rPr>
                <w:rFonts w:ascii="Times New Roman" w:hAnsi="Times New Roman" w:cs="Times New Roman"/>
                <w:bCs/>
                <w:sz w:val="24"/>
                <w:szCs w:val="24"/>
              </w:rPr>
            </w:pPr>
            <w:r w:rsidRPr="00E05332">
              <w:rPr>
                <w:rFonts w:ascii="Times New Roman" w:hAnsi="Times New Roman" w:cs="Times New Roman"/>
                <w:bCs/>
                <w:sz w:val="24"/>
                <w:szCs w:val="24"/>
              </w:rPr>
              <w:t>Документ</w:t>
            </w:r>
          </w:p>
        </w:tc>
        <w:tc>
          <w:tcPr>
            <w:tcW w:w="3986" w:type="dxa"/>
            <w:vAlign w:val="center"/>
          </w:tcPr>
          <w:p w14:paraId="4B99C45B" w14:textId="77777777" w:rsidR="00E94B29" w:rsidRPr="00E05332" w:rsidRDefault="00E94B29" w:rsidP="00593711">
            <w:pPr>
              <w:jc w:val="center"/>
              <w:rPr>
                <w:rFonts w:ascii="Times New Roman" w:hAnsi="Times New Roman" w:cs="Times New Roman"/>
                <w:bCs/>
                <w:sz w:val="24"/>
                <w:szCs w:val="24"/>
              </w:rPr>
            </w:pPr>
            <w:r w:rsidRPr="00E05332">
              <w:rPr>
                <w:rFonts w:ascii="Times New Roman" w:hAnsi="Times New Roman" w:cs="Times New Roman"/>
                <w:bCs/>
                <w:sz w:val="24"/>
                <w:szCs w:val="24"/>
              </w:rPr>
              <w:t>Назначение и особенности применения</w:t>
            </w:r>
          </w:p>
        </w:tc>
        <w:tc>
          <w:tcPr>
            <w:tcW w:w="3202" w:type="dxa"/>
            <w:vAlign w:val="center"/>
          </w:tcPr>
          <w:p w14:paraId="650EBDC9" w14:textId="77777777" w:rsidR="00E94B29" w:rsidRPr="00E05332" w:rsidRDefault="00E94B29" w:rsidP="00593711">
            <w:pPr>
              <w:jc w:val="center"/>
              <w:rPr>
                <w:rFonts w:ascii="Times New Roman" w:hAnsi="Times New Roman" w:cs="Times New Roman"/>
                <w:bCs/>
                <w:sz w:val="24"/>
                <w:szCs w:val="24"/>
              </w:rPr>
            </w:pPr>
            <w:r w:rsidRPr="00E05332">
              <w:rPr>
                <w:rFonts w:ascii="Times New Roman" w:hAnsi="Times New Roman" w:cs="Times New Roman"/>
                <w:bCs/>
                <w:sz w:val="24"/>
                <w:szCs w:val="24"/>
              </w:rPr>
              <w:t>Правовая база</w:t>
            </w:r>
          </w:p>
        </w:tc>
      </w:tr>
      <w:tr w:rsidR="00E94B29" w:rsidRPr="00AD6D54" w14:paraId="7EA0D1FD" w14:textId="77777777" w:rsidTr="00E05332">
        <w:trPr>
          <w:jc w:val="center"/>
        </w:trPr>
        <w:tc>
          <w:tcPr>
            <w:tcW w:w="2336" w:type="dxa"/>
            <w:vAlign w:val="center"/>
          </w:tcPr>
          <w:p w14:paraId="17E064A8"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Ежегодный доклад о верховенстве права в ЕС</w:t>
            </w:r>
          </w:p>
        </w:tc>
        <w:tc>
          <w:tcPr>
            <w:tcW w:w="3986" w:type="dxa"/>
            <w:vAlign w:val="center"/>
          </w:tcPr>
          <w:p w14:paraId="168242F9"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Оценка независимости судебной системы, антикоррупционной политики, свободы СМИ</w:t>
            </w:r>
          </w:p>
        </w:tc>
        <w:tc>
          <w:tcPr>
            <w:tcW w:w="3202" w:type="dxa"/>
            <w:vAlign w:val="center"/>
          </w:tcPr>
          <w:p w14:paraId="1E500371" w14:textId="77777777" w:rsidR="00E94B29" w:rsidRPr="001935D0" w:rsidRDefault="00E94B29" w:rsidP="00593711">
            <w:pPr>
              <w:jc w:val="both"/>
              <w:rPr>
                <w:rFonts w:ascii="Times New Roman" w:hAnsi="Times New Roman" w:cs="Times New Roman"/>
                <w:sz w:val="24"/>
                <w:szCs w:val="24"/>
                <w:lang w:val="en-US"/>
              </w:rPr>
            </w:pPr>
            <w:r w:rsidRPr="001935D0">
              <w:rPr>
                <w:rFonts w:ascii="Times New Roman" w:hAnsi="Times New Roman" w:cs="Times New Roman"/>
                <w:sz w:val="24"/>
                <w:szCs w:val="24"/>
                <w:lang w:val="en-US"/>
              </w:rPr>
              <w:t>European Commission, EU Rule of Law Report 2020–2025</w:t>
            </w:r>
          </w:p>
        </w:tc>
      </w:tr>
      <w:tr w:rsidR="00E94B29" w:rsidRPr="00AD6D54" w14:paraId="62204398" w14:textId="77777777" w:rsidTr="00E05332">
        <w:trPr>
          <w:jc w:val="center"/>
        </w:trPr>
        <w:tc>
          <w:tcPr>
            <w:tcW w:w="2336" w:type="dxa"/>
            <w:vAlign w:val="center"/>
          </w:tcPr>
          <w:p w14:paraId="7AA4C77D"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Отчеты о прогрессе стран-кандидатов (Enlargement Reports)</w:t>
            </w:r>
          </w:p>
        </w:tc>
        <w:tc>
          <w:tcPr>
            <w:tcW w:w="3986" w:type="dxa"/>
            <w:vAlign w:val="center"/>
          </w:tcPr>
          <w:p w14:paraId="1E85F049"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Оценка соответствия стран-кандидатов ключевым критериям демократии, прав человека и институциональной устойчивости</w:t>
            </w:r>
          </w:p>
        </w:tc>
        <w:tc>
          <w:tcPr>
            <w:tcW w:w="3202" w:type="dxa"/>
            <w:vAlign w:val="center"/>
          </w:tcPr>
          <w:p w14:paraId="135FED53" w14:textId="77777777" w:rsidR="00E94B29" w:rsidRPr="001935D0" w:rsidRDefault="00E94B29" w:rsidP="00593711">
            <w:pPr>
              <w:jc w:val="both"/>
              <w:rPr>
                <w:rFonts w:ascii="Times New Roman" w:hAnsi="Times New Roman" w:cs="Times New Roman"/>
                <w:sz w:val="24"/>
                <w:szCs w:val="24"/>
                <w:lang w:val="en-US"/>
              </w:rPr>
            </w:pPr>
            <w:r w:rsidRPr="001935D0">
              <w:rPr>
                <w:rFonts w:ascii="Times New Roman" w:hAnsi="Times New Roman" w:cs="Times New Roman"/>
                <w:sz w:val="24"/>
                <w:szCs w:val="24"/>
                <w:lang w:val="en-US"/>
              </w:rPr>
              <w:t>European Commission, DG NEAR, Enlargement Strategy</w:t>
            </w:r>
          </w:p>
        </w:tc>
      </w:tr>
      <w:tr w:rsidR="00E94B29" w:rsidRPr="001935D0" w14:paraId="1A18D275" w14:textId="77777777" w:rsidTr="00E05332">
        <w:trPr>
          <w:jc w:val="center"/>
        </w:trPr>
        <w:tc>
          <w:tcPr>
            <w:tcW w:w="2336" w:type="dxa"/>
            <w:vAlign w:val="center"/>
          </w:tcPr>
          <w:p w14:paraId="0ACE1223"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Копенгагенские критерии</w:t>
            </w:r>
          </w:p>
        </w:tc>
        <w:tc>
          <w:tcPr>
            <w:tcW w:w="3986" w:type="dxa"/>
            <w:vAlign w:val="center"/>
          </w:tcPr>
          <w:p w14:paraId="1E9A7C1E" w14:textId="7CD08D65"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Комплекс условий для вступления в ЕС: демократия, верховенство права, защита меньшинств</w:t>
            </w:r>
          </w:p>
        </w:tc>
        <w:tc>
          <w:tcPr>
            <w:tcW w:w="3202" w:type="dxa"/>
            <w:vAlign w:val="center"/>
          </w:tcPr>
          <w:p w14:paraId="2798559B"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Copenhagen European Council Conclusions, 1993</w:t>
            </w:r>
          </w:p>
        </w:tc>
      </w:tr>
      <w:tr w:rsidR="00E05332" w:rsidRPr="001935D0" w14:paraId="7A482480" w14:textId="77777777" w:rsidTr="00187279">
        <w:trPr>
          <w:jc w:val="center"/>
        </w:trPr>
        <w:tc>
          <w:tcPr>
            <w:tcW w:w="9524" w:type="dxa"/>
            <w:gridSpan w:val="3"/>
            <w:vAlign w:val="center"/>
          </w:tcPr>
          <w:p w14:paraId="7A32648B" w14:textId="157A7C66" w:rsidR="00E05332" w:rsidRPr="00E05332" w:rsidRDefault="00E05332" w:rsidP="00A45413">
            <w:pPr>
              <w:pStyle w:val="NoSpacing"/>
              <w:ind w:firstLine="544"/>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Соста</w:t>
            </w:r>
            <w:r>
              <w:rPr>
                <w:rFonts w:ascii="Times New Roman" w:hAnsi="Times New Roman" w:cs="Times New Roman"/>
                <w:sz w:val="24"/>
                <w:szCs w:val="24"/>
              </w:rPr>
              <w:t xml:space="preserve">влено автором по данным </w:t>
            </w:r>
            <w:r>
              <w:rPr>
                <w:rFonts w:ascii="Times New Roman" w:hAnsi="Times New Roman" w:cs="Times New Roman"/>
                <w:sz w:val="24"/>
                <w:szCs w:val="24"/>
                <w:lang w:val="kk-KZ"/>
              </w:rPr>
              <w:t xml:space="preserve">источников </w:t>
            </w:r>
            <w:r w:rsidR="00614B7F">
              <w:rPr>
                <w:rFonts w:ascii="Times New Roman" w:hAnsi="Times New Roman" w:cs="Times New Roman"/>
                <w:sz w:val="24"/>
                <w:szCs w:val="24"/>
              </w:rPr>
              <w:t>[9</w:t>
            </w:r>
            <w:r w:rsidR="00614B7F">
              <w:rPr>
                <w:rFonts w:ascii="Times New Roman" w:hAnsi="Times New Roman" w:cs="Times New Roman"/>
                <w:sz w:val="24"/>
                <w:szCs w:val="24"/>
                <w:lang w:val="kk-KZ"/>
              </w:rPr>
              <w:t xml:space="preserve">3; </w:t>
            </w:r>
            <w:r w:rsidR="00614B7F">
              <w:rPr>
                <w:rFonts w:ascii="Times New Roman" w:hAnsi="Times New Roman" w:cs="Times New Roman"/>
                <w:sz w:val="24"/>
                <w:szCs w:val="24"/>
              </w:rPr>
              <w:t>9</w:t>
            </w:r>
            <w:r w:rsidR="00614B7F">
              <w:rPr>
                <w:rFonts w:ascii="Times New Roman" w:hAnsi="Times New Roman" w:cs="Times New Roman"/>
                <w:sz w:val="24"/>
                <w:szCs w:val="24"/>
                <w:lang w:val="kk-KZ"/>
              </w:rPr>
              <w:t>4</w:t>
            </w:r>
            <w:r w:rsidR="00614B7F">
              <w:rPr>
                <w:rFonts w:ascii="Times New Roman" w:hAnsi="Times New Roman" w:cs="Times New Roman"/>
                <w:sz w:val="24"/>
                <w:szCs w:val="24"/>
              </w:rPr>
              <w:t>]</w:t>
            </w:r>
          </w:p>
        </w:tc>
      </w:tr>
    </w:tbl>
    <w:p w14:paraId="453AA1ED" w14:textId="77777777" w:rsidR="006A0854" w:rsidRDefault="006A0854" w:rsidP="00593711">
      <w:pPr>
        <w:pStyle w:val="NormalWeb"/>
        <w:spacing w:before="0" w:beforeAutospacing="0" w:after="0" w:afterAutospacing="0"/>
        <w:ind w:firstLine="708"/>
        <w:jc w:val="both"/>
        <w:rPr>
          <w:sz w:val="28"/>
          <w:szCs w:val="28"/>
          <w:lang w:val="kk-KZ"/>
        </w:rPr>
      </w:pPr>
    </w:p>
    <w:p w14:paraId="377CA776" w14:textId="77777777" w:rsidR="00E94B29" w:rsidRPr="001935D0" w:rsidRDefault="00E94B29" w:rsidP="00593711">
      <w:pPr>
        <w:pStyle w:val="NormalWeb"/>
        <w:spacing w:before="0" w:beforeAutospacing="0" w:after="0" w:afterAutospacing="0"/>
        <w:ind w:firstLine="708"/>
        <w:jc w:val="both"/>
        <w:rPr>
          <w:rStyle w:val="SubtleEmphasis"/>
          <w:sz w:val="16"/>
          <w:szCs w:val="16"/>
        </w:rPr>
      </w:pPr>
      <w:r w:rsidRPr="001935D0">
        <w:rPr>
          <w:sz w:val="28"/>
          <w:szCs w:val="28"/>
        </w:rPr>
        <w:t>Эти инструменты обеспечивают не только формальную правовую оценку, но и являются рычагами политического влияния ЕС в области прав человека. Ежегодные доклады о верховенстве права используются для мониторинга текущих проблем в государствах-членах, таких как политизация судебной системы или ограничение свободы слова. В то же время, в отношении стран-кандидатов они выступают основой принятия решений относительно продвижения в процессе евроинтеграции. Копенгагенские критерии остаются фундаментом, обеспечивающим институциональную совместимость новых членов с правовыми и ценностными рамками ЕС.</w:t>
      </w:r>
    </w:p>
    <w:p w14:paraId="443138F4" w14:textId="6745C7E9"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lastRenderedPageBreak/>
        <w:t xml:space="preserve">Центральным элементом защиты прав человека в ЕС является принцип верховенства права. Согласно Годовым отчётам Европейской </w:t>
      </w:r>
      <w:r w:rsidR="004A3405">
        <w:rPr>
          <w:sz w:val="28"/>
          <w:szCs w:val="28"/>
        </w:rPr>
        <w:t>К</w:t>
      </w:r>
      <w:r w:rsidRPr="001935D0">
        <w:rPr>
          <w:sz w:val="28"/>
          <w:szCs w:val="28"/>
        </w:rPr>
        <w:t>омиссии о верховенстве права (Rule of Law Reports) [9</w:t>
      </w:r>
      <w:r w:rsidR="00A45413">
        <w:rPr>
          <w:sz w:val="28"/>
          <w:szCs w:val="28"/>
          <w:lang w:val="kk-KZ"/>
        </w:rPr>
        <w:t>4</w:t>
      </w:r>
      <w:r w:rsidRPr="001935D0">
        <w:rPr>
          <w:sz w:val="28"/>
          <w:szCs w:val="28"/>
        </w:rPr>
        <w:t>] и Плану действий ЕС по правам человека и демократии на 2020–2024 годы [10</w:t>
      </w:r>
      <w:r w:rsidR="00A45413">
        <w:rPr>
          <w:sz w:val="28"/>
          <w:szCs w:val="28"/>
          <w:lang w:val="kk-KZ"/>
        </w:rPr>
        <w:t>1</w:t>
      </w:r>
      <w:r w:rsidRPr="001935D0">
        <w:rPr>
          <w:sz w:val="28"/>
          <w:szCs w:val="28"/>
        </w:rPr>
        <w:t xml:space="preserve">], соблюдение прав обеспечивается как через стратегические документы, так и посредством постоянного мониторинга, судебных и административных процедур. Ключевую роль играют следующие структуры: Европейская </w:t>
      </w:r>
      <w:r w:rsidR="004A3405">
        <w:rPr>
          <w:sz w:val="28"/>
          <w:szCs w:val="28"/>
        </w:rPr>
        <w:t>К</w:t>
      </w:r>
      <w:r w:rsidRPr="001935D0">
        <w:rPr>
          <w:sz w:val="28"/>
          <w:szCs w:val="28"/>
        </w:rPr>
        <w:t>омиссия, Суд Европейского Союза (CJEU), Агентство по основным правам (FRA), Европейский омбудсмен, Венецианская комиссия Совета Европы и национальные судебные органы (таблица 2.5).</w:t>
      </w:r>
    </w:p>
    <w:p w14:paraId="2F62AF60" w14:textId="77777777" w:rsidR="00E94B29" w:rsidRPr="001935D0" w:rsidRDefault="00E94B29" w:rsidP="00593711">
      <w:pPr>
        <w:pStyle w:val="NormalWeb"/>
        <w:spacing w:before="0" w:beforeAutospacing="0" w:after="0" w:afterAutospacing="0"/>
        <w:ind w:firstLine="709"/>
        <w:jc w:val="both"/>
        <w:rPr>
          <w:sz w:val="28"/>
          <w:szCs w:val="28"/>
        </w:rPr>
      </w:pPr>
    </w:p>
    <w:p w14:paraId="77EEBB55" w14:textId="77777777" w:rsidR="00E94B29" w:rsidRDefault="00E94B29" w:rsidP="00E05332">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Таблица 2.5 Институции и их роль в обеспечении прав человека в ЕС</w:t>
      </w:r>
    </w:p>
    <w:p w14:paraId="32DAC6B0" w14:textId="77777777" w:rsidR="00E05332" w:rsidRPr="00E05332" w:rsidRDefault="00E05332" w:rsidP="00E05332">
      <w:pPr>
        <w:pStyle w:val="NoSpacing"/>
        <w:jc w:val="right"/>
        <w:rPr>
          <w:rFonts w:ascii="Times New Roman" w:hAnsi="Times New Roman" w:cs="Times New Roman"/>
          <w:sz w:val="16"/>
          <w:szCs w:val="16"/>
          <w:lang w:val="kk-KZ"/>
        </w:rPr>
      </w:pPr>
    </w:p>
    <w:tbl>
      <w:tblPr>
        <w:tblStyle w:val="TableGrid"/>
        <w:tblW w:w="0" w:type="auto"/>
        <w:tblInd w:w="150" w:type="dxa"/>
        <w:tblLook w:val="04A0" w:firstRow="1" w:lastRow="0" w:firstColumn="1" w:lastColumn="0" w:noHBand="0" w:noVBand="1"/>
      </w:tblPr>
      <w:tblGrid>
        <w:gridCol w:w="2511"/>
        <w:gridCol w:w="3500"/>
        <w:gridCol w:w="3467"/>
      </w:tblGrid>
      <w:tr w:rsidR="00E94B29" w:rsidRPr="00E05332" w14:paraId="6BE68383" w14:textId="77777777" w:rsidTr="00E05332">
        <w:tc>
          <w:tcPr>
            <w:tcW w:w="2539" w:type="dxa"/>
            <w:vAlign w:val="center"/>
          </w:tcPr>
          <w:p w14:paraId="1C959455" w14:textId="77777777" w:rsidR="00E94B29" w:rsidRPr="00E05332" w:rsidRDefault="00E94B29" w:rsidP="00E05332">
            <w:pPr>
              <w:jc w:val="center"/>
              <w:rPr>
                <w:rFonts w:ascii="Times New Roman" w:hAnsi="Times New Roman" w:cs="Times New Roman"/>
                <w:bCs/>
                <w:sz w:val="24"/>
                <w:szCs w:val="24"/>
              </w:rPr>
            </w:pPr>
            <w:r w:rsidRPr="00E05332">
              <w:rPr>
                <w:rFonts w:ascii="Times New Roman" w:hAnsi="Times New Roman" w:cs="Times New Roman"/>
                <w:bCs/>
                <w:sz w:val="24"/>
                <w:szCs w:val="24"/>
              </w:rPr>
              <w:t>Институция ЕС</w:t>
            </w:r>
          </w:p>
        </w:tc>
        <w:tc>
          <w:tcPr>
            <w:tcW w:w="3541" w:type="dxa"/>
            <w:vAlign w:val="center"/>
          </w:tcPr>
          <w:p w14:paraId="31683C73" w14:textId="77777777" w:rsidR="00E94B29" w:rsidRPr="00E05332" w:rsidRDefault="00E94B29" w:rsidP="00E05332">
            <w:pPr>
              <w:jc w:val="center"/>
              <w:rPr>
                <w:rFonts w:ascii="Times New Roman" w:hAnsi="Times New Roman" w:cs="Times New Roman"/>
                <w:bCs/>
                <w:sz w:val="24"/>
                <w:szCs w:val="24"/>
              </w:rPr>
            </w:pPr>
            <w:r w:rsidRPr="00E05332">
              <w:rPr>
                <w:rFonts w:ascii="Times New Roman" w:hAnsi="Times New Roman" w:cs="Times New Roman"/>
                <w:bCs/>
                <w:sz w:val="24"/>
                <w:szCs w:val="24"/>
              </w:rPr>
              <w:t>Основная функция</w:t>
            </w:r>
          </w:p>
        </w:tc>
        <w:tc>
          <w:tcPr>
            <w:tcW w:w="3517" w:type="dxa"/>
            <w:vAlign w:val="center"/>
          </w:tcPr>
          <w:p w14:paraId="06E3CAC4" w14:textId="77777777" w:rsidR="00E94B29" w:rsidRPr="00E05332" w:rsidRDefault="00E94B29" w:rsidP="00E05332">
            <w:pPr>
              <w:jc w:val="center"/>
              <w:rPr>
                <w:rFonts w:ascii="Times New Roman" w:hAnsi="Times New Roman" w:cs="Times New Roman"/>
                <w:bCs/>
                <w:sz w:val="24"/>
                <w:szCs w:val="24"/>
              </w:rPr>
            </w:pPr>
            <w:r w:rsidRPr="00E05332">
              <w:rPr>
                <w:rFonts w:ascii="Times New Roman" w:hAnsi="Times New Roman" w:cs="Times New Roman"/>
                <w:bCs/>
                <w:sz w:val="24"/>
                <w:szCs w:val="24"/>
              </w:rPr>
              <w:t>Сотрудничество с другими органами</w:t>
            </w:r>
          </w:p>
        </w:tc>
      </w:tr>
      <w:tr w:rsidR="00E94B29" w:rsidRPr="001935D0" w14:paraId="4D9225F7" w14:textId="77777777" w:rsidTr="00E05332">
        <w:tc>
          <w:tcPr>
            <w:tcW w:w="2539" w:type="dxa"/>
            <w:vAlign w:val="center"/>
          </w:tcPr>
          <w:p w14:paraId="05502F48" w14:textId="29452BAE"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 xml:space="preserve">Европейская </w:t>
            </w:r>
            <w:r w:rsidR="004A3405">
              <w:rPr>
                <w:rFonts w:ascii="Times New Roman" w:hAnsi="Times New Roman" w:cs="Times New Roman"/>
                <w:sz w:val="24"/>
                <w:szCs w:val="24"/>
              </w:rPr>
              <w:t>К</w:t>
            </w:r>
            <w:r w:rsidRPr="001935D0">
              <w:rPr>
                <w:rFonts w:ascii="Times New Roman" w:hAnsi="Times New Roman" w:cs="Times New Roman"/>
                <w:sz w:val="24"/>
                <w:szCs w:val="24"/>
              </w:rPr>
              <w:t>омиссия</w:t>
            </w:r>
          </w:p>
        </w:tc>
        <w:tc>
          <w:tcPr>
            <w:tcW w:w="3541" w:type="dxa"/>
            <w:vAlign w:val="center"/>
          </w:tcPr>
          <w:p w14:paraId="703285D7"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Инициирует ежегодные обзоры, запускает диалог и оценки</w:t>
            </w:r>
          </w:p>
        </w:tc>
        <w:tc>
          <w:tcPr>
            <w:tcW w:w="3517" w:type="dxa"/>
            <w:vAlign w:val="center"/>
          </w:tcPr>
          <w:p w14:paraId="5D457B25"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FRA, CJEU, национальные правительства</w:t>
            </w:r>
          </w:p>
        </w:tc>
      </w:tr>
      <w:tr w:rsidR="00E94B29" w:rsidRPr="001935D0" w14:paraId="4409406F" w14:textId="77777777" w:rsidTr="00E05332">
        <w:tc>
          <w:tcPr>
            <w:tcW w:w="2539" w:type="dxa"/>
            <w:vAlign w:val="center"/>
          </w:tcPr>
          <w:p w14:paraId="7AC7414E"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Суд ЕС</w:t>
            </w:r>
          </w:p>
        </w:tc>
        <w:tc>
          <w:tcPr>
            <w:tcW w:w="3541" w:type="dxa"/>
            <w:vAlign w:val="center"/>
          </w:tcPr>
          <w:p w14:paraId="49213F9A"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Рассматривает дела о нарушениях прав и основополагающих свобод</w:t>
            </w:r>
          </w:p>
        </w:tc>
        <w:tc>
          <w:tcPr>
            <w:tcW w:w="3517" w:type="dxa"/>
            <w:vAlign w:val="center"/>
          </w:tcPr>
          <w:p w14:paraId="1B91D0F0"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Национальные суды, Комиссия</w:t>
            </w:r>
          </w:p>
        </w:tc>
      </w:tr>
      <w:tr w:rsidR="00E94B29" w:rsidRPr="001935D0" w14:paraId="7B1860E5" w14:textId="77777777" w:rsidTr="00E05332">
        <w:tc>
          <w:tcPr>
            <w:tcW w:w="2539" w:type="dxa"/>
            <w:vAlign w:val="center"/>
          </w:tcPr>
          <w:p w14:paraId="31F9B379" w14:textId="7436CA9E"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Агентство по основ</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ным правам (FRA)</w:t>
            </w:r>
          </w:p>
        </w:tc>
        <w:tc>
          <w:tcPr>
            <w:tcW w:w="3541" w:type="dxa"/>
            <w:vAlign w:val="center"/>
          </w:tcPr>
          <w:p w14:paraId="5366F7EE"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Сбор данных, анализ трендов, подготовка рекомендаций</w:t>
            </w:r>
          </w:p>
        </w:tc>
        <w:tc>
          <w:tcPr>
            <w:tcW w:w="3517" w:type="dxa"/>
            <w:vAlign w:val="center"/>
          </w:tcPr>
          <w:p w14:paraId="30425089"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Комиссия, государства-члены, НПО</w:t>
            </w:r>
          </w:p>
        </w:tc>
      </w:tr>
      <w:tr w:rsidR="00E94B29" w:rsidRPr="001935D0" w14:paraId="3EAC8188" w14:textId="77777777" w:rsidTr="00E05332">
        <w:tc>
          <w:tcPr>
            <w:tcW w:w="2539" w:type="dxa"/>
            <w:vAlign w:val="center"/>
          </w:tcPr>
          <w:p w14:paraId="714A3C2E"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Европейский омбудсмен</w:t>
            </w:r>
          </w:p>
        </w:tc>
        <w:tc>
          <w:tcPr>
            <w:tcW w:w="3541" w:type="dxa"/>
            <w:vAlign w:val="center"/>
          </w:tcPr>
          <w:p w14:paraId="47F3AED1"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Рассмотрение жалоб на административные органы ЕС</w:t>
            </w:r>
          </w:p>
        </w:tc>
        <w:tc>
          <w:tcPr>
            <w:tcW w:w="3517" w:type="dxa"/>
            <w:vAlign w:val="center"/>
          </w:tcPr>
          <w:p w14:paraId="6A865660"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Европарламент, Комиссия</w:t>
            </w:r>
          </w:p>
        </w:tc>
      </w:tr>
      <w:tr w:rsidR="00E94B29" w:rsidRPr="001935D0" w14:paraId="6610ADAD" w14:textId="77777777" w:rsidTr="00E05332">
        <w:tc>
          <w:tcPr>
            <w:tcW w:w="2539" w:type="dxa"/>
            <w:vAlign w:val="center"/>
          </w:tcPr>
          <w:p w14:paraId="7AF22461"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Венецианская комиссия</w:t>
            </w:r>
          </w:p>
        </w:tc>
        <w:tc>
          <w:tcPr>
            <w:tcW w:w="3541" w:type="dxa"/>
            <w:vAlign w:val="center"/>
          </w:tcPr>
          <w:p w14:paraId="366AA59C"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Правовая экспертиза реформ в странах-членах и кандидатах</w:t>
            </w:r>
          </w:p>
        </w:tc>
        <w:tc>
          <w:tcPr>
            <w:tcW w:w="3517" w:type="dxa"/>
            <w:vAlign w:val="center"/>
          </w:tcPr>
          <w:p w14:paraId="34601BA1"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Совет Европы, Европейская комиссия</w:t>
            </w:r>
          </w:p>
        </w:tc>
      </w:tr>
      <w:tr w:rsidR="00E05332" w:rsidRPr="001935D0" w14:paraId="1CF07F21" w14:textId="77777777" w:rsidTr="00E05332">
        <w:tc>
          <w:tcPr>
            <w:tcW w:w="9597" w:type="dxa"/>
            <w:gridSpan w:val="3"/>
            <w:vAlign w:val="center"/>
          </w:tcPr>
          <w:p w14:paraId="72B821AB" w14:textId="03E33A11" w:rsidR="00E05332" w:rsidRPr="00E05332" w:rsidRDefault="00E05332" w:rsidP="00A45413">
            <w:pPr>
              <w:pStyle w:val="NoSpacing"/>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П</w:t>
            </w:r>
            <w:r w:rsidR="00A45413">
              <w:rPr>
                <w:rFonts w:ascii="Times New Roman" w:hAnsi="Times New Roman" w:cs="Times New Roman"/>
                <w:sz w:val="24"/>
                <w:szCs w:val="24"/>
                <w:lang w:val="kk-KZ"/>
              </w:rPr>
              <w:t>р</w:t>
            </w:r>
            <w:r>
              <w:rPr>
                <w:rFonts w:ascii="Times New Roman" w:hAnsi="Times New Roman" w:cs="Times New Roman"/>
                <w:sz w:val="24"/>
                <w:szCs w:val="24"/>
                <w:lang w:val="kk-KZ"/>
              </w:rPr>
              <w:t xml:space="preserve">имечание – </w:t>
            </w:r>
            <w:r w:rsidRPr="001935D0">
              <w:rPr>
                <w:rFonts w:ascii="Times New Roman" w:hAnsi="Times New Roman" w:cs="Times New Roman"/>
                <w:sz w:val="24"/>
                <w:szCs w:val="24"/>
              </w:rPr>
              <w:t>Со</w:t>
            </w:r>
            <w:r>
              <w:rPr>
                <w:rFonts w:ascii="Times New Roman" w:hAnsi="Times New Roman" w:cs="Times New Roman"/>
                <w:sz w:val="24"/>
                <w:szCs w:val="24"/>
              </w:rPr>
              <w:t xml:space="preserve">ставлено автором по данным </w:t>
            </w:r>
            <w:r>
              <w:rPr>
                <w:rFonts w:ascii="Times New Roman" w:hAnsi="Times New Roman" w:cs="Times New Roman"/>
                <w:sz w:val="24"/>
                <w:szCs w:val="24"/>
                <w:lang w:val="kk-KZ"/>
              </w:rPr>
              <w:t xml:space="preserve">источника </w:t>
            </w:r>
            <w:r>
              <w:rPr>
                <w:rFonts w:ascii="Times New Roman" w:hAnsi="Times New Roman" w:cs="Times New Roman"/>
                <w:sz w:val="24"/>
                <w:szCs w:val="24"/>
              </w:rPr>
              <w:t>[9</w:t>
            </w:r>
            <w:r w:rsidR="00A45413">
              <w:rPr>
                <w:rFonts w:ascii="Times New Roman" w:hAnsi="Times New Roman" w:cs="Times New Roman"/>
                <w:sz w:val="24"/>
                <w:szCs w:val="24"/>
                <w:lang w:val="kk-KZ"/>
              </w:rPr>
              <w:t>4</w:t>
            </w:r>
            <w:r>
              <w:rPr>
                <w:rFonts w:ascii="Times New Roman" w:hAnsi="Times New Roman" w:cs="Times New Roman"/>
                <w:sz w:val="24"/>
                <w:szCs w:val="24"/>
              </w:rPr>
              <w:t>]</w:t>
            </w:r>
          </w:p>
        </w:tc>
      </w:tr>
    </w:tbl>
    <w:p w14:paraId="43D3022C" w14:textId="77777777" w:rsidR="00E94B29" w:rsidRPr="001935D0" w:rsidRDefault="00E94B29" w:rsidP="00593711">
      <w:pPr>
        <w:pStyle w:val="NormalWeb"/>
        <w:spacing w:before="0" w:beforeAutospacing="0" w:after="0" w:afterAutospacing="0"/>
        <w:ind w:firstLine="709"/>
        <w:jc w:val="both"/>
        <w:rPr>
          <w:sz w:val="28"/>
          <w:szCs w:val="28"/>
        </w:rPr>
      </w:pPr>
    </w:p>
    <w:p w14:paraId="11072F6C" w14:textId="77777777"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Таблица 2.5 систематизирует основные органы, ответственные за правозащитные функции в рамках институциональной структуры ЕС. Между ними выстроена устойчивая сеть координации, позволяющая обеспечивать соблюдение прав человека не только на уровне деклараций, но и через механизм юридической ответственности и административной оценки.</w:t>
      </w:r>
    </w:p>
    <w:p w14:paraId="5BB3091D" w14:textId="4AFEB0F3"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В Rule of Law Reports и EU Action Plan on Human Rights and Democracy [9</w:t>
      </w:r>
      <w:r w:rsidR="00A45413">
        <w:rPr>
          <w:sz w:val="28"/>
          <w:szCs w:val="28"/>
          <w:lang w:val="kk-KZ"/>
        </w:rPr>
        <w:t xml:space="preserve">4; </w:t>
      </w:r>
      <w:r w:rsidR="00A45413">
        <w:rPr>
          <w:sz w:val="28"/>
          <w:szCs w:val="28"/>
        </w:rPr>
        <w:t>10</w:t>
      </w:r>
      <w:r w:rsidR="00A45413">
        <w:rPr>
          <w:sz w:val="28"/>
          <w:szCs w:val="28"/>
          <w:lang w:val="kk-KZ"/>
        </w:rPr>
        <w:t>1</w:t>
      </w:r>
      <w:r w:rsidRPr="001935D0">
        <w:rPr>
          <w:sz w:val="28"/>
          <w:szCs w:val="28"/>
        </w:rPr>
        <w:t xml:space="preserve">] особое внимание уделяется необходимости прозрачного и систематического мониторинга, особенно в свете расширения ЕС и оценки соответствия стран-кандидатов Копенгагенским критериям. Так, в ежегодных Rule of Law Reports Европейская </w:t>
      </w:r>
      <w:r w:rsidR="004A3405">
        <w:rPr>
          <w:sz w:val="28"/>
          <w:szCs w:val="28"/>
        </w:rPr>
        <w:t>К</w:t>
      </w:r>
      <w:r w:rsidRPr="001935D0">
        <w:rPr>
          <w:sz w:val="28"/>
          <w:szCs w:val="28"/>
        </w:rPr>
        <w:t>омиссия анализирует независимость судебной власти, антикоррупционные механизмы, плюрализм и свободу СМИ, а также систему сдержек и противовесов в институциональной структуре государств-членов.</w:t>
      </w:r>
    </w:p>
    <w:p w14:paraId="7E71974A" w14:textId="77777777"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 xml:space="preserve">Система мониторинга и оценки прав человека в ЕС базируется на четких критериях и множественных источниках информации. Комбинация количественных и качественных показателей позволяет оценивать не только формальное соответствие стандартам ЕС, но и реальные институциональные практики. Это особенно важно в отношении стран-кандидатов, для которых </w:t>
      </w:r>
      <w:r w:rsidRPr="001935D0">
        <w:rPr>
          <w:sz w:val="28"/>
          <w:szCs w:val="28"/>
        </w:rPr>
        <w:lastRenderedPageBreak/>
        <w:t>стандарты верховенства права служат не только ориентиром, но и условием интеграции.</w:t>
      </w:r>
    </w:p>
    <w:p w14:paraId="66C5F874" w14:textId="4A12192A" w:rsidR="00E94B29" w:rsidRPr="001935D0" w:rsidRDefault="00E94B29" w:rsidP="00593711">
      <w:pPr>
        <w:spacing w:after="0" w:line="240" w:lineRule="auto"/>
        <w:ind w:firstLine="708"/>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Среди стратегических инструментов ЕС, направленных на укрепление верховенства права и защиту фундаментальных прав, документ Towards an Enlarged Union: Upholding the Rule </w:t>
      </w:r>
      <w:r w:rsidR="00A45413">
        <w:rPr>
          <w:rFonts w:ascii="Times New Roman" w:eastAsia="Times New Roman" w:hAnsi="Times New Roman" w:cs="Times New Roman"/>
          <w:sz w:val="28"/>
          <w:szCs w:val="28"/>
          <w:lang w:eastAsia="ru-RU"/>
        </w:rPr>
        <w:t>of Law занимает важное место [9</w:t>
      </w:r>
      <w:r w:rsidR="00A45413">
        <w:rPr>
          <w:rFonts w:ascii="Times New Roman" w:eastAsia="Times New Roman" w:hAnsi="Times New Roman" w:cs="Times New Roman"/>
          <w:sz w:val="28"/>
          <w:szCs w:val="28"/>
          <w:lang w:val="kk-KZ" w:eastAsia="ru-RU"/>
        </w:rPr>
        <w:t>3</w:t>
      </w:r>
      <w:r w:rsidRPr="001935D0">
        <w:rPr>
          <w:rFonts w:ascii="Times New Roman" w:eastAsia="Times New Roman" w:hAnsi="Times New Roman" w:cs="Times New Roman"/>
          <w:sz w:val="28"/>
          <w:szCs w:val="28"/>
          <w:lang w:eastAsia="ru-RU"/>
        </w:rPr>
        <w:t>]. Он ориентирован на обеспечение того, чтобы как государства-члены, так и кандидаты на вступление в ЕС соблюдали базовые права и поддерживали устойчивые демократические институты. Такой подход подтверждает приоритетность прав человека в процессе европейской интеграции и способствует формированию институциональной базы для их практической реализации.</w:t>
      </w:r>
    </w:p>
    <w:p w14:paraId="53D95CAC" w14:textId="75EB2EB5" w:rsidR="00E94B29" w:rsidRPr="001935D0" w:rsidRDefault="00E94B29" w:rsidP="00593711">
      <w:pPr>
        <w:spacing w:after="0" w:line="240" w:lineRule="auto"/>
        <w:ind w:firstLine="708"/>
        <w:jc w:val="both"/>
        <w:rPr>
          <w:rFonts w:ascii="Times New Roman" w:hAnsi="Times New Roman" w:cs="Times New Roman"/>
          <w:sz w:val="28"/>
          <w:szCs w:val="28"/>
        </w:rPr>
      </w:pPr>
      <w:r w:rsidRPr="001935D0">
        <w:rPr>
          <w:rFonts w:ascii="Times New Roman" w:hAnsi="Times New Roman" w:cs="Times New Roman"/>
          <w:sz w:val="28"/>
          <w:szCs w:val="28"/>
        </w:rPr>
        <w:t>Как видим, развитие этой институциональной модели – основано на системном мониторинге, прозрачной оценке и целевых рекомендациях – находит свое продолжение в ежегодном Rule of Law Report 2025 [9</w:t>
      </w:r>
      <w:r w:rsidR="00A45413">
        <w:rPr>
          <w:rFonts w:ascii="Times New Roman" w:hAnsi="Times New Roman" w:cs="Times New Roman"/>
          <w:sz w:val="28"/>
          <w:szCs w:val="28"/>
          <w:lang w:val="kk-KZ"/>
        </w:rPr>
        <w:t>4</w:t>
      </w:r>
      <w:r w:rsidRPr="001935D0">
        <w:rPr>
          <w:rFonts w:ascii="Times New Roman" w:hAnsi="Times New Roman" w:cs="Times New Roman"/>
          <w:sz w:val="28"/>
          <w:szCs w:val="28"/>
        </w:rPr>
        <w:t>]. Этот отчёт представляет собой важнейший элемент европейского механизма оценки верховенства права, обеспечивая всестороннее освещение состояния правовых и демократических институтов в странах ЕС и странах-кандидатах, таблица 2.6.</w:t>
      </w:r>
    </w:p>
    <w:p w14:paraId="54C506DA" w14:textId="77777777" w:rsidR="00E94B29" w:rsidRPr="001935D0" w:rsidRDefault="00E94B29" w:rsidP="00593711">
      <w:pPr>
        <w:spacing w:after="0" w:line="240" w:lineRule="auto"/>
        <w:ind w:firstLine="709"/>
        <w:jc w:val="center"/>
        <w:outlineLvl w:val="2"/>
        <w:rPr>
          <w:rFonts w:ascii="Times New Roman" w:eastAsia="Times New Roman" w:hAnsi="Times New Roman" w:cs="Times New Roman"/>
          <w:sz w:val="27"/>
          <w:szCs w:val="27"/>
          <w:lang w:eastAsia="ru-RU"/>
        </w:rPr>
      </w:pPr>
    </w:p>
    <w:p w14:paraId="25A4C744" w14:textId="5385DA69" w:rsidR="00E94B29" w:rsidRDefault="00E94B29" w:rsidP="00E05332">
      <w:pPr>
        <w:spacing w:after="0" w:line="240" w:lineRule="auto"/>
        <w:jc w:val="both"/>
        <w:outlineLvl w:val="2"/>
        <w:rPr>
          <w:rFonts w:ascii="Times New Roman" w:eastAsia="Times New Roman" w:hAnsi="Times New Roman" w:cs="Times New Roman"/>
          <w:sz w:val="27"/>
          <w:szCs w:val="27"/>
          <w:lang w:val="kk-KZ" w:eastAsia="ru-RU"/>
        </w:rPr>
      </w:pPr>
      <w:r w:rsidRPr="001935D0">
        <w:rPr>
          <w:rFonts w:ascii="Times New Roman" w:eastAsia="Times New Roman" w:hAnsi="Times New Roman" w:cs="Times New Roman"/>
          <w:sz w:val="27"/>
          <w:szCs w:val="27"/>
          <w:lang w:eastAsia="ru-RU"/>
        </w:rPr>
        <w:t xml:space="preserve">Таблица 2.6 </w:t>
      </w:r>
      <w:r w:rsidR="00E05332">
        <w:rPr>
          <w:rFonts w:ascii="Times New Roman" w:eastAsia="Times New Roman" w:hAnsi="Times New Roman" w:cs="Times New Roman"/>
          <w:sz w:val="27"/>
          <w:szCs w:val="27"/>
          <w:lang w:eastAsia="ru-RU"/>
        </w:rPr>
        <w:t>‒</w:t>
      </w:r>
      <w:r w:rsidR="00E05332">
        <w:rPr>
          <w:rFonts w:ascii="Times New Roman" w:eastAsia="Times New Roman" w:hAnsi="Times New Roman" w:cs="Times New Roman"/>
          <w:sz w:val="27"/>
          <w:szCs w:val="27"/>
          <w:lang w:val="kk-KZ" w:eastAsia="ru-RU"/>
        </w:rPr>
        <w:t xml:space="preserve"> </w:t>
      </w:r>
      <w:r w:rsidRPr="001935D0">
        <w:rPr>
          <w:rFonts w:ascii="Times New Roman" w:eastAsia="Times New Roman" w:hAnsi="Times New Roman" w:cs="Times New Roman"/>
          <w:sz w:val="27"/>
          <w:szCs w:val="27"/>
          <w:lang w:eastAsia="ru-RU"/>
        </w:rPr>
        <w:t xml:space="preserve">Вовлечённость государств-членов и стран-кандидатов в подготовку Rule of Law Report </w:t>
      </w:r>
    </w:p>
    <w:p w14:paraId="75080076" w14:textId="77777777" w:rsidR="00E05332" w:rsidRPr="00E05332" w:rsidRDefault="00E05332" w:rsidP="00E05332">
      <w:pPr>
        <w:spacing w:after="0" w:line="240" w:lineRule="auto"/>
        <w:jc w:val="both"/>
        <w:outlineLvl w:val="2"/>
        <w:rPr>
          <w:rFonts w:ascii="Times New Roman" w:eastAsia="Times New Roman" w:hAnsi="Times New Roman" w:cs="Times New Roman"/>
          <w:sz w:val="16"/>
          <w:szCs w:val="16"/>
          <w:lang w:val="kk-KZ" w:eastAsia="ru-RU"/>
        </w:rPr>
      </w:pPr>
    </w:p>
    <w:tbl>
      <w:tblPr>
        <w:tblStyle w:val="TableGrid"/>
        <w:tblW w:w="0" w:type="auto"/>
        <w:jc w:val="center"/>
        <w:tblLook w:val="04A0" w:firstRow="1" w:lastRow="0" w:firstColumn="1" w:lastColumn="0" w:noHBand="0" w:noVBand="1"/>
      </w:tblPr>
      <w:tblGrid>
        <w:gridCol w:w="3113"/>
        <w:gridCol w:w="3113"/>
        <w:gridCol w:w="3402"/>
      </w:tblGrid>
      <w:tr w:rsidR="00E94B29" w:rsidRPr="001935D0" w14:paraId="5B163DAC" w14:textId="77777777" w:rsidTr="00E05332">
        <w:trPr>
          <w:jc w:val="center"/>
        </w:trPr>
        <w:tc>
          <w:tcPr>
            <w:tcW w:w="3115" w:type="dxa"/>
          </w:tcPr>
          <w:p w14:paraId="3D7D4F06" w14:textId="77777777" w:rsidR="00E94B29" w:rsidRPr="001935D0" w:rsidRDefault="00E94B29" w:rsidP="00E05332">
            <w:pPr>
              <w:jc w:val="center"/>
              <w:rPr>
                <w:rFonts w:ascii="Times New Roman" w:hAnsi="Times New Roman" w:cs="Times New Roman"/>
                <w:sz w:val="24"/>
                <w:szCs w:val="24"/>
              </w:rPr>
            </w:pPr>
            <w:r w:rsidRPr="001935D0">
              <w:rPr>
                <w:rFonts w:ascii="Times New Roman" w:hAnsi="Times New Roman" w:cs="Times New Roman"/>
                <w:sz w:val="24"/>
                <w:szCs w:val="24"/>
              </w:rPr>
              <w:t>Компонент</w:t>
            </w:r>
          </w:p>
        </w:tc>
        <w:tc>
          <w:tcPr>
            <w:tcW w:w="3115" w:type="dxa"/>
          </w:tcPr>
          <w:p w14:paraId="0B4D726C" w14:textId="77777777" w:rsidR="00E94B29" w:rsidRPr="001935D0" w:rsidRDefault="00E94B29" w:rsidP="00E05332">
            <w:pPr>
              <w:jc w:val="center"/>
              <w:rPr>
                <w:rFonts w:ascii="Times New Roman" w:hAnsi="Times New Roman" w:cs="Times New Roman"/>
                <w:sz w:val="24"/>
                <w:szCs w:val="24"/>
              </w:rPr>
            </w:pPr>
            <w:r w:rsidRPr="001935D0">
              <w:rPr>
                <w:rFonts w:ascii="Times New Roman" w:hAnsi="Times New Roman" w:cs="Times New Roman"/>
                <w:sz w:val="24"/>
                <w:szCs w:val="24"/>
              </w:rPr>
              <w:t>Характеристика</w:t>
            </w:r>
          </w:p>
        </w:tc>
        <w:tc>
          <w:tcPr>
            <w:tcW w:w="3405" w:type="dxa"/>
          </w:tcPr>
          <w:p w14:paraId="352B5986" w14:textId="77777777" w:rsidR="00E94B29" w:rsidRPr="001935D0" w:rsidRDefault="00E94B29" w:rsidP="00E05332">
            <w:pPr>
              <w:jc w:val="center"/>
              <w:rPr>
                <w:rFonts w:ascii="Times New Roman" w:hAnsi="Times New Roman" w:cs="Times New Roman"/>
                <w:sz w:val="24"/>
                <w:szCs w:val="24"/>
              </w:rPr>
            </w:pPr>
            <w:r w:rsidRPr="001935D0">
              <w:rPr>
                <w:rFonts w:ascii="Times New Roman" w:hAnsi="Times New Roman" w:cs="Times New Roman"/>
                <w:sz w:val="24"/>
                <w:szCs w:val="24"/>
              </w:rPr>
              <w:t>Значение</w:t>
            </w:r>
          </w:p>
        </w:tc>
      </w:tr>
      <w:tr w:rsidR="00E94B29" w:rsidRPr="001935D0" w14:paraId="18CD325F" w14:textId="77777777" w:rsidTr="00E05332">
        <w:trPr>
          <w:jc w:val="center"/>
        </w:trPr>
        <w:tc>
          <w:tcPr>
            <w:tcW w:w="3115" w:type="dxa"/>
          </w:tcPr>
          <w:p w14:paraId="7F48E112"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Государства-участники</w:t>
            </w:r>
          </w:p>
        </w:tc>
        <w:tc>
          <w:tcPr>
            <w:tcW w:w="3115" w:type="dxa"/>
          </w:tcPr>
          <w:p w14:paraId="29EF7DD4"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27 стран ЕС и 4 страны расширения</w:t>
            </w:r>
          </w:p>
        </w:tc>
        <w:tc>
          <w:tcPr>
            <w:tcW w:w="3405" w:type="dxa"/>
          </w:tcPr>
          <w:p w14:paraId="63BB0575"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Все предоставили письменные ответы</w:t>
            </w:r>
          </w:p>
        </w:tc>
      </w:tr>
      <w:tr w:rsidR="00E94B29" w:rsidRPr="001935D0" w14:paraId="7058B1BE" w14:textId="77777777" w:rsidTr="00E05332">
        <w:trPr>
          <w:jc w:val="center"/>
        </w:trPr>
        <w:tc>
          <w:tcPr>
            <w:tcW w:w="3115" w:type="dxa"/>
          </w:tcPr>
          <w:p w14:paraId="13122A53"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Формат взаимодействия</w:t>
            </w:r>
          </w:p>
        </w:tc>
        <w:tc>
          <w:tcPr>
            <w:tcW w:w="3115" w:type="dxa"/>
          </w:tcPr>
          <w:p w14:paraId="3AEE7464"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Анкеты, визиты, консультации</w:t>
            </w:r>
          </w:p>
        </w:tc>
        <w:tc>
          <w:tcPr>
            <w:tcW w:w="3405" w:type="dxa"/>
          </w:tcPr>
          <w:p w14:paraId="68F3E9AE"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Более 650 встреч с властями и гражданским обществом</w:t>
            </w:r>
          </w:p>
        </w:tc>
      </w:tr>
      <w:tr w:rsidR="00E94B29" w:rsidRPr="001935D0" w14:paraId="5D910D49" w14:textId="77777777" w:rsidTr="00E05332">
        <w:trPr>
          <w:jc w:val="center"/>
        </w:trPr>
        <w:tc>
          <w:tcPr>
            <w:tcW w:w="3115" w:type="dxa"/>
          </w:tcPr>
          <w:p w14:paraId="15A7B7B1"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Тематические блоки</w:t>
            </w:r>
          </w:p>
        </w:tc>
        <w:tc>
          <w:tcPr>
            <w:tcW w:w="3115" w:type="dxa"/>
          </w:tcPr>
          <w:p w14:paraId="5E3EC9E8"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Правосудие, антикоррупция, СМИ, сдержки и противовесы</w:t>
            </w:r>
          </w:p>
        </w:tc>
        <w:tc>
          <w:tcPr>
            <w:tcW w:w="3405" w:type="dxa"/>
          </w:tcPr>
          <w:p w14:paraId="29D4A37F"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Оценка в рамках общего шаблона</w:t>
            </w:r>
          </w:p>
        </w:tc>
      </w:tr>
      <w:tr w:rsidR="00E94B29" w:rsidRPr="001935D0" w14:paraId="67130B3C" w14:textId="77777777" w:rsidTr="00E05332">
        <w:trPr>
          <w:jc w:val="center"/>
        </w:trPr>
        <w:tc>
          <w:tcPr>
            <w:tcW w:w="3115" w:type="dxa"/>
          </w:tcPr>
          <w:p w14:paraId="20B794AB"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Методологическая база</w:t>
            </w:r>
          </w:p>
        </w:tc>
        <w:tc>
          <w:tcPr>
            <w:tcW w:w="3115" w:type="dxa"/>
          </w:tcPr>
          <w:p w14:paraId="3DCF3438"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Обновлена в 2022 году</w:t>
            </w:r>
          </w:p>
        </w:tc>
        <w:tc>
          <w:tcPr>
            <w:tcW w:w="3405" w:type="dxa"/>
          </w:tcPr>
          <w:p w14:paraId="511328DA"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Основана на праве ЕС и практике Совета Европы</w:t>
            </w:r>
          </w:p>
        </w:tc>
      </w:tr>
      <w:tr w:rsidR="00E94B29" w:rsidRPr="001935D0" w14:paraId="4FAC6130" w14:textId="77777777" w:rsidTr="00E05332">
        <w:trPr>
          <w:jc w:val="center"/>
        </w:trPr>
        <w:tc>
          <w:tcPr>
            <w:tcW w:w="3115" w:type="dxa"/>
            <w:vAlign w:val="center"/>
          </w:tcPr>
          <w:p w14:paraId="60A2E70B"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Участие стран-кандидатов</w:t>
            </w:r>
          </w:p>
        </w:tc>
        <w:tc>
          <w:tcPr>
            <w:tcW w:w="3115" w:type="dxa"/>
            <w:vAlign w:val="center"/>
          </w:tcPr>
          <w:p w14:paraId="64868090"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В статусе наблюдателей с 2024 года</w:t>
            </w:r>
          </w:p>
        </w:tc>
        <w:tc>
          <w:tcPr>
            <w:tcW w:w="3405" w:type="dxa"/>
            <w:vAlign w:val="center"/>
          </w:tcPr>
          <w:p w14:paraId="16FEFFEA" w14:textId="29F3295D"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Обеспечивает институциональ</w:t>
            </w:r>
            <w:r w:rsidR="00E05332">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ное выравнивание</w:t>
            </w:r>
          </w:p>
        </w:tc>
      </w:tr>
      <w:tr w:rsidR="00E05332" w:rsidRPr="001935D0" w14:paraId="530EB54F" w14:textId="77777777" w:rsidTr="00187279">
        <w:trPr>
          <w:jc w:val="center"/>
        </w:trPr>
        <w:tc>
          <w:tcPr>
            <w:tcW w:w="9635" w:type="dxa"/>
            <w:gridSpan w:val="3"/>
            <w:vAlign w:val="center"/>
          </w:tcPr>
          <w:p w14:paraId="220FCBEB" w14:textId="722D7584" w:rsidR="00E05332" w:rsidRPr="00E05332" w:rsidRDefault="00E05332" w:rsidP="00A45413">
            <w:pPr>
              <w:pStyle w:val="NoSpacing"/>
              <w:ind w:firstLine="60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w:t>
            </w:r>
            <w:r>
              <w:rPr>
                <w:rFonts w:ascii="Times New Roman" w:hAnsi="Times New Roman" w:cs="Times New Roman"/>
                <w:sz w:val="24"/>
                <w:szCs w:val="24"/>
              </w:rPr>
              <w:t>ставлено автором по данным</w:t>
            </w:r>
            <w:r>
              <w:rPr>
                <w:rFonts w:ascii="Times New Roman" w:hAnsi="Times New Roman" w:cs="Times New Roman"/>
                <w:sz w:val="24"/>
                <w:szCs w:val="24"/>
                <w:lang w:val="kk-KZ"/>
              </w:rPr>
              <w:t xml:space="preserve"> источника</w:t>
            </w:r>
            <w:r>
              <w:rPr>
                <w:rFonts w:ascii="Times New Roman" w:hAnsi="Times New Roman" w:cs="Times New Roman"/>
                <w:sz w:val="24"/>
                <w:szCs w:val="24"/>
              </w:rPr>
              <w:t xml:space="preserve"> [9</w:t>
            </w:r>
            <w:r w:rsidR="00A45413">
              <w:rPr>
                <w:rFonts w:ascii="Times New Roman" w:hAnsi="Times New Roman" w:cs="Times New Roman"/>
                <w:sz w:val="24"/>
                <w:szCs w:val="24"/>
                <w:lang w:val="kk-KZ"/>
              </w:rPr>
              <w:t>4</w:t>
            </w:r>
            <w:r>
              <w:rPr>
                <w:rFonts w:ascii="Times New Roman" w:hAnsi="Times New Roman" w:cs="Times New Roman"/>
                <w:sz w:val="24"/>
                <w:szCs w:val="24"/>
              </w:rPr>
              <w:t>]</w:t>
            </w:r>
          </w:p>
        </w:tc>
      </w:tr>
    </w:tbl>
    <w:p w14:paraId="67A2F764" w14:textId="77777777" w:rsidR="00E05332" w:rsidRDefault="00E05332" w:rsidP="00593711">
      <w:pPr>
        <w:spacing w:after="0" w:line="240" w:lineRule="auto"/>
        <w:ind w:firstLine="709"/>
        <w:jc w:val="both"/>
        <w:rPr>
          <w:rFonts w:ascii="Times New Roman" w:eastAsia="Times New Roman" w:hAnsi="Times New Roman" w:cs="Times New Roman"/>
          <w:sz w:val="28"/>
          <w:szCs w:val="28"/>
          <w:lang w:val="kk-KZ" w:eastAsia="ru-RU"/>
        </w:rPr>
      </w:pPr>
    </w:p>
    <w:p w14:paraId="1B8DCFFE" w14:textId="7777777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Представленный механизм подчёркивает институциональную гибкость и согласованность правовой архитектуры Европейского Союза. Использование формализованных анкет, регулярных страновых визитов и вовлечения гражданского общества формирует доверительную основу для всесторонней оценки. Наличие общего методологического шаблона обеспечивает сопоставимость данных, а участие стран-кандидатов в качестве наблюдателей иллюстрирует подготовку к возможной интеграции на основе правовых критериев.</w:t>
      </w:r>
    </w:p>
    <w:p w14:paraId="2A7103F0" w14:textId="50509CA6"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В Республике Казахстан правозащитная система также демонстрирует тенденцию к институционализации. В соответствии с «</w:t>
      </w:r>
      <w:r w:rsidRPr="001935D0">
        <w:rPr>
          <w:rStyle w:val="Emphasis"/>
          <w:sz w:val="28"/>
          <w:szCs w:val="28"/>
        </w:rPr>
        <w:t>Отчётом Уполномоченного по правам человека в Республике Казахстан за 2024 год»</w:t>
      </w:r>
      <w:r w:rsidRPr="001935D0">
        <w:rPr>
          <w:sz w:val="28"/>
          <w:szCs w:val="28"/>
        </w:rPr>
        <w:t xml:space="preserve"> [9</w:t>
      </w:r>
      <w:r w:rsidR="00A45413">
        <w:rPr>
          <w:sz w:val="28"/>
          <w:szCs w:val="28"/>
          <w:lang w:val="kk-KZ"/>
        </w:rPr>
        <w:t>5</w:t>
      </w:r>
      <w:r w:rsidRPr="001935D0">
        <w:rPr>
          <w:sz w:val="28"/>
          <w:szCs w:val="28"/>
        </w:rPr>
        <w:t>]</w:t>
      </w:r>
      <w:r w:rsidRPr="001935D0">
        <w:rPr>
          <w:i/>
          <w:sz w:val="28"/>
          <w:szCs w:val="28"/>
        </w:rPr>
        <w:t>,</w:t>
      </w:r>
      <w:r w:rsidRPr="001935D0">
        <w:rPr>
          <w:sz w:val="28"/>
          <w:szCs w:val="28"/>
        </w:rPr>
        <w:t xml:space="preserve"> государство предпринимает усилия по укреплению правовых механизмов, </w:t>
      </w:r>
      <w:r w:rsidRPr="001935D0">
        <w:rPr>
          <w:sz w:val="28"/>
          <w:szCs w:val="28"/>
        </w:rPr>
        <w:lastRenderedPageBreak/>
        <w:t>обеспечению соблюдения международных обязательств и расширению участия гражданского сектора. Вместе с тем, в отчёте подчёркивается, что определённые направления – включая реализацию права на справедливое правосудие, эффективность рассмотрения жалоб, а также системность мониторинга и участие общественности – требуют дальнейшего развития.</w:t>
      </w:r>
    </w:p>
    <w:p w14:paraId="385AD662" w14:textId="77777777" w:rsidR="00E94B29" w:rsidRPr="00A45413" w:rsidRDefault="00E94B29" w:rsidP="00593711">
      <w:pPr>
        <w:pStyle w:val="NoSpacing"/>
        <w:jc w:val="both"/>
        <w:rPr>
          <w:rFonts w:ascii="Times New Roman" w:hAnsi="Times New Roman" w:cs="Times New Roman"/>
          <w:sz w:val="28"/>
          <w:szCs w:val="28"/>
        </w:rPr>
      </w:pPr>
    </w:p>
    <w:p w14:paraId="6C209C02" w14:textId="3C0D601D" w:rsidR="00E94B29" w:rsidRDefault="00E94B29" w:rsidP="00E05332">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2.7 </w:t>
      </w:r>
      <w:r w:rsidR="00E05332">
        <w:rPr>
          <w:rFonts w:ascii="Times New Roman" w:hAnsi="Times New Roman" w:cs="Times New Roman"/>
          <w:sz w:val="28"/>
          <w:szCs w:val="28"/>
        </w:rPr>
        <w:t>‒</w:t>
      </w:r>
      <w:r w:rsidR="00E05332">
        <w:rPr>
          <w:rFonts w:ascii="Times New Roman" w:hAnsi="Times New Roman" w:cs="Times New Roman"/>
          <w:sz w:val="28"/>
          <w:szCs w:val="28"/>
          <w:lang w:val="kk-KZ"/>
        </w:rPr>
        <w:t xml:space="preserve"> </w:t>
      </w:r>
      <w:r w:rsidRPr="001935D0">
        <w:rPr>
          <w:rFonts w:ascii="Times New Roman" w:hAnsi="Times New Roman" w:cs="Times New Roman"/>
          <w:sz w:val="28"/>
          <w:szCs w:val="28"/>
        </w:rPr>
        <w:t xml:space="preserve">Сравнительный обзор механизмов обеспечения прав человека в ЕС и Республике Казахстан </w:t>
      </w:r>
    </w:p>
    <w:p w14:paraId="71F9B727" w14:textId="77777777" w:rsidR="00E05332" w:rsidRPr="00E05332" w:rsidRDefault="00E05332" w:rsidP="00E05332">
      <w:pPr>
        <w:pStyle w:val="NoSpacing"/>
        <w:jc w:val="both"/>
        <w:rPr>
          <w:rFonts w:ascii="Times New Roman" w:hAnsi="Times New Roman" w:cs="Times New Roman"/>
          <w:sz w:val="16"/>
          <w:szCs w:val="16"/>
          <w:lang w:val="kk-KZ"/>
        </w:rPr>
      </w:pPr>
    </w:p>
    <w:tbl>
      <w:tblPr>
        <w:tblStyle w:val="TableGrid"/>
        <w:tblW w:w="0" w:type="auto"/>
        <w:jc w:val="center"/>
        <w:tblLook w:val="04A0" w:firstRow="1" w:lastRow="0" w:firstColumn="1" w:lastColumn="0" w:noHBand="0" w:noVBand="1"/>
      </w:tblPr>
      <w:tblGrid>
        <w:gridCol w:w="2390"/>
        <w:gridCol w:w="3203"/>
        <w:gridCol w:w="4035"/>
      </w:tblGrid>
      <w:tr w:rsidR="00E94B29" w:rsidRPr="00E05332" w14:paraId="456E95AE" w14:textId="77777777" w:rsidTr="00E05332">
        <w:trPr>
          <w:jc w:val="center"/>
        </w:trPr>
        <w:tc>
          <w:tcPr>
            <w:tcW w:w="2390" w:type="dxa"/>
            <w:vAlign w:val="center"/>
          </w:tcPr>
          <w:p w14:paraId="3A0DD6C3" w14:textId="77777777" w:rsidR="00E94B29" w:rsidRPr="00E05332" w:rsidRDefault="00E94B29" w:rsidP="00E05332">
            <w:pPr>
              <w:jc w:val="center"/>
              <w:rPr>
                <w:rFonts w:ascii="Times New Roman" w:hAnsi="Times New Roman" w:cs="Times New Roman"/>
                <w:bCs/>
                <w:sz w:val="24"/>
                <w:szCs w:val="24"/>
              </w:rPr>
            </w:pPr>
            <w:r w:rsidRPr="00E05332">
              <w:rPr>
                <w:rFonts w:ascii="Times New Roman" w:hAnsi="Times New Roman" w:cs="Times New Roman"/>
                <w:bCs/>
                <w:sz w:val="24"/>
                <w:szCs w:val="24"/>
              </w:rPr>
              <w:t>Критерий</w:t>
            </w:r>
          </w:p>
        </w:tc>
        <w:tc>
          <w:tcPr>
            <w:tcW w:w="3204" w:type="dxa"/>
            <w:vAlign w:val="center"/>
          </w:tcPr>
          <w:p w14:paraId="3FF4CF2E" w14:textId="77777777" w:rsidR="00E94B29" w:rsidRPr="00E05332" w:rsidRDefault="00E94B29" w:rsidP="00E05332">
            <w:pPr>
              <w:jc w:val="center"/>
              <w:rPr>
                <w:rFonts w:ascii="Times New Roman" w:hAnsi="Times New Roman" w:cs="Times New Roman"/>
                <w:bCs/>
                <w:sz w:val="24"/>
                <w:szCs w:val="24"/>
              </w:rPr>
            </w:pPr>
            <w:r w:rsidRPr="00E05332">
              <w:rPr>
                <w:rFonts w:ascii="Times New Roman" w:hAnsi="Times New Roman" w:cs="Times New Roman"/>
                <w:bCs/>
                <w:sz w:val="24"/>
                <w:szCs w:val="24"/>
              </w:rPr>
              <w:t>Европейский Союз</w:t>
            </w:r>
          </w:p>
        </w:tc>
        <w:tc>
          <w:tcPr>
            <w:tcW w:w="4038" w:type="dxa"/>
            <w:vAlign w:val="center"/>
          </w:tcPr>
          <w:p w14:paraId="2DBCF779" w14:textId="77777777" w:rsidR="00E94B29" w:rsidRPr="00E05332" w:rsidRDefault="00E94B29" w:rsidP="00E05332">
            <w:pPr>
              <w:jc w:val="center"/>
              <w:rPr>
                <w:rFonts w:ascii="Times New Roman" w:hAnsi="Times New Roman" w:cs="Times New Roman"/>
                <w:bCs/>
                <w:sz w:val="24"/>
                <w:szCs w:val="24"/>
              </w:rPr>
            </w:pPr>
            <w:r w:rsidRPr="00E05332">
              <w:rPr>
                <w:rFonts w:ascii="Times New Roman" w:hAnsi="Times New Roman" w:cs="Times New Roman"/>
                <w:bCs/>
                <w:sz w:val="24"/>
                <w:szCs w:val="24"/>
              </w:rPr>
              <w:t>Республика Казахстан (на основании отчёта Уполномоченного, 2024)</w:t>
            </w:r>
          </w:p>
        </w:tc>
      </w:tr>
      <w:tr w:rsidR="00E94B29" w:rsidRPr="001935D0" w14:paraId="490FC626" w14:textId="77777777" w:rsidTr="00E05332">
        <w:trPr>
          <w:jc w:val="center"/>
        </w:trPr>
        <w:tc>
          <w:tcPr>
            <w:tcW w:w="2390" w:type="dxa"/>
            <w:vAlign w:val="center"/>
          </w:tcPr>
          <w:p w14:paraId="3E70FAF2" w14:textId="77777777" w:rsidR="00E94B29" w:rsidRPr="001935D0" w:rsidRDefault="00E94B29" w:rsidP="00593711">
            <w:pPr>
              <w:jc w:val="both"/>
              <w:rPr>
                <w:rFonts w:ascii="Times New Roman" w:hAnsi="Times New Roman" w:cs="Times New Roman"/>
                <w:b/>
                <w:bCs/>
                <w:i/>
                <w:sz w:val="24"/>
                <w:szCs w:val="24"/>
              </w:rPr>
            </w:pPr>
            <w:r w:rsidRPr="001935D0">
              <w:rPr>
                <w:rStyle w:val="Strong"/>
                <w:rFonts w:ascii="Times New Roman" w:hAnsi="Times New Roman" w:cs="Times New Roman"/>
                <w:b w:val="0"/>
                <w:bCs w:val="0"/>
                <w:i/>
                <w:sz w:val="24"/>
                <w:szCs w:val="24"/>
              </w:rPr>
              <w:t>Мониторинг состояния прав человека</w:t>
            </w:r>
          </w:p>
        </w:tc>
        <w:tc>
          <w:tcPr>
            <w:tcW w:w="3204" w:type="dxa"/>
            <w:vAlign w:val="center"/>
          </w:tcPr>
          <w:p w14:paraId="0F57DB60" w14:textId="202715DB"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 xml:space="preserve">Ежегодные </w:t>
            </w:r>
            <w:r w:rsidRPr="001935D0">
              <w:rPr>
                <w:rStyle w:val="Emphasis"/>
                <w:rFonts w:ascii="Times New Roman" w:hAnsi="Times New Roman" w:cs="Times New Roman"/>
                <w:sz w:val="24"/>
                <w:szCs w:val="24"/>
              </w:rPr>
              <w:t>Rule of Law Reports</w:t>
            </w:r>
            <w:r w:rsidRPr="001935D0">
              <w:rPr>
                <w:rFonts w:ascii="Times New Roman" w:hAnsi="Times New Roman" w:cs="Times New Roman"/>
                <w:sz w:val="24"/>
                <w:szCs w:val="24"/>
              </w:rPr>
              <w:t xml:space="preserve"> (Европейская Комис</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сия); участие институтов ЕС и гражданского общества</w:t>
            </w:r>
          </w:p>
        </w:tc>
        <w:tc>
          <w:tcPr>
            <w:tcW w:w="4038" w:type="dxa"/>
            <w:vAlign w:val="center"/>
          </w:tcPr>
          <w:p w14:paraId="3887B3F6" w14:textId="0B358B21"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Национальный отчёт Уполномочен</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ного по правам человека; участие НПО нерегулярное, отсутствует единый формат</w:t>
            </w:r>
          </w:p>
        </w:tc>
      </w:tr>
      <w:tr w:rsidR="00E94B29" w:rsidRPr="001935D0" w14:paraId="3371F807" w14:textId="77777777" w:rsidTr="00E05332">
        <w:trPr>
          <w:jc w:val="center"/>
        </w:trPr>
        <w:tc>
          <w:tcPr>
            <w:tcW w:w="2390" w:type="dxa"/>
            <w:vAlign w:val="center"/>
          </w:tcPr>
          <w:p w14:paraId="7D317B37" w14:textId="77777777" w:rsidR="00E94B29" w:rsidRPr="001935D0" w:rsidRDefault="00E94B29" w:rsidP="00593711">
            <w:pPr>
              <w:jc w:val="both"/>
              <w:rPr>
                <w:rFonts w:ascii="Times New Roman" w:hAnsi="Times New Roman" w:cs="Times New Roman"/>
                <w:b/>
                <w:bCs/>
                <w:i/>
                <w:sz w:val="24"/>
                <w:szCs w:val="24"/>
              </w:rPr>
            </w:pPr>
            <w:r w:rsidRPr="001935D0">
              <w:rPr>
                <w:rStyle w:val="Strong"/>
                <w:rFonts w:ascii="Times New Roman" w:hAnsi="Times New Roman" w:cs="Times New Roman"/>
                <w:b w:val="0"/>
                <w:bCs w:val="0"/>
                <w:i/>
                <w:sz w:val="24"/>
                <w:szCs w:val="24"/>
              </w:rPr>
              <w:t>Судебная независимость</w:t>
            </w:r>
          </w:p>
        </w:tc>
        <w:tc>
          <w:tcPr>
            <w:tcW w:w="3204" w:type="dxa"/>
            <w:vAlign w:val="center"/>
          </w:tcPr>
          <w:p w14:paraId="6E50DDE5" w14:textId="167E3420"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Закреплена в Уставе ЕС и Хартии; постоянный монито</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ринг Европейской сети судей</w:t>
            </w:r>
          </w:p>
        </w:tc>
        <w:tc>
          <w:tcPr>
            <w:tcW w:w="4038" w:type="dxa"/>
            <w:vAlign w:val="center"/>
          </w:tcPr>
          <w:p w14:paraId="2F5D9034" w14:textId="02A260A2"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В отчёте 2024 года подчёркнута потребность в реальной независи</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мости судей и усилении процедурных гарантий</w:t>
            </w:r>
          </w:p>
        </w:tc>
      </w:tr>
      <w:tr w:rsidR="00E94B29" w:rsidRPr="001935D0" w14:paraId="1A595C9B" w14:textId="77777777" w:rsidTr="00E05332">
        <w:trPr>
          <w:jc w:val="center"/>
        </w:trPr>
        <w:tc>
          <w:tcPr>
            <w:tcW w:w="2390" w:type="dxa"/>
            <w:vAlign w:val="center"/>
          </w:tcPr>
          <w:p w14:paraId="3644F5EA" w14:textId="77777777" w:rsidR="00E94B29" w:rsidRPr="001935D0" w:rsidRDefault="00E94B29" w:rsidP="00593711">
            <w:pPr>
              <w:jc w:val="both"/>
              <w:rPr>
                <w:rFonts w:ascii="Times New Roman" w:hAnsi="Times New Roman" w:cs="Times New Roman"/>
                <w:b/>
                <w:bCs/>
                <w:i/>
                <w:sz w:val="24"/>
                <w:szCs w:val="24"/>
              </w:rPr>
            </w:pPr>
            <w:r w:rsidRPr="001935D0">
              <w:rPr>
                <w:rStyle w:val="Strong"/>
                <w:rFonts w:ascii="Times New Roman" w:hAnsi="Times New Roman" w:cs="Times New Roman"/>
                <w:b w:val="0"/>
                <w:bCs w:val="0"/>
                <w:i/>
                <w:sz w:val="24"/>
                <w:szCs w:val="24"/>
              </w:rPr>
              <w:t>Участие гражданского общества</w:t>
            </w:r>
          </w:p>
        </w:tc>
        <w:tc>
          <w:tcPr>
            <w:tcW w:w="3204" w:type="dxa"/>
            <w:vAlign w:val="center"/>
          </w:tcPr>
          <w:p w14:paraId="0E9AF5E4" w14:textId="5D8D5892"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Формализованные процеду</w:t>
            </w:r>
            <w:r w:rsidR="00A45413">
              <w:rPr>
                <w:rFonts w:ascii="Times New Roman" w:hAnsi="Times New Roman" w:cs="Times New Roman"/>
                <w:sz w:val="24"/>
                <w:szCs w:val="24"/>
                <w:lang w:val="kk-KZ"/>
              </w:rPr>
              <w:t xml:space="preserve"> </w:t>
            </w:r>
            <w:r w:rsidRPr="001935D0">
              <w:rPr>
                <w:rFonts w:ascii="Times New Roman" w:hAnsi="Times New Roman" w:cs="Times New Roman"/>
                <w:sz w:val="24"/>
                <w:szCs w:val="24"/>
              </w:rPr>
              <w:t>ры консультаций, публич</w:t>
            </w:r>
            <w:r w:rsidR="00A45413">
              <w:rPr>
                <w:rFonts w:ascii="Times New Roman" w:hAnsi="Times New Roman" w:cs="Times New Roman"/>
                <w:sz w:val="24"/>
                <w:szCs w:val="24"/>
                <w:lang w:val="kk-KZ"/>
              </w:rPr>
              <w:t xml:space="preserve"> </w:t>
            </w:r>
            <w:r w:rsidRPr="001935D0">
              <w:rPr>
                <w:rFonts w:ascii="Times New Roman" w:hAnsi="Times New Roman" w:cs="Times New Roman"/>
                <w:sz w:val="24"/>
                <w:szCs w:val="24"/>
              </w:rPr>
              <w:t>ные дебаты, участие НПО в оценке</w:t>
            </w:r>
          </w:p>
        </w:tc>
        <w:tc>
          <w:tcPr>
            <w:tcW w:w="4038" w:type="dxa"/>
            <w:vAlign w:val="center"/>
          </w:tcPr>
          <w:p w14:paraId="69D7E42C"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Поддержка деятельности НПО декларируется; практическое участие в мониторинге ограничено</w:t>
            </w:r>
          </w:p>
        </w:tc>
      </w:tr>
      <w:tr w:rsidR="00E94B29" w:rsidRPr="001935D0" w14:paraId="5930D501" w14:textId="77777777" w:rsidTr="00E05332">
        <w:trPr>
          <w:jc w:val="center"/>
        </w:trPr>
        <w:tc>
          <w:tcPr>
            <w:tcW w:w="2390" w:type="dxa"/>
            <w:vAlign w:val="center"/>
          </w:tcPr>
          <w:p w14:paraId="71425A02" w14:textId="77777777" w:rsidR="00E94B29" w:rsidRPr="001935D0" w:rsidRDefault="00E94B29" w:rsidP="00593711">
            <w:pPr>
              <w:jc w:val="both"/>
              <w:rPr>
                <w:rFonts w:ascii="Times New Roman" w:hAnsi="Times New Roman" w:cs="Times New Roman"/>
                <w:b/>
                <w:bCs/>
                <w:i/>
                <w:sz w:val="24"/>
                <w:szCs w:val="24"/>
              </w:rPr>
            </w:pPr>
            <w:r w:rsidRPr="001935D0">
              <w:rPr>
                <w:rStyle w:val="Strong"/>
                <w:rFonts w:ascii="Times New Roman" w:hAnsi="Times New Roman" w:cs="Times New Roman"/>
                <w:b w:val="0"/>
                <w:bCs w:val="0"/>
                <w:i/>
                <w:sz w:val="24"/>
                <w:szCs w:val="24"/>
              </w:rPr>
              <w:t>Институциональные механизмы</w:t>
            </w:r>
          </w:p>
        </w:tc>
        <w:tc>
          <w:tcPr>
            <w:tcW w:w="3204" w:type="dxa"/>
            <w:vAlign w:val="center"/>
          </w:tcPr>
          <w:p w14:paraId="1983E54E" w14:textId="16068025"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Агентство по фундаменталь</w:t>
            </w:r>
            <w:r w:rsidR="00A45413">
              <w:rPr>
                <w:rFonts w:ascii="Times New Roman" w:hAnsi="Times New Roman" w:cs="Times New Roman"/>
                <w:sz w:val="24"/>
                <w:szCs w:val="24"/>
                <w:lang w:val="kk-KZ"/>
              </w:rPr>
              <w:t xml:space="preserve"> </w:t>
            </w:r>
            <w:r w:rsidRPr="001935D0">
              <w:rPr>
                <w:rFonts w:ascii="Times New Roman" w:hAnsi="Times New Roman" w:cs="Times New Roman"/>
                <w:sz w:val="24"/>
                <w:szCs w:val="24"/>
              </w:rPr>
              <w:t>ным правам (FRA), Европей</w:t>
            </w:r>
            <w:r w:rsidR="00A45413">
              <w:rPr>
                <w:rFonts w:ascii="Times New Roman" w:hAnsi="Times New Roman" w:cs="Times New Roman"/>
                <w:sz w:val="24"/>
                <w:szCs w:val="24"/>
                <w:lang w:val="kk-KZ"/>
              </w:rPr>
              <w:t xml:space="preserve"> </w:t>
            </w:r>
            <w:r w:rsidRPr="001935D0">
              <w:rPr>
                <w:rFonts w:ascii="Times New Roman" w:hAnsi="Times New Roman" w:cs="Times New Roman"/>
                <w:sz w:val="24"/>
                <w:szCs w:val="24"/>
              </w:rPr>
              <w:t>ский омбудсмен, Суд ЕС</w:t>
            </w:r>
          </w:p>
        </w:tc>
        <w:tc>
          <w:tcPr>
            <w:tcW w:w="4038" w:type="dxa"/>
            <w:vAlign w:val="center"/>
          </w:tcPr>
          <w:p w14:paraId="7400AE6F" w14:textId="2A61D263"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Уполномоченный по правам чело</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века, Совет общественного доверия; отсутствует специализированный аналитический орган</w:t>
            </w:r>
          </w:p>
        </w:tc>
      </w:tr>
      <w:tr w:rsidR="00E94B29" w:rsidRPr="001935D0" w14:paraId="5D2BDB92" w14:textId="77777777" w:rsidTr="00E05332">
        <w:trPr>
          <w:jc w:val="center"/>
        </w:trPr>
        <w:tc>
          <w:tcPr>
            <w:tcW w:w="2390" w:type="dxa"/>
            <w:vAlign w:val="center"/>
          </w:tcPr>
          <w:p w14:paraId="41686ACB" w14:textId="77777777" w:rsidR="00E94B29" w:rsidRPr="001935D0" w:rsidRDefault="00E94B29" w:rsidP="00593711">
            <w:pPr>
              <w:jc w:val="both"/>
              <w:rPr>
                <w:rFonts w:ascii="Times New Roman" w:hAnsi="Times New Roman" w:cs="Times New Roman"/>
                <w:b/>
                <w:bCs/>
                <w:i/>
                <w:sz w:val="24"/>
                <w:szCs w:val="24"/>
              </w:rPr>
            </w:pPr>
            <w:r w:rsidRPr="001935D0">
              <w:rPr>
                <w:rStyle w:val="Strong"/>
                <w:rFonts w:ascii="Times New Roman" w:hAnsi="Times New Roman" w:cs="Times New Roman"/>
                <w:b w:val="0"/>
                <w:bCs w:val="0"/>
                <w:i/>
                <w:sz w:val="24"/>
                <w:szCs w:val="24"/>
              </w:rPr>
              <w:t>Публикация и доступ к данным</w:t>
            </w:r>
          </w:p>
        </w:tc>
        <w:tc>
          <w:tcPr>
            <w:tcW w:w="3204" w:type="dxa"/>
            <w:vAlign w:val="center"/>
          </w:tcPr>
          <w:p w14:paraId="5DD5C902"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Открытые данные, отчёты публикуются в стандартизированной форме</w:t>
            </w:r>
          </w:p>
        </w:tc>
        <w:tc>
          <w:tcPr>
            <w:tcW w:w="4038" w:type="dxa"/>
            <w:vAlign w:val="center"/>
          </w:tcPr>
          <w:p w14:paraId="6D8D34B4"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Ежегодный отчёт публикуется, но отсутствует единая методология мониторинга и формат отчётности</w:t>
            </w:r>
          </w:p>
        </w:tc>
      </w:tr>
      <w:tr w:rsidR="00E94B29" w:rsidRPr="001935D0" w14:paraId="635B6891" w14:textId="77777777" w:rsidTr="00E05332">
        <w:trPr>
          <w:jc w:val="center"/>
        </w:trPr>
        <w:tc>
          <w:tcPr>
            <w:tcW w:w="2390" w:type="dxa"/>
            <w:vAlign w:val="center"/>
          </w:tcPr>
          <w:p w14:paraId="76934561" w14:textId="77777777" w:rsidR="00E94B29" w:rsidRPr="001935D0" w:rsidRDefault="00E94B29" w:rsidP="00593711">
            <w:pPr>
              <w:jc w:val="both"/>
              <w:rPr>
                <w:rFonts w:ascii="Times New Roman" w:hAnsi="Times New Roman" w:cs="Times New Roman"/>
                <w:b/>
                <w:bCs/>
                <w:i/>
                <w:sz w:val="24"/>
                <w:szCs w:val="24"/>
              </w:rPr>
            </w:pPr>
            <w:r w:rsidRPr="001935D0">
              <w:rPr>
                <w:rStyle w:val="Strong"/>
                <w:rFonts w:ascii="Times New Roman" w:hAnsi="Times New Roman" w:cs="Times New Roman"/>
                <w:b w:val="0"/>
                <w:bCs w:val="0"/>
                <w:i/>
                <w:sz w:val="24"/>
                <w:szCs w:val="24"/>
              </w:rPr>
              <w:t>Интеграция международных стандартов</w:t>
            </w:r>
          </w:p>
        </w:tc>
        <w:tc>
          <w:tcPr>
            <w:tcW w:w="3204" w:type="dxa"/>
            <w:vAlign w:val="center"/>
          </w:tcPr>
          <w:p w14:paraId="0AD9962C"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Полная имплементация Европейской конвенции по правам человека; механизм Европейского суда</w:t>
            </w:r>
          </w:p>
        </w:tc>
        <w:tc>
          <w:tcPr>
            <w:tcW w:w="4038" w:type="dxa"/>
            <w:vAlign w:val="center"/>
          </w:tcPr>
          <w:p w14:paraId="5862DA3E" w14:textId="51A923F1"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Казахстан ратифицировал ряд кон</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венций ООН, но требует дальней</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шей адаптации процедур импле</w:t>
            </w:r>
            <w:r w:rsidR="00E05332">
              <w:rPr>
                <w:rFonts w:ascii="Times New Roman" w:hAnsi="Times New Roman" w:cs="Times New Roman"/>
                <w:sz w:val="24"/>
                <w:szCs w:val="24"/>
                <w:lang w:val="kk-KZ"/>
              </w:rPr>
              <w:t xml:space="preserve"> </w:t>
            </w:r>
            <w:r w:rsidRPr="001935D0">
              <w:rPr>
                <w:rFonts w:ascii="Times New Roman" w:hAnsi="Times New Roman" w:cs="Times New Roman"/>
                <w:sz w:val="24"/>
                <w:szCs w:val="24"/>
              </w:rPr>
              <w:t>ментации</w:t>
            </w:r>
          </w:p>
        </w:tc>
      </w:tr>
      <w:tr w:rsidR="00E94B29" w:rsidRPr="001935D0" w14:paraId="7A71AA49" w14:textId="77777777" w:rsidTr="00E05332">
        <w:trPr>
          <w:jc w:val="center"/>
        </w:trPr>
        <w:tc>
          <w:tcPr>
            <w:tcW w:w="2390" w:type="dxa"/>
            <w:vAlign w:val="center"/>
          </w:tcPr>
          <w:p w14:paraId="44C78008" w14:textId="77777777" w:rsidR="00E94B29" w:rsidRPr="001935D0" w:rsidRDefault="00E94B29" w:rsidP="00593711">
            <w:pPr>
              <w:jc w:val="both"/>
              <w:rPr>
                <w:rFonts w:ascii="Times New Roman" w:hAnsi="Times New Roman" w:cs="Times New Roman"/>
                <w:b/>
                <w:bCs/>
                <w:i/>
                <w:sz w:val="24"/>
                <w:szCs w:val="24"/>
              </w:rPr>
            </w:pPr>
            <w:r w:rsidRPr="001935D0">
              <w:rPr>
                <w:rStyle w:val="Strong"/>
                <w:rFonts w:ascii="Times New Roman" w:hAnsi="Times New Roman" w:cs="Times New Roman"/>
                <w:b w:val="0"/>
                <w:bCs w:val="0"/>
                <w:i/>
                <w:sz w:val="24"/>
                <w:szCs w:val="24"/>
              </w:rPr>
              <w:t>Обжалование и правовая защита</w:t>
            </w:r>
          </w:p>
        </w:tc>
        <w:tc>
          <w:tcPr>
            <w:tcW w:w="3204" w:type="dxa"/>
            <w:vAlign w:val="center"/>
          </w:tcPr>
          <w:p w14:paraId="34878853"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Европейский суд по правам человека (для стран-членов Совета Европы), Суд ЕС</w:t>
            </w:r>
          </w:p>
        </w:tc>
        <w:tc>
          <w:tcPr>
            <w:tcW w:w="4038" w:type="dxa"/>
            <w:vAlign w:val="center"/>
          </w:tcPr>
          <w:p w14:paraId="4E85B4B0"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Национальные судебные органы; вопросы доступа к правосудию и качеству правовой помощи остаются актуальными</w:t>
            </w:r>
          </w:p>
        </w:tc>
      </w:tr>
      <w:tr w:rsidR="00E05332" w:rsidRPr="001935D0" w14:paraId="627E8498" w14:textId="77777777" w:rsidTr="00187279">
        <w:trPr>
          <w:jc w:val="center"/>
        </w:trPr>
        <w:tc>
          <w:tcPr>
            <w:tcW w:w="9632" w:type="dxa"/>
            <w:gridSpan w:val="3"/>
            <w:vAlign w:val="center"/>
          </w:tcPr>
          <w:p w14:paraId="2AB4506F" w14:textId="6D92038E" w:rsidR="00E05332" w:rsidRPr="004B26A3" w:rsidRDefault="004B26A3" w:rsidP="00A45413">
            <w:pPr>
              <w:pStyle w:val="NoSpacing"/>
              <w:ind w:firstLine="598"/>
              <w:jc w:val="both"/>
              <w:rPr>
                <w:rFonts w:ascii="Times New Roman" w:hAnsi="Times New Roman" w:cs="Times New Roman"/>
                <w:sz w:val="24"/>
                <w:szCs w:val="24"/>
                <w:lang w:val="kk-KZ"/>
              </w:rPr>
            </w:pPr>
            <w:r>
              <w:rPr>
                <w:rFonts w:ascii="Times New Roman" w:hAnsi="Times New Roman" w:cs="Times New Roman"/>
                <w:sz w:val="24"/>
                <w:szCs w:val="24"/>
                <w:lang w:val="kk-KZ"/>
              </w:rPr>
              <w:t>Примечание – С</w:t>
            </w:r>
            <w:r w:rsidRPr="001935D0">
              <w:rPr>
                <w:rFonts w:ascii="Times New Roman" w:hAnsi="Times New Roman" w:cs="Times New Roman"/>
                <w:sz w:val="24"/>
                <w:szCs w:val="24"/>
              </w:rPr>
              <w:t>оставлено авторо</w:t>
            </w:r>
            <w:r>
              <w:rPr>
                <w:rFonts w:ascii="Times New Roman" w:hAnsi="Times New Roman" w:cs="Times New Roman"/>
                <w:sz w:val="24"/>
                <w:szCs w:val="24"/>
              </w:rPr>
              <w:t xml:space="preserve">м по данным </w:t>
            </w:r>
            <w:r>
              <w:rPr>
                <w:rFonts w:ascii="Times New Roman" w:hAnsi="Times New Roman" w:cs="Times New Roman"/>
                <w:sz w:val="24"/>
                <w:szCs w:val="24"/>
                <w:lang w:val="kk-KZ"/>
              </w:rPr>
              <w:t xml:space="preserve">источников </w:t>
            </w:r>
            <w:r>
              <w:rPr>
                <w:rFonts w:ascii="Times New Roman" w:hAnsi="Times New Roman" w:cs="Times New Roman"/>
                <w:sz w:val="24"/>
                <w:szCs w:val="24"/>
              </w:rPr>
              <w:t>[9</w:t>
            </w:r>
            <w:r>
              <w:rPr>
                <w:rFonts w:ascii="Times New Roman" w:hAnsi="Times New Roman" w:cs="Times New Roman"/>
                <w:sz w:val="24"/>
                <w:szCs w:val="24"/>
                <w:lang w:val="kk-KZ"/>
              </w:rPr>
              <w:t>4; 9</w:t>
            </w:r>
            <w:r>
              <w:rPr>
                <w:rFonts w:ascii="Times New Roman" w:hAnsi="Times New Roman" w:cs="Times New Roman"/>
                <w:sz w:val="24"/>
                <w:szCs w:val="24"/>
              </w:rPr>
              <w:t>5</w:t>
            </w:r>
            <w:r>
              <w:rPr>
                <w:rFonts w:ascii="Times New Roman" w:hAnsi="Times New Roman" w:cs="Times New Roman"/>
                <w:sz w:val="24"/>
                <w:szCs w:val="24"/>
                <w:lang w:val="kk-KZ"/>
              </w:rPr>
              <w:t>; 96; 97; 98; 99</w:t>
            </w:r>
            <w:r w:rsidR="008318A9" w:rsidRPr="008318A9">
              <w:rPr>
                <w:rFonts w:ascii="Times New Roman" w:hAnsi="Times New Roman" w:cs="Times New Roman"/>
                <w:sz w:val="24"/>
                <w:szCs w:val="24"/>
              </w:rPr>
              <w:t>]</w:t>
            </w:r>
          </w:p>
        </w:tc>
      </w:tr>
    </w:tbl>
    <w:p w14:paraId="4F080D92" w14:textId="77777777" w:rsidR="00A45413" w:rsidRDefault="00A45413" w:rsidP="00593711">
      <w:pPr>
        <w:pStyle w:val="NormalWeb"/>
        <w:spacing w:before="0" w:beforeAutospacing="0" w:after="0" w:afterAutospacing="0"/>
        <w:ind w:firstLine="709"/>
        <w:jc w:val="both"/>
        <w:rPr>
          <w:sz w:val="28"/>
          <w:szCs w:val="28"/>
          <w:lang w:val="kk-KZ"/>
        </w:rPr>
      </w:pPr>
    </w:p>
    <w:p w14:paraId="50FFC8A6" w14:textId="5D7302FF" w:rsidR="00A45413" w:rsidRPr="001935D0" w:rsidRDefault="00A45413" w:rsidP="00A45413">
      <w:pPr>
        <w:pStyle w:val="NormalWeb"/>
        <w:spacing w:before="0" w:beforeAutospacing="0" w:after="0" w:afterAutospacing="0"/>
        <w:ind w:firstLine="709"/>
        <w:jc w:val="both"/>
        <w:rPr>
          <w:sz w:val="28"/>
          <w:szCs w:val="28"/>
        </w:rPr>
      </w:pPr>
      <w:r w:rsidRPr="001935D0">
        <w:rPr>
          <w:sz w:val="28"/>
          <w:szCs w:val="28"/>
        </w:rPr>
        <w:t xml:space="preserve">Представленная </w:t>
      </w:r>
      <w:r>
        <w:rPr>
          <w:sz w:val="28"/>
          <w:szCs w:val="28"/>
          <w:lang w:val="kk-KZ"/>
        </w:rPr>
        <w:t>выше</w:t>
      </w:r>
      <w:r w:rsidRPr="001935D0">
        <w:rPr>
          <w:sz w:val="28"/>
          <w:szCs w:val="28"/>
        </w:rPr>
        <w:t xml:space="preserve"> сравнительная таблица 2.7 позволяет наглядно отразить ключевые институциональные и процедурные различия, а также возможные направления правовой адаптации.</w:t>
      </w:r>
    </w:p>
    <w:p w14:paraId="0378FA4C" w14:textId="56D83BBC" w:rsidR="00E94B29" w:rsidRPr="001935D0" w:rsidRDefault="00E94B29" w:rsidP="00593711">
      <w:pPr>
        <w:pStyle w:val="NormalWeb"/>
        <w:spacing w:before="0" w:beforeAutospacing="0" w:after="0" w:afterAutospacing="0"/>
        <w:ind w:firstLine="709"/>
        <w:jc w:val="both"/>
        <w:rPr>
          <w:sz w:val="28"/>
          <w:szCs w:val="28"/>
        </w:rPr>
      </w:pPr>
      <w:r w:rsidRPr="001935D0">
        <w:rPr>
          <w:sz w:val="28"/>
          <w:szCs w:val="28"/>
        </w:rPr>
        <w:t xml:space="preserve">Вышеприведенная таблица 2.7 иллюстрирует, что институциональная структура защиты прав человека в Европейском Союзе базируется на тесной взаимосвязи между нормативными стандартами, механизмами мониторинга и участием гражданского общества. В то время как в Республике Казахстан имеются элементы этой системы – в частности, функционирование института Уполномоченного и разработка ежегодных отчётов, – дальнейшее развитие </w:t>
      </w:r>
      <w:r w:rsidRPr="001935D0">
        <w:rPr>
          <w:sz w:val="28"/>
          <w:szCs w:val="28"/>
        </w:rPr>
        <w:lastRenderedPageBreak/>
        <w:t xml:space="preserve">требует систематизации методологических подходов, расширения открытости данных и институционального укрепления. В частности, в </w:t>
      </w:r>
      <w:r w:rsidRPr="001935D0">
        <w:rPr>
          <w:rStyle w:val="Emphasis"/>
          <w:sz w:val="28"/>
          <w:szCs w:val="28"/>
        </w:rPr>
        <w:t>Отчёте Уполномоченного за 2024 год</w:t>
      </w:r>
      <w:r w:rsidRPr="001935D0">
        <w:rPr>
          <w:sz w:val="28"/>
          <w:szCs w:val="28"/>
        </w:rPr>
        <w:t xml:space="preserve"> отмечается необходимость обеспечения независимости судей, улучшения взаимодействия с неправительственными организациями, совершенствования рассмотрения жалоб, а также институционального сопровождения реализации международных обязательств [9</w:t>
      </w:r>
      <w:r w:rsidR="00A45413">
        <w:rPr>
          <w:sz w:val="28"/>
          <w:szCs w:val="28"/>
          <w:lang w:val="kk-KZ"/>
        </w:rPr>
        <w:t>5</w:t>
      </w:r>
      <w:r w:rsidRPr="001935D0">
        <w:rPr>
          <w:sz w:val="28"/>
          <w:szCs w:val="28"/>
        </w:rPr>
        <w:t>]. Эти выводы создают обоснование для разработки правовых моделей адаптации, которые будут рассмотрены в следующих параграфах.</w:t>
      </w:r>
    </w:p>
    <w:p w14:paraId="5326F78C" w14:textId="7777777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В контексте проводимого институционального сближения с международными стандартами в сфере прав человека, а также принимая во внимание направления, обозначенные в ежегодном публичном отчёте Уполномоченного по правам человека в Республике Казахстан за 2024 год, представляется целесообразным обозначить возможные сценарии правовой адаптации. Данные сценарии предполагают согласованное и поэтапное внедрение элементов правозащитной архитектуры Европейского Союза, с учётом национальных правовых традиций, действующего законодательства и многоуровневой системы взаимодействия с международными структурами.</w:t>
      </w:r>
    </w:p>
    <w:p w14:paraId="18F389B5" w14:textId="047605E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Первая </w:t>
      </w:r>
      <w:r w:rsidRPr="001935D0">
        <w:rPr>
          <w:rFonts w:ascii="Times New Roman" w:eastAsia="Times New Roman" w:hAnsi="Times New Roman" w:cs="Times New Roman"/>
          <w:bCs/>
          <w:sz w:val="28"/>
          <w:szCs w:val="28"/>
          <w:lang w:eastAsia="ru-RU"/>
        </w:rPr>
        <w:t>модель правовой гармонизации</w:t>
      </w:r>
      <w:r w:rsidRPr="001935D0">
        <w:rPr>
          <w:rFonts w:ascii="Times New Roman" w:eastAsia="Times New Roman" w:hAnsi="Times New Roman" w:cs="Times New Roman"/>
          <w:sz w:val="28"/>
          <w:szCs w:val="28"/>
          <w:lang w:eastAsia="ru-RU"/>
        </w:rPr>
        <w:t xml:space="preserve">, ориентированна на интеграцию структурированных аналитических механизмов, аналогичных тем, что применяются в ежегодных отчётах Европейской </w:t>
      </w:r>
      <w:r w:rsidR="004A3405">
        <w:rPr>
          <w:rFonts w:ascii="Times New Roman" w:eastAsia="Times New Roman" w:hAnsi="Times New Roman" w:cs="Times New Roman"/>
          <w:sz w:val="28"/>
          <w:szCs w:val="28"/>
          <w:lang w:eastAsia="ru-RU"/>
        </w:rPr>
        <w:t>К</w:t>
      </w:r>
      <w:r w:rsidRPr="001935D0">
        <w:rPr>
          <w:rFonts w:ascii="Times New Roman" w:eastAsia="Times New Roman" w:hAnsi="Times New Roman" w:cs="Times New Roman"/>
          <w:sz w:val="28"/>
          <w:szCs w:val="28"/>
          <w:lang w:eastAsia="ru-RU"/>
        </w:rPr>
        <w:t>омиссии по верховенству права. Принципиальная схема функционирования данной модели может быть представлена следующим образом (рисунок 2.3).</w:t>
      </w:r>
    </w:p>
    <w:p w14:paraId="51F6A20B" w14:textId="7777777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p>
    <w:p w14:paraId="7DB37029" w14:textId="77777777" w:rsidR="00E94B29" w:rsidRPr="001935D0" w:rsidRDefault="00E94B29" w:rsidP="00593711">
      <w:pPr>
        <w:pStyle w:val="NoSpacing"/>
        <w:jc w:val="both"/>
        <w:rPr>
          <w:rFonts w:ascii="Times New Roman" w:hAnsi="Times New Roman" w:cs="Times New Roman"/>
          <w:lang w:eastAsia="ru-RU"/>
        </w:rPr>
      </w:pPr>
      <w:r w:rsidRPr="001935D0">
        <w:rPr>
          <w:rFonts w:ascii="Times New Roman" w:hAnsi="Times New Roman" w:cs="Times New Roman"/>
          <w:noProof/>
          <w:sz w:val="24"/>
          <w:szCs w:val="24"/>
          <w:lang w:eastAsia="ru-RU"/>
        </w:rPr>
        <w:drawing>
          <wp:inline distT="0" distB="0" distL="0" distR="0" wp14:anchorId="0F197464" wp14:editId="5E92E21D">
            <wp:extent cx="5797550" cy="1955800"/>
            <wp:effectExtent l="0" t="0" r="0" b="2540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inline>
        </w:drawing>
      </w:r>
    </w:p>
    <w:p w14:paraId="0454674D" w14:textId="77777777" w:rsidR="00187279" w:rsidRPr="00187279" w:rsidRDefault="00187279" w:rsidP="00593711">
      <w:pPr>
        <w:pStyle w:val="NoSpacing"/>
        <w:jc w:val="center"/>
        <w:rPr>
          <w:rFonts w:ascii="Times New Roman" w:hAnsi="Times New Roman" w:cs="Times New Roman"/>
          <w:sz w:val="16"/>
          <w:szCs w:val="16"/>
          <w:lang w:val="kk-KZ" w:eastAsia="ru-RU"/>
        </w:rPr>
      </w:pPr>
    </w:p>
    <w:p w14:paraId="67E2D1DF" w14:textId="3C40755F" w:rsidR="00E94B29" w:rsidRPr="001935D0" w:rsidRDefault="00E94B29" w:rsidP="00593711">
      <w:pPr>
        <w:pStyle w:val="NoSpacing"/>
        <w:jc w:val="center"/>
        <w:rPr>
          <w:rFonts w:ascii="Times New Roman" w:hAnsi="Times New Roman" w:cs="Times New Roman"/>
          <w:sz w:val="28"/>
          <w:szCs w:val="28"/>
          <w:lang w:eastAsia="ru-RU"/>
        </w:rPr>
      </w:pPr>
      <w:r w:rsidRPr="001935D0">
        <w:rPr>
          <w:rFonts w:ascii="Times New Roman" w:hAnsi="Times New Roman" w:cs="Times New Roman"/>
          <w:sz w:val="28"/>
          <w:szCs w:val="28"/>
          <w:lang w:eastAsia="ru-RU"/>
        </w:rPr>
        <w:t>Рис</w:t>
      </w:r>
      <w:r w:rsidR="00187279">
        <w:rPr>
          <w:rFonts w:ascii="Times New Roman" w:hAnsi="Times New Roman" w:cs="Times New Roman"/>
          <w:sz w:val="28"/>
          <w:szCs w:val="28"/>
          <w:lang w:val="kk-KZ" w:eastAsia="ru-RU"/>
        </w:rPr>
        <w:t>унок</w:t>
      </w:r>
      <w:r w:rsidRPr="001935D0">
        <w:rPr>
          <w:rFonts w:ascii="Times New Roman" w:hAnsi="Times New Roman" w:cs="Times New Roman"/>
          <w:sz w:val="28"/>
          <w:szCs w:val="28"/>
          <w:lang w:eastAsia="ru-RU"/>
        </w:rPr>
        <w:t xml:space="preserve"> 2.3 </w:t>
      </w:r>
      <w:r w:rsidR="00187279">
        <w:rPr>
          <w:rFonts w:ascii="Times New Roman" w:hAnsi="Times New Roman" w:cs="Times New Roman"/>
          <w:sz w:val="28"/>
          <w:szCs w:val="28"/>
          <w:lang w:val="kk-KZ" w:eastAsia="ru-RU"/>
        </w:rPr>
        <w:t xml:space="preserve">– </w:t>
      </w:r>
      <w:r w:rsidRPr="001935D0">
        <w:rPr>
          <w:rFonts w:ascii="Times New Roman" w:hAnsi="Times New Roman" w:cs="Times New Roman"/>
          <w:sz w:val="28"/>
          <w:szCs w:val="28"/>
          <w:lang w:eastAsia="ru-RU"/>
        </w:rPr>
        <w:t>Модель правовой гармонизации</w:t>
      </w:r>
    </w:p>
    <w:p w14:paraId="039A5752" w14:textId="77777777" w:rsidR="00E94B29" w:rsidRPr="00187279" w:rsidRDefault="00E94B29" w:rsidP="00593711">
      <w:pPr>
        <w:pStyle w:val="NoSpacing"/>
        <w:rPr>
          <w:rFonts w:ascii="Times New Roman" w:hAnsi="Times New Roman" w:cs="Times New Roman"/>
          <w:sz w:val="16"/>
          <w:szCs w:val="16"/>
        </w:rPr>
      </w:pPr>
    </w:p>
    <w:p w14:paraId="53148934" w14:textId="098D763C" w:rsidR="00E94B29" w:rsidRPr="001935D0" w:rsidRDefault="00187279" w:rsidP="00187279">
      <w:pPr>
        <w:pStyle w:val="NoSpacing"/>
        <w:ind w:firstLine="709"/>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w:t>
      </w:r>
      <w:r w:rsidR="00E94B29" w:rsidRPr="001935D0">
        <w:rPr>
          <w:rFonts w:ascii="Times New Roman" w:hAnsi="Times New Roman" w:cs="Times New Roman"/>
          <w:sz w:val="24"/>
          <w:szCs w:val="24"/>
        </w:rPr>
        <w:t xml:space="preserve">автором </w:t>
      </w:r>
    </w:p>
    <w:p w14:paraId="1EDD2A3E" w14:textId="7777777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Модель 2.3 предполагает, прежде всего, институциональное оформление процедуры регулярного анализа состояния системы прав человека с возможностью представления результатов в формате открытого отчёта, включающего выводы, индикаторы и предложения, подготовленные с участием независимых экспертов. В Отчёте Уполномоченного за 2024 год неоднократно подчёркивается значимость системной оценки соблюдения прав человека на основе объективных данных, что может послужить обоснованием для институционализации подобной практики. </w:t>
      </w:r>
    </w:p>
    <w:p w14:paraId="25AA5C2D" w14:textId="7777777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lastRenderedPageBreak/>
        <w:t>Вторая модель связана с институциональным развитием действующих правозащитных структур, а также</w:t>
      </w:r>
      <w:r w:rsidRPr="001935D0">
        <w:rPr>
          <w:rFonts w:ascii="Times New Roman" w:eastAsia="Times New Roman" w:hAnsi="Times New Roman" w:cs="Times New Roman"/>
          <w:bCs/>
          <w:sz w:val="28"/>
          <w:szCs w:val="28"/>
          <w:lang w:eastAsia="ru-RU"/>
        </w:rPr>
        <w:t xml:space="preserve"> институциональной имплементации</w:t>
      </w:r>
      <w:r w:rsidRPr="001935D0">
        <w:rPr>
          <w:rFonts w:ascii="Times New Roman" w:eastAsia="Times New Roman" w:hAnsi="Times New Roman" w:cs="Times New Roman"/>
          <w:sz w:val="28"/>
          <w:szCs w:val="28"/>
          <w:lang w:eastAsia="ru-RU"/>
        </w:rPr>
        <w:t>, предполагающая расширение мандата Уполномоченного по правам человека посредством создания специализированного экспертного подразделения, выполняющего аналитические, методические и мониторинговые функции. Такая структура может функционировать по следующей логике (рисунок 2.4).</w:t>
      </w:r>
    </w:p>
    <w:p w14:paraId="139EE10C" w14:textId="7777777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p>
    <w:p w14:paraId="512C53C3" w14:textId="7777777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43F95ECE" wp14:editId="50B6F0BB">
                <wp:simplePos x="0" y="0"/>
                <wp:positionH relativeFrom="column">
                  <wp:posOffset>3881934</wp:posOffset>
                </wp:positionH>
                <wp:positionV relativeFrom="paragraph">
                  <wp:posOffset>746893</wp:posOffset>
                </wp:positionV>
                <wp:extent cx="410660" cy="220626"/>
                <wp:effectExtent l="0" t="95250" r="0" b="46355"/>
                <wp:wrapNone/>
                <wp:docPr id="21" name="Стрілка: вправо 16"/>
                <wp:cNvGraphicFramePr/>
                <a:graphic xmlns:a="http://schemas.openxmlformats.org/drawingml/2006/main">
                  <a:graphicData uri="http://schemas.microsoft.com/office/word/2010/wordprocessingShape">
                    <wps:wsp>
                      <wps:cNvSpPr/>
                      <wps:spPr>
                        <a:xfrm rot="2536822">
                          <a:off x="0" y="0"/>
                          <a:ext cx="410660" cy="220626"/>
                        </a:xfrm>
                        <a:prstGeom prst="right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16E8E3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ілка: вправо 16" o:spid="_x0000_s1026" type="#_x0000_t13" style="position:absolute;margin-left:305.65pt;margin-top:58.8pt;width:32.35pt;height:17.35pt;rotation:2770886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" adj="15798" filled="f" strokecolor="windowText" strokeweight="1pt"/>
            </w:pict>
          </mc:Fallback>
        </mc:AlternateContent>
      </w:r>
      <w:r w:rsidRPr="001935D0">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153E255B" wp14:editId="0C2BCB5C">
                <wp:simplePos x="0" y="0"/>
                <wp:positionH relativeFrom="column">
                  <wp:posOffset>2113915</wp:posOffset>
                </wp:positionH>
                <wp:positionV relativeFrom="paragraph">
                  <wp:posOffset>727710</wp:posOffset>
                </wp:positionV>
                <wp:extent cx="355600" cy="196850"/>
                <wp:effectExtent l="19050" t="57150" r="0" b="69850"/>
                <wp:wrapNone/>
                <wp:docPr id="22" name="Стрілка: вправо 15"/>
                <wp:cNvGraphicFramePr/>
                <a:graphic xmlns:a="http://schemas.openxmlformats.org/drawingml/2006/main">
                  <a:graphicData uri="http://schemas.microsoft.com/office/word/2010/wordprocessingShape">
                    <wps:wsp>
                      <wps:cNvSpPr/>
                      <wps:spPr>
                        <a:xfrm rot="19332130">
                          <a:off x="0" y="0"/>
                          <a:ext cx="355600" cy="19685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A05BE07" id="Стрілка: вправо 15" o:spid="_x0000_s1026" type="#_x0000_t13" style="position:absolute;margin-left:166.45pt;margin-top:57.3pt;width:28pt;height:15.5pt;rotation:-2477119fd;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" adj="15621" filled="f" strokecolor="black [3213]" strokeweight="1pt"/>
            </w:pict>
          </mc:Fallback>
        </mc:AlternateContent>
      </w:r>
      <w:r w:rsidRPr="001935D0">
        <w:rPr>
          <w:rFonts w:ascii="Times New Roman" w:eastAsia="Times New Roman" w:hAnsi="Times New Roman" w:cs="Times New Roman"/>
          <w:noProof/>
          <w:sz w:val="28"/>
          <w:szCs w:val="28"/>
          <w:lang w:eastAsia="ru-RU"/>
        </w:rPr>
        <w:drawing>
          <wp:inline distT="0" distB="0" distL="0" distR="0" wp14:anchorId="07253DD9" wp14:editId="0F143421">
            <wp:extent cx="5486400" cy="3200400"/>
            <wp:effectExtent l="0" t="19050" r="0" b="38100"/>
            <wp:docPr id="31" name="Схема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p w14:paraId="152085CC" w14:textId="77777777" w:rsidR="00187279" w:rsidRPr="00187279" w:rsidRDefault="00187279" w:rsidP="00593711">
      <w:pPr>
        <w:spacing w:after="0" w:line="240" w:lineRule="auto"/>
        <w:jc w:val="center"/>
        <w:rPr>
          <w:rFonts w:ascii="Times New Roman" w:eastAsia="Times New Roman" w:hAnsi="Times New Roman" w:cs="Times New Roman"/>
          <w:sz w:val="16"/>
          <w:szCs w:val="16"/>
          <w:lang w:val="kk-KZ" w:eastAsia="ru-RU"/>
        </w:rPr>
      </w:pPr>
    </w:p>
    <w:p w14:paraId="2C9647D8" w14:textId="27204601" w:rsidR="00E94B29" w:rsidRPr="001935D0" w:rsidRDefault="00E94B29" w:rsidP="00593711">
      <w:pPr>
        <w:spacing w:after="0" w:line="240" w:lineRule="auto"/>
        <w:jc w:val="center"/>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Рис</w:t>
      </w:r>
      <w:r w:rsidR="00187279">
        <w:rPr>
          <w:rFonts w:ascii="Times New Roman" w:eastAsia="Times New Roman" w:hAnsi="Times New Roman" w:cs="Times New Roman"/>
          <w:sz w:val="28"/>
          <w:szCs w:val="28"/>
          <w:lang w:val="kk-KZ" w:eastAsia="ru-RU"/>
        </w:rPr>
        <w:t>унок</w:t>
      </w:r>
      <w:r w:rsidRPr="001935D0">
        <w:rPr>
          <w:rFonts w:ascii="Times New Roman" w:eastAsia="Times New Roman" w:hAnsi="Times New Roman" w:cs="Times New Roman"/>
          <w:sz w:val="28"/>
          <w:szCs w:val="28"/>
          <w:lang w:eastAsia="ru-RU"/>
        </w:rPr>
        <w:t xml:space="preserve"> 2.4 </w:t>
      </w:r>
      <w:r w:rsidR="00187279">
        <w:rPr>
          <w:rFonts w:ascii="Times New Roman" w:eastAsia="Times New Roman" w:hAnsi="Times New Roman" w:cs="Times New Roman"/>
          <w:sz w:val="28"/>
          <w:szCs w:val="28"/>
          <w:lang w:val="kk-KZ" w:eastAsia="ru-RU"/>
        </w:rPr>
        <w:t xml:space="preserve">– </w:t>
      </w:r>
      <w:r w:rsidRPr="001935D0">
        <w:rPr>
          <w:rFonts w:ascii="Times New Roman" w:eastAsia="Times New Roman" w:hAnsi="Times New Roman" w:cs="Times New Roman"/>
          <w:sz w:val="28"/>
          <w:szCs w:val="28"/>
          <w:lang w:eastAsia="ru-RU"/>
        </w:rPr>
        <w:t>Модель институциональной имплементации</w:t>
      </w:r>
    </w:p>
    <w:p w14:paraId="6AAE88FD" w14:textId="77777777" w:rsidR="00187279" w:rsidRPr="00187279" w:rsidRDefault="00187279" w:rsidP="00593711">
      <w:pPr>
        <w:pStyle w:val="NoSpacing"/>
        <w:jc w:val="both"/>
        <w:rPr>
          <w:rFonts w:ascii="Times New Roman" w:hAnsi="Times New Roman" w:cs="Times New Roman"/>
          <w:sz w:val="16"/>
          <w:szCs w:val="16"/>
          <w:lang w:val="kk-KZ"/>
        </w:rPr>
      </w:pPr>
    </w:p>
    <w:p w14:paraId="1C4EE171" w14:textId="7218F31F" w:rsidR="00E94B29" w:rsidRPr="001935D0" w:rsidRDefault="00187279" w:rsidP="00187279">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w:t>
      </w:r>
      <w:r w:rsidR="00E94B29" w:rsidRPr="001935D0">
        <w:rPr>
          <w:rFonts w:ascii="Times New Roman" w:hAnsi="Times New Roman" w:cs="Times New Roman"/>
          <w:sz w:val="24"/>
          <w:szCs w:val="24"/>
        </w:rPr>
        <w:t xml:space="preserve">автором </w:t>
      </w:r>
    </w:p>
    <w:p w14:paraId="192B79D4" w14:textId="7777777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p>
    <w:p w14:paraId="33ED8253" w14:textId="66E52063"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Модель на рисунок 2.4 соответствует рекомендациям международных институтов, включая Управление Верховного комиссара ООН по правам человека [10</w:t>
      </w:r>
      <w:r w:rsidR="00A45413">
        <w:rPr>
          <w:rFonts w:ascii="Times New Roman" w:eastAsia="Times New Roman" w:hAnsi="Times New Roman" w:cs="Times New Roman"/>
          <w:sz w:val="28"/>
          <w:szCs w:val="28"/>
          <w:lang w:val="kk-KZ" w:eastAsia="ru-RU"/>
        </w:rPr>
        <w:t>0</w:t>
      </w:r>
      <w:r w:rsidRPr="001935D0">
        <w:rPr>
          <w:rFonts w:ascii="Times New Roman" w:eastAsia="Times New Roman" w:hAnsi="Times New Roman" w:cs="Times New Roman"/>
          <w:sz w:val="28"/>
          <w:szCs w:val="28"/>
          <w:lang w:eastAsia="ru-RU"/>
        </w:rPr>
        <w:t>],</w:t>
      </w:r>
      <w:r w:rsidRPr="001935D0">
        <w:rPr>
          <w:rFonts w:ascii="Times New Roman" w:hAnsi="Times New Roman" w:cs="Times New Roman"/>
        </w:rPr>
        <w:t xml:space="preserve"> </w:t>
      </w:r>
      <w:r w:rsidRPr="001935D0">
        <w:rPr>
          <w:rFonts w:ascii="Times New Roman" w:eastAsia="Times New Roman" w:hAnsi="Times New Roman" w:cs="Times New Roman"/>
          <w:sz w:val="28"/>
          <w:szCs w:val="28"/>
          <w:lang w:eastAsia="ru-RU"/>
        </w:rPr>
        <w:t>а также отдельным пунктам национального отчёта, акцентирующим внимание на необходимости усиления аналитической и коммуникационной функции офиса Уполномоченного.</w:t>
      </w:r>
    </w:p>
    <w:p w14:paraId="39AD687E" w14:textId="77777777" w:rsidR="00E94B29" w:rsidRDefault="00E94B29" w:rsidP="00593711">
      <w:pPr>
        <w:spacing w:after="0" w:line="240" w:lineRule="auto"/>
        <w:ind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eastAsia="ru-RU"/>
        </w:rPr>
        <w:t xml:space="preserve">Третья </w:t>
      </w:r>
      <w:r w:rsidRPr="001935D0">
        <w:rPr>
          <w:rFonts w:ascii="Times New Roman" w:eastAsia="Times New Roman" w:hAnsi="Times New Roman" w:cs="Times New Roman"/>
          <w:bCs/>
          <w:sz w:val="28"/>
          <w:szCs w:val="28"/>
          <w:lang w:eastAsia="ru-RU"/>
        </w:rPr>
        <w:t>модель наблюдения и мониторинга</w:t>
      </w:r>
      <w:r w:rsidRPr="001935D0">
        <w:rPr>
          <w:rFonts w:ascii="Times New Roman" w:eastAsia="Times New Roman" w:hAnsi="Times New Roman" w:cs="Times New Roman"/>
          <w:sz w:val="28"/>
          <w:szCs w:val="28"/>
          <w:lang w:eastAsia="ru-RU"/>
        </w:rPr>
        <w:t>, ориентированна на институционализацию механизма независимого экспертного анализа с участием как национальных специалистов, так и международных партнёров. В рамках данной модели возможно создание открытой мониторинговой платформы, обеспечивающей систематизацию данных и усиление диалоговых форматов. Структура данной модели представлена на рисунке 2.5.</w:t>
      </w:r>
    </w:p>
    <w:p w14:paraId="7F186109" w14:textId="77777777" w:rsidR="00A45413" w:rsidRPr="00A45413" w:rsidRDefault="00A45413" w:rsidP="00593711">
      <w:pPr>
        <w:spacing w:after="0" w:line="240" w:lineRule="auto"/>
        <w:ind w:firstLine="709"/>
        <w:jc w:val="both"/>
        <w:rPr>
          <w:rFonts w:ascii="Times New Roman" w:eastAsia="Times New Roman" w:hAnsi="Times New Roman" w:cs="Times New Roman"/>
          <w:sz w:val="28"/>
          <w:szCs w:val="28"/>
          <w:lang w:val="kk-KZ" w:eastAsia="ru-RU"/>
        </w:rPr>
      </w:pPr>
    </w:p>
    <w:p w14:paraId="4C8E8868" w14:textId="77777777" w:rsidR="00E94B29" w:rsidRPr="001935D0" w:rsidRDefault="00E94B29" w:rsidP="00593711">
      <w:pPr>
        <w:spacing w:after="0" w:line="240" w:lineRule="auto"/>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noProof/>
          <w:sz w:val="28"/>
          <w:szCs w:val="28"/>
          <w:lang w:eastAsia="ru-RU"/>
        </w:rPr>
        <w:lastRenderedPageBreak/>
        <w:drawing>
          <wp:inline distT="0" distB="0" distL="0" distR="0" wp14:anchorId="510A239E" wp14:editId="406CEB0D">
            <wp:extent cx="5905500" cy="3619500"/>
            <wp:effectExtent l="0" t="0" r="0" b="1295400"/>
            <wp:docPr id="32" name="Схема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14:paraId="4233EFD6" w14:textId="77777777" w:rsidR="00187279" w:rsidRPr="00187279" w:rsidRDefault="00187279" w:rsidP="00593711">
      <w:pPr>
        <w:spacing w:after="0" w:line="240" w:lineRule="auto"/>
        <w:jc w:val="center"/>
        <w:rPr>
          <w:rFonts w:ascii="Times New Roman" w:eastAsia="Times New Roman" w:hAnsi="Times New Roman" w:cs="Times New Roman"/>
          <w:sz w:val="16"/>
          <w:szCs w:val="16"/>
          <w:lang w:val="kk-KZ" w:eastAsia="ru-RU"/>
        </w:rPr>
      </w:pPr>
    </w:p>
    <w:p w14:paraId="1313E76F" w14:textId="1D32D450" w:rsidR="00E94B29" w:rsidRPr="001935D0" w:rsidRDefault="00E94B29" w:rsidP="00593711">
      <w:pPr>
        <w:spacing w:after="0" w:line="240" w:lineRule="auto"/>
        <w:jc w:val="center"/>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Рис</w:t>
      </w:r>
      <w:r w:rsidR="00187279">
        <w:rPr>
          <w:rFonts w:ascii="Times New Roman" w:eastAsia="Times New Roman" w:hAnsi="Times New Roman" w:cs="Times New Roman"/>
          <w:sz w:val="28"/>
          <w:szCs w:val="28"/>
          <w:lang w:val="kk-KZ" w:eastAsia="ru-RU"/>
        </w:rPr>
        <w:t>унок</w:t>
      </w:r>
      <w:r w:rsidRPr="001935D0">
        <w:rPr>
          <w:rFonts w:ascii="Times New Roman" w:eastAsia="Times New Roman" w:hAnsi="Times New Roman" w:cs="Times New Roman"/>
          <w:sz w:val="28"/>
          <w:szCs w:val="28"/>
          <w:lang w:eastAsia="ru-RU"/>
        </w:rPr>
        <w:t xml:space="preserve"> 2.5 </w:t>
      </w:r>
      <w:r w:rsidR="00187279">
        <w:rPr>
          <w:rFonts w:ascii="Times New Roman" w:eastAsia="Times New Roman" w:hAnsi="Times New Roman" w:cs="Times New Roman"/>
          <w:sz w:val="28"/>
          <w:szCs w:val="28"/>
          <w:lang w:val="kk-KZ" w:eastAsia="ru-RU"/>
        </w:rPr>
        <w:t xml:space="preserve">– </w:t>
      </w:r>
      <w:r w:rsidRPr="001935D0">
        <w:rPr>
          <w:rFonts w:ascii="Times New Roman" w:eastAsia="Times New Roman" w:hAnsi="Times New Roman" w:cs="Times New Roman"/>
          <w:sz w:val="28"/>
          <w:szCs w:val="28"/>
          <w:lang w:eastAsia="ru-RU"/>
        </w:rPr>
        <w:t>Моделирование этапов наблюдения и мониторинга</w:t>
      </w:r>
    </w:p>
    <w:p w14:paraId="4207BAFB" w14:textId="77777777" w:rsidR="00187279" w:rsidRPr="00187279" w:rsidRDefault="00187279" w:rsidP="00593711">
      <w:pPr>
        <w:pStyle w:val="NoSpacing"/>
        <w:jc w:val="both"/>
        <w:rPr>
          <w:rFonts w:ascii="Times New Roman" w:hAnsi="Times New Roman" w:cs="Times New Roman"/>
          <w:sz w:val="16"/>
          <w:szCs w:val="16"/>
          <w:lang w:val="kk-KZ"/>
        </w:rPr>
      </w:pPr>
    </w:p>
    <w:p w14:paraId="7DA24524" w14:textId="7614E8C7" w:rsidR="00E94B29" w:rsidRPr="001935D0" w:rsidRDefault="00187279" w:rsidP="00187279">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w:t>
      </w:r>
      <w:r w:rsidR="00E94B29" w:rsidRPr="001935D0">
        <w:rPr>
          <w:rFonts w:ascii="Times New Roman" w:hAnsi="Times New Roman" w:cs="Times New Roman"/>
          <w:sz w:val="24"/>
          <w:szCs w:val="24"/>
        </w:rPr>
        <w:t xml:space="preserve">оставлено автором </w:t>
      </w:r>
    </w:p>
    <w:p w14:paraId="554382A5" w14:textId="7777777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ru-RU"/>
        </w:rPr>
      </w:pPr>
    </w:p>
    <w:p w14:paraId="19F7C47E" w14:textId="7FE04031" w:rsidR="00E94B29" w:rsidRPr="001935D0" w:rsidRDefault="00E94B29" w:rsidP="00187279">
      <w:pPr>
        <w:spacing w:after="0" w:line="240" w:lineRule="auto"/>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Модель 2.5 предполагает реализацию подходов, аналогичных тем, что используются в отчётах Европейской </w:t>
      </w:r>
      <w:r w:rsidR="004A3405">
        <w:rPr>
          <w:rFonts w:ascii="Times New Roman" w:eastAsia="Times New Roman" w:hAnsi="Times New Roman" w:cs="Times New Roman"/>
          <w:sz w:val="28"/>
          <w:szCs w:val="28"/>
          <w:lang w:eastAsia="ru-RU"/>
        </w:rPr>
        <w:t>К</w:t>
      </w:r>
      <w:r w:rsidRPr="001935D0">
        <w:rPr>
          <w:rFonts w:ascii="Times New Roman" w:eastAsia="Times New Roman" w:hAnsi="Times New Roman" w:cs="Times New Roman"/>
          <w:sz w:val="28"/>
          <w:szCs w:val="28"/>
          <w:lang w:eastAsia="ru-RU"/>
        </w:rPr>
        <w:t>омиссии, но с учётом регионального контекста и действующих механизмов взаимодействия с институтами гражданского общества. В упомянутом Докладе Управления Верховного комиссара ООН по правам человека за 2024 год [10</w:t>
      </w:r>
      <w:r w:rsidR="00A45413">
        <w:rPr>
          <w:rFonts w:ascii="Times New Roman" w:eastAsia="Times New Roman" w:hAnsi="Times New Roman" w:cs="Times New Roman"/>
          <w:sz w:val="28"/>
          <w:szCs w:val="28"/>
          <w:lang w:val="kk-KZ" w:eastAsia="ru-RU"/>
        </w:rPr>
        <w:t>0</w:t>
      </w:r>
      <w:r w:rsidRPr="001935D0">
        <w:rPr>
          <w:rFonts w:ascii="Times New Roman" w:eastAsia="Times New Roman" w:hAnsi="Times New Roman" w:cs="Times New Roman"/>
          <w:sz w:val="28"/>
          <w:szCs w:val="28"/>
          <w:lang w:eastAsia="ru-RU"/>
        </w:rPr>
        <w:t>]</w:t>
      </w:r>
      <w:r w:rsidRPr="001935D0">
        <w:rPr>
          <w:rFonts w:ascii="Times New Roman" w:eastAsia="Times New Roman" w:hAnsi="Times New Roman" w:cs="Times New Roman"/>
          <w:sz w:val="24"/>
          <w:szCs w:val="24"/>
          <w:lang w:eastAsia="ru-RU"/>
        </w:rPr>
        <w:t xml:space="preserve"> </w:t>
      </w:r>
      <w:r w:rsidRPr="001935D0">
        <w:rPr>
          <w:rFonts w:ascii="Times New Roman" w:eastAsia="Times New Roman" w:hAnsi="Times New Roman" w:cs="Times New Roman"/>
          <w:sz w:val="28"/>
          <w:szCs w:val="28"/>
          <w:lang w:eastAsia="ru-RU"/>
        </w:rPr>
        <w:t>отдельные акценты сделаны на важности развития механизмов консультативного участия и прозрачной отчётности, что коррелирует с содержанием данной модели.</w:t>
      </w:r>
    </w:p>
    <w:p w14:paraId="5139D35D" w14:textId="77777777" w:rsidR="00E94B29" w:rsidRPr="001935D0" w:rsidRDefault="00E94B29" w:rsidP="00187279">
      <w:pPr>
        <w:spacing w:after="0" w:line="240" w:lineRule="auto"/>
        <w:ind w:firstLine="709"/>
        <w:jc w:val="both"/>
        <w:rPr>
          <w:rFonts w:ascii="Times New Roman" w:hAnsi="Times New Roman" w:cs="Times New Roman"/>
          <w:sz w:val="16"/>
          <w:szCs w:val="16"/>
        </w:rPr>
      </w:pPr>
      <w:r w:rsidRPr="001935D0">
        <w:rPr>
          <w:rFonts w:ascii="Times New Roman" w:eastAsia="Times New Roman" w:hAnsi="Times New Roman" w:cs="Times New Roman"/>
          <w:sz w:val="28"/>
          <w:szCs w:val="28"/>
          <w:lang w:eastAsia="ru-RU"/>
        </w:rPr>
        <w:t xml:space="preserve">Следует подчеркнуть, что указанные модели не являются взаимоисключающими – напротив, их возможная последовательная реализация или комбинирование позволяют сформировать институционально устойчивую и методически выверенную систему оценки, координации и совершенствования правозащитной политики. В совокупности они формируют основу для диалога между государственными структурами, экспертным сообществом и международными партнёрами, обеспечивая согласованное развитие правового пространства в соответствии с международными обязательствами Республики Казахстан. </w:t>
      </w:r>
    </w:p>
    <w:p w14:paraId="379F1E3A" w14:textId="77777777" w:rsidR="009E3B02" w:rsidRDefault="009E3B02" w:rsidP="00187279">
      <w:pPr>
        <w:tabs>
          <w:tab w:val="left" w:pos="851"/>
        </w:tabs>
        <w:spacing w:after="0" w:line="240" w:lineRule="auto"/>
        <w:ind w:firstLine="709"/>
        <w:jc w:val="both"/>
        <w:rPr>
          <w:rFonts w:ascii="Times New Roman" w:hAnsi="Times New Roman" w:cs="Times New Roman"/>
          <w:b/>
          <w:sz w:val="28"/>
          <w:szCs w:val="28"/>
          <w:lang w:val="kk-KZ"/>
        </w:rPr>
      </w:pPr>
    </w:p>
    <w:p w14:paraId="326E7C77" w14:textId="5658A0F1" w:rsidR="00E94B29" w:rsidRPr="000C23D7" w:rsidRDefault="00E94B29" w:rsidP="00187279">
      <w:pPr>
        <w:tabs>
          <w:tab w:val="left" w:pos="851"/>
        </w:tabs>
        <w:spacing w:after="0" w:line="240" w:lineRule="auto"/>
        <w:ind w:firstLine="709"/>
        <w:jc w:val="both"/>
        <w:rPr>
          <w:rFonts w:ascii="Times New Roman" w:hAnsi="Times New Roman" w:cs="Times New Roman"/>
          <w:b/>
          <w:sz w:val="28"/>
          <w:szCs w:val="28"/>
          <w:lang w:val="en-US"/>
        </w:rPr>
      </w:pPr>
      <w:r w:rsidRPr="001935D0">
        <w:rPr>
          <w:rFonts w:ascii="Times New Roman" w:hAnsi="Times New Roman" w:cs="Times New Roman"/>
          <w:b/>
          <w:sz w:val="28"/>
          <w:szCs w:val="28"/>
          <w:lang w:val="en-US"/>
        </w:rPr>
        <w:lastRenderedPageBreak/>
        <w:t xml:space="preserve">2.2 </w:t>
      </w:r>
      <w:r w:rsidR="000C23D7" w:rsidRPr="000C23D7">
        <w:rPr>
          <w:rFonts w:ascii="Times New Roman" w:hAnsi="Times New Roman" w:cs="Times New Roman"/>
          <w:b/>
          <w:iCs/>
          <w:sz w:val="28"/>
          <w:szCs w:val="28"/>
          <w:lang w:val="en-US" w:eastAsia="ru-RU"/>
        </w:rPr>
        <w:t>European Union Action Plan on Human Rights and Democracy (2020–2027)</w:t>
      </w:r>
      <w:r w:rsidR="000C23D7" w:rsidRPr="000C23D7">
        <w:rPr>
          <w:rFonts w:ascii="Times New Roman" w:hAnsi="Times New Roman" w:cs="Times New Roman"/>
          <w:b/>
          <w:sz w:val="28"/>
          <w:szCs w:val="28"/>
          <w:lang w:val="en-US" w:eastAsia="ru-RU"/>
        </w:rPr>
        <w:t xml:space="preserve">: </w:t>
      </w:r>
      <w:r w:rsidR="000C23D7" w:rsidRPr="000C23D7">
        <w:rPr>
          <w:rFonts w:ascii="Times New Roman" w:hAnsi="Times New Roman" w:cs="Times New Roman"/>
          <w:b/>
          <w:sz w:val="28"/>
          <w:szCs w:val="28"/>
          <w:lang w:eastAsia="ru-RU"/>
        </w:rPr>
        <w:t>основные</w:t>
      </w:r>
      <w:r w:rsidR="000C23D7" w:rsidRPr="000C23D7">
        <w:rPr>
          <w:rFonts w:ascii="Times New Roman" w:hAnsi="Times New Roman" w:cs="Times New Roman"/>
          <w:b/>
          <w:sz w:val="28"/>
          <w:szCs w:val="28"/>
          <w:lang w:val="en-US" w:eastAsia="ru-RU"/>
        </w:rPr>
        <w:t xml:space="preserve"> </w:t>
      </w:r>
      <w:r w:rsidR="000C23D7" w:rsidRPr="000C23D7">
        <w:rPr>
          <w:rFonts w:ascii="Times New Roman" w:hAnsi="Times New Roman" w:cs="Times New Roman"/>
          <w:b/>
          <w:sz w:val="28"/>
          <w:szCs w:val="28"/>
          <w:lang w:eastAsia="ru-RU"/>
        </w:rPr>
        <w:t>положения</w:t>
      </w:r>
      <w:r w:rsidR="000C23D7" w:rsidRPr="000C23D7">
        <w:rPr>
          <w:rFonts w:ascii="Times New Roman" w:hAnsi="Times New Roman" w:cs="Times New Roman"/>
          <w:b/>
          <w:sz w:val="28"/>
          <w:szCs w:val="28"/>
          <w:lang w:val="en-US" w:eastAsia="ru-RU"/>
        </w:rPr>
        <w:t xml:space="preserve"> </w:t>
      </w:r>
      <w:r w:rsidR="000C23D7" w:rsidRPr="000C23D7">
        <w:rPr>
          <w:rFonts w:ascii="Times New Roman" w:hAnsi="Times New Roman" w:cs="Times New Roman"/>
          <w:b/>
          <w:sz w:val="28"/>
          <w:szCs w:val="28"/>
          <w:lang w:eastAsia="ru-RU"/>
        </w:rPr>
        <w:t>и</w:t>
      </w:r>
      <w:r w:rsidR="000C23D7" w:rsidRPr="000C23D7">
        <w:rPr>
          <w:rFonts w:ascii="Times New Roman" w:hAnsi="Times New Roman" w:cs="Times New Roman"/>
          <w:b/>
          <w:sz w:val="28"/>
          <w:szCs w:val="28"/>
          <w:lang w:val="en-US" w:eastAsia="ru-RU"/>
        </w:rPr>
        <w:t xml:space="preserve"> </w:t>
      </w:r>
      <w:r w:rsidR="000C23D7" w:rsidRPr="000C23D7">
        <w:rPr>
          <w:rFonts w:ascii="Times New Roman" w:hAnsi="Times New Roman" w:cs="Times New Roman"/>
          <w:b/>
          <w:sz w:val="28"/>
          <w:szCs w:val="28"/>
          <w:lang w:eastAsia="ru-RU"/>
        </w:rPr>
        <w:t>механизмы</w:t>
      </w:r>
    </w:p>
    <w:p w14:paraId="2E86753A" w14:textId="73C21A59" w:rsidR="00E94B29" w:rsidRPr="001935D0" w:rsidRDefault="00E94B29" w:rsidP="00187279">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 xml:space="preserve">В условиях нарастающих глобальных вызовов – политической нестабильности, усиления авторитарных тенденций, деградации институтов демократического участия, а также экспоненциального роста цифровых угроз – Европейский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 xml:space="preserve">оюз обновил стратегическое видение своей внешнеполитической роли в сфере защиты прав человека. Принятый в декабре 2020 года План действий Европейского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оюза в области прав человека и демократии на 2020</w:t>
      </w:r>
      <w:r w:rsidR="00187279">
        <w:rPr>
          <w:rStyle w:val="Strong"/>
          <w:rFonts w:ascii="Times New Roman" w:hAnsi="Times New Roman" w:cs="Times New Roman"/>
          <w:b w:val="0"/>
          <w:sz w:val="28"/>
          <w:szCs w:val="28"/>
          <w:lang w:val="kk-KZ"/>
        </w:rPr>
        <w:t>-</w:t>
      </w:r>
      <w:r w:rsidRPr="001935D0">
        <w:rPr>
          <w:rStyle w:val="Strong"/>
          <w:rFonts w:ascii="Times New Roman" w:hAnsi="Times New Roman" w:cs="Times New Roman"/>
          <w:b w:val="0"/>
          <w:sz w:val="28"/>
          <w:szCs w:val="28"/>
        </w:rPr>
        <w:t>2024 годы стал логическим продолжением предыдущих стратегических циклов (2012</w:t>
      </w:r>
      <w:r w:rsidR="00187279">
        <w:rPr>
          <w:rStyle w:val="Strong"/>
          <w:rFonts w:ascii="Times New Roman" w:hAnsi="Times New Roman" w:cs="Times New Roman"/>
          <w:b w:val="0"/>
          <w:sz w:val="28"/>
          <w:szCs w:val="28"/>
          <w:lang w:val="kk-KZ"/>
        </w:rPr>
        <w:t>-</w:t>
      </w:r>
      <w:r w:rsidRPr="001935D0">
        <w:rPr>
          <w:rStyle w:val="Strong"/>
          <w:rFonts w:ascii="Times New Roman" w:hAnsi="Times New Roman" w:cs="Times New Roman"/>
          <w:b w:val="0"/>
          <w:sz w:val="28"/>
          <w:szCs w:val="28"/>
        </w:rPr>
        <w:t>2014, 2015</w:t>
      </w:r>
      <w:r w:rsidR="00187279">
        <w:rPr>
          <w:rStyle w:val="Strong"/>
          <w:rFonts w:ascii="Times New Roman" w:hAnsi="Times New Roman" w:cs="Times New Roman"/>
          <w:b w:val="0"/>
          <w:sz w:val="28"/>
          <w:szCs w:val="28"/>
          <w:lang w:val="kk-KZ"/>
        </w:rPr>
        <w:t>-</w:t>
      </w:r>
      <w:r w:rsidRPr="001935D0">
        <w:rPr>
          <w:rStyle w:val="Strong"/>
          <w:rFonts w:ascii="Times New Roman" w:hAnsi="Times New Roman" w:cs="Times New Roman"/>
          <w:b w:val="0"/>
          <w:sz w:val="28"/>
          <w:szCs w:val="28"/>
        </w:rPr>
        <w:t>2019), а его продление до 2027 года позволило институционально увязать реализацию документа с Многоуровневой финансовой рамкой ЕС на 2021–2027 годы (Multiannual Financial Framework, MFF 2021–2027) и Инструментом Соседства, Развития и Международного Сотрудничества – Глобальная Европа (Neighbourhood, Development and International Cooperation Instrument – Global Europe, NDICI – Global Europe) [10</w:t>
      </w:r>
      <w:r w:rsidR="00A45413">
        <w:rPr>
          <w:rStyle w:val="Strong"/>
          <w:rFonts w:ascii="Times New Roman" w:hAnsi="Times New Roman" w:cs="Times New Roman"/>
          <w:b w:val="0"/>
          <w:sz w:val="28"/>
          <w:szCs w:val="28"/>
          <w:lang w:val="kk-KZ"/>
        </w:rPr>
        <w:t>1; 102; 103</w:t>
      </w:r>
      <w:r w:rsidRPr="001935D0">
        <w:rPr>
          <w:rStyle w:val="Strong"/>
          <w:rFonts w:ascii="Times New Roman" w:hAnsi="Times New Roman" w:cs="Times New Roman"/>
          <w:b w:val="0"/>
          <w:sz w:val="28"/>
          <w:szCs w:val="28"/>
        </w:rPr>
        <w:t>].</w:t>
      </w:r>
    </w:p>
    <w:p w14:paraId="774BEEC2" w14:textId="711AD804" w:rsidR="00E94B29" w:rsidRPr="001935D0" w:rsidRDefault="00E94B29" w:rsidP="00187279">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План представляет собой не просто декларацию ценностей, а комплексную систему политических и управленческих решений, направленную на последовательную интеграцию прав человека, демократии, верховенства права и гендерного равенства во все направления внешней политики ЕС – от торговли и цифровой трансформации до внешней безопасности, устойчивого развития и климатической политики. Его особенность – наличие устойчивой институциональной архитектуры, многоуровневой реализации, а также системной привязки к Повестке дня в области устойчивого развития до 2030 года Организации Объединённых Наций [10</w:t>
      </w:r>
      <w:r w:rsidR="00A45413">
        <w:rPr>
          <w:rStyle w:val="Strong"/>
          <w:rFonts w:ascii="Times New Roman" w:hAnsi="Times New Roman" w:cs="Times New Roman"/>
          <w:b w:val="0"/>
          <w:sz w:val="28"/>
          <w:szCs w:val="28"/>
          <w:lang w:val="kk-KZ"/>
        </w:rPr>
        <w:t>1</w:t>
      </w:r>
      <w:r w:rsidRPr="001935D0">
        <w:rPr>
          <w:rStyle w:val="Strong"/>
          <w:rFonts w:ascii="Times New Roman" w:hAnsi="Times New Roman" w:cs="Times New Roman"/>
          <w:b w:val="0"/>
          <w:sz w:val="28"/>
          <w:szCs w:val="28"/>
        </w:rPr>
        <w:t>].</w:t>
      </w:r>
      <w:r w:rsidRPr="001935D0">
        <w:rPr>
          <w:rFonts w:ascii="Times New Roman" w:hAnsi="Times New Roman" w:cs="Times New Roman"/>
        </w:rPr>
        <w:t xml:space="preserve"> </w:t>
      </w:r>
    </w:p>
    <w:p w14:paraId="37138DA0" w14:textId="77777777" w:rsidR="00E94B29" w:rsidRPr="001935D0" w:rsidRDefault="00E94B29" w:rsidP="00187279">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Фундамент Плана действий составляют ключевые принципы, лежащие в основе внешней политики ЕС:</w:t>
      </w:r>
    </w:p>
    <w:p w14:paraId="042D046D" w14:textId="77777777" w:rsidR="00E94B29" w:rsidRPr="001935D0" w:rsidRDefault="00E94B29" w:rsidP="00187279">
      <w:pPr>
        <w:pStyle w:val="NoSpacing"/>
        <w:numPr>
          <w:ilvl w:val="0"/>
          <w:numId w:val="5"/>
        </w:numPr>
        <w:tabs>
          <w:tab w:val="left" w:pos="993"/>
        </w:tabs>
        <w:ind w:left="0"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Универсальность и неделимость прав человека – все категории прав (гражданские, политические, экономические, социальные и культурные) рассматриваются как взаимозависимые и равноценные.</w:t>
      </w:r>
    </w:p>
    <w:p w14:paraId="4E0F8025" w14:textId="77777777" w:rsidR="00E94B29" w:rsidRPr="001935D0" w:rsidRDefault="00E94B29" w:rsidP="00187279">
      <w:pPr>
        <w:pStyle w:val="NoSpacing"/>
        <w:numPr>
          <w:ilvl w:val="0"/>
          <w:numId w:val="5"/>
        </w:numPr>
        <w:tabs>
          <w:tab w:val="left" w:pos="993"/>
        </w:tabs>
        <w:ind w:left="0"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Инклюзивный и устойчивый подход – особое внимание уделяется расширению возможностей женщин, молодёжи, лиц с инвалидностью, а также защите правозащитников и поддержке организаций гражданского общества.</w:t>
      </w:r>
    </w:p>
    <w:p w14:paraId="43B3EE46" w14:textId="77777777" w:rsidR="00E94B29" w:rsidRPr="001935D0" w:rsidRDefault="00E94B29" w:rsidP="00187279">
      <w:pPr>
        <w:pStyle w:val="NoSpacing"/>
        <w:numPr>
          <w:ilvl w:val="0"/>
          <w:numId w:val="5"/>
        </w:numPr>
        <w:tabs>
          <w:tab w:val="left" w:pos="993"/>
        </w:tabs>
        <w:ind w:left="0"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Согласованность с Повесткой ООН на период до 2030 года – действия ЕС в области прав человека и демократии напрямую соотносятся с достижением Целей устойчивого развития.</w:t>
      </w:r>
    </w:p>
    <w:p w14:paraId="68C8BD4F" w14:textId="77777777" w:rsidR="00E94B29" w:rsidRPr="001935D0" w:rsidRDefault="00E94B29" w:rsidP="00187279">
      <w:pPr>
        <w:pStyle w:val="NoSpacing"/>
        <w:numPr>
          <w:ilvl w:val="0"/>
          <w:numId w:val="5"/>
        </w:numPr>
        <w:tabs>
          <w:tab w:val="left" w:pos="993"/>
        </w:tabs>
        <w:ind w:left="0"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Гендерная интеграция (gender mainstreaming) – все мероприятия в рамках Плана оцениваются с точки зрения их соответствия принципам гендерного равенства и недискриминации.</w:t>
      </w:r>
    </w:p>
    <w:p w14:paraId="78135D48" w14:textId="2AA58933" w:rsidR="00E94B29" w:rsidRPr="001935D0" w:rsidRDefault="00E94B29" w:rsidP="00187279">
      <w:pPr>
        <w:pStyle w:val="NoSpacing"/>
        <w:numPr>
          <w:ilvl w:val="0"/>
          <w:numId w:val="5"/>
        </w:numPr>
        <w:tabs>
          <w:tab w:val="left" w:pos="993"/>
        </w:tabs>
        <w:ind w:left="0"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 xml:space="preserve">Институциональная синхронность – действия ЕС координируются на уровне Европейской службы внешних связей (European External Action Service, EEAS), Европейской </w:t>
      </w:r>
      <w:r w:rsidR="004A3405">
        <w:rPr>
          <w:rStyle w:val="Strong"/>
          <w:rFonts w:ascii="Times New Roman" w:hAnsi="Times New Roman" w:cs="Times New Roman"/>
          <w:b w:val="0"/>
          <w:sz w:val="28"/>
          <w:szCs w:val="28"/>
        </w:rPr>
        <w:t>К</w:t>
      </w:r>
      <w:r w:rsidRPr="001935D0">
        <w:rPr>
          <w:rStyle w:val="Strong"/>
          <w:rFonts w:ascii="Times New Roman" w:hAnsi="Times New Roman" w:cs="Times New Roman"/>
          <w:b w:val="0"/>
          <w:sz w:val="28"/>
          <w:szCs w:val="28"/>
        </w:rPr>
        <w:t xml:space="preserve">омиссии, делегаций Европейского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оюза, миссий в рамках Общей политики безопасности и обороны (Common Security and Defence Policy, CSDP), а также дипломатических представит</w:t>
      </w:r>
      <w:r w:rsidR="00A45413">
        <w:rPr>
          <w:rStyle w:val="Strong"/>
          <w:rFonts w:ascii="Times New Roman" w:hAnsi="Times New Roman" w:cs="Times New Roman"/>
          <w:b w:val="0"/>
          <w:sz w:val="28"/>
          <w:szCs w:val="28"/>
        </w:rPr>
        <w:t>ельств государств-членов ЕС [10</w:t>
      </w:r>
      <w:r w:rsidR="00A45413">
        <w:rPr>
          <w:rStyle w:val="Strong"/>
          <w:rFonts w:ascii="Times New Roman" w:hAnsi="Times New Roman" w:cs="Times New Roman"/>
          <w:b w:val="0"/>
          <w:sz w:val="28"/>
          <w:szCs w:val="28"/>
          <w:lang w:val="kk-KZ"/>
        </w:rPr>
        <w:t>2</w:t>
      </w:r>
      <w:r w:rsidRPr="001935D0">
        <w:rPr>
          <w:rStyle w:val="Strong"/>
          <w:rFonts w:ascii="Times New Roman" w:hAnsi="Times New Roman" w:cs="Times New Roman"/>
          <w:b w:val="0"/>
          <w:sz w:val="28"/>
          <w:szCs w:val="28"/>
        </w:rPr>
        <w:t>].</w:t>
      </w:r>
    </w:p>
    <w:p w14:paraId="19EE8E57" w14:textId="77777777" w:rsidR="00E94B29" w:rsidRPr="001935D0" w:rsidRDefault="00E94B29" w:rsidP="00593711">
      <w:pPr>
        <w:pStyle w:val="NoSpacing"/>
        <w:ind w:firstLine="567"/>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lastRenderedPageBreak/>
        <w:t>Указанные принципы не только задают стратегические ориентиры, но и формируют систему подотчётности, мониторинга и взаимной ответственности как в рамках самого ЕС, так и в партнёрских странах.</w:t>
      </w:r>
    </w:p>
    <w:p w14:paraId="6FD76AC2" w14:textId="1A78ADE4" w:rsidR="00E94B29" w:rsidRPr="001935D0" w:rsidRDefault="00E94B29" w:rsidP="00593711">
      <w:pPr>
        <w:pStyle w:val="NoSpacing"/>
        <w:ind w:firstLine="567"/>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 xml:space="preserve">Для реализации поставленных задач Европейский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оюз определил пять взаимосвязанных стратегических приоритетов, охватывающих как нормативные, так и институциональные аспекты. Эти приоритеты обеспечивают необходимую гибкость в условиях изменчивой международной среды и позволяют адаптировать внешнеполитические инструменты ЕС с учётом региональных, политических и социально-экономических особенностей стран-партнёров (таблица 2.8).</w:t>
      </w:r>
    </w:p>
    <w:p w14:paraId="3627756F" w14:textId="77777777" w:rsidR="00E94B29" w:rsidRPr="001935D0" w:rsidRDefault="00E94B29" w:rsidP="00593711">
      <w:pPr>
        <w:pStyle w:val="NoSpacing"/>
        <w:jc w:val="center"/>
        <w:rPr>
          <w:rStyle w:val="Strong"/>
          <w:rFonts w:ascii="Times New Roman" w:hAnsi="Times New Roman" w:cs="Times New Roman"/>
          <w:b w:val="0"/>
          <w:sz w:val="28"/>
          <w:szCs w:val="28"/>
        </w:rPr>
      </w:pPr>
    </w:p>
    <w:p w14:paraId="22D0FEF7" w14:textId="4D7A0CD0" w:rsidR="00E94B29" w:rsidRDefault="00E94B29" w:rsidP="00187279">
      <w:pPr>
        <w:pStyle w:val="NoSpacing"/>
        <w:jc w:val="both"/>
        <w:rPr>
          <w:rStyle w:val="Strong"/>
          <w:rFonts w:ascii="Times New Roman" w:hAnsi="Times New Roman" w:cs="Times New Roman"/>
          <w:b w:val="0"/>
          <w:sz w:val="28"/>
          <w:szCs w:val="28"/>
          <w:lang w:val="kk-KZ"/>
        </w:rPr>
      </w:pPr>
      <w:r w:rsidRPr="001935D0">
        <w:rPr>
          <w:rStyle w:val="Strong"/>
          <w:rFonts w:ascii="Times New Roman" w:hAnsi="Times New Roman" w:cs="Times New Roman"/>
          <w:b w:val="0"/>
          <w:sz w:val="28"/>
          <w:szCs w:val="28"/>
        </w:rPr>
        <w:t>Таблица</w:t>
      </w:r>
      <w:r w:rsidRPr="001935D0">
        <w:rPr>
          <w:rStyle w:val="Strong"/>
          <w:rFonts w:ascii="Times New Roman" w:hAnsi="Times New Roman" w:cs="Times New Roman"/>
          <w:b w:val="0"/>
          <w:sz w:val="28"/>
          <w:szCs w:val="28"/>
          <w:lang w:val="en-US"/>
        </w:rPr>
        <w:t xml:space="preserve"> 2.8 </w:t>
      </w:r>
      <w:r w:rsidR="00187279">
        <w:rPr>
          <w:rStyle w:val="Strong"/>
          <w:rFonts w:ascii="Times New Roman" w:hAnsi="Times New Roman" w:cs="Times New Roman"/>
          <w:b w:val="0"/>
          <w:sz w:val="28"/>
          <w:szCs w:val="28"/>
          <w:lang w:val="en-US"/>
        </w:rPr>
        <w:t>‒</w:t>
      </w:r>
      <w:r w:rsidR="00187279">
        <w:rPr>
          <w:rStyle w:val="Strong"/>
          <w:rFonts w:ascii="Times New Roman" w:hAnsi="Times New Roman" w:cs="Times New Roman"/>
          <w:b w:val="0"/>
          <w:sz w:val="28"/>
          <w:szCs w:val="28"/>
          <w:lang w:val="kk-KZ"/>
        </w:rPr>
        <w:t xml:space="preserve"> </w:t>
      </w:r>
      <w:r w:rsidRPr="001935D0">
        <w:rPr>
          <w:rStyle w:val="Strong"/>
          <w:rFonts w:ascii="Times New Roman" w:hAnsi="Times New Roman" w:cs="Times New Roman"/>
          <w:b w:val="0"/>
          <w:sz w:val="28"/>
          <w:szCs w:val="28"/>
        </w:rPr>
        <w:t>Стратегические</w:t>
      </w:r>
      <w:r w:rsidRPr="001935D0">
        <w:rPr>
          <w:rStyle w:val="Strong"/>
          <w:rFonts w:ascii="Times New Roman" w:hAnsi="Times New Roman" w:cs="Times New Roman"/>
          <w:b w:val="0"/>
          <w:sz w:val="28"/>
          <w:szCs w:val="28"/>
          <w:lang w:val="en-US"/>
        </w:rPr>
        <w:t xml:space="preserve"> </w:t>
      </w:r>
      <w:r w:rsidRPr="001935D0">
        <w:rPr>
          <w:rStyle w:val="Strong"/>
          <w:rFonts w:ascii="Times New Roman" w:hAnsi="Times New Roman" w:cs="Times New Roman"/>
          <w:b w:val="0"/>
          <w:sz w:val="28"/>
          <w:szCs w:val="28"/>
        </w:rPr>
        <w:t>приоритеты</w:t>
      </w:r>
      <w:r w:rsidRPr="001935D0">
        <w:rPr>
          <w:rStyle w:val="Strong"/>
          <w:rFonts w:ascii="Times New Roman" w:hAnsi="Times New Roman" w:cs="Times New Roman"/>
          <w:b w:val="0"/>
          <w:sz w:val="28"/>
          <w:szCs w:val="28"/>
          <w:lang w:val="en-US"/>
        </w:rPr>
        <w:t xml:space="preserve"> European Union Action Plan on Human Rights and Democracy </w:t>
      </w:r>
    </w:p>
    <w:p w14:paraId="5E4A6406" w14:textId="77777777" w:rsidR="00187279" w:rsidRPr="00187279" w:rsidRDefault="00187279" w:rsidP="00187279">
      <w:pPr>
        <w:pStyle w:val="NoSpacing"/>
        <w:jc w:val="both"/>
        <w:rPr>
          <w:rStyle w:val="Strong"/>
          <w:rFonts w:ascii="Times New Roman" w:hAnsi="Times New Roman" w:cs="Times New Roman"/>
          <w:b w:val="0"/>
          <w:sz w:val="16"/>
          <w:szCs w:val="16"/>
          <w:lang w:val="kk-KZ"/>
        </w:rPr>
      </w:pPr>
    </w:p>
    <w:tbl>
      <w:tblPr>
        <w:tblStyle w:val="TableGrid"/>
        <w:tblW w:w="0" w:type="auto"/>
        <w:jc w:val="center"/>
        <w:tblLook w:val="04A0" w:firstRow="1" w:lastRow="0" w:firstColumn="1" w:lastColumn="0" w:noHBand="0" w:noVBand="1"/>
      </w:tblPr>
      <w:tblGrid>
        <w:gridCol w:w="2941"/>
        <w:gridCol w:w="6590"/>
      </w:tblGrid>
      <w:tr w:rsidR="00E05332" w:rsidRPr="00187279" w14:paraId="6C2314D8" w14:textId="77777777" w:rsidTr="00187279">
        <w:trPr>
          <w:jc w:val="center"/>
        </w:trPr>
        <w:tc>
          <w:tcPr>
            <w:tcW w:w="2941" w:type="dxa"/>
            <w:vAlign w:val="center"/>
          </w:tcPr>
          <w:p w14:paraId="01C3423B" w14:textId="77777777" w:rsidR="00E05332" w:rsidRPr="00187279" w:rsidRDefault="00E05332" w:rsidP="00593711">
            <w:pPr>
              <w:jc w:val="center"/>
              <w:rPr>
                <w:rFonts w:ascii="Times New Roman" w:hAnsi="Times New Roman" w:cs="Times New Roman"/>
                <w:bCs/>
                <w:sz w:val="24"/>
                <w:szCs w:val="24"/>
              </w:rPr>
            </w:pPr>
            <w:r w:rsidRPr="00187279">
              <w:rPr>
                <w:rFonts w:ascii="Times New Roman" w:hAnsi="Times New Roman" w:cs="Times New Roman"/>
                <w:bCs/>
                <w:sz w:val="24"/>
                <w:szCs w:val="24"/>
              </w:rPr>
              <w:t>Стратегический приоритет</w:t>
            </w:r>
          </w:p>
        </w:tc>
        <w:tc>
          <w:tcPr>
            <w:tcW w:w="6590" w:type="dxa"/>
            <w:vAlign w:val="center"/>
          </w:tcPr>
          <w:p w14:paraId="3AD0824A" w14:textId="77777777" w:rsidR="00E05332" w:rsidRPr="00187279" w:rsidRDefault="00E05332" w:rsidP="00593711">
            <w:pPr>
              <w:jc w:val="center"/>
              <w:rPr>
                <w:rFonts w:ascii="Times New Roman" w:hAnsi="Times New Roman" w:cs="Times New Roman"/>
                <w:bCs/>
                <w:sz w:val="24"/>
                <w:szCs w:val="24"/>
              </w:rPr>
            </w:pPr>
            <w:r w:rsidRPr="00187279">
              <w:rPr>
                <w:rFonts w:ascii="Times New Roman" w:hAnsi="Times New Roman" w:cs="Times New Roman"/>
                <w:bCs/>
                <w:sz w:val="24"/>
                <w:szCs w:val="24"/>
              </w:rPr>
              <w:t>Содержание</w:t>
            </w:r>
          </w:p>
        </w:tc>
      </w:tr>
      <w:tr w:rsidR="00E05332" w:rsidRPr="001935D0" w14:paraId="6E2F8F20" w14:textId="77777777" w:rsidTr="00187279">
        <w:trPr>
          <w:jc w:val="center"/>
        </w:trPr>
        <w:tc>
          <w:tcPr>
            <w:tcW w:w="2941" w:type="dxa"/>
            <w:vAlign w:val="center"/>
          </w:tcPr>
          <w:p w14:paraId="6C245D6C" w14:textId="77777777" w:rsidR="00E05332" w:rsidRPr="001935D0" w:rsidRDefault="00E05332" w:rsidP="00593711">
            <w:pPr>
              <w:rPr>
                <w:rFonts w:ascii="Times New Roman" w:hAnsi="Times New Roman" w:cs="Times New Roman"/>
                <w:sz w:val="24"/>
                <w:szCs w:val="24"/>
              </w:rPr>
            </w:pPr>
            <w:r w:rsidRPr="001935D0">
              <w:rPr>
                <w:rFonts w:ascii="Times New Roman" w:hAnsi="Times New Roman" w:cs="Times New Roman"/>
                <w:sz w:val="24"/>
                <w:szCs w:val="24"/>
              </w:rPr>
              <w:t>Защита прав человека</w:t>
            </w:r>
          </w:p>
        </w:tc>
        <w:tc>
          <w:tcPr>
            <w:tcW w:w="6590" w:type="dxa"/>
            <w:vAlign w:val="center"/>
          </w:tcPr>
          <w:p w14:paraId="4A20FA4F" w14:textId="178076C0" w:rsidR="00E05332" w:rsidRPr="001935D0" w:rsidRDefault="00E05332" w:rsidP="00593711">
            <w:pPr>
              <w:jc w:val="both"/>
              <w:rPr>
                <w:rFonts w:ascii="Times New Roman" w:hAnsi="Times New Roman" w:cs="Times New Roman"/>
                <w:sz w:val="24"/>
                <w:szCs w:val="24"/>
              </w:rPr>
            </w:pPr>
            <w:r w:rsidRPr="001935D0">
              <w:rPr>
                <w:rFonts w:ascii="Times New Roman" w:hAnsi="Times New Roman" w:cs="Times New Roman"/>
                <w:sz w:val="24"/>
                <w:szCs w:val="24"/>
              </w:rPr>
              <w:t>Укрепление универсальных и неделимых прав – гражданских, политических, экономических, социальных и культурных, включая гендерное равенство и защиту уязвимых групп.</w:t>
            </w:r>
          </w:p>
        </w:tc>
      </w:tr>
      <w:tr w:rsidR="00E05332" w:rsidRPr="001935D0" w14:paraId="6EFD9122" w14:textId="77777777" w:rsidTr="00187279">
        <w:trPr>
          <w:jc w:val="center"/>
        </w:trPr>
        <w:tc>
          <w:tcPr>
            <w:tcW w:w="2941" w:type="dxa"/>
            <w:vAlign w:val="center"/>
          </w:tcPr>
          <w:p w14:paraId="61AD6B01" w14:textId="77777777" w:rsidR="00E05332" w:rsidRPr="001935D0" w:rsidRDefault="00E05332" w:rsidP="00593711">
            <w:pPr>
              <w:rPr>
                <w:rFonts w:ascii="Times New Roman" w:hAnsi="Times New Roman" w:cs="Times New Roman"/>
                <w:sz w:val="24"/>
                <w:szCs w:val="24"/>
              </w:rPr>
            </w:pPr>
            <w:r w:rsidRPr="001935D0">
              <w:rPr>
                <w:rFonts w:ascii="Times New Roman" w:hAnsi="Times New Roman" w:cs="Times New Roman"/>
                <w:sz w:val="24"/>
                <w:szCs w:val="24"/>
              </w:rPr>
              <w:t>Поддержка демократий</w:t>
            </w:r>
          </w:p>
        </w:tc>
        <w:tc>
          <w:tcPr>
            <w:tcW w:w="6590" w:type="dxa"/>
            <w:vAlign w:val="center"/>
          </w:tcPr>
          <w:p w14:paraId="54EEFA1A" w14:textId="77777777" w:rsidR="00E05332" w:rsidRPr="001935D0" w:rsidRDefault="00E05332" w:rsidP="00593711">
            <w:pPr>
              <w:jc w:val="both"/>
              <w:rPr>
                <w:rFonts w:ascii="Times New Roman" w:hAnsi="Times New Roman" w:cs="Times New Roman"/>
                <w:sz w:val="24"/>
                <w:szCs w:val="24"/>
              </w:rPr>
            </w:pPr>
            <w:r w:rsidRPr="001935D0">
              <w:rPr>
                <w:rFonts w:ascii="Times New Roman" w:hAnsi="Times New Roman" w:cs="Times New Roman"/>
                <w:sz w:val="24"/>
                <w:szCs w:val="24"/>
              </w:rPr>
              <w:t>Укрепление инклюзивных институтов, расширение участия в политической жизни (особенно для женщин и молодёжи), защита выборов и независимых СМИ.</w:t>
            </w:r>
          </w:p>
        </w:tc>
      </w:tr>
      <w:tr w:rsidR="00E05332" w:rsidRPr="001935D0" w14:paraId="5B2A9B8E" w14:textId="77777777" w:rsidTr="00187279">
        <w:trPr>
          <w:jc w:val="center"/>
        </w:trPr>
        <w:tc>
          <w:tcPr>
            <w:tcW w:w="2941" w:type="dxa"/>
            <w:vAlign w:val="center"/>
          </w:tcPr>
          <w:p w14:paraId="2518B069" w14:textId="77777777" w:rsidR="00E05332" w:rsidRPr="001935D0" w:rsidRDefault="00E05332" w:rsidP="00593711">
            <w:pPr>
              <w:rPr>
                <w:rFonts w:ascii="Times New Roman" w:hAnsi="Times New Roman" w:cs="Times New Roman"/>
                <w:sz w:val="24"/>
                <w:szCs w:val="24"/>
              </w:rPr>
            </w:pPr>
            <w:r w:rsidRPr="001935D0">
              <w:rPr>
                <w:rFonts w:ascii="Times New Roman" w:hAnsi="Times New Roman" w:cs="Times New Roman"/>
                <w:sz w:val="24"/>
                <w:szCs w:val="24"/>
              </w:rPr>
              <w:t>Построение партнёрств</w:t>
            </w:r>
          </w:p>
        </w:tc>
        <w:tc>
          <w:tcPr>
            <w:tcW w:w="6590" w:type="dxa"/>
            <w:vAlign w:val="center"/>
          </w:tcPr>
          <w:p w14:paraId="3F34799F" w14:textId="77777777" w:rsidR="00E05332" w:rsidRPr="001935D0" w:rsidRDefault="00E05332" w:rsidP="00593711">
            <w:pPr>
              <w:jc w:val="both"/>
              <w:rPr>
                <w:rFonts w:ascii="Times New Roman" w:hAnsi="Times New Roman" w:cs="Times New Roman"/>
                <w:sz w:val="24"/>
                <w:szCs w:val="24"/>
              </w:rPr>
            </w:pPr>
            <w:r w:rsidRPr="001935D0">
              <w:rPr>
                <w:rFonts w:ascii="Times New Roman" w:hAnsi="Times New Roman" w:cs="Times New Roman"/>
                <w:sz w:val="24"/>
                <w:szCs w:val="24"/>
              </w:rPr>
              <w:t>Развитие двустороннего и регионального диалога, поддержка гражданского общества, стимулирование ответственности государств-партнёров.</w:t>
            </w:r>
          </w:p>
        </w:tc>
      </w:tr>
      <w:tr w:rsidR="00E05332" w:rsidRPr="001935D0" w14:paraId="56BFEFBD" w14:textId="77777777" w:rsidTr="00187279">
        <w:trPr>
          <w:jc w:val="center"/>
        </w:trPr>
        <w:tc>
          <w:tcPr>
            <w:tcW w:w="2941" w:type="dxa"/>
            <w:vAlign w:val="center"/>
          </w:tcPr>
          <w:p w14:paraId="39650811" w14:textId="77777777" w:rsidR="00E05332" w:rsidRPr="001935D0" w:rsidRDefault="00E05332" w:rsidP="00593711">
            <w:pPr>
              <w:rPr>
                <w:rFonts w:ascii="Times New Roman" w:hAnsi="Times New Roman" w:cs="Times New Roman"/>
                <w:sz w:val="24"/>
                <w:szCs w:val="24"/>
              </w:rPr>
            </w:pPr>
            <w:r w:rsidRPr="001935D0">
              <w:rPr>
                <w:rFonts w:ascii="Times New Roman" w:hAnsi="Times New Roman" w:cs="Times New Roman"/>
                <w:sz w:val="24"/>
                <w:szCs w:val="24"/>
              </w:rPr>
              <w:t>Цифровая трансформация</w:t>
            </w:r>
          </w:p>
        </w:tc>
        <w:tc>
          <w:tcPr>
            <w:tcW w:w="6590" w:type="dxa"/>
            <w:vAlign w:val="center"/>
          </w:tcPr>
          <w:p w14:paraId="73F3458C" w14:textId="784B50E2" w:rsidR="00E05332" w:rsidRPr="00187279" w:rsidRDefault="00E05332" w:rsidP="00593711">
            <w:pPr>
              <w:jc w:val="both"/>
              <w:rPr>
                <w:rFonts w:ascii="Times New Roman" w:hAnsi="Times New Roman" w:cs="Times New Roman"/>
                <w:sz w:val="24"/>
                <w:szCs w:val="24"/>
                <w:lang w:val="kk-KZ"/>
              </w:rPr>
            </w:pPr>
            <w:r w:rsidRPr="001935D0">
              <w:rPr>
                <w:rFonts w:ascii="Times New Roman" w:hAnsi="Times New Roman" w:cs="Times New Roman"/>
                <w:sz w:val="24"/>
                <w:szCs w:val="24"/>
              </w:rPr>
              <w:t>Обеспечение этического и правового сопровождения новых технологий, защита от дез</w:t>
            </w:r>
            <w:r w:rsidR="00187279">
              <w:rPr>
                <w:rFonts w:ascii="Times New Roman" w:hAnsi="Times New Roman" w:cs="Times New Roman"/>
                <w:sz w:val="24"/>
                <w:szCs w:val="24"/>
              </w:rPr>
              <w:t>информации и злоупотреблений ИИ</w:t>
            </w:r>
          </w:p>
        </w:tc>
      </w:tr>
      <w:tr w:rsidR="00E05332" w:rsidRPr="001935D0" w14:paraId="7BC6E67B" w14:textId="77777777" w:rsidTr="00187279">
        <w:trPr>
          <w:jc w:val="center"/>
        </w:trPr>
        <w:tc>
          <w:tcPr>
            <w:tcW w:w="2941" w:type="dxa"/>
            <w:vAlign w:val="center"/>
          </w:tcPr>
          <w:p w14:paraId="37805AA3" w14:textId="77777777" w:rsidR="00E05332" w:rsidRPr="001935D0" w:rsidRDefault="00E05332" w:rsidP="00593711">
            <w:pPr>
              <w:rPr>
                <w:rFonts w:ascii="Times New Roman" w:hAnsi="Times New Roman" w:cs="Times New Roman"/>
                <w:sz w:val="24"/>
                <w:szCs w:val="24"/>
              </w:rPr>
            </w:pPr>
            <w:r w:rsidRPr="001935D0">
              <w:rPr>
                <w:rFonts w:ascii="Times New Roman" w:hAnsi="Times New Roman" w:cs="Times New Roman"/>
                <w:sz w:val="24"/>
                <w:szCs w:val="24"/>
              </w:rPr>
              <w:t>Многосторонняя повестка</w:t>
            </w:r>
          </w:p>
        </w:tc>
        <w:tc>
          <w:tcPr>
            <w:tcW w:w="6590" w:type="dxa"/>
            <w:vAlign w:val="center"/>
          </w:tcPr>
          <w:p w14:paraId="5221F528" w14:textId="77777777" w:rsidR="00E05332" w:rsidRPr="001935D0" w:rsidRDefault="00E05332" w:rsidP="00593711">
            <w:pPr>
              <w:jc w:val="both"/>
              <w:rPr>
                <w:rFonts w:ascii="Times New Roman" w:hAnsi="Times New Roman" w:cs="Times New Roman"/>
                <w:sz w:val="24"/>
                <w:szCs w:val="24"/>
              </w:rPr>
            </w:pPr>
            <w:r w:rsidRPr="001935D0">
              <w:rPr>
                <w:rFonts w:ascii="Times New Roman" w:hAnsi="Times New Roman" w:cs="Times New Roman"/>
                <w:sz w:val="24"/>
                <w:szCs w:val="24"/>
              </w:rPr>
              <w:t>Поддержка международной правозащитной архитектуры, включая ООН, укрепление универсализма и эффективного реагирования на нарушения.</w:t>
            </w:r>
          </w:p>
        </w:tc>
      </w:tr>
      <w:tr w:rsidR="00187279" w:rsidRPr="001935D0" w14:paraId="7FC07808" w14:textId="77777777" w:rsidTr="00187279">
        <w:trPr>
          <w:jc w:val="center"/>
        </w:trPr>
        <w:tc>
          <w:tcPr>
            <w:tcW w:w="9531" w:type="dxa"/>
            <w:gridSpan w:val="2"/>
            <w:vAlign w:val="center"/>
          </w:tcPr>
          <w:p w14:paraId="529380C9" w14:textId="680CBD3A" w:rsidR="00187279" w:rsidRPr="001935D0" w:rsidRDefault="00187279" w:rsidP="00A45413">
            <w:pPr>
              <w:ind w:firstLine="548"/>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источника </w:t>
            </w:r>
            <w:r w:rsidRPr="001935D0">
              <w:rPr>
                <w:rFonts w:ascii="Times New Roman" w:hAnsi="Times New Roman" w:cs="Times New Roman"/>
                <w:sz w:val="24"/>
                <w:szCs w:val="24"/>
              </w:rPr>
              <w:t>[10</w:t>
            </w:r>
            <w:r w:rsidR="00A45413">
              <w:rPr>
                <w:rFonts w:ascii="Times New Roman" w:hAnsi="Times New Roman" w:cs="Times New Roman"/>
                <w:sz w:val="24"/>
                <w:szCs w:val="24"/>
                <w:lang w:val="kk-KZ"/>
              </w:rPr>
              <w:t>2</w:t>
            </w:r>
            <w:r w:rsidRPr="001935D0">
              <w:rPr>
                <w:rFonts w:ascii="Times New Roman" w:hAnsi="Times New Roman" w:cs="Times New Roman"/>
                <w:sz w:val="24"/>
                <w:szCs w:val="24"/>
              </w:rPr>
              <w:t>]</w:t>
            </w:r>
          </w:p>
        </w:tc>
      </w:tr>
    </w:tbl>
    <w:p w14:paraId="3E73BE68" w14:textId="77777777" w:rsidR="00E94B29" w:rsidRPr="001935D0" w:rsidRDefault="00E94B29" w:rsidP="00593711">
      <w:pPr>
        <w:pStyle w:val="NoSpacing"/>
        <w:ind w:firstLine="567"/>
        <w:jc w:val="both"/>
        <w:rPr>
          <w:rFonts w:ascii="Times New Roman" w:hAnsi="Times New Roman" w:cs="Times New Roman"/>
          <w:sz w:val="28"/>
          <w:szCs w:val="28"/>
        </w:rPr>
      </w:pPr>
    </w:p>
    <w:p w14:paraId="795C65CF" w14:textId="78C548CC" w:rsidR="00E94B29" w:rsidRPr="001935D0" w:rsidRDefault="00E94B29" w:rsidP="0018727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Каждому из указанных приоритетов соответствуют конкретные инструменты реализации, формализованные в рамках институциональных м</w:t>
      </w:r>
      <w:r w:rsidR="001A6DAB" w:rsidRPr="001935D0">
        <w:rPr>
          <w:rFonts w:ascii="Times New Roman" w:hAnsi="Times New Roman" w:cs="Times New Roman"/>
          <w:sz w:val="28"/>
          <w:szCs w:val="28"/>
        </w:rPr>
        <w:t xml:space="preserve">андатов делегаций Европейского </w:t>
      </w:r>
      <w:r w:rsidR="001A6DAB" w:rsidRPr="001935D0">
        <w:rPr>
          <w:rFonts w:ascii="Times New Roman" w:hAnsi="Times New Roman" w:cs="Times New Roman"/>
          <w:sz w:val="28"/>
          <w:szCs w:val="28"/>
          <w:lang w:val="kk-KZ"/>
        </w:rPr>
        <w:t>С</w:t>
      </w:r>
      <w:r w:rsidRPr="001935D0">
        <w:rPr>
          <w:rFonts w:ascii="Times New Roman" w:hAnsi="Times New Roman" w:cs="Times New Roman"/>
          <w:sz w:val="28"/>
          <w:szCs w:val="28"/>
        </w:rPr>
        <w:t>оюза, Европейской службы внешних связей (EEAS), миссий в рамках Общей политики безопасности и обороны (CSDP), а также программ партнёрства и технической поддержки.</w:t>
      </w:r>
    </w:p>
    <w:p w14:paraId="68BAA1B8" w14:textId="77777777" w:rsidR="00E94B29" w:rsidRPr="001935D0" w:rsidRDefault="00E94B29" w:rsidP="0018727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Важно подчеркнуть, что структура Плана сохраняет необходимую гибкость, позволяющую адаптировать приоритеты и инструменты к условиям конкретной страновой или региональной повестки, включая государства Центральной Азии. При этом ключевыми критериями адаптации выступают: политический контекст, уровень демократических свобод, особенности гражданского общества и степень готовности к диалогу в сфере прав человека.</w:t>
      </w:r>
    </w:p>
    <w:p w14:paraId="5ADB02DB" w14:textId="77777777" w:rsidR="00E94B29" w:rsidRDefault="00E94B29" w:rsidP="00187279">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Для эффективной реализации Плана ЕС применяет многоуровневый институциональный подход, предусматривающий распределение компетенций и механизмов по следующим уровням (рисунок 2.6).</w:t>
      </w:r>
    </w:p>
    <w:p w14:paraId="4BC43974" w14:textId="77777777" w:rsidR="00A45413" w:rsidRPr="00A45413" w:rsidRDefault="00A45413" w:rsidP="00187279">
      <w:pPr>
        <w:pStyle w:val="NoSpacing"/>
        <w:ind w:firstLine="709"/>
        <w:jc w:val="both"/>
        <w:rPr>
          <w:rFonts w:ascii="Times New Roman" w:hAnsi="Times New Roman" w:cs="Times New Roman"/>
          <w:sz w:val="28"/>
          <w:szCs w:val="28"/>
          <w:lang w:val="kk-KZ"/>
        </w:rPr>
      </w:pPr>
    </w:p>
    <w:p w14:paraId="4B38358A" w14:textId="77777777" w:rsidR="00E94B29" w:rsidRPr="001935D0" w:rsidRDefault="00E94B29" w:rsidP="00593711">
      <w:pPr>
        <w:pStyle w:val="NoSpacing"/>
        <w:jc w:val="center"/>
        <w:rPr>
          <w:rFonts w:ascii="Times New Roman" w:hAnsi="Times New Roman" w:cs="Times New Roman"/>
          <w:sz w:val="28"/>
          <w:szCs w:val="28"/>
          <w:lang w:eastAsia="ru-RU"/>
        </w:rPr>
      </w:pPr>
      <w:r w:rsidRPr="001935D0">
        <w:rPr>
          <w:rFonts w:ascii="Times New Roman" w:hAnsi="Times New Roman" w:cs="Times New Roman"/>
          <w:noProof/>
          <w:sz w:val="28"/>
          <w:szCs w:val="28"/>
          <w:lang w:eastAsia="ru-RU"/>
        </w:rPr>
        <w:lastRenderedPageBreak/>
        <w:drawing>
          <wp:inline distT="0" distB="0" distL="0" distR="0" wp14:anchorId="1CE99F11" wp14:editId="3435F56E">
            <wp:extent cx="5486400" cy="3555187"/>
            <wp:effectExtent l="19050" t="0" r="0" b="0"/>
            <wp:docPr id="33" name="Схема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466AC826" w14:textId="6DABF74A" w:rsidR="00E94B29" w:rsidRPr="001935D0" w:rsidRDefault="00E94B29" w:rsidP="00593711">
      <w:pPr>
        <w:pStyle w:val="NoSpacing"/>
        <w:jc w:val="center"/>
        <w:rPr>
          <w:rFonts w:ascii="Times New Roman" w:hAnsi="Times New Roman" w:cs="Times New Roman"/>
          <w:sz w:val="28"/>
          <w:szCs w:val="28"/>
          <w:lang w:eastAsia="ru-RU"/>
        </w:rPr>
      </w:pPr>
      <w:r w:rsidRPr="001935D0">
        <w:rPr>
          <w:rFonts w:ascii="Times New Roman" w:hAnsi="Times New Roman" w:cs="Times New Roman"/>
          <w:sz w:val="28"/>
          <w:szCs w:val="28"/>
          <w:lang w:eastAsia="ru-RU"/>
        </w:rPr>
        <w:t>Рис</w:t>
      </w:r>
      <w:r w:rsidR="00187279">
        <w:rPr>
          <w:rFonts w:ascii="Times New Roman" w:hAnsi="Times New Roman" w:cs="Times New Roman"/>
          <w:sz w:val="28"/>
          <w:szCs w:val="28"/>
          <w:lang w:val="kk-KZ" w:eastAsia="ru-RU"/>
        </w:rPr>
        <w:t>унок</w:t>
      </w:r>
      <w:r w:rsidRPr="001935D0">
        <w:rPr>
          <w:rFonts w:ascii="Times New Roman" w:hAnsi="Times New Roman" w:cs="Times New Roman"/>
          <w:sz w:val="28"/>
          <w:szCs w:val="28"/>
          <w:lang w:eastAsia="ru-RU"/>
        </w:rPr>
        <w:t xml:space="preserve"> 2.6 </w:t>
      </w:r>
      <w:r w:rsidR="00187279">
        <w:rPr>
          <w:rFonts w:ascii="Times New Roman" w:hAnsi="Times New Roman" w:cs="Times New Roman"/>
          <w:sz w:val="28"/>
          <w:szCs w:val="28"/>
          <w:lang w:val="kk-KZ" w:eastAsia="ru-RU"/>
        </w:rPr>
        <w:t xml:space="preserve">– </w:t>
      </w:r>
      <w:r w:rsidRPr="001935D0">
        <w:rPr>
          <w:rFonts w:ascii="Times New Roman" w:hAnsi="Times New Roman" w:cs="Times New Roman"/>
          <w:sz w:val="28"/>
          <w:szCs w:val="28"/>
          <w:lang w:eastAsia="ru-RU"/>
        </w:rPr>
        <w:t>Структура уровней и механизмов реализации внешней политики ЕС в области прав человека и демократии в рамках Плана действий</w:t>
      </w:r>
    </w:p>
    <w:p w14:paraId="098D2B8E" w14:textId="77777777" w:rsidR="00E94B29" w:rsidRPr="00187279" w:rsidRDefault="00E94B29" w:rsidP="00593711">
      <w:pPr>
        <w:pStyle w:val="NoSpacing"/>
        <w:jc w:val="center"/>
        <w:rPr>
          <w:rFonts w:ascii="Times New Roman" w:hAnsi="Times New Roman" w:cs="Times New Roman"/>
          <w:sz w:val="16"/>
          <w:szCs w:val="16"/>
          <w:lang w:eastAsia="ru-RU"/>
        </w:rPr>
      </w:pPr>
    </w:p>
    <w:p w14:paraId="07CCA096" w14:textId="6E1A4EDE" w:rsidR="00E94B29" w:rsidRPr="001935D0" w:rsidRDefault="00187279" w:rsidP="00187279">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П</w:t>
      </w:r>
      <w:r w:rsidR="001C67AB">
        <w:rPr>
          <w:rFonts w:ascii="Times New Roman" w:hAnsi="Times New Roman" w:cs="Times New Roman"/>
          <w:sz w:val="24"/>
          <w:szCs w:val="24"/>
          <w:lang w:val="kk-KZ"/>
        </w:rPr>
        <w:t>р</w:t>
      </w:r>
      <w:r>
        <w:rPr>
          <w:rFonts w:ascii="Times New Roman" w:hAnsi="Times New Roman" w:cs="Times New Roman"/>
          <w:sz w:val="24"/>
          <w:szCs w:val="24"/>
          <w:lang w:val="kk-KZ"/>
        </w:rPr>
        <w:t xml:space="preserve">имечание – </w:t>
      </w:r>
      <w:r w:rsidRPr="001935D0">
        <w:rPr>
          <w:rFonts w:ascii="Times New Roman" w:hAnsi="Times New Roman" w:cs="Times New Roman"/>
          <w:sz w:val="24"/>
          <w:szCs w:val="24"/>
        </w:rPr>
        <w:t xml:space="preserve">Составлено </w:t>
      </w:r>
      <w:r w:rsidR="00E94B29" w:rsidRPr="001935D0">
        <w:rPr>
          <w:rFonts w:ascii="Times New Roman" w:hAnsi="Times New Roman" w:cs="Times New Roman"/>
          <w:sz w:val="24"/>
          <w:szCs w:val="24"/>
        </w:rPr>
        <w:t xml:space="preserve">автором по данным </w:t>
      </w:r>
      <w:r>
        <w:rPr>
          <w:rFonts w:ascii="Times New Roman" w:hAnsi="Times New Roman" w:cs="Times New Roman"/>
          <w:sz w:val="24"/>
          <w:szCs w:val="24"/>
          <w:lang w:val="kk-KZ"/>
        </w:rPr>
        <w:t xml:space="preserve">источника </w:t>
      </w:r>
      <w:r w:rsidR="00E94B29" w:rsidRPr="001935D0">
        <w:rPr>
          <w:rFonts w:ascii="Times New Roman" w:hAnsi="Times New Roman" w:cs="Times New Roman"/>
          <w:sz w:val="24"/>
          <w:szCs w:val="24"/>
        </w:rPr>
        <w:t>[10</w:t>
      </w:r>
      <w:r w:rsidR="00A45413">
        <w:rPr>
          <w:rFonts w:ascii="Times New Roman" w:hAnsi="Times New Roman" w:cs="Times New Roman"/>
          <w:sz w:val="24"/>
          <w:szCs w:val="24"/>
          <w:lang w:val="kk-KZ"/>
        </w:rPr>
        <w:t>2</w:t>
      </w:r>
      <w:r w:rsidR="00E94B29" w:rsidRPr="001935D0">
        <w:rPr>
          <w:rFonts w:ascii="Times New Roman" w:hAnsi="Times New Roman" w:cs="Times New Roman"/>
          <w:sz w:val="24"/>
          <w:szCs w:val="24"/>
        </w:rPr>
        <w:t>]</w:t>
      </w:r>
    </w:p>
    <w:p w14:paraId="50393E3B" w14:textId="77777777" w:rsidR="00E94B29" w:rsidRPr="001935D0" w:rsidRDefault="00E94B29" w:rsidP="00187279">
      <w:pPr>
        <w:pStyle w:val="NoSpacing"/>
        <w:ind w:firstLine="709"/>
        <w:jc w:val="both"/>
        <w:rPr>
          <w:rFonts w:ascii="Times New Roman" w:hAnsi="Times New Roman" w:cs="Times New Roman"/>
          <w:sz w:val="24"/>
          <w:szCs w:val="24"/>
        </w:rPr>
      </w:pPr>
    </w:p>
    <w:p w14:paraId="3F154FED" w14:textId="77777777" w:rsidR="00E94B29" w:rsidRPr="001935D0" w:rsidRDefault="00E94B29" w:rsidP="0018727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Именно в контексте уровней, отображенных на рисунке 2.6, формируется логика тематических направлений и механизмов реализации, которые составляют операциональную основу Плана действий.</w:t>
      </w:r>
    </w:p>
    <w:p w14:paraId="2FA7FF8E" w14:textId="77777777" w:rsidR="00E94B29" w:rsidRPr="001935D0" w:rsidRDefault="00E94B29" w:rsidP="0018727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Первое направление «Защита и расширение возможностей личности» является фундаментальным элементом всей правозащитной политики ЕС, отражая универсальный характер прав и свобод человека и их неотчуждаемость. Основная задача данного направления заключается не только в формальном закреплении прав в международных договорах и национальном законодательстве, но и в обеспечении их эффективной, гарантированной и недискриминационной реализации на практике.</w:t>
      </w:r>
    </w:p>
    <w:p w14:paraId="5B03B6DD" w14:textId="77777777" w:rsidR="00E94B29" w:rsidRPr="001935D0" w:rsidRDefault="00E94B29" w:rsidP="0018727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центре внимания первого направления – защита права на жизнь, свободу и личную неприкосновенность, обеспечение экономических, социальных и культурных прав, а также равных возможностей для всех категорий населения, включая женщин, молодёжь, лиц с инвалидностью, этнические и религиозные меньшинства, мигрантов и другие уязвимые группы. Особое место занимает поддержка правозащитников и независимых журналистов, особенно в странах с повышенным риском репрессий и ограничений гражданских свобод.</w:t>
      </w:r>
    </w:p>
    <w:p w14:paraId="388B12AE" w14:textId="77777777" w:rsidR="00E94B29" w:rsidRPr="001935D0" w:rsidRDefault="00E94B29" w:rsidP="0018727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Ключевыми целями первого направления являются:</w:t>
      </w:r>
    </w:p>
    <w:p w14:paraId="4A58613F" w14:textId="7D56B4BD" w:rsidR="00E94B29" w:rsidRPr="001935D0" w:rsidRDefault="00187279" w:rsidP="00187279">
      <w:pPr>
        <w:pStyle w:val="NoSpacing"/>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 xml:space="preserve"> </w:t>
      </w:r>
      <w:r w:rsidR="00E94B29" w:rsidRPr="001935D0">
        <w:rPr>
          <w:rFonts w:ascii="Times New Roman" w:hAnsi="Times New Roman" w:cs="Times New Roman"/>
          <w:sz w:val="28"/>
          <w:szCs w:val="28"/>
        </w:rPr>
        <w:t>гарантии от применения смертной казни, пыток, насильственных исчезновений и иных форм жестокого обращения;</w:t>
      </w:r>
    </w:p>
    <w:p w14:paraId="3B978507" w14:textId="3BE9DB46" w:rsidR="00E94B29" w:rsidRPr="001935D0" w:rsidRDefault="00187279" w:rsidP="00187279">
      <w:pPr>
        <w:pStyle w:val="NoSpacing"/>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 xml:space="preserve"> </w:t>
      </w:r>
      <w:r w:rsidR="00E94B29" w:rsidRPr="001935D0">
        <w:rPr>
          <w:rFonts w:ascii="Times New Roman" w:hAnsi="Times New Roman" w:cs="Times New Roman"/>
          <w:sz w:val="28"/>
          <w:szCs w:val="28"/>
        </w:rPr>
        <w:t>укрепление механизмов доступа к правосудию и правовой защите;</w:t>
      </w:r>
    </w:p>
    <w:p w14:paraId="3ED740E6" w14:textId="191D435B" w:rsidR="00E94B29" w:rsidRPr="001935D0" w:rsidRDefault="00187279" w:rsidP="00187279">
      <w:pPr>
        <w:pStyle w:val="NoSpacing"/>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 xml:space="preserve"> </w:t>
      </w:r>
      <w:r w:rsidR="00E94B29" w:rsidRPr="001935D0">
        <w:rPr>
          <w:rFonts w:ascii="Times New Roman" w:hAnsi="Times New Roman" w:cs="Times New Roman"/>
          <w:sz w:val="28"/>
          <w:szCs w:val="28"/>
        </w:rPr>
        <w:t>содействие социальной и экономической интеграции уязвимых категорий населения;</w:t>
      </w:r>
    </w:p>
    <w:p w14:paraId="62E18BD9" w14:textId="0D8A1995" w:rsidR="00E94B29" w:rsidRDefault="00187279" w:rsidP="00187279">
      <w:pPr>
        <w:pStyle w:val="NoSpacing"/>
        <w:ind w:firstLine="709"/>
        <w:jc w:val="both"/>
        <w:rPr>
          <w:rFonts w:ascii="Times New Roman" w:hAnsi="Times New Roman" w:cs="Times New Roman"/>
          <w:sz w:val="28"/>
          <w:szCs w:val="28"/>
          <w:lang w:val="kk-KZ"/>
        </w:rPr>
      </w:pPr>
      <w:r>
        <w:rPr>
          <w:rFonts w:ascii="Times New Roman" w:hAnsi="Times New Roman" w:cs="Times New Roman"/>
          <w:sz w:val="28"/>
          <w:szCs w:val="28"/>
        </w:rPr>
        <w:lastRenderedPageBreak/>
        <w:t>‒</w:t>
      </w:r>
      <w:r>
        <w:rPr>
          <w:rFonts w:ascii="Times New Roman" w:hAnsi="Times New Roman" w:cs="Times New Roman"/>
          <w:sz w:val="28"/>
          <w:szCs w:val="28"/>
          <w:lang w:val="kk-KZ"/>
        </w:rPr>
        <w:t xml:space="preserve"> </w:t>
      </w:r>
      <w:r w:rsidR="00E94B29" w:rsidRPr="001935D0">
        <w:rPr>
          <w:rFonts w:ascii="Times New Roman" w:hAnsi="Times New Roman" w:cs="Times New Roman"/>
          <w:sz w:val="28"/>
          <w:szCs w:val="28"/>
        </w:rPr>
        <w:t>продвижение принципа равенства и недискриминации во всех сферах общественной жизни;</w:t>
      </w:r>
    </w:p>
    <w:p w14:paraId="01BEEAF0" w14:textId="565A9807" w:rsidR="00E94B29" w:rsidRPr="001935D0" w:rsidRDefault="00187279" w:rsidP="00187279">
      <w:pPr>
        <w:pStyle w:val="NoSpacing"/>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E94B29" w:rsidRPr="001935D0">
        <w:rPr>
          <w:rFonts w:ascii="Times New Roman" w:hAnsi="Times New Roman" w:cs="Times New Roman"/>
          <w:sz w:val="28"/>
          <w:szCs w:val="28"/>
        </w:rPr>
        <w:t>создание безопасной и благоприятной среды для деятельности правозащитных организаций и независимых СМИ.</w:t>
      </w:r>
    </w:p>
    <w:p w14:paraId="1447AA45" w14:textId="77777777" w:rsidR="00E94B29" w:rsidRPr="001935D0" w:rsidRDefault="00E94B29" w:rsidP="00593711">
      <w:pPr>
        <w:pStyle w:val="NoSpacing"/>
        <w:ind w:firstLine="567"/>
        <w:jc w:val="both"/>
        <w:rPr>
          <w:rFonts w:ascii="Times New Roman" w:hAnsi="Times New Roman" w:cs="Times New Roman"/>
          <w:sz w:val="28"/>
          <w:szCs w:val="28"/>
        </w:rPr>
      </w:pPr>
      <w:r w:rsidRPr="001935D0">
        <w:rPr>
          <w:rFonts w:ascii="Times New Roman" w:hAnsi="Times New Roman" w:cs="Times New Roman"/>
          <w:sz w:val="28"/>
          <w:szCs w:val="28"/>
        </w:rPr>
        <w:t>Реализация данных задач в рамках ЕС и за его пределами опирается на комплекс взаимосвязанных инструментов (таблица 2.9).</w:t>
      </w:r>
    </w:p>
    <w:p w14:paraId="1C5BCB93" w14:textId="77777777" w:rsidR="00E94B29" w:rsidRPr="001935D0" w:rsidRDefault="00E94B29" w:rsidP="00593711">
      <w:pPr>
        <w:pStyle w:val="NoSpacing"/>
        <w:ind w:firstLine="567"/>
        <w:jc w:val="both"/>
        <w:rPr>
          <w:rFonts w:ascii="Times New Roman" w:hAnsi="Times New Roman" w:cs="Times New Roman"/>
          <w:sz w:val="28"/>
          <w:szCs w:val="28"/>
        </w:rPr>
      </w:pPr>
    </w:p>
    <w:p w14:paraId="089D7ADB" w14:textId="5FF54C4B" w:rsidR="00E94B29" w:rsidRPr="001935D0" w:rsidRDefault="00E94B29" w:rsidP="00187279">
      <w:pPr>
        <w:pStyle w:val="NoSpacing"/>
        <w:jc w:val="both"/>
        <w:rPr>
          <w:rStyle w:val="Strong"/>
          <w:rFonts w:ascii="Times New Roman" w:hAnsi="Times New Roman" w:cs="Times New Roman"/>
          <w:b w:val="0"/>
          <w:bCs w:val="0"/>
          <w:sz w:val="28"/>
          <w:szCs w:val="28"/>
        </w:rPr>
      </w:pPr>
      <w:r w:rsidRPr="001935D0">
        <w:rPr>
          <w:rStyle w:val="Strong"/>
          <w:rFonts w:ascii="Times New Roman" w:hAnsi="Times New Roman" w:cs="Times New Roman"/>
          <w:b w:val="0"/>
          <w:bCs w:val="0"/>
          <w:sz w:val="28"/>
          <w:szCs w:val="28"/>
        </w:rPr>
        <w:t xml:space="preserve">Таблица 2.9 </w:t>
      </w:r>
      <w:r w:rsidR="00187279">
        <w:rPr>
          <w:rStyle w:val="Strong"/>
          <w:rFonts w:ascii="Times New Roman" w:hAnsi="Times New Roman" w:cs="Times New Roman"/>
          <w:b w:val="0"/>
          <w:bCs w:val="0"/>
          <w:sz w:val="28"/>
          <w:szCs w:val="28"/>
        </w:rPr>
        <w:t>‒</w:t>
      </w:r>
      <w:r w:rsidR="00187279">
        <w:rPr>
          <w:rStyle w:val="Strong"/>
          <w:rFonts w:ascii="Times New Roman" w:hAnsi="Times New Roman" w:cs="Times New Roman"/>
          <w:b w:val="0"/>
          <w:bCs w:val="0"/>
          <w:sz w:val="28"/>
          <w:szCs w:val="28"/>
          <w:lang w:val="kk-KZ"/>
        </w:rPr>
        <w:t xml:space="preserve"> </w:t>
      </w:r>
      <w:r w:rsidRPr="001935D0">
        <w:rPr>
          <w:rStyle w:val="Strong"/>
          <w:rFonts w:ascii="Times New Roman" w:hAnsi="Times New Roman" w:cs="Times New Roman"/>
          <w:b w:val="0"/>
          <w:bCs w:val="0"/>
          <w:sz w:val="28"/>
          <w:szCs w:val="28"/>
        </w:rPr>
        <w:t>Ключевые направления деятельности ЕС в сфере защиты и расширения возможностей личности</w:t>
      </w:r>
    </w:p>
    <w:p w14:paraId="1C7EDCBB" w14:textId="77777777" w:rsidR="00E94B29" w:rsidRPr="00187279" w:rsidRDefault="00E94B29" w:rsidP="00593711">
      <w:pPr>
        <w:pStyle w:val="NoSpacing"/>
        <w:ind w:firstLine="567"/>
        <w:jc w:val="center"/>
        <w:rPr>
          <w:rFonts w:ascii="Times New Roman" w:hAnsi="Times New Roman" w:cs="Times New Roman"/>
          <w:sz w:val="16"/>
          <w:szCs w:val="16"/>
        </w:rPr>
      </w:pPr>
    </w:p>
    <w:tbl>
      <w:tblPr>
        <w:tblStyle w:val="TableGrid"/>
        <w:tblW w:w="0" w:type="auto"/>
        <w:jc w:val="center"/>
        <w:tblLook w:val="04A0" w:firstRow="1" w:lastRow="0" w:firstColumn="1" w:lastColumn="0" w:noHBand="0" w:noVBand="1"/>
      </w:tblPr>
      <w:tblGrid>
        <w:gridCol w:w="3822"/>
        <w:gridCol w:w="5806"/>
      </w:tblGrid>
      <w:tr w:rsidR="00E94B29" w:rsidRPr="00187279" w14:paraId="1FB94630" w14:textId="77777777" w:rsidTr="001C67AB">
        <w:trPr>
          <w:jc w:val="center"/>
        </w:trPr>
        <w:tc>
          <w:tcPr>
            <w:tcW w:w="3825" w:type="dxa"/>
            <w:vAlign w:val="center"/>
          </w:tcPr>
          <w:p w14:paraId="49E6BC1D" w14:textId="77777777" w:rsidR="00E94B29" w:rsidRPr="00187279" w:rsidRDefault="00E94B29" w:rsidP="00593711">
            <w:pPr>
              <w:pStyle w:val="NoSpacing"/>
              <w:jc w:val="center"/>
              <w:rPr>
                <w:rFonts w:ascii="Times New Roman" w:hAnsi="Times New Roman" w:cs="Times New Roman"/>
                <w:sz w:val="24"/>
                <w:szCs w:val="24"/>
              </w:rPr>
            </w:pPr>
            <w:r w:rsidRPr="00187279">
              <w:rPr>
                <w:rFonts w:ascii="Times New Roman" w:hAnsi="Times New Roman" w:cs="Times New Roman"/>
                <w:sz w:val="24"/>
                <w:szCs w:val="24"/>
              </w:rPr>
              <w:t>Поднаправление</w:t>
            </w:r>
          </w:p>
        </w:tc>
        <w:tc>
          <w:tcPr>
            <w:tcW w:w="5811" w:type="dxa"/>
            <w:vAlign w:val="center"/>
          </w:tcPr>
          <w:p w14:paraId="33CB77A2" w14:textId="77777777" w:rsidR="00E94B29" w:rsidRPr="00187279" w:rsidRDefault="00E94B29" w:rsidP="00593711">
            <w:pPr>
              <w:pStyle w:val="NoSpacing"/>
              <w:jc w:val="center"/>
              <w:rPr>
                <w:rFonts w:ascii="Times New Roman" w:hAnsi="Times New Roman" w:cs="Times New Roman"/>
                <w:sz w:val="24"/>
                <w:szCs w:val="24"/>
              </w:rPr>
            </w:pPr>
            <w:r w:rsidRPr="00187279">
              <w:rPr>
                <w:rFonts w:ascii="Times New Roman" w:hAnsi="Times New Roman" w:cs="Times New Roman"/>
                <w:sz w:val="24"/>
                <w:szCs w:val="24"/>
              </w:rPr>
              <w:t>Примеры инструментов ЕС</w:t>
            </w:r>
          </w:p>
        </w:tc>
      </w:tr>
      <w:tr w:rsidR="00E94B29" w:rsidRPr="001935D0" w14:paraId="70C363DC" w14:textId="77777777" w:rsidTr="001C67AB">
        <w:trPr>
          <w:jc w:val="center"/>
        </w:trPr>
        <w:tc>
          <w:tcPr>
            <w:tcW w:w="3825" w:type="dxa"/>
            <w:vAlign w:val="center"/>
          </w:tcPr>
          <w:p w14:paraId="21C66C17"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Защита права на жизнь и свободу</w:t>
            </w:r>
          </w:p>
        </w:tc>
        <w:tc>
          <w:tcPr>
            <w:tcW w:w="5811" w:type="dxa"/>
            <w:vAlign w:val="center"/>
          </w:tcPr>
          <w:p w14:paraId="542D813A"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Демарши, поддержка моратория, проекты по предотвращению пыток</w:t>
            </w:r>
          </w:p>
        </w:tc>
      </w:tr>
      <w:tr w:rsidR="00E94B29" w:rsidRPr="001935D0" w14:paraId="121E6034" w14:textId="77777777" w:rsidTr="001C67AB">
        <w:trPr>
          <w:jc w:val="center"/>
        </w:trPr>
        <w:tc>
          <w:tcPr>
            <w:tcW w:w="3825" w:type="dxa"/>
            <w:vAlign w:val="center"/>
          </w:tcPr>
          <w:p w14:paraId="12DAEE4E"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Экономические и социальные права</w:t>
            </w:r>
          </w:p>
        </w:tc>
        <w:tc>
          <w:tcPr>
            <w:tcW w:w="5811" w:type="dxa"/>
            <w:vAlign w:val="center"/>
          </w:tcPr>
          <w:p w14:paraId="73F4D1B7"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Тематические программы NDICI, сотрудничество с ВОЗ, ЮНЕСКО</w:t>
            </w:r>
          </w:p>
        </w:tc>
      </w:tr>
      <w:tr w:rsidR="00E94B29" w:rsidRPr="001935D0" w14:paraId="018EC972" w14:textId="77777777" w:rsidTr="001C67AB">
        <w:trPr>
          <w:jc w:val="center"/>
        </w:trPr>
        <w:tc>
          <w:tcPr>
            <w:tcW w:w="3825" w:type="dxa"/>
            <w:vAlign w:val="center"/>
          </w:tcPr>
          <w:p w14:paraId="325D7525"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Равенство и недискриминация</w:t>
            </w:r>
          </w:p>
        </w:tc>
        <w:tc>
          <w:tcPr>
            <w:tcW w:w="5811" w:type="dxa"/>
            <w:vAlign w:val="center"/>
          </w:tcPr>
          <w:p w14:paraId="4663E681"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Гендерная стратегия ЕС, проекты с UN Women</w:t>
            </w:r>
          </w:p>
        </w:tc>
      </w:tr>
      <w:tr w:rsidR="00E94B29" w:rsidRPr="001935D0" w14:paraId="0A6CD90E" w14:textId="77777777" w:rsidTr="001C67AB">
        <w:trPr>
          <w:jc w:val="center"/>
        </w:trPr>
        <w:tc>
          <w:tcPr>
            <w:tcW w:w="3825" w:type="dxa"/>
            <w:vAlign w:val="center"/>
          </w:tcPr>
          <w:p w14:paraId="5DD2C113"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Защита правозащитников</w:t>
            </w:r>
          </w:p>
        </w:tc>
        <w:tc>
          <w:tcPr>
            <w:tcW w:w="5811" w:type="dxa"/>
            <w:vAlign w:val="center"/>
          </w:tcPr>
          <w:p w14:paraId="7945EB9D"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Европейский механизм защиты правозащитников</w:t>
            </w:r>
          </w:p>
        </w:tc>
      </w:tr>
      <w:tr w:rsidR="001C67AB" w:rsidRPr="001935D0" w14:paraId="6A7E36AE" w14:textId="77777777" w:rsidTr="00634764">
        <w:trPr>
          <w:jc w:val="center"/>
        </w:trPr>
        <w:tc>
          <w:tcPr>
            <w:tcW w:w="9636" w:type="dxa"/>
            <w:gridSpan w:val="2"/>
            <w:vAlign w:val="center"/>
          </w:tcPr>
          <w:p w14:paraId="136A279C" w14:textId="66DECB22" w:rsidR="001C67AB" w:rsidRPr="001935D0" w:rsidRDefault="00831635" w:rsidP="00A45413">
            <w:pPr>
              <w:pStyle w:val="NoSpacing"/>
              <w:ind w:firstLine="458"/>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w:t>
            </w:r>
            <w:r w:rsidR="001C67AB" w:rsidRPr="001935D0">
              <w:rPr>
                <w:rFonts w:ascii="Times New Roman" w:hAnsi="Times New Roman" w:cs="Times New Roman"/>
                <w:sz w:val="24"/>
                <w:szCs w:val="24"/>
              </w:rPr>
              <w:t xml:space="preserve">автором по данным </w:t>
            </w:r>
            <w:r>
              <w:rPr>
                <w:rFonts w:ascii="Times New Roman" w:hAnsi="Times New Roman" w:cs="Times New Roman"/>
                <w:sz w:val="24"/>
                <w:szCs w:val="24"/>
                <w:lang w:val="kk-KZ"/>
              </w:rPr>
              <w:t xml:space="preserve">источника </w:t>
            </w:r>
            <w:r w:rsidR="001C67AB" w:rsidRPr="001935D0">
              <w:rPr>
                <w:rFonts w:ascii="Times New Roman" w:hAnsi="Times New Roman" w:cs="Times New Roman"/>
                <w:sz w:val="24"/>
                <w:szCs w:val="24"/>
              </w:rPr>
              <w:t>[10</w:t>
            </w:r>
            <w:r w:rsidR="00A45413">
              <w:rPr>
                <w:rFonts w:ascii="Times New Roman" w:hAnsi="Times New Roman" w:cs="Times New Roman"/>
                <w:sz w:val="24"/>
                <w:szCs w:val="24"/>
                <w:lang w:val="kk-KZ"/>
              </w:rPr>
              <w:t>2</w:t>
            </w:r>
            <w:r w:rsidR="001C67AB" w:rsidRPr="001935D0">
              <w:rPr>
                <w:rFonts w:ascii="Times New Roman" w:hAnsi="Times New Roman" w:cs="Times New Roman"/>
                <w:sz w:val="24"/>
                <w:szCs w:val="24"/>
              </w:rPr>
              <w:t>]</w:t>
            </w:r>
          </w:p>
        </w:tc>
      </w:tr>
    </w:tbl>
    <w:p w14:paraId="136D6EE3" w14:textId="77777777" w:rsidR="00E94B29" w:rsidRPr="001935D0" w:rsidRDefault="00E94B29" w:rsidP="00593711">
      <w:pPr>
        <w:pStyle w:val="NoSpacing"/>
        <w:rPr>
          <w:rFonts w:ascii="Times New Roman" w:hAnsi="Times New Roman" w:cs="Times New Roman"/>
          <w:sz w:val="24"/>
          <w:szCs w:val="24"/>
        </w:rPr>
      </w:pPr>
    </w:p>
    <w:p w14:paraId="6843A8FE" w14:textId="2783A26B" w:rsidR="00E94B29" w:rsidRPr="001935D0" w:rsidRDefault="00E94B29" w:rsidP="001C67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Анализируя институциональные и политико-правовые предпосылки первого направления Плана, M. </w:t>
      </w:r>
      <w:r w:rsidR="00943D93">
        <w:rPr>
          <w:rFonts w:ascii="Times New Roman" w:hAnsi="Times New Roman" w:cs="Times New Roman"/>
          <w:sz w:val="28"/>
          <w:szCs w:val="28"/>
        </w:rPr>
        <w:t>Вонг</w:t>
      </w:r>
      <w:r w:rsidRPr="001935D0">
        <w:rPr>
          <w:rFonts w:ascii="Times New Roman" w:hAnsi="Times New Roman" w:cs="Times New Roman"/>
          <w:sz w:val="28"/>
          <w:szCs w:val="28"/>
        </w:rPr>
        <w:t xml:space="preserve"> [10</w:t>
      </w:r>
      <w:r w:rsidR="00A45413">
        <w:rPr>
          <w:rFonts w:ascii="Times New Roman" w:hAnsi="Times New Roman" w:cs="Times New Roman"/>
          <w:sz w:val="28"/>
          <w:szCs w:val="28"/>
          <w:lang w:val="kk-KZ"/>
        </w:rPr>
        <w:t>4, р. 100438</w:t>
      </w:r>
      <w:r w:rsidRPr="001935D0">
        <w:rPr>
          <w:rFonts w:ascii="Times New Roman" w:hAnsi="Times New Roman" w:cs="Times New Roman"/>
          <w:sz w:val="28"/>
          <w:szCs w:val="28"/>
        </w:rPr>
        <w:t>] в сравнительном исследовании отмечают, что наличие формальных конституционных гарантий само по себе не обеспечивает их реализации в государствах с авторитарными или гибридными политическими режимами. В таких условиях правовые нормы могут использоваться для легитимации власти, а не для защиты прав граждан. Практическая реализация прав напрямую зависит от независимости судебной системы, наличия действенных механизмов подотчётности и уровня вовлечённости гражданского общества – факторов, которые ЕС целенаправленно развивает в рамках данного приоритета.</w:t>
      </w:r>
    </w:p>
    <w:p w14:paraId="06B710C3" w14:textId="77777777" w:rsidR="00E94B29" w:rsidRPr="001935D0" w:rsidRDefault="00E94B29" w:rsidP="001C67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Второе направление Плана действий ЕС по правам человека и демократии «Формирование устойчивых инклюзивных демократических обществ» направленно на укрепление демократической архитектуры и обеспечение её устойчивости перед вызовами современности. Политика ЕС исходит из того, что демократия – это не только система формальных институтов, но и живая практика участия, подотчётности и доверия между государством и обществом.</w:t>
      </w:r>
    </w:p>
    <w:p w14:paraId="380ABF50" w14:textId="77777777" w:rsidR="00E94B29" w:rsidRPr="001935D0" w:rsidRDefault="00E94B29" w:rsidP="001C67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Ключевым ориентиром второго направления является переход от декларативных обязательств к системной институционализации демократических процессов, включая расширение участия граждан, обеспечение прозрачности управления и развитие правовых механизмов контроля. Особое значение придаётся инклюзивности, которая предполагает вовлечение всех социальных групп – вне зависимости от пола, возраста, этнической или религиозной принадлежности, социального статуса или уровня дохода.</w:t>
      </w:r>
    </w:p>
    <w:p w14:paraId="0F5A3BEE" w14:textId="77777777" w:rsidR="00E94B29" w:rsidRPr="001935D0" w:rsidRDefault="00E94B29" w:rsidP="001C67AB">
      <w:pPr>
        <w:pStyle w:val="NoSpacing"/>
        <w:ind w:firstLine="709"/>
        <w:jc w:val="both"/>
        <w:rPr>
          <w:rFonts w:ascii="Times New Roman" w:hAnsi="Times New Roman" w:cs="Times New Roman"/>
          <w:sz w:val="28"/>
          <w:szCs w:val="28"/>
        </w:rPr>
      </w:pPr>
      <w:r w:rsidRPr="001935D0">
        <w:rPr>
          <w:rFonts w:ascii="Times New Roman" w:hAnsi="Times New Roman" w:cs="Times New Roman"/>
          <w:bCs/>
          <w:sz w:val="28"/>
          <w:szCs w:val="28"/>
        </w:rPr>
        <w:t>Основные цели второго направления</w:t>
      </w:r>
      <w:r w:rsidRPr="001935D0">
        <w:rPr>
          <w:rFonts w:ascii="Times New Roman" w:hAnsi="Times New Roman" w:cs="Times New Roman"/>
          <w:b/>
          <w:bCs/>
          <w:sz w:val="28"/>
          <w:szCs w:val="28"/>
        </w:rPr>
        <w:t xml:space="preserve"> «</w:t>
      </w:r>
      <w:r w:rsidRPr="001935D0">
        <w:rPr>
          <w:rFonts w:ascii="Times New Roman" w:hAnsi="Times New Roman" w:cs="Times New Roman"/>
          <w:sz w:val="28"/>
          <w:szCs w:val="28"/>
        </w:rPr>
        <w:t>Формирование устойчивых инклюзивных демократических обществ</w:t>
      </w:r>
      <w:r w:rsidRPr="001935D0">
        <w:rPr>
          <w:rFonts w:ascii="Times New Roman" w:hAnsi="Times New Roman" w:cs="Times New Roman"/>
          <w:b/>
          <w:bCs/>
          <w:sz w:val="28"/>
          <w:szCs w:val="28"/>
        </w:rPr>
        <w:t>»:</w:t>
      </w:r>
    </w:p>
    <w:p w14:paraId="13B9C11A" w14:textId="77777777" w:rsidR="00E94B29" w:rsidRPr="001935D0" w:rsidRDefault="00E94B29" w:rsidP="001C67AB">
      <w:pPr>
        <w:pStyle w:val="NoSpacing"/>
        <w:numPr>
          <w:ilvl w:val="0"/>
          <w:numId w:val="9"/>
        </w:numPr>
        <w:tabs>
          <w:tab w:val="clear" w:pos="720"/>
          <w:tab w:val="left" w:pos="567"/>
          <w:tab w:val="num"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укрепление независимости и эффективности судебной системы;</w:t>
      </w:r>
    </w:p>
    <w:p w14:paraId="5831B94B" w14:textId="77777777" w:rsidR="00E94B29" w:rsidRPr="001935D0" w:rsidRDefault="00E94B29" w:rsidP="001C67AB">
      <w:pPr>
        <w:pStyle w:val="NoSpacing"/>
        <w:numPr>
          <w:ilvl w:val="0"/>
          <w:numId w:val="9"/>
        </w:numPr>
        <w:tabs>
          <w:tab w:val="clear" w:pos="720"/>
          <w:tab w:val="left" w:pos="567"/>
          <w:tab w:val="num"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развитие парламентского надзора и открытости законодательной деятельности;</w:t>
      </w:r>
    </w:p>
    <w:p w14:paraId="069E4A97" w14:textId="77777777" w:rsidR="00E94B29" w:rsidRPr="001935D0" w:rsidRDefault="00E94B29" w:rsidP="001C67AB">
      <w:pPr>
        <w:pStyle w:val="NoSpacing"/>
        <w:numPr>
          <w:ilvl w:val="0"/>
          <w:numId w:val="9"/>
        </w:numPr>
        <w:tabs>
          <w:tab w:val="clear" w:pos="720"/>
          <w:tab w:val="left" w:pos="567"/>
          <w:tab w:val="num"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проведение честных, конкурентных и транспарентных выборов;</w:t>
      </w:r>
    </w:p>
    <w:p w14:paraId="01A03C41" w14:textId="77777777" w:rsidR="00E94B29" w:rsidRPr="001935D0" w:rsidRDefault="00E94B29" w:rsidP="001C67AB">
      <w:pPr>
        <w:pStyle w:val="NoSpacing"/>
        <w:numPr>
          <w:ilvl w:val="0"/>
          <w:numId w:val="9"/>
        </w:numPr>
        <w:tabs>
          <w:tab w:val="clear" w:pos="720"/>
          <w:tab w:val="left" w:pos="567"/>
          <w:tab w:val="num"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борьбу с коррупцией и повышение прозрачности государственного управления;</w:t>
      </w:r>
    </w:p>
    <w:p w14:paraId="7B344255" w14:textId="77777777" w:rsidR="00E94B29" w:rsidRPr="001935D0" w:rsidRDefault="00E94B29" w:rsidP="001C67AB">
      <w:pPr>
        <w:pStyle w:val="NoSpacing"/>
        <w:numPr>
          <w:ilvl w:val="0"/>
          <w:numId w:val="9"/>
        </w:numPr>
        <w:tabs>
          <w:tab w:val="clear" w:pos="720"/>
          <w:tab w:val="left" w:pos="567"/>
          <w:tab w:val="num"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расширение участия женщин, молодёжи и маргинализированных групп в принятии решений;</w:t>
      </w:r>
    </w:p>
    <w:p w14:paraId="1EE1A3FA" w14:textId="77777777" w:rsidR="00E94B29" w:rsidRPr="001935D0" w:rsidRDefault="00E94B29" w:rsidP="001C67AB">
      <w:pPr>
        <w:pStyle w:val="NoSpacing"/>
        <w:numPr>
          <w:ilvl w:val="0"/>
          <w:numId w:val="9"/>
        </w:numPr>
        <w:tabs>
          <w:tab w:val="clear" w:pos="720"/>
          <w:tab w:val="left" w:pos="567"/>
          <w:tab w:val="num"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поддержку плюрализма СМИ и обеспечение свободы информации.</w:t>
      </w:r>
    </w:p>
    <w:p w14:paraId="515C7ED1" w14:textId="77777777" w:rsidR="00E94B29" w:rsidRPr="001935D0" w:rsidRDefault="00E94B29" w:rsidP="001C67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Реализация этих задач базируется на комплексном подходе, объединяющем </w:t>
      </w:r>
      <w:r w:rsidRPr="001935D0">
        <w:rPr>
          <w:rFonts w:ascii="Times New Roman" w:hAnsi="Times New Roman" w:cs="Times New Roman"/>
          <w:bCs/>
          <w:sz w:val="28"/>
          <w:szCs w:val="28"/>
        </w:rPr>
        <w:t>политический диалог</w:t>
      </w:r>
      <w:r w:rsidRPr="001935D0">
        <w:rPr>
          <w:rFonts w:ascii="Times New Roman" w:hAnsi="Times New Roman" w:cs="Times New Roman"/>
          <w:sz w:val="28"/>
          <w:szCs w:val="28"/>
        </w:rPr>
        <w:t xml:space="preserve">, </w:t>
      </w:r>
      <w:r w:rsidRPr="001935D0">
        <w:rPr>
          <w:rFonts w:ascii="Times New Roman" w:hAnsi="Times New Roman" w:cs="Times New Roman"/>
          <w:bCs/>
          <w:sz w:val="28"/>
          <w:szCs w:val="28"/>
        </w:rPr>
        <w:t>техническую помощь</w:t>
      </w:r>
      <w:r w:rsidRPr="001935D0">
        <w:rPr>
          <w:rFonts w:ascii="Times New Roman" w:hAnsi="Times New Roman" w:cs="Times New Roman"/>
          <w:sz w:val="28"/>
          <w:szCs w:val="28"/>
        </w:rPr>
        <w:t xml:space="preserve">, </w:t>
      </w:r>
      <w:r w:rsidRPr="001935D0">
        <w:rPr>
          <w:rFonts w:ascii="Times New Roman" w:hAnsi="Times New Roman" w:cs="Times New Roman"/>
          <w:bCs/>
          <w:sz w:val="28"/>
          <w:szCs w:val="28"/>
        </w:rPr>
        <w:t>финансовое содействие</w:t>
      </w:r>
      <w:r w:rsidRPr="001935D0">
        <w:rPr>
          <w:rFonts w:ascii="Times New Roman" w:hAnsi="Times New Roman" w:cs="Times New Roman"/>
          <w:sz w:val="28"/>
          <w:szCs w:val="28"/>
        </w:rPr>
        <w:t xml:space="preserve"> и </w:t>
      </w:r>
      <w:r w:rsidRPr="001935D0">
        <w:rPr>
          <w:rFonts w:ascii="Times New Roman" w:hAnsi="Times New Roman" w:cs="Times New Roman"/>
          <w:bCs/>
          <w:sz w:val="28"/>
          <w:szCs w:val="28"/>
        </w:rPr>
        <w:t>институциональные партнёрства (таблица 2.10)</w:t>
      </w:r>
      <w:r w:rsidRPr="001935D0">
        <w:rPr>
          <w:rFonts w:ascii="Times New Roman" w:hAnsi="Times New Roman" w:cs="Times New Roman"/>
          <w:sz w:val="28"/>
          <w:szCs w:val="28"/>
        </w:rPr>
        <w:t>.</w:t>
      </w:r>
    </w:p>
    <w:p w14:paraId="6479FF53" w14:textId="77777777" w:rsidR="00E94B29" w:rsidRPr="001935D0" w:rsidRDefault="00E94B29" w:rsidP="00593711">
      <w:pPr>
        <w:pStyle w:val="NoSpacing"/>
        <w:ind w:firstLine="567"/>
        <w:jc w:val="both"/>
        <w:rPr>
          <w:rFonts w:ascii="Times New Roman" w:hAnsi="Times New Roman" w:cs="Times New Roman"/>
          <w:bCs/>
          <w:sz w:val="28"/>
          <w:szCs w:val="28"/>
        </w:rPr>
      </w:pPr>
    </w:p>
    <w:p w14:paraId="37450678" w14:textId="36CD53E2" w:rsidR="00E94B29" w:rsidRDefault="00E94B29" w:rsidP="00831635">
      <w:pPr>
        <w:pStyle w:val="NoSpacing"/>
        <w:jc w:val="both"/>
        <w:rPr>
          <w:rFonts w:ascii="Times New Roman" w:hAnsi="Times New Roman" w:cs="Times New Roman"/>
          <w:bCs/>
          <w:sz w:val="28"/>
          <w:szCs w:val="28"/>
          <w:lang w:val="kk-KZ"/>
        </w:rPr>
      </w:pPr>
      <w:r w:rsidRPr="001935D0">
        <w:rPr>
          <w:rFonts w:ascii="Times New Roman" w:hAnsi="Times New Roman" w:cs="Times New Roman"/>
          <w:bCs/>
          <w:sz w:val="28"/>
          <w:szCs w:val="28"/>
        </w:rPr>
        <w:t xml:space="preserve">Таблица 2.10 </w:t>
      </w:r>
      <w:r w:rsidR="00831635">
        <w:rPr>
          <w:rFonts w:ascii="Times New Roman" w:hAnsi="Times New Roman" w:cs="Times New Roman"/>
          <w:bCs/>
          <w:sz w:val="28"/>
          <w:szCs w:val="28"/>
          <w:lang w:val="kk-KZ"/>
        </w:rPr>
        <w:t xml:space="preserve">– </w:t>
      </w:r>
      <w:r w:rsidRPr="001935D0">
        <w:rPr>
          <w:rFonts w:ascii="Times New Roman" w:hAnsi="Times New Roman" w:cs="Times New Roman"/>
          <w:bCs/>
          <w:sz w:val="28"/>
          <w:szCs w:val="28"/>
        </w:rPr>
        <w:t>Ключевые направления деятельности ЕС в формировании устойчивых инклюзивных демократических обществ</w:t>
      </w:r>
    </w:p>
    <w:p w14:paraId="7E17CB61" w14:textId="77777777" w:rsidR="00831635" w:rsidRPr="00831635" w:rsidRDefault="00831635" w:rsidP="00831635">
      <w:pPr>
        <w:pStyle w:val="NoSpacing"/>
        <w:jc w:val="both"/>
        <w:rPr>
          <w:rFonts w:ascii="Times New Roman" w:hAnsi="Times New Roman" w:cs="Times New Roman"/>
          <w:bCs/>
          <w:sz w:val="16"/>
          <w:szCs w:val="16"/>
          <w:lang w:val="kk-KZ"/>
        </w:rPr>
      </w:pPr>
    </w:p>
    <w:tbl>
      <w:tblPr>
        <w:tblStyle w:val="TableGrid"/>
        <w:tblW w:w="9567" w:type="dxa"/>
        <w:jc w:val="center"/>
        <w:tblLook w:val="04A0" w:firstRow="1" w:lastRow="0" w:firstColumn="1" w:lastColumn="0" w:noHBand="0" w:noVBand="1"/>
      </w:tblPr>
      <w:tblGrid>
        <w:gridCol w:w="2144"/>
        <w:gridCol w:w="3663"/>
        <w:gridCol w:w="3760"/>
      </w:tblGrid>
      <w:tr w:rsidR="00E94B29" w:rsidRPr="001935D0" w14:paraId="3754E565" w14:textId="77777777" w:rsidTr="00831635">
        <w:trPr>
          <w:jc w:val="center"/>
        </w:trPr>
        <w:tc>
          <w:tcPr>
            <w:tcW w:w="2144" w:type="dxa"/>
          </w:tcPr>
          <w:p w14:paraId="6E15F1F9" w14:textId="77777777" w:rsidR="00E94B29" w:rsidRPr="001935D0" w:rsidRDefault="00E94B29"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Поднаправление</w:t>
            </w:r>
          </w:p>
        </w:tc>
        <w:tc>
          <w:tcPr>
            <w:tcW w:w="3663" w:type="dxa"/>
          </w:tcPr>
          <w:p w14:paraId="5AF0C921" w14:textId="77777777" w:rsidR="00E94B29" w:rsidRPr="001935D0" w:rsidRDefault="00E94B29"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Фокус поддержки</w:t>
            </w:r>
          </w:p>
        </w:tc>
        <w:tc>
          <w:tcPr>
            <w:tcW w:w="3760" w:type="dxa"/>
          </w:tcPr>
          <w:p w14:paraId="6260D193" w14:textId="77777777" w:rsidR="00E94B29" w:rsidRPr="001935D0" w:rsidRDefault="00E94B29" w:rsidP="00593711">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Примеры инструментов ЕС</w:t>
            </w:r>
          </w:p>
        </w:tc>
      </w:tr>
      <w:tr w:rsidR="00E94B29" w:rsidRPr="001935D0" w14:paraId="226F9656" w14:textId="77777777" w:rsidTr="00831635">
        <w:trPr>
          <w:jc w:val="center"/>
        </w:trPr>
        <w:tc>
          <w:tcPr>
            <w:tcW w:w="2144" w:type="dxa"/>
            <w:vAlign w:val="center"/>
          </w:tcPr>
          <w:p w14:paraId="4EF12A3C"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Демократические институты</w:t>
            </w:r>
          </w:p>
        </w:tc>
        <w:tc>
          <w:tcPr>
            <w:tcW w:w="3663" w:type="dxa"/>
            <w:vAlign w:val="center"/>
          </w:tcPr>
          <w:p w14:paraId="14EE11C5" w14:textId="4E45DD0A"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Независимость судов, парламент</w:t>
            </w:r>
            <w:r w:rsidR="00831635">
              <w:rPr>
                <w:rFonts w:ascii="Times New Roman" w:hAnsi="Times New Roman" w:cs="Times New Roman"/>
                <w:sz w:val="24"/>
                <w:szCs w:val="24"/>
                <w:lang w:val="kk-KZ"/>
              </w:rPr>
              <w:t xml:space="preserve"> </w:t>
            </w:r>
            <w:r w:rsidRPr="001935D0">
              <w:rPr>
                <w:rFonts w:ascii="Times New Roman" w:hAnsi="Times New Roman" w:cs="Times New Roman"/>
                <w:sz w:val="24"/>
                <w:szCs w:val="24"/>
              </w:rPr>
              <w:t>ский контроль, антикоррупцион</w:t>
            </w:r>
            <w:r w:rsidR="00831635">
              <w:rPr>
                <w:rFonts w:ascii="Times New Roman" w:hAnsi="Times New Roman" w:cs="Times New Roman"/>
                <w:sz w:val="24"/>
                <w:szCs w:val="24"/>
                <w:lang w:val="kk-KZ"/>
              </w:rPr>
              <w:t xml:space="preserve"> </w:t>
            </w:r>
            <w:r w:rsidRPr="001935D0">
              <w:rPr>
                <w:rFonts w:ascii="Times New Roman" w:hAnsi="Times New Roman" w:cs="Times New Roman"/>
                <w:sz w:val="24"/>
                <w:szCs w:val="24"/>
              </w:rPr>
              <w:t>ные меры</w:t>
            </w:r>
          </w:p>
        </w:tc>
        <w:tc>
          <w:tcPr>
            <w:tcW w:w="3760" w:type="dxa"/>
            <w:vAlign w:val="center"/>
          </w:tcPr>
          <w:p w14:paraId="0C2C8178"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Миссии по наблюдению за выборами, проекты по судебной реформе, антикоррупционные инициативы</w:t>
            </w:r>
          </w:p>
        </w:tc>
      </w:tr>
      <w:tr w:rsidR="00E94B29" w:rsidRPr="001935D0" w14:paraId="661428F2" w14:textId="77777777" w:rsidTr="00831635">
        <w:trPr>
          <w:jc w:val="center"/>
        </w:trPr>
        <w:tc>
          <w:tcPr>
            <w:tcW w:w="2144" w:type="dxa"/>
            <w:vAlign w:val="center"/>
          </w:tcPr>
          <w:p w14:paraId="2DE72E7F"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Инклюзивное управление</w:t>
            </w:r>
          </w:p>
        </w:tc>
        <w:tc>
          <w:tcPr>
            <w:tcW w:w="3663" w:type="dxa"/>
            <w:vAlign w:val="center"/>
          </w:tcPr>
          <w:p w14:paraId="18EF7C08" w14:textId="4771FEE8"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Участие женщин, молодёжи, политических партий, прозрач</w:t>
            </w:r>
            <w:r w:rsidR="00831635">
              <w:rPr>
                <w:rFonts w:ascii="Times New Roman" w:hAnsi="Times New Roman" w:cs="Times New Roman"/>
                <w:sz w:val="24"/>
                <w:szCs w:val="24"/>
                <w:lang w:val="kk-KZ"/>
              </w:rPr>
              <w:t xml:space="preserve"> </w:t>
            </w:r>
            <w:r w:rsidRPr="001935D0">
              <w:rPr>
                <w:rFonts w:ascii="Times New Roman" w:hAnsi="Times New Roman" w:cs="Times New Roman"/>
                <w:sz w:val="24"/>
                <w:szCs w:val="24"/>
              </w:rPr>
              <w:t>ность финансирования</w:t>
            </w:r>
          </w:p>
        </w:tc>
        <w:tc>
          <w:tcPr>
            <w:tcW w:w="3760" w:type="dxa"/>
            <w:vAlign w:val="center"/>
          </w:tcPr>
          <w:p w14:paraId="3675F3BB" w14:textId="693DA385"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Поддержка гражданских плат</w:t>
            </w:r>
            <w:r w:rsidR="00831635">
              <w:rPr>
                <w:rFonts w:ascii="Times New Roman" w:hAnsi="Times New Roman" w:cs="Times New Roman"/>
                <w:sz w:val="24"/>
                <w:szCs w:val="24"/>
                <w:lang w:val="kk-KZ"/>
              </w:rPr>
              <w:t xml:space="preserve"> </w:t>
            </w:r>
            <w:r w:rsidRPr="001935D0">
              <w:rPr>
                <w:rFonts w:ascii="Times New Roman" w:hAnsi="Times New Roman" w:cs="Times New Roman"/>
                <w:sz w:val="24"/>
                <w:szCs w:val="24"/>
              </w:rPr>
              <w:t>форм, программы политического обучения, мониторинг избиратель</w:t>
            </w:r>
            <w:r w:rsidR="00831635">
              <w:rPr>
                <w:rFonts w:ascii="Times New Roman" w:hAnsi="Times New Roman" w:cs="Times New Roman"/>
                <w:sz w:val="24"/>
                <w:szCs w:val="24"/>
                <w:lang w:val="kk-KZ"/>
              </w:rPr>
              <w:t xml:space="preserve"> </w:t>
            </w:r>
            <w:r w:rsidRPr="001935D0">
              <w:rPr>
                <w:rFonts w:ascii="Times New Roman" w:hAnsi="Times New Roman" w:cs="Times New Roman"/>
                <w:sz w:val="24"/>
                <w:szCs w:val="24"/>
              </w:rPr>
              <w:t>ных процессов</w:t>
            </w:r>
          </w:p>
        </w:tc>
      </w:tr>
      <w:tr w:rsidR="00E94B29" w:rsidRPr="001935D0" w14:paraId="1E5A060D" w14:textId="77777777" w:rsidTr="00831635">
        <w:trPr>
          <w:jc w:val="center"/>
        </w:trPr>
        <w:tc>
          <w:tcPr>
            <w:tcW w:w="2144" w:type="dxa"/>
            <w:vAlign w:val="center"/>
          </w:tcPr>
          <w:p w14:paraId="2E73A7DA"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Свободные и плюралистические СМИ</w:t>
            </w:r>
          </w:p>
        </w:tc>
        <w:tc>
          <w:tcPr>
            <w:tcW w:w="3663" w:type="dxa"/>
            <w:vAlign w:val="center"/>
          </w:tcPr>
          <w:p w14:paraId="25FB2B2A"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Защита журналистов, борьба с дезинформацией, доступ к информации</w:t>
            </w:r>
          </w:p>
        </w:tc>
        <w:tc>
          <w:tcPr>
            <w:tcW w:w="3760" w:type="dxa"/>
            <w:vAlign w:val="center"/>
          </w:tcPr>
          <w:p w14:paraId="2FB3C359"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Digital Services Act, инициативы по медиаграмотности, поддержка независимых СМИ</w:t>
            </w:r>
          </w:p>
        </w:tc>
      </w:tr>
      <w:tr w:rsidR="00E94B29" w:rsidRPr="001935D0" w14:paraId="58CFFED3" w14:textId="77777777" w:rsidTr="00831635">
        <w:trPr>
          <w:jc w:val="center"/>
        </w:trPr>
        <w:tc>
          <w:tcPr>
            <w:tcW w:w="2144" w:type="dxa"/>
            <w:vAlign w:val="center"/>
          </w:tcPr>
          <w:p w14:paraId="7EA6D698"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Гражданское пространство</w:t>
            </w:r>
          </w:p>
        </w:tc>
        <w:tc>
          <w:tcPr>
            <w:tcW w:w="3663" w:type="dxa"/>
            <w:vAlign w:val="center"/>
          </w:tcPr>
          <w:p w14:paraId="6183760F"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Свобода ассоциаций, защита правозащитников, укрепление НПО</w:t>
            </w:r>
          </w:p>
        </w:tc>
        <w:tc>
          <w:tcPr>
            <w:tcW w:w="3760" w:type="dxa"/>
            <w:vAlign w:val="center"/>
          </w:tcPr>
          <w:p w14:paraId="0B550C92" w14:textId="7CB70BD1"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Грантовые программы, правовые консультации, программы безопас</w:t>
            </w:r>
            <w:r w:rsidR="00831635">
              <w:rPr>
                <w:rFonts w:ascii="Times New Roman" w:hAnsi="Times New Roman" w:cs="Times New Roman"/>
                <w:sz w:val="24"/>
                <w:szCs w:val="24"/>
                <w:lang w:val="kk-KZ"/>
              </w:rPr>
              <w:t xml:space="preserve"> </w:t>
            </w:r>
            <w:r w:rsidRPr="001935D0">
              <w:rPr>
                <w:rFonts w:ascii="Times New Roman" w:hAnsi="Times New Roman" w:cs="Times New Roman"/>
                <w:sz w:val="24"/>
                <w:szCs w:val="24"/>
              </w:rPr>
              <w:t>ной цифровой коммуникации</w:t>
            </w:r>
          </w:p>
        </w:tc>
      </w:tr>
      <w:tr w:rsidR="00831635" w:rsidRPr="001935D0" w14:paraId="5F6FDE99" w14:textId="77777777" w:rsidTr="00634764">
        <w:trPr>
          <w:jc w:val="center"/>
        </w:trPr>
        <w:tc>
          <w:tcPr>
            <w:tcW w:w="9567" w:type="dxa"/>
            <w:gridSpan w:val="3"/>
            <w:vAlign w:val="center"/>
          </w:tcPr>
          <w:p w14:paraId="401E24A0" w14:textId="7C041704" w:rsidR="00831635" w:rsidRPr="00831635" w:rsidRDefault="00831635" w:rsidP="00A45413">
            <w:pPr>
              <w:pStyle w:val="NoSpacing"/>
              <w:ind w:firstLine="56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источника </w:t>
            </w:r>
            <w:r w:rsidRPr="001935D0">
              <w:rPr>
                <w:rFonts w:ascii="Times New Roman" w:hAnsi="Times New Roman" w:cs="Times New Roman"/>
                <w:sz w:val="24"/>
                <w:szCs w:val="24"/>
              </w:rPr>
              <w:t>[10</w:t>
            </w:r>
            <w:r w:rsidR="00A45413">
              <w:rPr>
                <w:rFonts w:ascii="Times New Roman" w:hAnsi="Times New Roman" w:cs="Times New Roman"/>
                <w:sz w:val="24"/>
                <w:szCs w:val="24"/>
                <w:lang w:val="kk-KZ"/>
              </w:rPr>
              <w:t>2</w:t>
            </w:r>
            <w:r w:rsidRPr="001935D0">
              <w:rPr>
                <w:rFonts w:ascii="Times New Roman" w:hAnsi="Times New Roman" w:cs="Times New Roman"/>
                <w:sz w:val="24"/>
                <w:szCs w:val="24"/>
              </w:rPr>
              <w:t>]</w:t>
            </w:r>
          </w:p>
        </w:tc>
      </w:tr>
    </w:tbl>
    <w:p w14:paraId="62AED9A1" w14:textId="77777777" w:rsidR="00E94B29" w:rsidRPr="001935D0" w:rsidRDefault="00E94B29" w:rsidP="00593711">
      <w:pPr>
        <w:pStyle w:val="NoSpacing"/>
        <w:ind w:firstLine="567"/>
        <w:jc w:val="both"/>
        <w:rPr>
          <w:rFonts w:ascii="Times New Roman" w:hAnsi="Times New Roman" w:cs="Times New Roman"/>
          <w:sz w:val="28"/>
          <w:szCs w:val="28"/>
        </w:rPr>
      </w:pPr>
    </w:p>
    <w:p w14:paraId="68DFE4E8" w14:textId="7CF08F8A" w:rsidR="00E94B29" w:rsidRPr="001935D0" w:rsidRDefault="008C763B" w:rsidP="001C67AB">
      <w:pPr>
        <w:pStyle w:val="NoSpacing"/>
        <w:ind w:firstLine="709"/>
        <w:jc w:val="both"/>
        <w:rPr>
          <w:rFonts w:ascii="Times New Roman" w:hAnsi="Times New Roman" w:cs="Times New Roman"/>
          <w:sz w:val="28"/>
          <w:szCs w:val="28"/>
        </w:rPr>
      </w:pPr>
      <w:r w:rsidRPr="008C763B">
        <w:rPr>
          <w:rFonts w:ascii="Times New Roman" w:hAnsi="Times New Roman" w:cs="Times New Roman"/>
          <w:sz w:val="28"/>
          <w:szCs w:val="28"/>
        </w:rPr>
        <w:t xml:space="preserve">М. Лопес Сифуэнтес </w:t>
      </w:r>
      <w:r w:rsidR="00E94B29" w:rsidRPr="001935D0">
        <w:rPr>
          <w:rFonts w:ascii="Times New Roman" w:hAnsi="Times New Roman" w:cs="Times New Roman"/>
          <w:sz w:val="28"/>
          <w:szCs w:val="28"/>
        </w:rPr>
        <w:t xml:space="preserve">и </w:t>
      </w:r>
      <w:r w:rsidRPr="008C763B">
        <w:rPr>
          <w:rFonts w:ascii="Times New Roman" w:hAnsi="Times New Roman" w:cs="Times New Roman"/>
          <w:sz w:val="28"/>
          <w:szCs w:val="28"/>
        </w:rPr>
        <w:t xml:space="preserve">Р. Соннино </w:t>
      </w:r>
      <w:r w:rsidR="00E94B29" w:rsidRPr="001935D0">
        <w:rPr>
          <w:rFonts w:ascii="Times New Roman" w:hAnsi="Times New Roman" w:cs="Times New Roman"/>
          <w:sz w:val="28"/>
          <w:szCs w:val="28"/>
        </w:rPr>
        <w:t>[10</w:t>
      </w:r>
      <w:r w:rsidR="00A45413">
        <w:rPr>
          <w:rFonts w:ascii="Times New Roman" w:hAnsi="Times New Roman" w:cs="Times New Roman"/>
          <w:sz w:val="28"/>
          <w:szCs w:val="28"/>
          <w:lang w:val="kk-KZ"/>
        </w:rPr>
        <w:t>5, р. 105319</w:t>
      </w:r>
      <w:r w:rsidR="00E94B29" w:rsidRPr="001935D0">
        <w:rPr>
          <w:rFonts w:ascii="Times New Roman" w:hAnsi="Times New Roman" w:cs="Times New Roman"/>
          <w:sz w:val="28"/>
          <w:szCs w:val="28"/>
        </w:rPr>
        <w:t>] в своём исследовании обращают внимание на то, что демократизация – это не только развитие институтов, но и формирование правовой культуры участия. На примере борьбы за продовольственную справедливость в Восточном Лондоне они показывают, как локальные инициативы, направленные на возвращение контроля над городскими ресурсами, становятся инструментами укрепления демократических практик. Эти выводы применимы и к более широкому контексту, поскольку инклюзия на уровне городских сообществ формирует основу для устойчивой демократии в масштабах государства.</w:t>
      </w:r>
    </w:p>
    <w:p w14:paraId="705D75F0" w14:textId="64EAAD3A" w:rsidR="00E94B29" w:rsidRPr="001935D0" w:rsidRDefault="00E94B29" w:rsidP="001C67AB">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Третье направление Плана действий ЕС «</w:t>
      </w:r>
      <w:r w:rsidRPr="001935D0">
        <w:rPr>
          <w:rFonts w:ascii="Times New Roman" w:eastAsia="Times New Roman" w:hAnsi="Times New Roman" w:cs="Times New Roman"/>
          <w:bCs/>
          <w:sz w:val="28"/>
          <w:szCs w:val="28"/>
          <w:lang w:eastAsia="ru-RU"/>
        </w:rPr>
        <w:t>Формирование глобальной системы защиты прав человека</w:t>
      </w:r>
      <w:r w:rsidRPr="001935D0">
        <w:rPr>
          <w:rFonts w:ascii="Times New Roman" w:eastAsia="Times New Roman" w:hAnsi="Times New Roman" w:cs="Times New Roman"/>
          <w:sz w:val="28"/>
          <w:szCs w:val="28"/>
          <w:lang w:eastAsia="ru-RU"/>
        </w:rPr>
        <w:t xml:space="preserve">» направлен на укрепление международных и региональных механизмов прав человека через координацию с многосторонними организациями, выработку единых стандартов и развитие институционального потенциала государств-партнёров. ЕС стремится обеспечить согласованность правозащитной повестки на глобальном уровне, то </w:t>
      </w:r>
      <w:r w:rsidRPr="001935D0">
        <w:rPr>
          <w:rFonts w:ascii="Times New Roman" w:eastAsia="Times New Roman" w:hAnsi="Times New Roman" w:cs="Times New Roman"/>
          <w:sz w:val="28"/>
          <w:szCs w:val="28"/>
          <w:lang w:eastAsia="ru-RU"/>
        </w:rPr>
        <w:lastRenderedPageBreak/>
        <w:t xml:space="preserve">есть добиться того, чтобы подходы, приоритеты и стандарты защиты прав человека, закреплённые в политике Союза, были согласованы с действиями и решениями международных и региональных организаций. Для этого ЕС интегрирует свои цели и принципы в деятельность ключевых международных структур – таких как Организация Объединённых Наций (в том числе Совет по правам человека и специализированные агентства), Совет Европы, Организация по безопасности и сотрудничеству в Европе (ОБСЕ) – а также развивает сотрудничество с региональными объединениями, включая Африканский </w:t>
      </w:r>
      <w:r w:rsidR="007C324F"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 Ассоциацию государств Юго-Восточной Азии (АСЕАН) и государства Центральной Азии. Такое взаимодействие позволяет вырабатывать единые позиции по правам человека, координировать действия в кризисных ситуациях и усиливать международные механизмы мониторинга и ответственности.</w:t>
      </w:r>
    </w:p>
    <w:p w14:paraId="4C827A56" w14:textId="77777777" w:rsidR="00E94B29" w:rsidRPr="001935D0" w:rsidRDefault="00E94B29" w:rsidP="001C67AB">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Ключевыми задачами в рамках данного направления выступают:</w:t>
      </w:r>
    </w:p>
    <w:p w14:paraId="449C22B6" w14:textId="18995123" w:rsidR="00E94B29" w:rsidRPr="001935D0" w:rsidRDefault="00831635" w:rsidP="001C67AB">
      <w:pPr>
        <w:pStyle w:val="NoSpacing"/>
        <w:numPr>
          <w:ilvl w:val="0"/>
          <w:numId w:val="10"/>
        </w:numPr>
        <w:tabs>
          <w:tab w:val="left" w:pos="851"/>
        </w:tabs>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E94B29" w:rsidRPr="001935D0">
        <w:rPr>
          <w:rFonts w:ascii="Times New Roman" w:eastAsia="Times New Roman" w:hAnsi="Times New Roman" w:cs="Times New Roman"/>
          <w:sz w:val="28"/>
          <w:szCs w:val="28"/>
          <w:lang w:eastAsia="ru-RU"/>
        </w:rPr>
        <w:t>укрепление универсальной системы договорных органов ООН и механизмов мониторинга;</w:t>
      </w:r>
    </w:p>
    <w:p w14:paraId="34EC886B" w14:textId="4CCA627D" w:rsidR="00E94B29" w:rsidRPr="001935D0" w:rsidRDefault="00831635" w:rsidP="001C67AB">
      <w:pPr>
        <w:pStyle w:val="NoSpacing"/>
        <w:numPr>
          <w:ilvl w:val="0"/>
          <w:numId w:val="10"/>
        </w:numPr>
        <w:tabs>
          <w:tab w:val="left" w:pos="851"/>
        </w:tabs>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E94B29" w:rsidRPr="001935D0">
        <w:rPr>
          <w:rFonts w:ascii="Times New Roman" w:eastAsia="Times New Roman" w:hAnsi="Times New Roman" w:cs="Times New Roman"/>
          <w:sz w:val="28"/>
          <w:szCs w:val="28"/>
          <w:lang w:eastAsia="ru-RU"/>
        </w:rPr>
        <w:t>содействие имплементации международных конвенций в национальное право;</w:t>
      </w:r>
    </w:p>
    <w:p w14:paraId="713A44B7" w14:textId="0B3126C9" w:rsidR="00E94B29" w:rsidRPr="001935D0" w:rsidRDefault="00831635" w:rsidP="001C67AB">
      <w:pPr>
        <w:pStyle w:val="NoSpacing"/>
        <w:numPr>
          <w:ilvl w:val="0"/>
          <w:numId w:val="10"/>
        </w:numPr>
        <w:tabs>
          <w:tab w:val="left" w:pos="851"/>
        </w:tabs>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E94B29" w:rsidRPr="001935D0">
        <w:rPr>
          <w:rFonts w:ascii="Times New Roman" w:eastAsia="Times New Roman" w:hAnsi="Times New Roman" w:cs="Times New Roman"/>
          <w:sz w:val="28"/>
          <w:szCs w:val="28"/>
          <w:lang w:eastAsia="ru-RU"/>
        </w:rPr>
        <w:t>расширение участия неправительственных акторов в межгосударственных диалогах;</w:t>
      </w:r>
    </w:p>
    <w:p w14:paraId="636B0422" w14:textId="77A9AA88" w:rsidR="00E94B29" w:rsidRPr="001935D0" w:rsidRDefault="00831635" w:rsidP="001C67AB">
      <w:pPr>
        <w:pStyle w:val="NoSpacing"/>
        <w:numPr>
          <w:ilvl w:val="0"/>
          <w:numId w:val="10"/>
        </w:numPr>
        <w:tabs>
          <w:tab w:val="left" w:pos="851"/>
        </w:tabs>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E94B29" w:rsidRPr="001935D0">
        <w:rPr>
          <w:rFonts w:ascii="Times New Roman" w:eastAsia="Times New Roman" w:hAnsi="Times New Roman" w:cs="Times New Roman"/>
          <w:sz w:val="28"/>
          <w:szCs w:val="28"/>
          <w:lang w:eastAsia="ru-RU"/>
        </w:rPr>
        <w:t>продвижение принципа взаимной подотчётности и транспарентности при реализации международных обязательств.</w:t>
      </w:r>
    </w:p>
    <w:p w14:paraId="1B8A7CAC" w14:textId="0924DD3F" w:rsidR="00E94B29" w:rsidRDefault="00E94B29" w:rsidP="001C67AB">
      <w:pPr>
        <w:pStyle w:val="NoSpacing"/>
        <w:ind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eastAsia="ru-RU"/>
        </w:rPr>
        <w:t xml:space="preserve">Как отмечает </w:t>
      </w:r>
      <w:r w:rsidR="008C763B" w:rsidRPr="008C763B">
        <w:rPr>
          <w:rFonts w:ascii="Times New Roman" w:eastAsia="Times New Roman" w:hAnsi="Times New Roman" w:cs="Times New Roman"/>
          <w:sz w:val="28"/>
          <w:szCs w:val="28"/>
          <w:lang w:eastAsia="ru-RU"/>
        </w:rPr>
        <w:t xml:space="preserve">Й. Фиала-Бутора </w:t>
      </w:r>
      <w:r w:rsidRPr="001935D0">
        <w:rPr>
          <w:rFonts w:ascii="Times New Roman" w:eastAsia="Times New Roman" w:hAnsi="Times New Roman" w:cs="Times New Roman"/>
          <w:sz w:val="28"/>
          <w:szCs w:val="28"/>
          <w:lang w:eastAsia="ru-RU"/>
        </w:rPr>
        <w:t>[10</w:t>
      </w:r>
      <w:r w:rsidR="00A45413">
        <w:rPr>
          <w:rFonts w:ascii="Times New Roman" w:eastAsia="Times New Roman" w:hAnsi="Times New Roman" w:cs="Times New Roman"/>
          <w:sz w:val="28"/>
          <w:szCs w:val="28"/>
          <w:lang w:val="kk-KZ" w:eastAsia="ru-RU"/>
        </w:rPr>
        <w:t>6, р. 101965</w:t>
      </w:r>
      <w:r w:rsidRPr="001935D0">
        <w:rPr>
          <w:rFonts w:ascii="Times New Roman" w:eastAsia="Times New Roman" w:hAnsi="Times New Roman" w:cs="Times New Roman"/>
          <w:sz w:val="28"/>
          <w:szCs w:val="28"/>
          <w:lang w:eastAsia="ru-RU"/>
        </w:rPr>
        <w:t>] опыт Европейского суда по правам человека (ЕСПЧ) в имплементации положений Конвенции ООН о правах инвалидов (CRPD) иллюстрирует сложность согласования различных правовых режимов, даже в рамках одной юрисдикции. Автор указывает, что гармонизация стандартов требует не только политической воли, но и выстраивания устойчивых процедурных механизмов, которые обеспечат реальное соблюдение прав в условиях многоуровневого регулирования.</w:t>
      </w:r>
    </w:p>
    <w:p w14:paraId="3C34A3F2" w14:textId="77777777" w:rsidR="00C05485" w:rsidRPr="001935D0" w:rsidRDefault="00C05485" w:rsidP="00C05485">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В таблице 2.11</w:t>
      </w:r>
      <w:r w:rsidRPr="00831635">
        <w:rPr>
          <w:rFonts w:ascii="Times New Roman" w:eastAsia="Times New Roman" w:hAnsi="Times New Roman" w:cs="Times New Roman"/>
          <w:sz w:val="28"/>
          <w:szCs w:val="28"/>
          <w:lang w:eastAsia="ru-RU"/>
        </w:rPr>
        <w:t xml:space="preserve"> </w:t>
      </w:r>
      <w:r w:rsidRPr="001935D0">
        <w:rPr>
          <w:rFonts w:ascii="Times New Roman" w:eastAsia="Times New Roman" w:hAnsi="Times New Roman" w:cs="Times New Roman"/>
          <w:sz w:val="28"/>
          <w:szCs w:val="28"/>
          <w:lang w:eastAsia="ru-RU"/>
        </w:rPr>
        <w:t>систематизированы</w:t>
      </w:r>
      <w:r>
        <w:rPr>
          <w:rFonts w:ascii="Times New Roman" w:eastAsia="Times New Roman" w:hAnsi="Times New Roman" w:cs="Times New Roman"/>
          <w:sz w:val="28"/>
          <w:szCs w:val="28"/>
          <w:lang w:val="kk-KZ" w:eastAsia="ru-RU"/>
        </w:rPr>
        <w:t xml:space="preserve"> </w:t>
      </w:r>
      <w:r w:rsidRPr="001935D0">
        <w:rPr>
          <w:rFonts w:ascii="Times New Roman" w:eastAsia="Times New Roman" w:hAnsi="Times New Roman" w:cs="Times New Roman"/>
          <w:sz w:val="28"/>
          <w:szCs w:val="28"/>
          <w:lang w:eastAsia="ru-RU"/>
        </w:rPr>
        <w:t>ключевые структурные элементы, которые определяют практическое наполнение третьего направления.</w:t>
      </w:r>
    </w:p>
    <w:p w14:paraId="3505D7CD" w14:textId="4A8257E6" w:rsidR="00C05485" w:rsidRPr="00C05485" w:rsidRDefault="00C05485" w:rsidP="00C05485">
      <w:pPr>
        <w:pStyle w:val="NoSpacing"/>
        <w:ind w:firstLine="709"/>
        <w:jc w:val="both"/>
        <w:rPr>
          <w:rFonts w:ascii="Times New Roman" w:eastAsia="Times New Roman" w:hAnsi="Times New Roman" w:cs="Times New Roman"/>
          <w:sz w:val="28"/>
          <w:szCs w:val="28"/>
          <w:lang w:val="kk-KZ" w:eastAsia="ru-RU"/>
        </w:rPr>
      </w:pPr>
      <w:r w:rsidRPr="001935D0">
        <w:rPr>
          <w:rFonts w:ascii="Times New Roman" w:eastAsia="Times New Roman" w:hAnsi="Times New Roman" w:cs="Times New Roman"/>
          <w:sz w:val="28"/>
          <w:szCs w:val="28"/>
          <w:lang w:eastAsia="ru-RU"/>
        </w:rPr>
        <w:t xml:space="preserve">Таким образом, третий приоритет Плана ЕС представляет собой связующее звено между универсальными правозащитными принципами и их практической реализацией в условиях региональных и национальных правовых систем. Его успешность напрямую зависит от способности Европейского </w:t>
      </w:r>
      <w:r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оюза сочетать нормативное влияние с учётом политических и культурных особенностей государств-партнёров, а также от готовности последних к реальной имплементации международных стандартов. Однако на эффективность данного направления влияют и внутренние политические приоритеты самого Союза, которые в последние годы претерпели заметные изменения.</w:t>
      </w:r>
    </w:p>
    <w:p w14:paraId="11040D8C" w14:textId="77777777" w:rsidR="00E94B29" w:rsidRPr="001935D0" w:rsidRDefault="00E94B29" w:rsidP="00593711">
      <w:pPr>
        <w:pStyle w:val="NoSpacing"/>
        <w:ind w:firstLine="567"/>
        <w:jc w:val="both"/>
        <w:rPr>
          <w:rFonts w:ascii="Times New Roman" w:eastAsia="Times New Roman" w:hAnsi="Times New Roman" w:cs="Times New Roman"/>
          <w:sz w:val="28"/>
          <w:szCs w:val="28"/>
          <w:lang w:eastAsia="ru-RU"/>
        </w:rPr>
      </w:pPr>
    </w:p>
    <w:p w14:paraId="63887F63" w14:textId="781DC0EF" w:rsidR="00E94B29" w:rsidRDefault="00E94B29" w:rsidP="00831635">
      <w:pPr>
        <w:pStyle w:val="NoSpacing"/>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eastAsia="ru-RU"/>
        </w:rPr>
        <w:t xml:space="preserve">Таблица 2.11 </w:t>
      </w:r>
      <w:r w:rsidR="00831635">
        <w:rPr>
          <w:rFonts w:ascii="Times New Roman" w:eastAsia="Times New Roman" w:hAnsi="Times New Roman" w:cs="Times New Roman"/>
          <w:bCs/>
          <w:sz w:val="28"/>
          <w:szCs w:val="28"/>
          <w:lang w:eastAsia="ru-RU"/>
        </w:rPr>
        <w:t>‒</w:t>
      </w:r>
      <w:r w:rsidR="00831635">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Основные компоненты реализации приоритета «Формирование глобальной системы защиты прав»</w:t>
      </w:r>
    </w:p>
    <w:p w14:paraId="287F9141" w14:textId="77777777" w:rsidR="00831635" w:rsidRPr="00831635" w:rsidRDefault="00831635" w:rsidP="00831635">
      <w:pPr>
        <w:pStyle w:val="NoSpacing"/>
        <w:jc w:val="both"/>
        <w:rPr>
          <w:rFonts w:ascii="Times New Roman" w:eastAsia="Times New Roman" w:hAnsi="Times New Roman" w:cs="Times New Roman"/>
          <w:bCs/>
          <w:sz w:val="16"/>
          <w:szCs w:val="16"/>
          <w:lang w:val="kk-KZ" w:eastAsia="ru-RU"/>
        </w:rPr>
      </w:pPr>
    </w:p>
    <w:tbl>
      <w:tblPr>
        <w:tblStyle w:val="TableGrid"/>
        <w:tblW w:w="0" w:type="auto"/>
        <w:jc w:val="center"/>
        <w:tblLook w:val="04A0" w:firstRow="1" w:lastRow="0" w:firstColumn="1" w:lastColumn="0" w:noHBand="0" w:noVBand="1"/>
      </w:tblPr>
      <w:tblGrid>
        <w:gridCol w:w="2693"/>
        <w:gridCol w:w="3260"/>
        <w:gridCol w:w="3538"/>
      </w:tblGrid>
      <w:tr w:rsidR="00E94B29" w:rsidRPr="00831635" w14:paraId="39B2535B" w14:textId="77777777" w:rsidTr="00831635">
        <w:trPr>
          <w:jc w:val="center"/>
        </w:trPr>
        <w:tc>
          <w:tcPr>
            <w:tcW w:w="2693" w:type="dxa"/>
            <w:vAlign w:val="center"/>
          </w:tcPr>
          <w:p w14:paraId="068BD667" w14:textId="77777777" w:rsidR="00E94B29" w:rsidRPr="00831635" w:rsidRDefault="00E94B29" w:rsidP="00593711">
            <w:pPr>
              <w:pStyle w:val="NoSpacing"/>
              <w:jc w:val="center"/>
              <w:rPr>
                <w:rFonts w:ascii="Times New Roman" w:eastAsia="Times New Roman" w:hAnsi="Times New Roman" w:cs="Times New Roman"/>
                <w:sz w:val="24"/>
                <w:szCs w:val="24"/>
                <w:lang w:eastAsia="ru-RU"/>
              </w:rPr>
            </w:pPr>
            <w:r w:rsidRPr="00831635">
              <w:rPr>
                <w:rFonts w:ascii="Times New Roman" w:eastAsia="Times New Roman" w:hAnsi="Times New Roman" w:cs="Times New Roman"/>
                <w:bCs/>
                <w:sz w:val="24"/>
                <w:szCs w:val="24"/>
                <w:lang w:eastAsia="ru-RU"/>
              </w:rPr>
              <w:t>Компонент</w:t>
            </w:r>
          </w:p>
        </w:tc>
        <w:tc>
          <w:tcPr>
            <w:tcW w:w="3260" w:type="dxa"/>
            <w:vAlign w:val="center"/>
          </w:tcPr>
          <w:p w14:paraId="3DACF44D" w14:textId="77777777" w:rsidR="00E94B29" w:rsidRPr="00831635" w:rsidRDefault="00E94B29" w:rsidP="00593711">
            <w:pPr>
              <w:pStyle w:val="NoSpacing"/>
              <w:jc w:val="center"/>
              <w:rPr>
                <w:rFonts w:ascii="Times New Roman" w:eastAsia="Times New Roman" w:hAnsi="Times New Roman" w:cs="Times New Roman"/>
                <w:sz w:val="24"/>
                <w:szCs w:val="24"/>
                <w:lang w:eastAsia="ru-RU"/>
              </w:rPr>
            </w:pPr>
            <w:r w:rsidRPr="00831635">
              <w:rPr>
                <w:rFonts w:ascii="Times New Roman" w:eastAsia="Times New Roman" w:hAnsi="Times New Roman" w:cs="Times New Roman"/>
                <w:bCs/>
                <w:sz w:val="24"/>
                <w:szCs w:val="24"/>
                <w:lang w:eastAsia="ru-RU"/>
              </w:rPr>
              <w:t>Описание</w:t>
            </w:r>
          </w:p>
        </w:tc>
        <w:tc>
          <w:tcPr>
            <w:tcW w:w="3538" w:type="dxa"/>
            <w:vAlign w:val="center"/>
          </w:tcPr>
          <w:p w14:paraId="2F25015F" w14:textId="77777777" w:rsidR="00E94B29" w:rsidRPr="00831635" w:rsidRDefault="00E94B29" w:rsidP="00593711">
            <w:pPr>
              <w:pStyle w:val="NoSpacing"/>
              <w:jc w:val="center"/>
              <w:rPr>
                <w:rFonts w:ascii="Times New Roman" w:eastAsia="Times New Roman" w:hAnsi="Times New Roman" w:cs="Times New Roman"/>
                <w:sz w:val="24"/>
                <w:szCs w:val="24"/>
                <w:lang w:eastAsia="ru-RU"/>
              </w:rPr>
            </w:pPr>
            <w:r w:rsidRPr="00831635">
              <w:rPr>
                <w:rFonts w:ascii="Times New Roman" w:eastAsia="Times New Roman" w:hAnsi="Times New Roman" w:cs="Times New Roman"/>
                <w:bCs/>
                <w:sz w:val="24"/>
                <w:szCs w:val="24"/>
                <w:lang w:eastAsia="ru-RU"/>
              </w:rPr>
              <w:t>Примеры инструментов ЕС</w:t>
            </w:r>
          </w:p>
        </w:tc>
      </w:tr>
      <w:tr w:rsidR="00E94B29" w:rsidRPr="001935D0" w14:paraId="0166769E" w14:textId="77777777" w:rsidTr="00831635">
        <w:trPr>
          <w:jc w:val="center"/>
        </w:trPr>
        <w:tc>
          <w:tcPr>
            <w:tcW w:w="2693" w:type="dxa"/>
            <w:vAlign w:val="center"/>
          </w:tcPr>
          <w:p w14:paraId="0934AC98" w14:textId="455AF812"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lastRenderedPageBreak/>
              <w:t>Усиление многосторон</w:t>
            </w:r>
            <w:r w:rsidR="00831635">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них механизмов</w:t>
            </w:r>
          </w:p>
        </w:tc>
        <w:tc>
          <w:tcPr>
            <w:tcW w:w="3260" w:type="dxa"/>
            <w:vAlign w:val="center"/>
          </w:tcPr>
          <w:p w14:paraId="44CDF13A"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Поддержка договорных органов ООН, Совета Европы, ОБСЕ</w:t>
            </w:r>
          </w:p>
        </w:tc>
        <w:tc>
          <w:tcPr>
            <w:tcW w:w="3538" w:type="dxa"/>
            <w:vAlign w:val="center"/>
          </w:tcPr>
          <w:p w14:paraId="2BAC05C7" w14:textId="4DEB9218"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Совместные декларации, фи</w:t>
            </w:r>
            <w:r w:rsidR="00831635">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нансирование экспертных миссий</w:t>
            </w:r>
          </w:p>
        </w:tc>
      </w:tr>
      <w:tr w:rsidR="00E94B29" w:rsidRPr="001935D0" w14:paraId="27A7C091" w14:textId="77777777" w:rsidTr="00831635">
        <w:trPr>
          <w:jc w:val="center"/>
        </w:trPr>
        <w:tc>
          <w:tcPr>
            <w:tcW w:w="2693" w:type="dxa"/>
            <w:vAlign w:val="center"/>
          </w:tcPr>
          <w:p w14:paraId="52E13E46" w14:textId="102B42DC"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Интеграция междуна</w:t>
            </w:r>
            <w:r w:rsidR="00831635">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родных стандартов в национальное право</w:t>
            </w:r>
          </w:p>
        </w:tc>
        <w:tc>
          <w:tcPr>
            <w:tcW w:w="3260" w:type="dxa"/>
            <w:vAlign w:val="center"/>
          </w:tcPr>
          <w:p w14:paraId="261EEA16"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Адаптация и имплементация конвенций</w:t>
            </w:r>
          </w:p>
        </w:tc>
        <w:tc>
          <w:tcPr>
            <w:tcW w:w="3538" w:type="dxa"/>
            <w:vAlign w:val="center"/>
          </w:tcPr>
          <w:p w14:paraId="0B070717"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Техническая помощь, обмен опытом, законодательное сопровождение</w:t>
            </w:r>
          </w:p>
        </w:tc>
      </w:tr>
      <w:tr w:rsidR="00E94B29" w:rsidRPr="001935D0" w14:paraId="65720B14" w14:textId="77777777" w:rsidTr="00831635">
        <w:trPr>
          <w:jc w:val="center"/>
        </w:trPr>
        <w:tc>
          <w:tcPr>
            <w:tcW w:w="2693" w:type="dxa"/>
            <w:vAlign w:val="center"/>
          </w:tcPr>
          <w:p w14:paraId="699351E4"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Участие гражданского общества</w:t>
            </w:r>
          </w:p>
        </w:tc>
        <w:tc>
          <w:tcPr>
            <w:tcW w:w="3260" w:type="dxa"/>
            <w:vAlign w:val="center"/>
          </w:tcPr>
          <w:p w14:paraId="53B98227"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Расширение роли НПО в мониторинге и отчётности</w:t>
            </w:r>
          </w:p>
        </w:tc>
        <w:tc>
          <w:tcPr>
            <w:tcW w:w="3538" w:type="dxa"/>
            <w:vAlign w:val="center"/>
          </w:tcPr>
          <w:p w14:paraId="0EC2E258"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Форумы, грантовые программы, консультационные советы</w:t>
            </w:r>
          </w:p>
        </w:tc>
      </w:tr>
      <w:tr w:rsidR="00E94B29" w:rsidRPr="001935D0" w14:paraId="1CF633EE" w14:textId="77777777" w:rsidTr="00831635">
        <w:trPr>
          <w:jc w:val="center"/>
        </w:trPr>
        <w:tc>
          <w:tcPr>
            <w:tcW w:w="2693" w:type="dxa"/>
            <w:vAlign w:val="center"/>
          </w:tcPr>
          <w:p w14:paraId="631FF88C" w14:textId="66B099A2"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Координация с региона</w:t>
            </w:r>
            <w:r w:rsidR="00831635">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льными организациями</w:t>
            </w:r>
          </w:p>
        </w:tc>
        <w:tc>
          <w:tcPr>
            <w:tcW w:w="3260" w:type="dxa"/>
            <w:vAlign w:val="center"/>
          </w:tcPr>
          <w:p w14:paraId="5C8EFD7B"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Выстраивание партнёрств и обмен данными</w:t>
            </w:r>
          </w:p>
        </w:tc>
        <w:tc>
          <w:tcPr>
            <w:tcW w:w="3538" w:type="dxa"/>
            <w:vAlign w:val="center"/>
          </w:tcPr>
          <w:p w14:paraId="749F43BA"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Региональные платформы, совместные исследования</w:t>
            </w:r>
          </w:p>
        </w:tc>
      </w:tr>
      <w:tr w:rsidR="00831635" w:rsidRPr="001935D0" w14:paraId="189DB748" w14:textId="77777777" w:rsidTr="00831635">
        <w:trPr>
          <w:jc w:val="center"/>
        </w:trPr>
        <w:tc>
          <w:tcPr>
            <w:tcW w:w="9491" w:type="dxa"/>
            <w:gridSpan w:val="3"/>
            <w:vAlign w:val="center"/>
          </w:tcPr>
          <w:p w14:paraId="5B243F50" w14:textId="3428123F" w:rsidR="00831635" w:rsidRPr="00831635" w:rsidRDefault="00831635" w:rsidP="00A45413">
            <w:pPr>
              <w:pStyle w:val="NoSpacing"/>
              <w:ind w:firstLine="455"/>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источника </w:t>
            </w:r>
            <w:r w:rsidRPr="001935D0">
              <w:rPr>
                <w:rFonts w:ascii="Times New Roman" w:hAnsi="Times New Roman" w:cs="Times New Roman"/>
                <w:sz w:val="24"/>
                <w:szCs w:val="24"/>
              </w:rPr>
              <w:t>[10</w:t>
            </w:r>
            <w:r w:rsidR="00A45413">
              <w:rPr>
                <w:rFonts w:ascii="Times New Roman" w:hAnsi="Times New Roman" w:cs="Times New Roman"/>
                <w:sz w:val="24"/>
                <w:szCs w:val="24"/>
                <w:lang w:val="kk-KZ"/>
              </w:rPr>
              <w:t>2</w:t>
            </w:r>
            <w:r w:rsidRPr="001935D0">
              <w:rPr>
                <w:rFonts w:ascii="Times New Roman" w:hAnsi="Times New Roman" w:cs="Times New Roman"/>
                <w:sz w:val="24"/>
                <w:szCs w:val="24"/>
              </w:rPr>
              <w:t>]</w:t>
            </w:r>
          </w:p>
        </w:tc>
      </w:tr>
    </w:tbl>
    <w:p w14:paraId="1FEB7FA8" w14:textId="131F5B7F" w:rsidR="00E94B29" w:rsidRPr="001935D0" w:rsidRDefault="00E94B29" w:rsidP="001C67AB">
      <w:pPr>
        <w:pStyle w:val="NoSpacing"/>
        <w:ind w:firstLine="709"/>
        <w:jc w:val="both"/>
        <w:rPr>
          <w:rFonts w:ascii="Times New Roman" w:eastAsia="Times New Roman" w:hAnsi="Times New Roman" w:cs="Times New Roman"/>
          <w:sz w:val="28"/>
          <w:szCs w:val="28"/>
          <w:lang w:eastAsia="ru-RU"/>
        </w:rPr>
      </w:pPr>
    </w:p>
    <w:p w14:paraId="288D0887" w14:textId="7E3254DB" w:rsidR="00E94B29" w:rsidRPr="001935D0" w:rsidRDefault="00E94B29" w:rsidP="001C67AB">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В</w:t>
      </w:r>
      <w:r w:rsidRPr="008C763B">
        <w:rPr>
          <w:rFonts w:ascii="Times New Roman" w:eastAsia="Times New Roman" w:hAnsi="Times New Roman" w:cs="Times New Roman"/>
          <w:sz w:val="28"/>
          <w:szCs w:val="28"/>
          <w:lang w:eastAsia="ru-RU"/>
        </w:rPr>
        <w:t xml:space="preserve"> </w:t>
      </w:r>
      <w:r w:rsidRPr="001935D0">
        <w:rPr>
          <w:rFonts w:ascii="Times New Roman" w:eastAsia="Times New Roman" w:hAnsi="Times New Roman" w:cs="Times New Roman"/>
          <w:sz w:val="28"/>
          <w:szCs w:val="28"/>
          <w:lang w:eastAsia="ru-RU"/>
        </w:rPr>
        <w:t>частности</w:t>
      </w:r>
      <w:r w:rsidRPr="008C763B">
        <w:rPr>
          <w:rFonts w:ascii="Times New Roman" w:eastAsia="Times New Roman" w:hAnsi="Times New Roman" w:cs="Times New Roman"/>
          <w:sz w:val="28"/>
          <w:szCs w:val="28"/>
          <w:lang w:eastAsia="ru-RU"/>
        </w:rPr>
        <w:t xml:space="preserve">, </w:t>
      </w:r>
      <w:r w:rsidRPr="001935D0">
        <w:rPr>
          <w:rFonts w:ascii="Times New Roman" w:eastAsia="Times New Roman" w:hAnsi="Times New Roman" w:cs="Times New Roman"/>
          <w:sz w:val="28"/>
          <w:szCs w:val="28"/>
          <w:lang w:eastAsia="ru-RU"/>
        </w:rPr>
        <w:t>обзор</w:t>
      </w:r>
      <w:r w:rsidRPr="008C763B">
        <w:rPr>
          <w:rFonts w:ascii="Times New Roman" w:eastAsia="Times New Roman" w:hAnsi="Times New Roman" w:cs="Times New Roman"/>
          <w:sz w:val="28"/>
          <w:szCs w:val="28"/>
          <w:lang w:eastAsia="ru-RU"/>
        </w:rPr>
        <w:t xml:space="preserve"> </w:t>
      </w:r>
      <w:r w:rsidRPr="001935D0">
        <w:rPr>
          <w:rFonts w:ascii="Times New Roman" w:eastAsia="Times New Roman" w:hAnsi="Times New Roman" w:cs="Times New Roman"/>
          <w:sz w:val="28"/>
          <w:szCs w:val="28"/>
          <w:lang w:val="en-US" w:eastAsia="ru-RU"/>
        </w:rPr>
        <w:t>European</w:t>
      </w:r>
      <w:r w:rsidRPr="008C763B">
        <w:rPr>
          <w:rFonts w:ascii="Times New Roman" w:eastAsia="Times New Roman" w:hAnsi="Times New Roman" w:cs="Times New Roman"/>
          <w:sz w:val="28"/>
          <w:szCs w:val="28"/>
          <w:lang w:eastAsia="ru-RU"/>
        </w:rPr>
        <w:t xml:space="preserve"> </w:t>
      </w:r>
      <w:r w:rsidRPr="001935D0">
        <w:rPr>
          <w:rFonts w:ascii="Times New Roman" w:eastAsia="Times New Roman" w:hAnsi="Times New Roman" w:cs="Times New Roman"/>
          <w:sz w:val="28"/>
          <w:szCs w:val="28"/>
          <w:lang w:val="en-US" w:eastAsia="ru-RU"/>
        </w:rPr>
        <w:t>Democracy</w:t>
      </w:r>
      <w:r w:rsidRPr="008C763B">
        <w:rPr>
          <w:rFonts w:ascii="Times New Roman" w:eastAsia="Times New Roman" w:hAnsi="Times New Roman" w:cs="Times New Roman"/>
          <w:sz w:val="28"/>
          <w:szCs w:val="28"/>
          <w:lang w:eastAsia="ru-RU"/>
        </w:rPr>
        <w:t xml:space="preserve"> </w:t>
      </w:r>
      <w:r w:rsidRPr="001935D0">
        <w:rPr>
          <w:rFonts w:ascii="Times New Roman" w:eastAsia="Times New Roman" w:hAnsi="Times New Roman" w:cs="Times New Roman"/>
          <w:sz w:val="28"/>
          <w:szCs w:val="28"/>
          <w:lang w:val="en-US" w:eastAsia="ru-RU"/>
        </w:rPr>
        <w:t>Support</w:t>
      </w:r>
      <w:r w:rsidRPr="008C763B">
        <w:rPr>
          <w:rFonts w:ascii="Times New Roman" w:eastAsia="Times New Roman" w:hAnsi="Times New Roman" w:cs="Times New Roman"/>
          <w:sz w:val="28"/>
          <w:szCs w:val="28"/>
          <w:lang w:eastAsia="ru-RU"/>
        </w:rPr>
        <w:t xml:space="preserve"> </w:t>
      </w:r>
      <w:r w:rsidRPr="001935D0">
        <w:rPr>
          <w:rFonts w:ascii="Times New Roman" w:eastAsia="Times New Roman" w:hAnsi="Times New Roman" w:cs="Times New Roman"/>
          <w:sz w:val="28"/>
          <w:szCs w:val="28"/>
          <w:lang w:val="en-US" w:eastAsia="ru-RU"/>
        </w:rPr>
        <w:t>Annual</w:t>
      </w:r>
      <w:r w:rsidRPr="008C763B">
        <w:rPr>
          <w:rFonts w:ascii="Times New Roman" w:eastAsia="Times New Roman" w:hAnsi="Times New Roman" w:cs="Times New Roman"/>
          <w:sz w:val="28"/>
          <w:szCs w:val="28"/>
          <w:lang w:eastAsia="ru-RU"/>
        </w:rPr>
        <w:t xml:space="preserve"> </w:t>
      </w:r>
      <w:r w:rsidRPr="001935D0">
        <w:rPr>
          <w:rFonts w:ascii="Times New Roman" w:eastAsia="Times New Roman" w:hAnsi="Times New Roman" w:cs="Times New Roman"/>
          <w:sz w:val="28"/>
          <w:szCs w:val="28"/>
          <w:lang w:val="en-US" w:eastAsia="ru-RU"/>
        </w:rPr>
        <w:t>Review</w:t>
      </w:r>
      <w:r w:rsidRPr="008C763B">
        <w:rPr>
          <w:rFonts w:ascii="Times New Roman" w:eastAsia="Times New Roman" w:hAnsi="Times New Roman" w:cs="Times New Roman"/>
          <w:sz w:val="28"/>
          <w:szCs w:val="28"/>
          <w:lang w:eastAsia="ru-RU"/>
        </w:rPr>
        <w:t xml:space="preserve"> 2024, </w:t>
      </w:r>
      <w:r w:rsidRPr="001935D0">
        <w:rPr>
          <w:rFonts w:ascii="Times New Roman" w:eastAsia="Times New Roman" w:hAnsi="Times New Roman" w:cs="Times New Roman"/>
          <w:sz w:val="28"/>
          <w:szCs w:val="28"/>
          <w:lang w:eastAsia="ru-RU"/>
        </w:rPr>
        <w:t>подготовленный</w:t>
      </w:r>
      <w:r w:rsidRPr="008C763B">
        <w:rPr>
          <w:rFonts w:ascii="Times New Roman" w:eastAsia="Times New Roman" w:hAnsi="Times New Roman" w:cs="Times New Roman"/>
          <w:sz w:val="28"/>
          <w:szCs w:val="28"/>
          <w:lang w:eastAsia="ru-RU"/>
        </w:rPr>
        <w:t xml:space="preserve"> </w:t>
      </w:r>
      <w:r w:rsidR="008C763B" w:rsidRPr="008C763B">
        <w:rPr>
          <w:rFonts w:ascii="Times New Roman" w:eastAsia="Times New Roman" w:hAnsi="Times New Roman" w:cs="Times New Roman"/>
          <w:sz w:val="28"/>
          <w:szCs w:val="28"/>
          <w:lang w:eastAsia="ru-RU"/>
        </w:rPr>
        <w:t xml:space="preserve">Р. Янгс </w:t>
      </w:r>
      <w:r w:rsidRPr="001935D0">
        <w:rPr>
          <w:rFonts w:ascii="Times New Roman" w:eastAsia="Times New Roman" w:hAnsi="Times New Roman" w:cs="Times New Roman"/>
          <w:sz w:val="28"/>
          <w:szCs w:val="28"/>
          <w:lang w:eastAsia="ru-RU"/>
        </w:rPr>
        <w:t>[</w:t>
      </w:r>
      <w:r w:rsidR="00A45413">
        <w:rPr>
          <w:rFonts w:ascii="Times New Roman" w:eastAsia="Times New Roman" w:hAnsi="Times New Roman" w:cs="Times New Roman"/>
          <w:sz w:val="28"/>
          <w:szCs w:val="28"/>
          <w:lang w:val="kk-KZ" w:eastAsia="ru-RU"/>
        </w:rPr>
        <w:t>45</w:t>
      </w:r>
      <w:r w:rsidRPr="001935D0">
        <w:rPr>
          <w:rFonts w:ascii="Times New Roman" w:eastAsia="Times New Roman" w:hAnsi="Times New Roman" w:cs="Times New Roman"/>
          <w:sz w:val="28"/>
          <w:szCs w:val="28"/>
          <w:lang w:eastAsia="ru-RU"/>
        </w:rPr>
        <w:t>]</w:t>
      </w:r>
      <w:r w:rsidR="00F116BD" w:rsidRPr="001935D0">
        <w:rPr>
          <w:rFonts w:ascii="Times New Roman" w:eastAsia="Times New Roman" w:hAnsi="Times New Roman" w:cs="Times New Roman"/>
          <w:sz w:val="28"/>
          <w:szCs w:val="28"/>
          <w:lang w:eastAsia="ru-RU"/>
        </w:rPr>
        <w:t xml:space="preserve"> </w:t>
      </w:r>
      <w:r w:rsidRPr="001935D0">
        <w:rPr>
          <w:rFonts w:ascii="Times New Roman" w:eastAsia="Times New Roman" w:hAnsi="Times New Roman" w:cs="Times New Roman"/>
          <w:sz w:val="28"/>
          <w:szCs w:val="28"/>
          <w:lang w:eastAsia="ru-RU"/>
        </w:rPr>
        <w:t>демонстрирует значительное смещение акцентов ЕС в сторону защиты собственной демократии. На фоне глобальных кризисов и «супервыборного» года внимание Союза сосредоточилось на противодействии внутренним угрозам – вмешательству извне, росту правого популизма, подрыву доверия к избирательным процессам. Это перераспределение ресурсов и политической энергии обусловило снижение активности в поддержке демократических институтов за пределами ЕС, в том числе посредством применения санкций и механизмов условности.</w:t>
      </w:r>
    </w:p>
    <w:p w14:paraId="458CFB3C" w14:textId="64F81B33" w:rsidR="00E94B29" w:rsidRPr="001935D0" w:rsidRDefault="00E94B29" w:rsidP="001C67AB">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Вопрос восприятия лидерства ЕС в международной правозащитной системе имеет ключевое значение для оценки эффективности реализации Плана. Исследование </w:t>
      </w:r>
      <w:r w:rsidR="008C763B" w:rsidRPr="008C763B">
        <w:rPr>
          <w:rFonts w:ascii="Times New Roman" w:eastAsia="Times New Roman" w:hAnsi="Times New Roman" w:cs="Times New Roman"/>
          <w:sz w:val="28"/>
          <w:szCs w:val="28"/>
          <w:lang w:eastAsia="ru-RU"/>
        </w:rPr>
        <w:t xml:space="preserve">Х. Туоминен </w:t>
      </w:r>
      <w:r w:rsidRPr="001935D0">
        <w:rPr>
          <w:rFonts w:ascii="Times New Roman" w:eastAsia="Times New Roman" w:hAnsi="Times New Roman" w:cs="Times New Roman"/>
          <w:sz w:val="28"/>
          <w:szCs w:val="28"/>
          <w:lang w:eastAsia="ru-RU"/>
        </w:rPr>
        <w:t>[</w:t>
      </w:r>
      <w:r w:rsidR="00A45413">
        <w:rPr>
          <w:rFonts w:ascii="Times New Roman" w:eastAsia="Times New Roman" w:hAnsi="Times New Roman" w:cs="Times New Roman"/>
          <w:sz w:val="28"/>
          <w:szCs w:val="28"/>
          <w:lang w:val="kk-KZ" w:eastAsia="ru-RU"/>
        </w:rPr>
        <w:t>24</w:t>
      </w:r>
      <w:r w:rsidR="00F92F44" w:rsidRPr="00F92F44">
        <w:rPr>
          <w:rFonts w:ascii="Times New Roman" w:eastAsia="Times New Roman" w:hAnsi="Times New Roman" w:cs="Times New Roman"/>
          <w:sz w:val="28"/>
          <w:szCs w:val="28"/>
          <w:lang w:eastAsia="ru-RU"/>
        </w:rPr>
        <w:t xml:space="preserve">, </w:t>
      </w:r>
      <w:r w:rsidR="00F92F44">
        <w:rPr>
          <w:rFonts w:ascii="Times New Roman" w:eastAsia="Times New Roman" w:hAnsi="Times New Roman" w:cs="Times New Roman"/>
          <w:sz w:val="28"/>
          <w:szCs w:val="28"/>
          <w:lang w:val="en-US" w:eastAsia="ru-RU"/>
        </w:rPr>
        <w:t>p</w:t>
      </w:r>
      <w:r w:rsidR="00F92F44" w:rsidRPr="00F92F44">
        <w:rPr>
          <w:rFonts w:ascii="Times New Roman" w:eastAsia="Times New Roman" w:hAnsi="Times New Roman" w:cs="Times New Roman"/>
          <w:sz w:val="28"/>
          <w:szCs w:val="28"/>
          <w:lang w:eastAsia="ru-RU"/>
        </w:rPr>
        <w:t>. 903-920</w:t>
      </w:r>
      <w:r w:rsidRPr="001935D0">
        <w:rPr>
          <w:rFonts w:ascii="Times New Roman" w:eastAsia="Times New Roman" w:hAnsi="Times New Roman" w:cs="Times New Roman"/>
          <w:sz w:val="28"/>
          <w:szCs w:val="28"/>
          <w:lang w:eastAsia="ru-RU"/>
        </w:rPr>
        <w:t xml:space="preserve">], проведённое в Женеве на базе Совета по правам человека ООН, показывает, что, несмотря на декларируемое стремление ЕС к лидерству, признание этой роли другими акторами остаётся неоднозначным. Опираясь на теорию ролей, автор подчёркивает, что лидерство ЕС носит реляционный характер и возможно только при подтверждении со стороны других участников. Однако внутренняя несогласованность позиций государств-членов и ограниченная гибкость дипломатических инструментов снижают результативность усилий </w:t>
      </w:r>
      <w:r w:rsidR="007C324F" w:rsidRPr="001935D0">
        <w:rPr>
          <w:rFonts w:ascii="Times New Roman" w:hAnsi="Times New Roman" w:cs="Times New Roman"/>
          <w:sz w:val="28"/>
          <w:szCs w:val="28"/>
        </w:rPr>
        <w:t>Европейского Союза</w:t>
      </w:r>
      <w:r w:rsidRPr="001935D0">
        <w:rPr>
          <w:rFonts w:ascii="Times New Roman" w:eastAsia="Times New Roman" w:hAnsi="Times New Roman" w:cs="Times New Roman"/>
          <w:sz w:val="28"/>
          <w:szCs w:val="28"/>
          <w:lang w:eastAsia="ru-RU"/>
        </w:rPr>
        <w:t>, особенно в условиях конкуренции со стороны Китая, США и России.</w:t>
      </w:r>
    </w:p>
    <w:p w14:paraId="4C8EFE9E" w14:textId="19DDB880" w:rsidR="00E94B29" w:rsidRPr="001935D0" w:rsidRDefault="00E94B29" w:rsidP="001C67AB">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Вместе с тем, эффективная реализация данного направления требует не только укрепления международного авторитета ЕС, но и совершенствования практических инструментов защиты прав человека. В этой связи особое значение приобретает продвижение принципов надлежащей проверки в области прав человека (Human Rights Due Diligence, HRDD) в корпоративной практике [10</w:t>
      </w:r>
      <w:r w:rsidR="00A45413">
        <w:rPr>
          <w:rFonts w:ascii="Times New Roman" w:eastAsia="Times New Roman" w:hAnsi="Times New Roman" w:cs="Times New Roman"/>
          <w:sz w:val="28"/>
          <w:szCs w:val="28"/>
          <w:lang w:val="kk-KZ" w:eastAsia="ru-RU"/>
        </w:rPr>
        <w:t>2</w:t>
      </w:r>
      <w:r w:rsidRPr="001935D0">
        <w:rPr>
          <w:rFonts w:ascii="Times New Roman" w:eastAsia="Times New Roman" w:hAnsi="Times New Roman" w:cs="Times New Roman"/>
          <w:sz w:val="28"/>
          <w:szCs w:val="28"/>
          <w:lang w:eastAsia="ru-RU"/>
        </w:rPr>
        <w:t xml:space="preserve">]. Исследование </w:t>
      </w:r>
      <w:r w:rsidR="00A67C1D" w:rsidRPr="00A67C1D">
        <w:rPr>
          <w:rFonts w:ascii="Times New Roman" w:eastAsia="Times New Roman" w:hAnsi="Times New Roman" w:cs="Times New Roman"/>
          <w:sz w:val="28"/>
          <w:szCs w:val="28"/>
          <w:lang w:eastAsia="ru-RU"/>
        </w:rPr>
        <w:t xml:space="preserve">М. Роджерсон </w:t>
      </w:r>
      <w:r w:rsidRPr="001935D0">
        <w:rPr>
          <w:rFonts w:ascii="Times New Roman" w:eastAsia="Times New Roman" w:hAnsi="Times New Roman" w:cs="Times New Roman"/>
          <w:sz w:val="28"/>
          <w:szCs w:val="28"/>
          <w:lang w:eastAsia="ru-RU"/>
        </w:rPr>
        <w:t>[</w:t>
      </w:r>
      <w:r w:rsidR="00A45413">
        <w:rPr>
          <w:rFonts w:ascii="Times New Roman" w:eastAsia="Times New Roman" w:hAnsi="Times New Roman" w:cs="Times New Roman"/>
          <w:sz w:val="28"/>
          <w:szCs w:val="28"/>
          <w:lang w:val="kk-KZ" w:eastAsia="ru-RU"/>
        </w:rPr>
        <w:t>107, р. 102716</w:t>
      </w:r>
      <w:r w:rsidRPr="001935D0">
        <w:rPr>
          <w:rFonts w:ascii="Times New Roman" w:eastAsia="Times New Roman" w:hAnsi="Times New Roman" w:cs="Times New Roman"/>
          <w:sz w:val="28"/>
          <w:szCs w:val="28"/>
          <w:lang w:eastAsia="ru-RU"/>
        </w:rPr>
        <w:t>], основанное на анализе отчётности 100 крупнейших компаний ЕС, выделяет три стратегии корпоративного раскрытия информации: игнорирование, сокрытие и формальное соответствие. Высокая доля компаний, полностью игнорирующих обязательства по HRDD, а также тенденция к символическому декларированию приверженности правам человека вызывают сомнения в эффективности добровольного соблюдения норм, особенно в преддверии принятия директивы ЕС о надлежащей корпоративной проверке устойчивого развития (Corporate Sustainability Due Diligence Directive – CRPD).</w:t>
      </w:r>
    </w:p>
    <w:p w14:paraId="24CADABA" w14:textId="62EBB2A0" w:rsidR="00E94B29" w:rsidRPr="001935D0" w:rsidRDefault="00E94B29" w:rsidP="001C67AB">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lastRenderedPageBreak/>
        <w:t xml:space="preserve">В рамках внешнеполитической стратегии ЕС особое внимание уделяется включению прав человека в торговую политику. Согласно аналитическому обзору </w:t>
      </w:r>
      <w:r w:rsidR="00A342ED" w:rsidRPr="00A342ED">
        <w:rPr>
          <w:rFonts w:ascii="Times New Roman" w:eastAsia="Times New Roman" w:hAnsi="Times New Roman" w:cs="Times New Roman"/>
          <w:sz w:val="28"/>
          <w:szCs w:val="28"/>
          <w:lang w:eastAsia="ru-RU"/>
        </w:rPr>
        <w:t xml:space="preserve">И. Замфир </w:t>
      </w:r>
      <w:r w:rsidRPr="001935D0">
        <w:rPr>
          <w:rFonts w:ascii="Times New Roman" w:eastAsia="Times New Roman" w:hAnsi="Times New Roman" w:cs="Times New Roman"/>
          <w:sz w:val="28"/>
          <w:szCs w:val="28"/>
          <w:lang w:eastAsia="ru-RU"/>
        </w:rPr>
        <w:t>[1</w:t>
      </w:r>
      <w:r w:rsidR="00A45413">
        <w:rPr>
          <w:rFonts w:ascii="Times New Roman" w:eastAsia="Times New Roman" w:hAnsi="Times New Roman" w:cs="Times New Roman"/>
          <w:sz w:val="28"/>
          <w:szCs w:val="28"/>
          <w:lang w:val="kk-KZ" w:eastAsia="ru-RU"/>
        </w:rPr>
        <w:t>08</w:t>
      </w:r>
      <w:r w:rsidRPr="001935D0">
        <w:rPr>
          <w:rFonts w:ascii="Times New Roman" w:eastAsia="Times New Roman" w:hAnsi="Times New Roman" w:cs="Times New Roman"/>
          <w:sz w:val="28"/>
          <w:szCs w:val="28"/>
          <w:lang w:eastAsia="ru-RU"/>
        </w:rPr>
        <w:t xml:space="preserve">], подготовленному Европейской </w:t>
      </w:r>
      <w:r w:rsidR="004A3405">
        <w:rPr>
          <w:rFonts w:ascii="Times New Roman" w:eastAsia="Times New Roman" w:hAnsi="Times New Roman" w:cs="Times New Roman"/>
          <w:sz w:val="28"/>
          <w:szCs w:val="28"/>
          <w:lang w:eastAsia="ru-RU"/>
        </w:rPr>
        <w:t>П</w:t>
      </w:r>
      <w:r w:rsidRPr="001935D0">
        <w:rPr>
          <w:rFonts w:ascii="Times New Roman" w:eastAsia="Times New Roman" w:hAnsi="Times New Roman" w:cs="Times New Roman"/>
          <w:sz w:val="28"/>
          <w:szCs w:val="28"/>
          <w:lang w:eastAsia="ru-RU"/>
        </w:rPr>
        <w:t>арламентской исследовательской службой, ключевым механизмом служит так называемая «клаузула о правах человека», закрепляющая возможность приостановки соглашения в случае систематических нарушений.</w:t>
      </w:r>
    </w:p>
    <w:p w14:paraId="1535D78E" w14:textId="77777777" w:rsidR="00E94B29" w:rsidRPr="001935D0" w:rsidRDefault="00E94B29" w:rsidP="001C67AB">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bCs/>
          <w:sz w:val="28"/>
          <w:szCs w:val="28"/>
          <w:lang w:eastAsia="ru-RU"/>
        </w:rPr>
        <w:t>Четвёртое направление «Новые технологии – использование возможностей и преодоление вызовов»</w:t>
      </w:r>
      <w:r w:rsidRPr="001935D0">
        <w:rPr>
          <w:rFonts w:ascii="Times New Roman" w:eastAsia="Times New Roman" w:hAnsi="Times New Roman" w:cs="Times New Roman"/>
          <w:sz w:val="28"/>
          <w:szCs w:val="28"/>
          <w:lang w:eastAsia="ru-RU"/>
        </w:rPr>
        <w:t xml:space="preserve"> обеспечивает стремительное развитие цифровых технологий, включая искусственный интеллект, большие данные и алгоритмическое управление, способствовало укреплению демократии и защите прав человека, а не их подрыву. Политика ЕС исходит из того, что цифровая трансформация является двусторонним процессом и открывает новые возможности для расширения доступа к информации, повышения прозрачности и вовлечения граждан, но одновременно порождает риски – от нарушения конфиденциальности до манипуляций общественным мнением (таблица 2.12).</w:t>
      </w:r>
    </w:p>
    <w:p w14:paraId="4D9B2F16" w14:textId="77777777" w:rsidR="00E94B29" w:rsidRPr="001935D0" w:rsidRDefault="00E94B29" w:rsidP="00593711">
      <w:pPr>
        <w:pStyle w:val="NoSpacing"/>
        <w:ind w:firstLine="567"/>
        <w:jc w:val="both"/>
        <w:rPr>
          <w:rFonts w:ascii="Times New Roman" w:eastAsia="Times New Roman" w:hAnsi="Times New Roman" w:cs="Times New Roman"/>
          <w:sz w:val="28"/>
          <w:szCs w:val="28"/>
          <w:lang w:eastAsia="ru-RU"/>
        </w:rPr>
      </w:pPr>
    </w:p>
    <w:p w14:paraId="556A4A4A" w14:textId="7BADF98B" w:rsidR="00E94B29" w:rsidRDefault="00E94B29" w:rsidP="00831635">
      <w:pPr>
        <w:pStyle w:val="NoSpacing"/>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eastAsia="ru-RU"/>
        </w:rPr>
        <w:t xml:space="preserve">Таблица 2.12 </w:t>
      </w:r>
      <w:r w:rsidR="00831635">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 xml:space="preserve">Ключевые направления реализации четвёртого направления Плана ЕС </w:t>
      </w:r>
    </w:p>
    <w:p w14:paraId="254BAA83" w14:textId="77777777" w:rsidR="00831635" w:rsidRPr="00831635" w:rsidRDefault="00831635" w:rsidP="00831635">
      <w:pPr>
        <w:pStyle w:val="NoSpacing"/>
        <w:jc w:val="both"/>
        <w:rPr>
          <w:rFonts w:ascii="Times New Roman" w:eastAsia="Times New Roman" w:hAnsi="Times New Roman" w:cs="Times New Roman"/>
          <w:bCs/>
          <w:sz w:val="16"/>
          <w:szCs w:val="16"/>
          <w:lang w:val="kk-KZ" w:eastAsia="ru-RU"/>
        </w:rPr>
      </w:pPr>
    </w:p>
    <w:tbl>
      <w:tblPr>
        <w:tblStyle w:val="TableGrid"/>
        <w:tblW w:w="0" w:type="auto"/>
        <w:jc w:val="center"/>
        <w:tblLook w:val="04A0" w:firstRow="1" w:lastRow="0" w:firstColumn="1" w:lastColumn="0" w:noHBand="0" w:noVBand="1"/>
      </w:tblPr>
      <w:tblGrid>
        <w:gridCol w:w="2324"/>
        <w:gridCol w:w="3906"/>
        <w:gridCol w:w="3323"/>
      </w:tblGrid>
      <w:tr w:rsidR="00E94B29" w:rsidRPr="001935D0" w14:paraId="1E6E6C92" w14:textId="77777777" w:rsidTr="00831635">
        <w:trPr>
          <w:jc w:val="center"/>
        </w:trPr>
        <w:tc>
          <w:tcPr>
            <w:tcW w:w="2324" w:type="dxa"/>
            <w:vAlign w:val="center"/>
          </w:tcPr>
          <w:p w14:paraId="69B0D6EA" w14:textId="77777777" w:rsidR="00E94B29" w:rsidRPr="00831635" w:rsidRDefault="00E94B29" w:rsidP="00593711">
            <w:pPr>
              <w:pStyle w:val="NoSpacing"/>
              <w:jc w:val="center"/>
              <w:rPr>
                <w:rFonts w:ascii="Times New Roman" w:eastAsia="Times New Roman" w:hAnsi="Times New Roman" w:cs="Times New Roman"/>
                <w:sz w:val="24"/>
                <w:szCs w:val="24"/>
                <w:lang w:eastAsia="ru-RU"/>
              </w:rPr>
            </w:pPr>
            <w:r w:rsidRPr="00831635">
              <w:rPr>
                <w:rFonts w:ascii="Times New Roman" w:eastAsia="Times New Roman" w:hAnsi="Times New Roman" w:cs="Times New Roman"/>
                <w:bCs/>
                <w:sz w:val="24"/>
                <w:szCs w:val="24"/>
                <w:lang w:eastAsia="ru-RU"/>
              </w:rPr>
              <w:t>Тематический вектор</w:t>
            </w:r>
          </w:p>
        </w:tc>
        <w:tc>
          <w:tcPr>
            <w:tcW w:w="3906" w:type="dxa"/>
            <w:vAlign w:val="center"/>
          </w:tcPr>
          <w:p w14:paraId="4031CDA3" w14:textId="77777777" w:rsidR="00E94B29" w:rsidRPr="00831635" w:rsidRDefault="00E94B29" w:rsidP="00593711">
            <w:pPr>
              <w:pStyle w:val="NoSpacing"/>
              <w:jc w:val="center"/>
              <w:rPr>
                <w:rFonts w:ascii="Times New Roman" w:eastAsia="Times New Roman" w:hAnsi="Times New Roman" w:cs="Times New Roman"/>
                <w:sz w:val="24"/>
                <w:szCs w:val="24"/>
                <w:lang w:eastAsia="ru-RU"/>
              </w:rPr>
            </w:pPr>
            <w:r w:rsidRPr="00831635">
              <w:rPr>
                <w:rFonts w:ascii="Times New Roman" w:eastAsia="Times New Roman" w:hAnsi="Times New Roman" w:cs="Times New Roman"/>
                <w:bCs/>
                <w:sz w:val="24"/>
                <w:szCs w:val="24"/>
                <w:lang w:eastAsia="ru-RU"/>
              </w:rPr>
              <w:t>Фокус поддержки</w:t>
            </w:r>
          </w:p>
        </w:tc>
        <w:tc>
          <w:tcPr>
            <w:tcW w:w="3323" w:type="dxa"/>
            <w:vAlign w:val="center"/>
          </w:tcPr>
          <w:p w14:paraId="51AABF01" w14:textId="77777777" w:rsidR="00E94B29" w:rsidRPr="00831635" w:rsidRDefault="00E94B29" w:rsidP="00593711">
            <w:pPr>
              <w:pStyle w:val="NoSpacing"/>
              <w:jc w:val="center"/>
              <w:rPr>
                <w:rFonts w:ascii="Times New Roman" w:eastAsia="Times New Roman" w:hAnsi="Times New Roman" w:cs="Times New Roman"/>
                <w:sz w:val="24"/>
                <w:szCs w:val="24"/>
                <w:lang w:eastAsia="ru-RU"/>
              </w:rPr>
            </w:pPr>
            <w:r w:rsidRPr="00831635">
              <w:rPr>
                <w:rFonts w:ascii="Times New Roman" w:eastAsia="Times New Roman" w:hAnsi="Times New Roman" w:cs="Times New Roman"/>
                <w:bCs/>
                <w:sz w:val="24"/>
                <w:szCs w:val="24"/>
                <w:lang w:eastAsia="ru-RU"/>
              </w:rPr>
              <w:t>Инструменты и механизмы ЕС</w:t>
            </w:r>
          </w:p>
        </w:tc>
      </w:tr>
      <w:tr w:rsidR="00E94B29" w:rsidRPr="001935D0" w14:paraId="7F666146" w14:textId="77777777" w:rsidTr="00831635">
        <w:trPr>
          <w:jc w:val="center"/>
        </w:trPr>
        <w:tc>
          <w:tcPr>
            <w:tcW w:w="2324" w:type="dxa"/>
            <w:vAlign w:val="center"/>
          </w:tcPr>
          <w:p w14:paraId="0D47E366"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Защита цифровых прав</w:t>
            </w:r>
          </w:p>
        </w:tc>
        <w:tc>
          <w:tcPr>
            <w:tcW w:w="3906" w:type="dxa"/>
            <w:vAlign w:val="center"/>
          </w:tcPr>
          <w:p w14:paraId="19EB890A"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Реализация GDPR, обеспечение сетевой нейтральности, защита свободы выражения в интернете</w:t>
            </w:r>
          </w:p>
        </w:tc>
        <w:tc>
          <w:tcPr>
            <w:tcW w:w="3323" w:type="dxa"/>
            <w:vAlign w:val="center"/>
          </w:tcPr>
          <w:p w14:paraId="7BF4F4F5"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Регламент GDPR, Хартия цифровых прав ЕС, мониторинг соблюдения</w:t>
            </w:r>
          </w:p>
        </w:tc>
      </w:tr>
      <w:tr w:rsidR="00E94B29" w:rsidRPr="001935D0" w14:paraId="51E1A6BF" w14:textId="77777777" w:rsidTr="00831635">
        <w:trPr>
          <w:jc w:val="center"/>
        </w:trPr>
        <w:tc>
          <w:tcPr>
            <w:tcW w:w="2324" w:type="dxa"/>
            <w:vAlign w:val="center"/>
          </w:tcPr>
          <w:p w14:paraId="15AEA774"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Этическое регулирование ИИ</w:t>
            </w:r>
          </w:p>
        </w:tc>
        <w:tc>
          <w:tcPr>
            <w:tcW w:w="3906" w:type="dxa"/>
            <w:vAlign w:val="center"/>
          </w:tcPr>
          <w:p w14:paraId="685ACBB4"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Предотвращение дискриминации алгоритмов, прозрачность принятия решений</w:t>
            </w:r>
          </w:p>
        </w:tc>
        <w:tc>
          <w:tcPr>
            <w:tcW w:w="3323" w:type="dxa"/>
            <w:vAlign w:val="center"/>
          </w:tcPr>
          <w:p w14:paraId="7E45ABED"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AI Act, стандарты ЕС по объяснимости алгоритмов, независимые аудиторы</w:t>
            </w:r>
          </w:p>
        </w:tc>
      </w:tr>
      <w:tr w:rsidR="00E94B29" w:rsidRPr="001935D0" w14:paraId="3E919EBD" w14:textId="77777777" w:rsidTr="00831635">
        <w:trPr>
          <w:jc w:val="center"/>
        </w:trPr>
        <w:tc>
          <w:tcPr>
            <w:tcW w:w="2324" w:type="dxa"/>
            <w:vAlign w:val="center"/>
          </w:tcPr>
          <w:p w14:paraId="58C6CCC5"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Информационная безопасность</w:t>
            </w:r>
          </w:p>
        </w:tc>
        <w:tc>
          <w:tcPr>
            <w:tcW w:w="3906" w:type="dxa"/>
            <w:vAlign w:val="center"/>
          </w:tcPr>
          <w:p w14:paraId="5DAA842C"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Киберзащита критической инфраструктуры, защита персональных данных</w:t>
            </w:r>
          </w:p>
        </w:tc>
        <w:tc>
          <w:tcPr>
            <w:tcW w:w="3323" w:type="dxa"/>
            <w:vAlign w:val="center"/>
          </w:tcPr>
          <w:p w14:paraId="719D6752"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Директива NIS2, ENISA, программы киберустойчивости</w:t>
            </w:r>
          </w:p>
        </w:tc>
      </w:tr>
      <w:tr w:rsidR="00E94B29" w:rsidRPr="001935D0" w14:paraId="19DFC79F" w14:textId="77777777" w:rsidTr="00831635">
        <w:trPr>
          <w:jc w:val="center"/>
        </w:trPr>
        <w:tc>
          <w:tcPr>
            <w:tcW w:w="2324" w:type="dxa"/>
            <w:vAlign w:val="center"/>
          </w:tcPr>
          <w:p w14:paraId="73838C81"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Цифровая инклюзия</w:t>
            </w:r>
          </w:p>
        </w:tc>
        <w:tc>
          <w:tcPr>
            <w:tcW w:w="3906" w:type="dxa"/>
            <w:vAlign w:val="center"/>
          </w:tcPr>
          <w:p w14:paraId="18B21485"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Доступ для сельских регионов, людей с инвалидностью, пожилых</w:t>
            </w:r>
          </w:p>
        </w:tc>
        <w:tc>
          <w:tcPr>
            <w:tcW w:w="3323" w:type="dxa"/>
            <w:vAlign w:val="center"/>
          </w:tcPr>
          <w:p w14:paraId="02C9FC46"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Программы цифровых компетенций, инфраструктурные проекты Connecting Europe Facility</w:t>
            </w:r>
          </w:p>
        </w:tc>
      </w:tr>
      <w:tr w:rsidR="00E94B29" w:rsidRPr="001935D0" w14:paraId="08482A4F" w14:textId="77777777" w:rsidTr="00831635">
        <w:trPr>
          <w:jc w:val="center"/>
        </w:trPr>
        <w:tc>
          <w:tcPr>
            <w:tcW w:w="2324" w:type="dxa"/>
            <w:vAlign w:val="center"/>
          </w:tcPr>
          <w:p w14:paraId="38F9EF76"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Международное сотрудничество</w:t>
            </w:r>
          </w:p>
        </w:tc>
        <w:tc>
          <w:tcPr>
            <w:tcW w:w="3906" w:type="dxa"/>
            <w:vAlign w:val="center"/>
          </w:tcPr>
          <w:p w14:paraId="67646465"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Выработка совместных стандартов и обмен технологиями</w:t>
            </w:r>
          </w:p>
        </w:tc>
        <w:tc>
          <w:tcPr>
            <w:tcW w:w="3323" w:type="dxa"/>
            <w:vAlign w:val="center"/>
          </w:tcPr>
          <w:p w14:paraId="116C716D" w14:textId="77777777" w:rsidR="00E94B29" w:rsidRPr="001935D0" w:rsidRDefault="00E94B29" w:rsidP="00593711">
            <w:pPr>
              <w:pStyle w:val="NoSpacing"/>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Партнёрские проекты с ООН, G20, Советом Европы</w:t>
            </w:r>
          </w:p>
        </w:tc>
      </w:tr>
      <w:tr w:rsidR="00831635" w:rsidRPr="001935D0" w14:paraId="12A43D41" w14:textId="77777777" w:rsidTr="00634764">
        <w:trPr>
          <w:jc w:val="center"/>
        </w:trPr>
        <w:tc>
          <w:tcPr>
            <w:tcW w:w="9553" w:type="dxa"/>
            <w:gridSpan w:val="3"/>
            <w:vAlign w:val="center"/>
          </w:tcPr>
          <w:p w14:paraId="78348A22" w14:textId="5053E952" w:rsidR="00831635" w:rsidRPr="00831635" w:rsidRDefault="009D7580" w:rsidP="00FA02FB">
            <w:pPr>
              <w:pStyle w:val="NoSpacing"/>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Составл</w:t>
            </w:r>
            <w:r>
              <w:rPr>
                <w:rFonts w:ascii="Times New Roman" w:hAnsi="Times New Roman" w:cs="Times New Roman"/>
                <w:sz w:val="24"/>
                <w:szCs w:val="24"/>
              </w:rPr>
              <w:t xml:space="preserve">ено автором по данным </w:t>
            </w:r>
            <w:r>
              <w:rPr>
                <w:rFonts w:ascii="Times New Roman" w:hAnsi="Times New Roman" w:cs="Times New Roman"/>
                <w:sz w:val="24"/>
                <w:szCs w:val="24"/>
                <w:lang w:val="kk-KZ"/>
              </w:rPr>
              <w:t xml:space="preserve">источников </w:t>
            </w:r>
            <w:r>
              <w:rPr>
                <w:rFonts w:ascii="Times New Roman" w:hAnsi="Times New Roman" w:cs="Times New Roman"/>
                <w:sz w:val="24"/>
                <w:szCs w:val="24"/>
              </w:rPr>
              <w:t>[</w:t>
            </w:r>
            <w:r>
              <w:rPr>
                <w:rFonts w:ascii="Times New Roman" w:hAnsi="Times New Roman" w:cs="Times New Roman"/>
                <w:sz w:val="24"/>
                <w:szCs w:val="24"/>
                <w:lang w:val="kk-KZ"/>
              </w:rPr>
              <w:t xml:space="preserve">109, р. 105857; 110; </w:t>
            </w:r>
            <w:r>
              <w:rPr>
                <w:rFonts w:ascii="Times New Roman" w:hAnsi="Times New Roman" w:cs="Times New Roman"/>
                <w:sz w:val="24"/>
                <w:szCs w:val="24"/>
              </w:rPr>
              <w:t>11</w:t>
            </w:r>
            <w:r>
              <w:rPr>
                <w:rFonts w:ascii="Times New Roman" w:hAnsi="Times New Roman" w:cs="Times New Roman"/>
                <w:sz w:val="24"/>
                <w:szCs w:val="24"/>
                <w:lang w:val="kk-KZ"/>
              </w:rPr>
              <w:t>1</w:t>
            </w:r>
            <w:r>
              <w:rPr>
                <w:rFonts w:ascii="Times New Roman" w:hAnsi="Times New Roman" w:cs="Times New Roman"/>
                <w:sz w:val="24"/>
                <w:szCs w:val="24"/>
              </w:rPr>
              <w:t>]</w:t>
            </w:r>
          </w:p>
        </w:tc>
      </w:tr>
    </w:tbl>
    <w:p w14:paraId="342A9746" w14:textId="77777777" w:rsidR="00E94B29" w:rsidRPr="001935D0" w:rsidRDefault="00E94B29" w:rsidP="00593711">
      <w:pPr>
        <w:pStyle w:val="NoSpacing"/>
        <w:ind w:firstLine="567"/>
        <w:jc w:val="both"/>
        <w:rPr>
          <w:rFonts w:ascii="Times New Roman" w:eastAsia="Times New Roman" w:hAnsi="Times New Roman" w:cs="Times New Roman"/>
          <w:sz w:val="28"/>
          <w:szCs w:val="28"/>
          <w:lang w:eastAsia="ru-RU"/>
        </w:rPr>
      </w:pPr>
    </w:p>
    <w:p w14:paraId="60FA18B7" w14:textId="12B7B16D" w:rsidR="00E94B29" w:rsidRPr="001935D0" w:rsidRDefault="00E94B29" w:rsidP="001C67A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Представленные в таблице 2.12 направления отражают комплексный подход Европейского </w:t>
      </w:r>
      <w:r w:rsidR="007C324F"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к использованию цифровых технологий в целях защиты прав человека и укрепления демократических институтов. Они демонстрируют, что развитие инноваций и цифровой трансформации рассматривается не только как экономический драйвер, но и как инструмент обеспечения прав и свобод в цифровом пространстве. При этом акцент делается на сбалансированном сочетании продвижения открытости, доступности и инклюзивности с созданием эффективных механизмов защиты от киберугроз, дискриминации и злоупотреблений в алгоритмическом управлении.</w:t>
      </w:r>
    </w:p>
    <w:p w14:paraId="75931ED6" w14:textId="596C7BDC" w:rsidR="00E94B29" w:rsidRPr="001935D0" w:rsidRDefault="00E94B29" w:rsidP="001C67AB">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lastRenderedPageBreak/>
        <w:t xml:space="preserve">Важным аспектом реализации данных направлений является опора на существующие международные стандарты в области прав человека, демократии и верховенства права. Как отмечают </w:t>
      </w:r>
      <w:r w:rsidR="00795185" w:rsidRPr="00795185">
        <w:rPr>
          <w:rFonts w:ascii="Times New Roman" w:eastAsia="Times New Roman" w:hAnsi="Times New Roman" w:cs="Times New Roman"/>
          <w:sz w:val="28"/>
          <w:szCs w:val="28"/>
          <w:lang w:eastAsia="ru-RU"/>
        </w:rPr>
        <w:t>Д. Лесли</w:t>
      </w:r>
      <w:r w:rsidR="00795185">
        <w:rPr>
          <w:rFonts w:ascii="Times New Roman" w:eastAsia="Times New Roman" w:hAnsi="Times New Roman" w:cs="Times New Roman"/>
          <w:sz w:val="28"/>
          <w:szCs w:val="28"/>
          <w:lang w:val="kk-KZ" w:eastAsia="ru-RU"/>
        </w:rPr>
        <w:t xml:space="preserve"> и другие авторы</w:t>
      </w:r>
      <w:r w:rsidR="00FA02FB">
        <w:rPr>
          <w:rFonts w:ascii="Times New Roman" w:eastAsia="Times New Roman" w:hAnsi="Times New Roman" w:cs="Times New Roman"/>
          <w:sz w:val="28"/>
          <w:szCs w:val="28"/>
          <w:lang w:eastAsia="ru-RU"/>
        </w:rPr>
        <w:t xml:space="preserve"> [11</w:t>
      </w:r>
      <w:r w:rsidR="00FA02FB">
        <w:rPr>
          <w:rFonts w:ascii="Times New Roman" w:eastAsia="Times New Roman" w:hAnsi="Times New Roman" w:cs="Times New Roman"/>
          <w:sz w:val="28"/>
          <w:szCs w:val="28"/>
          <w:lang w:val="kk-KZ" w:eastAsia="ru-RU"/>
        </w:rPr>
        <w:t>2</w:t>
      </w:r>
      <w:r w:rsidRPr="001935D0">
        <w:rPr>
          <w:rFonts w:ascii="Times New Roman" w:eastAsia="Times New Roman" w:hAnsi="Times New Roman" w:cs="Times New Roman"/>
          <w:sz w:val="28"/>
          <w:szCs w:val="28"/>
          <w:lang w:eastAsia="ru-RU"/>
        </w:rPr>
        <w:t>], правовое регулирование искусственного интеллекта должно учитывать риски алгоритмической дискриминации, нарушения приватности и подрыва доверия к демократическим институтам. Такой нормативный фокус соответствует политике ЕС, ориентированной на развитие этически ответственных технологий и предотвращение злоупотреблений в сфере ИИ, что отражено в одном из направлений Плана действий.</w:t>
      </w:r>
    </w:p>
    <w:p w14:paraId="2812E956" w14:textId="49C2EB49" w:rsidR="00E94B29" w:rsidRPr="001935D0" w:rsidRDefault="00E94B29" w:rsidP="001C67A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Развитие направлений Плана ЕС, связанных с продвижением открытости, доступности и инклюзивности цифровой среды при одновременном создании эффективных механизмов защиты от киберугроз, дискриминации и злоупотреблений в алгоритмическом управлении, получило дальнейшее институциональное оформление в 2021 году. В этот период Институт Алана Тьюринга по запросу Комитета Совета Европы по вопросам ИИ (CAHAI) представил рамочную модель HUDERAF (Human Rights, Democracy and Rule of Law Assurance Framework for AI Systems). Согласно исследованию C. Rincon </w:t>
      </w:r>
      <w:r w:rsidRPr="00831635">
        <w:rPr>
          <w:rFonts w:ascii="Times New Roman" w:eastAsia="Times New Roman" w:hAnsi="Times New Roman" w:cs="Times New Roman"/>
          <w:sz w:val="28"/>
          <w:szCs w:val="28"/>
          <w:lang w:eastAsia="ru-RU"/>
        </w:rPr>
        <w:t>et al.</w:t>
      </w:r>
      <w:r w:rsidRPr="001935D0">
        <w:rPr>
          <w:rFonts w:ascii="Times New Roman" w:eastAsia="Times New Roman" w:hAnsi="Times New Roman" w:cs="Times New Roman"/>
          <w:sz w:val="28"/>
          <w:szCs w:val="28"/>
          <w:lang w:eastAsia="ru-RU"/>
        </w:rPr>
        <w:t xml:space="preserve"> </w:t>
      </w:r>
      <w:r w:rsidRPr="001935D0">
        <w:rPr>
          <w:rFonts w:ascii="Times New Roman" w:hAnsi="Times New Roman" w:cs="Times New Roman"/>
          <w:sz w:val="28"/>
          <w:szCs w:val="28"/>
          <w:lang w:eastAsia="ru-RU"/>
        </w:rPr>
        <w:t>[11</w:t>
      </w:r>
      <w:r w:rsidR="00FA02FB">
        <w:rPr>
          <w:rFonts w:ascii="Times New Roman" w:hAnsi="Times New Roman" w:cs="Times New Roman"/>
          <w:sz w:val="28"/>
          <w:szCs w:val="28"/>
          <w:lang w:val="kk-KZ" w:eastAsia="ru-RU"/>
        </w:rPr>
        <w:t>3</w:t>
      </w:r>
      <w:r w:rsidRPr="001935D0">
        <w:rPr>
          <w:rFonts w:ascii="Times New Roman" w:hAnsi="Times New Roman" w:cs="Times New Roman"/>
          <w:sz w:val="28"/>
          <w:szCs w:val="28"/>
          <w:lang w:eastAsia="ru-RU"/>
        </w:rPr>
        <w:t>], HUDERAF представляет собой комплексный правозащитный механизм, включающий оценку контекста, участие заинтересованных сторон, прогнозирование рисков и их прозрачное регулирование. Модель направлена на внедрение стандартов Совета Европы на всех этапах жизненного цикла ИИ и согласуется с ESG-принципами цифровой политики ЕС [</w:t>
      </w:r>
      <w:r w:rsidR="00FA02FB">
        <w:rPr>
          <w:rFonts w:ascii="Times New Roman" w:hAnsi="Times New Roman" w:cs="Times New Roman"/>
          <w:sz w:val="28"/>
          <w:szCs w:val="28"/>
          <w:lang w:val="kk-KZ" w:eastAsia="ru-RU"/>
        </w:rPr>
        <w:t>79</w:t>
      </w:r>
      <w:r w:rsidRPr="001935D0">
        <w:rPr>
          <w:rFonts w:ascii="Times New Roman" w:hAnsi="Times New Roman" w:cs="Times New Roman"/>
          <w:sz w:val="28"/>
          <w:szCs w:val="28"/>
          <w:lang w:eastAsia="ru-RU"/>
        </w:rPr>
        <w:t>].</w:t>
      </w:r>
    </w:p>
    <w:p w14:paraId="788E49CD" w14:textId="77777777" w:rsidR="00E94B29" w:rsidRPr="001935D0" w:rsidRDefault="00E94B29" w:rsidP="001C67A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Пятое, заключительное, направление «Совместная реализация Плана – партнёрства и вовлечение заинтересованных сторон»</w:t>
      </w:r>
      <w:r w:rsidRPr="001935D0">
        <w:rPr>
          <w:rFonts w:ascii="Times New Roman" w:hAnsi="Times New Roman" w:cs="Times New Roman"/>
          <w:sz w:val="28"/>
          <w:szCs w:val="28"/>
          <w:lang w:eastAsia="ru-RU"/>
        </w:rPr>
        <w:t xml:space="preserve"> подчёркивает, что эффективность правозащитной политики напрямую зависит от степени включённости всех участников </w:t>
      </w:r>
      <w:r w:rsidRPr="001935D0">
        <w:rPr>
          <w:rFonts w:ascii="Times New Roman" w:hAnsi="Times New Roman" w:cs="Times New Roman"/>
          <w:bCs/>
          <w:sz w:val="28"/>
          <w:szCs w:val="28"/>
          <w:lang w:eastAsia="ru-RU"/>
        </w:rPr>
        <w:t>–</w:t>
      </w:r>
      <w:r w:rsidRPr="001935D0">
        <w:rPr>
          <w:rFonts w:ascii="Times New Roman" w:hAnsi="Times New Roman" w:cs="Times New Roman"/>
          <w:sz w:val="28"/>
          <w:szCs w:val="28"/>
          <w:lang w:eastAsia="ru-RU"/>
        </w:rPr>
        <w:t xml:space="preserve"> от институтов ЕС и государств-членов до международных организаций, национальных правительств, региональных структур, гражданского общества и частного сектора.</w:t>
      </w:r>
    </w:p>
    <w:p w14:paraId="05B23B35" w14:textId="77777777" w:rsidR="00E94B29" w:rsidRPr="001935D0" w:rsidRDefault="00E94B29" w:rsidP="001C67A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Основная цель пятого направления </w:t>
      </w:r>
      <w:r w:rsidRPr="001935D0">
        <w:rPr>
          <w:rFonts w:ascii="Times New Roman" w:hAnsi="Times New Roman" w:cs="Times New Roman"/>
          <w:bCs/>
          <w:sz w:val="28"/>
          <w:szCs w:val="28"/>
          <w:lang w:eastAsia="ru-RU"/>
        </w:rPr>
        <w:t>–</w:t>
      </w:r>
      <w:r w:rsidRPr="001935D0">
        <w:rPr>
          <w:rFonts w:ascii="Times New Roman" w:hAnsi="Times New Roman" w:cs="Times New Roman"/>
          <w:sz w:val="28"/>
          <w:szCs w:val="28"/>
          <w:lang w:eastAsia="ru-RU"/>
        </w:rPr>
        <w:t xml:space="preserve"> обеспечить </w:t>
      </w:r>
      <w:r w:rsidRPr="001935D0">
        <w:rPr>
          <w:rFonts w:ascii="Times New Roman" w:hAnsi="Times New Roman" w:cs="Times New Roman"/>
          <w:bCs/>
          <w:sz w:val="28"/>
          <w:szCs w:val="28"/>
          <w:lang w:eastAsia="ru-RU"/>
        </w:rPr>
        <w:t>согласованность и синергию действий</w:t>
      </w:r>
      <w:r w:rsidRPr="001935D0">
        <w:rPr>
          <w:rFonts w:ascii="Times New Roman" w:hAnsi="Times New Roman" w:cs="Times New Roman"/>
          <w:sz w:val="28"/>
          <w:szCs w:val="28"/>
          <w:lang w:eastAsia="ru-RU"/>
        </w:rPr>
        <w:t xml:space="preserve"> на всех уровнях реализации Плана, что предполагает:</w:t>
      </w:r>
    </w:p>
    <w:p w14:paraId="21960BF0" w14:textId="4E1B7519" w:rsidR="00E94B29" w:rsidRPr="001935D0" w:rsidRDefault="00E94B29" w:rsidP="001C67AB">
      <w:pPr>
        <w:pStyle w:val="NoSpacing"/>
        <w:numPr>
          <w:ilvl w:val="0"/>
          <w:numId w:val="10"/>
        </w:numPr>
        <w:tabs>
          <w:tab w:val="left" w:pos="993"/>
        </w:tabs>
        <w:ind w:left="0" w:firstLine="709"/>
        <w:jc w:val="both"/>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координацию между институтами ЕС</w:t>
      </w:r>
      <w:r w:rsidRPr="001935D0">
        <w:rPr>
          <w:rFonts w:ascii="Times New Roman" w:hAnsi="Times New Roman" w:cs="Times New Roman"/>
          <w:sz w:val="28"/>
          <w:szCs w:val="28"/>
          <w:lang w:eastAsia="ru-RU"/>
        </w:rPr>
        <w:t xml:space="preserve"> (Европейская служба внешнеполитической деятельности, Европейская </w:t>
      </w:r>
      <w:r w:rsidR="004A3405">
        <w:rPr>
          <w:rFonts w:ascii="Times New Roman" w:hAnsi="Times New Roman" w:cs="Times New Roman"/>
          <w:sz w:val="28"/>
          <w:szCs w:val="28"/>
          <w:lang w:eastAsia="ru-RU"/>
        </w:rPr>
        <w:t>К</w:t>
      </w:r>
      <w:r w:rsidRPr="001935D0">
        <w:rPr>
          <w:rFonts w:ascii="Times New Roman" w:hAnsi="Times New Roman" w:cs="Times New Roman"/>
          <w:sz w:val="28"/>
          <w:szCs w:val="28"/>
          <w:lang w:eastAsia="ru-RU"/>
        </w:rPr>
        <w:t xml:space="preserve">омиссия, Европейский </w:t>
      </w:r>
      <w:r w:rsidR="004A3405">
        <w:rPr>
          <w:rFonts w:ascii="Times New Roman" w:hAnsi="Times New Roman" w:cs="Times New Roman"/>
          <w:sz w:val="28"/>
          <w:szCs w:val="28"/>
          <w:lang w:eastAsia="ru-RU"/>
        </w:rPr>
        <w:t>П</w:t>
      </w:r>
      <w:r w:rsidRPr="001935D0">
        <w:rPr>
          <w:rFonts w:ascii="Times New Roman" w:hAnsi="Times New Roman" w:cs="Times New Roman"/>
          <w:sz w:val="28"/>
          <w:szCs w:val="28"/>
          <w:lang w:eastAsia="ru-RU"/>
        </w:rPr>
        <w:t>арламент) и государствами-членами;</w:t>
      </w:r>
    </w:p>
    <w:p w14:paraId="1454CC0F" w14:textId="77777777" w:rsidR="00E94B29" w:rsidRPr="001935D0" w:rsidRDefault="00E94B29" w:rsidP="001C67AB">
      <w:pPr>
        <w:pStyle w:val="NoSpacing"/>
        <w:numPr>
          <w:ilvl w:val="0"/>
          <w:numId w:val="10"/>
        </w:numPr>
        <w:tabs>
          <w:tab w:val="left" w:pos="993"/>
        </w:tabs>
        <w:ind w:left="0" w:firstLine="709"/>
        <w:jc w:val="both"/>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взаимодействие с международными организациями</w:t>
      </w:r>
      <w:r w:rsidRPr="001935D0">
        <w:rPr>
          <w:rFonts w:ascii="Times New Roman" w:hAnsi="Times New Roman" w:cs="Times New Roman"/>
          <w:sz w:val="28"/>
          <w:szCs w:val="28"/>
          <w:lang w:eastAsia="ru-RU"/>
        </w:rPr>
        <w:t xml:space="preserve"> (ООН, Совет Европы, ОБСЕ) для гармонизации стандартов;</w:t>
      </w:r>
    </w:p>
    <w:p w14:paraId="14251512" w14:textId="77777777" w:rsidR="00E94B29" w:rsidRPr="001935D0" w:rsidRDefault="00E94B29" w:rsidP="001C67AB">
      <w:pPr>
        <w:pStyle w:val="NoSpacing"/>
        <w:numPr>
          <w:ilvl w:val="0"/>
          <w:numId w:val="10"/>
        </w:numPr>
        <w:tabs>
          <w:tab w:val="left" w:pos="993"/>
        </w:tabs>
        <w:ind w:left="0" w:firstLine="709"/>
        <w:jc w:val="both"/>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партнёрства с региональными и национальными органами власти</w:t>
      </w:r>
      <w:r w:rsidRPr="001935D0">
        <w:rPr>
          <w:rFonts w:ascii="Times New Roman" w:hAnsi="Times New Roman" w:cs="Times New Roman"/>
          <w:sz w:val="28"/>
          <w:szCs w:val="28"/>
          <w:lang w:eastAsia="ru-RU"/>
        </w:rPr>
        <w:t xml:space="preserve"> для адаптации правозащитных стратегий к локальным условиям;</w:t>
      </w:r>
    </w:p>
    <w:p w14:paraId="6DA6212A" w14:textId="77777777" w:rsidR="00E94B29" w:rsidRPr="001935D0" w:rsidRDefault="00E94B29" w:rsidP="001C67AB">
      <w:pPr>
        <w:pStyle w:val="NoSpacing"/>
        <w:numPr>
          <w:ilvl w:val="0"/>
          <w:numId w:val="10"/>
        </w:numPr>
        <w:tabs>
          <w:tab w:val="left" w:pos="993"/>
        </w:tabs>
        <w:ind w:left="0" w:firstLine="709"/>
        <w:jc w:val="both"/>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активное участие гражданского общества</w:t>
      </w:r>
      <w:r w:rsidRPr="001935D0">
        <w:rPr>
          <w:rFonts w:ascii="Times New Roman" w:hAnsi="Times New Roman" w:cs="Times New Roman"/>
          <w:sz w:val="28"/>
          <w:szCs w:val="28"/>
          <w:lang w:eastAsia="ru-RU"/>
        </w:rPr>
        <w:t xml:space="preserve"> в мониторинге, оценке и планировании мероприятий;</w:t>
      </w:r>
    </w:p>
    <w:p w14:paraId="195328FE" w14:textId="77777777" w:rsidR="00E94B29" w:rsidRPr="001935D0" w:rsidRDefault="00E94B29" w:rsidP="001C67AB">
      <w:pPr>
        <w:pStyle w:val="NoSpacing"/>
        <w:numPr>
          <w:ilvl w:val="0"/>
          <w:numId w:val="10"/>
        </w:numPr>
        <w:tabs>
          <w:tab w:val="left" w:pos="993"/>
        </w:tabs>
        <w:ind w:left="0" w:firstLine="709"/>
        <w:jc w:val="both"/>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привлечение частного сектора</w:t>
      </w:r>
      <w:r w:rsidRPr="001935D0">
        <w:rPr>
          <w:rFonts w:ascii="Times New Roman" w:hAnsi="Times New Roman" w:cs="Times New Roman"/>
          <w:sz w:val="28"/>
          <w:szCs w:val="28"/>
          <w:lang w:eastAsia="ru-RU"/>
        </w:rPr>
        <w:t xml:space="preserve"> к продвижению корпоративной ответственности в области прав человека.</w:t>
      </w:r>
    </w:p>
    <w:p w14:paraId="26585EEF" w14:textId="5DBAC796" w:rsidR="00E94B29" w:rsidRPr="001935D0" w:rsidRDefault="00E94B29" w:rsidP="001C67A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Важно отметить, что политика ЕС исходит из того, что комплексная реализация Плана невозможна без объединения политических, финансовых и экспертных ресурсов партнёров, а также без прозрачных и подотчётных механизмов координации</w:t>
      </w:r>
      <w:r w:rsidR="00CE1D94" w:rsidRPr="001935D0">
        <w:rPr>
          <w:rFonts w:ascii="Times New Roman" w:hAnsi="Times New Roman" w:cs="Times New Roman"/>
          <w:sz w:val="28"/>
          <w:szCs w:val="28"/>
          <w:lang w:val="uk-UA" w:eastAsia="ru-RU"/>
        </w:rPr>
        <w:t xml:space="preserve"> (рисунок 2.7)</w:t>
      </w:r>
      <w:r w:rsidRPr="001935D0">
        <w:rPr>
          <w:rFonts w:ascii="Times New Roman" w:hAnsi="Times New Roman" w:cs="Times New Roman"/>
          <w:sz w:val="28"/>
          <w:szCs w:val="28"/>
          <w:lang w:eastAsia="ru-RU"/>
        </w:rPr>
        <w:t>.</w:t>
      </w:r>
    </w:p>
    <w:p w14:paraId="273EB551" w14:textId="77777777" w:rsidR="00E94B29" w:rsidRPr="001935D0" w:rsidRDefault="00E94B29" w:rsidP="00593711">
      <w:pPr>
        <w:pStyle w:val="NoSpacing"/>
        <w:ind w:firstLine="567"/>
        <w:jc w:val="both"/>
        <w:rPr>
          <w:rFonts w:ascii="Times New Roman" w:hAnsi="Times New Roman" w:cs="Times New Roman"/>
          <w:sz w:val="28"/>
          <w:szCs w:val="28"/>
          <w:lang w:eastAsia="ru-RU"/>
        </w:rPr>
      </w:pPr>
    </w:p>
    <w:p w14:paraId="2BBEAAA3" w14:textId="77777777" w:rsidR="00E94B29" w:rsidRPr="001935D0" w:rsidRDefault="00E94B29" w:rsidP="00593711">
      <w:pPr>
        <w:pStyle w:val="NoSpacing"/>
        <w:ind w:firstLine="567"/>
        <w:jc w:val="both"/>
        <w:rPr>
          <w:rFonts w:ascii="Times New Roman" w:hAnsi="Times New Roman" w:cs="Times New Roman"/>
          <w:sz w:val="28"/>
          <w:szCs w:val="28"/>
          <w:lang w:eastAsia="ru-RU"/>
        </w:rPr>
      </w:pPr>
      <w:r w:rsidRPr="001935D0">
        <w:rPr>
          <w:rFonts w:ascii="Times New Roman" w:hAnsi="Times New Roman" w:cs="Times New Roman"/>
          <w:noProof/>
          <w:sz w:val="28"/>
          <w:szCs w:val="28"/>
          <w:lang w:eastAsia="ru-RU"/>
        </w:rPr>
        <w:drawing>
          <wp:inline distT="0" distB="0" distL="0" distR="0" wp14:anchorId="05BA45BA" wp14:editId="5611A146">
            <wp:extent cx="5486400" cy="3435658"/>
            <wp:effectExtent l="76200" t="38100" r="38100" b="69850"/>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4CA4EA42" w14:textId="77777777" w:rsidR="00E94B29" w:rsidRPr="00831635" w:rsidRDefault="00E94B29" w:rsidP="00593711">
      <w:pPr>
        <w:pStyle w:val="NoSpacing"/>
        <w:ind w:firstLine="567"/>
        <w:jc w:val="both"/>
        <w:rPr>
          <w:rFonts w:ascii="Times New Roman" w:hAnsi="Times New Roman" w:cs="Times New Roman"/>
          <w:sz w:val="16"/>
          <w:szCs w:val="16"/>
          <w:lang w:eastAsia="ru-RU"/>
        </w:rPr>
      </w:pPr>
    </w:p>
    <w:p w14:paraId="6DBBC4E9" w14:textId="16DB9D51" w:rsidR="00E94B29" w:rsidRPr="001935D0" w:rsidRDefault="00E94B29" w:rsidP="00831635">
      <w:pPr>
        <w:pStyle w:val="NoSpacing"/>
        <w:jc w:val="center"/>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Рис</w:t>
      </w:r>
      <w:r w:rsidR="00C05485">
        <w:rPr>
          <w:rFonts w:ascii="Times New Roman" w:hAnsi="Times New Roman" w:cs="Times New Roman"/>
          <w:bCs/>
          <w:sz w:val="28"/>
          <w:szCs w:val="28"/>
          <w:lang w:val="kk-KZ" w:eastAsia="ru-RU"/>
        </w:rPr>
        <w:t>унок</w:t>
      </w:r>
      <w:r w:rsidRPr="001935D0">
        <w:rPr>
          <w:rFonts w:ascii="Times New Roman" w:hAnsi="Times New Roman" w:cs="Times New Roman"/>
          <w:bCs/>
          <w:sz w:val="28"/>
          <w:szCs w:val="28"/>
          <w:lang w:eastAsia="ru-RU"/>
        </w:rPr>
        <w:t xml:space="preserve"> 2.7 </w:t>
      </w:r>
      <w:r w:rsidR="00C05485">
        <w:rPr>
          <w:rFonts w:ascii="Times New Roman" w:hAnsi="Times New Roman" w:cs="Times New Roman"/>
          <w:bCs/>
          <w:sz w:val="28"/>
          <w:szCs w:val="28"/>
          <w:lang w:val="kk-KZ" w:eastAsia="ru-RU"/>
        </w:rPr>
        <w:t xml:space="preserve">– </w:t>
      </w:r>
      <w:r w:rsidRPr="001935D0">
        <w:rPr>
          <w:rFonts w:ascii="Times New Roman" w:hAnsi="Times New Roman" w:cs="Times New Roman"/>
          <w:bCs/>
          <w:sz w:val="28"/>
          <w:szCs w:val="28"/>
          <w:lang w:eastAsia="ru-RU"/>
        </w:rPr>
        <w:t>Основные механизмы реализации пятого направления Плана ЕС («Совместная реализация»)</w:t>
      </w:r>
    </w:p>
    <w:p w14:paraId="1F651D06" w14:textId="77777777" w:rsidR="00831635" w:rsidRDefault="00831635" w:rsidP="00593711">
      <w:pPr>
        <w:pStyle w:val="NoSpacing"/>
        <w:ind w:firstLine="567"/>
        <w:jc w:val="both"/>
        <w:rPr>
          <w:rFonts w:ascii="Times New Roman" w:hAnsi="Times New Roman" w:cs="Times New Roman"/>
          <w:sz w:val="24"/>
          <w:szCs w:val="24"/>
          <w:lang w:val="kk-KZ"/>
        </w:rPr>
      </w:pPr>
    </w:p>
    <w:p w14:paraId="577DFDCD" w14:textId="242CFE9A" w:rsidR="00E94B29" w:rsidRPr="001935D0" w:rsidRDefault="00E94B29" w:rsidP="00593711">
      <w:pPr>
        <w:pStyle w:val="NoSpacing"/>
        <w:ind w:firstLine="567"/>
        <w:jc w:val="both"/>
        <w:rPr>
          <w:rFonts w:ascii="Times New Roman" w:hAnsi="Times New Roman" w:cs="Times New Roman"/>
          <w:sz w:val="24"/>
          <w:szCs w:val="24"/>
        </w:rPr>
      </w:pPr>
      <w:r w:rsidRPr="001935D0">
        <w:rPr>
          <w:rFonts w:ascii="Times New Roman" w:hAnsi="Times New Roman" w:cs="Times New Roman"/>
          <w:sz w:val="24"/>
          <w:szCs w:val="24"/>
        </w:rPr>
        <w:t>Источник: составлено автором по данным [10</w:t>
      </w:r>
      <w:r w:rsidR="00FA02FB">
        <w:rPr>
          <w:rFonts w:ascii="Times New Roman" w:hAnsi="Times New Roman" w:cs="Times New Roman"/>
          <w:sz w:val="24"/>
          <w:szCs w:val="24"/>
          <w:lang w:val="kk-KZ"/>
        </w:rPr>
        <w:t>2</w:t>
      </w:r>
      <w:r w:rsidRPr="001935D0">
        <w:rPr>
          <w:rFonts w:ascii="Times New Roman" w:hAnsi="Times New Roman" w:cs="Times New Roman"/>
          <w:sz w:val="24"/>
          <w:szCs w:val="24"/>
        </w:rPr>
        <w:t>]</w:t>
      </w:r>
    </w:p>
    <w:p w14:paraId="177E95B0" w14:textId="77777777" w:rsidR="00E94B29" w:rsidRPr="001935D0" w:rsidRDefault="00E94B29" w:rsidP="00593711">
      <w:pPr>
        <w:pStyle w:val="NoSpacing"/>
        <w:ind w:firstLine="567"/>
        <w:jc w:val="both"/>
        <w:rPr>
          <w:rFonts w:ascii="Times New Roman" w:hAnsi="Times New Roman" w:cs="Times New Roman"/>
          <w:sz w:val="28"/>
          <w:szCs w:val="28"/>
          <w:lang w:eastAsia="ru-RU"/>
        </w:rPr>
      </w:pPr>
    </w:p>
    <w:p w14:paraId="6E415036" w14:textId="77777777" w:rsidR="00E94B29" w:rsidRPr="001935D0" w:rsidRDefault="00E94B29" w:rsidP="001C67AB">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Таким образом, в пятом направлении раскрываються конкретные механизмы взаимодействия. Это обеспечивает аналитическую полноту, позволяя показать, что совместная реализация Плана – это не абстрактный принцип, а система конкретных, институционализированных действий.</w:t>
      </w:r>
    </w:p>
    <w:p w14:paraId="5AAF0833" w14:textId="244E97C4" w:rsidR="00E94B29" w:rsidRPr="001935D0" w:rsidRDefault="00E94B29" w:rsidP="001C67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Анализ структуры и содержания Плана действий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по правам человека и демократии на 2020–2027 годы позволяет систематизировать ключевые механизмы и субъекты, обеспечивающие его практическую реализацию. </w:t>
      </w:r>
    </w:p>
    <w:p w14:paraId="07DA6B9D" w14:textId="77777777" w:rsidR="00E94B29" w:rsidRPr="001935D0" w:rsidRDefault="00E94B29" w:rsidP="001C67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Данный План строится на основе комплексного подхода, который объединяет политическое руководство, программное планирование, правовые инструменты и партнёрскую координацию. Он ориентирован на долгосрочную устойчивость, прозрачность и вовлечённость всех заинтересованных сторон как внутри ЕС, так и в странах-партнёрах. В таблице 2.13 представлена систематизация ключевых механизмов и субъектов, задействованных в реализации правозащитной политики ЕС в международном контексте.</w:t>
      </w:r>
    </w:p>
    <w:p w14:paraId="69ED927D" w14:textId="77777777" w:rsidR="005C6637" w:rsidRPr="001935D0" w:rsidRDefault="005C6637" w:rsidP="005C6637">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Структура, представленная в таблице 2.13, отражает многоуровневое взаимодействие между политическими, дипломатическими, экспертными и общественными субъектами. Механизмы действуют во взаимосвязи: коммуникационные инструменты формируют основу для восприятия и легитимности политики, внешнеполитические форматы и страновые стратегии обеспечивают адаптацию решений к различным региональным контекстам, а </w:t>
      </w:r>
      <w:r w:rsidRPr="001935D0">
        <w:rPr>
          <w:rFonts w:ascii="Times New Roman" w:hAnsi="Times New Roman" w:cs="Times New Roman"/>
          <w:sz w:val="28"/>
          <w:szCs w:val="28"/>
        </w:rPr>
        <w:lastRenderedPageBreak/>
        <w:t>мониторинг и парламентский контроль создают обратную связь и позволяют своевременно корректировать подходы. Такая архитектура позволяет Плана сочетать стабильность стратегических целей с гибкостью инструментов, что особенно важно при работе с государствами, имеющими разный уровень политико-правовой зрелости, включая страны Центральной Азии.</w:t>
      </w:r>
    </w:p>
    <w:p w14:paraId="47D6DB41" w14:textId="77777777" w:rsidR="005C6637" w:rsidRPr="005C6637" w:rsidRDefault="005C6637" w:rsidP="001C67AB">
      <w:pPr>
        <w:pStyle w:val="NoSpacing"/>
        <w:ind w:firstLine="709"/>
        <w:jc w:val="both"/>
        <w:rPr>
          <w:rFonts w:ascii="Times New Roman" w:hAnsi="Times New Roman" w:cs="Times New Roman"/>
          <w:sz w:val="28"/>
          <w:szCs w:val="28"/>
          <w:lang w:val="kk-KZ"/>
        </w:rPr>
      </w:pPr>
    </w:p>
    <w:p w14:paraId="1B454707" w14:textId="755BE0CE" w:rsidR="00E94B29" w:rsidRDefault="00E94B29" w:rsidP="005C6637">
      <w:pPr>
        <w:pStyle w:val="NoSpacing"/>
        <w:jc w:val="both"/>
        <w:rPr>
          <w:rStyle w:val="Emphasis"/>
          <w:rFonts w:ascii="Times New Roman" w:hAnsi="Times New Roman" w:cs="Times New Roman"/>
          <w:i w:val="0"/>
          <w:iCs w:val="0"/>
          <w:sz w:val="28"/>
          <w:szCs w:val="28"/>
          <w:lang w:val="kk-KZ"/>
        </w:rPr>
      </w:pPr>
      <w:r w:rsidRPr="001935D0">
        <w:rPr>
          <w:rStyle w:val="Strong"/>
          <w:rFonts w:ascii="Times New Roman" w:hAnsi="Times New Roman" w:cs="Times New Roman"/>
          <w:b w:val="0"/>
          <w:sz w:val="28"/>
          <w:szCs w:val="28"/>
        </w:rPr>
        <w:t xml:space="preserve">Таблица 2.13 </w:t>
      </w:r>
      <w:r w:rsidR="005C6637">
        <w:rPr>
          <w:rStyle w:val="Strong"/>
          <w:rFonts w:ascii="Times New Roman" w:hAnsi="Times New Roman" w:cs="Times New Roman"/>
          <w:b w:val="0"/>
          <w:sz w:val="28"/>
          <w:szCs w:val="28"/>
          <w:lang w:val="kk-KZ"/>
        </w:rPr>
        <w:t xml:space="preserve">– </w:t>
      </w:r>
      <w:r w:rsidRPr="001935D0">
        <w:rPr>
          <w:rStyle w:val="Emphasis"/>
          <w:rFonts w:ascii="Times New Roman" w:hAnsi="Times New Roman" w:cs="Times New Roman"/>
          <w:i w:val="0"/>
          <w:iCs w:val="0"/>
          <w:sz w:val="28"/>
          <w:szCs w:val="28"/>
        </w:rPr>
        <w:t>Механизмы и субъекты реализации правозащитной политики ЕС в международном контексте</w:t>
      </w:r>
    </w:p>
    <w:p w14:paraId="60CC269C" w14:textId="77777777" w:rsidR="005C6637" w:rsidRPr="005C6637" w:rsidRDefault="005C6637" w:rsidP="005C6637">
      <w:pPr>
        <w:pStyle w:val="NoSpacing"/>
        <w:jc w:val="both"/>
        <w:rPr>
          <w:rFonts w:ascii="Times New Roman" w:hAnsi="Times New Roman" w:cs="Times New Roman"/>
          <w:i/>
          <w:sz w:val="16"/>
          <w:szCs w:val="16"/>
          <w:lang w:val="kk-KZ"/>
        </w:rPr>
      </w:pPr>
    </w:p>
    <w:tbl>
      <w:tblPr>
        <w:tblStyle w:val="TableGrid"/>
        <w:tblW w:w="9493" w:type="dxa"/>
        <w:jc w:val="center"/>
        <w:tblLook w:val="04A0" w:firstRow="1" w:lastRow="0" w:firstColumn="1" w:lastColumn="0" w:noHBand="0" w:noVBand="1"/>
      </w:tblPr>
      <w:tblGrid>
        <w:gridCol w:w="2547"/>
        <w:gridCol w:w="3827"/>
        <w:gridCol w:w="3119"/>
      </w:tblGrid>
      <w:tr w:rsidR="00E94B29" w:rsidRPr="005C6637" w14:paraId="21D5F23D" w14:textId="77777777" w:rsidTr="005C6637">
        <w:trPr>
          <w:jc w:val="center"/>
        </w:trPr>
        <w:tc>
          <w:tcPr>
            <w:tcW w:w="2547" w:type="dxa"/>
            <w:vAlign w:val="center"/>
          </w:tcPr>
          <w:p w14:paraId="4BC299A1" w14:textId="77777777" w:rsidR="00E94B29" w:rsidRPr="005C6637" w:rsidRDefault="00E94B29" w:rsidP="00593711">
            <w:pPr>
              <w:pStyle w:val="NoSpacing"/>
              <w:jc w:val="center"/>
              <w:rPr>
                <w:rFonts w:ascii="Times New Roman" w:hAnsi="Times New Roman" w:cs="Times New Roman"/>
                <w:b/>
                <w:sz w:val="24"/>
                <w:szCs w:val="24"/>
              </w:rPr>
            </w:pPr>
            <w:r w:rsidRPr="005C6637">
              <w:rPr>
                <w:rStyle w:val="Strong"/>
                <w:rFonts w:ascii="Times New Roman" w:hAnsi="Times New Roman" w:cs="Times New Roman"/>
                <w:b w:val="0"/>
                <w:sz w:val="24"/>
                <w:szCs w:val="24"/>
              </w:rPr>
              <w:t>Подход</w:t>
            </w:r>
          </w:p>
        </w:tc>
        <w:tc>
          <w:tcPr>
            <w:tcW w:w="3827" w:type="dxa"/>
            <w:vAlign w:val="center"/>
          </w:tcPr>
          <w:p w14:paraId="038C9746" w14:textId="77777777" w:rsidR="00E94B29" w:rsidRPr="005C6637" w:rsidRDefault="00E94B29" w:rsidP="00593711">
            <w:pPr>
              <w:pStyle w:val="NoSpacing"/>
              <w:jc w:val="center"/>
              <w:rPr>
                <w:rFonts w:ascii="Times New Roman" w:hAnsi="Times New Roman" w:cs="Times New Roman"/>
                <w:b/>
                <w:sz w:val="24"/>
                <w:szCs w:val="24"/>
              </w:rPr>
            </w:pPr>
            <w:r w:rsidRPr="005C6637">
              <w:rPr>
                <w:rStyle w:val="Strong"/>
                <w:rFonts w:ascii="Times New Roman" w:hAnsi="Times New Roman" w:cs="Times New Roman"/>
                <w:b w:val="0"/>
                <w:sz w:val="24"/>
                <w:szCs w:val="24"/>
              </w:rPr>
              <w:t>Содержание</w:t>
            </w:r>
          </w:p>
        </w:tc>
        <w:tc>
          <w:tcPr>
            <w:tcW w:w="3119" w:type="dxa"/>
            <w:vAlign w:val="center"/>
          </w:tcPr>
          <w:p w14:paraId="43940D7B" w14:textId="77777777" w:rsidR="00E94B29" w:rsidRPr="005C6637" w:rsidRDefault="00E94B29" w:rsidP="00593711">
            <w:pPr>
              <w:pStyle w:val="NoSpacing"/>
              <w:jc w:val="center"/>
              <w:rPr>
                <w:rFonts w:ascii="Times New Roman" w:hAnsi="Times New Roman" w:cs="Times New Roman"/>
                <w:b/>
                <w:sz w:val="24"/>
                <w:szCs w:val="24"/>
              </w:rPr>
            </w:pPr>
            <w:r w:rsidRPr="005C6637">
              <w:rPr>
                <w:rStyle w:val="Strong"/>
                <w:rFonts w:ascii="Times New Roman" w:hAnsi="Times New Roman" w:cs="Times New Roman"/>
                <w:b w:val="0"/>
                <w:sz w:val="24"/>
                <w:szCs w:val="24"/>
              </w:rPr>
              <w:t>Субъекты реализации</w:t>
            </w:r>
          </w:p>
        </w:tc>
      </w:tr>
      <w:tr w:rsidR="00E94B29" w:rsidRPr="001935D0" w14:paraId="163CD7D3" w14:textId="77777777" w:rsidTr="005C6637">
        <w:trPr>
          <w:jc w:val="center"/>
        </w:trPr>
        <w:tc>
          <w:tcPr>
            <w:tcW w:w="2547" w:type="dxa"/>
            <w:vAlign w:val="center"/>
          </w:tcPr>
          <w:p w14:paraId="27BADDBC"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Публичная дипломатия и коммуникация</w:t>
            </w:r>
          </w:p>
        </w:tc>
        <w:tc>
          <w:tcPr>
            <w:tcW w:w="3827" w:type="dxa"/>
            <w:vAlign w:val="center"/>
          </w:tcPr>
          <w:p w14:paraId="46D94B64"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Кампании, цифровые платформы, мультиязычные месседжи, оценка вовлеченности</w:t>
            </w:r>
          </w:p>
        </w:tc>
        <w:tc>
          <w:tcPr>
            <w:tcW w:w="3119" w:type="dxa"/>
            <w:vAlign w:val="center"/>
          </w:tcPr>
          <w:p w14:paraId="192E09DB"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ЕСВД, делегации ЕС, СМИ, Европарламент, НКО</w:t>
            </w:r>
          </w:p>
        </w:tc>
      </w:tr>
      <w:tr w:rsidR="00E94B29" w:rsidRPr="001935D0" w14:paraId="1E79AAF1" w14:textId="77777777" w:rsidTr="005C6637">
        <w:trPr>
          <w:jc w:val="center"/>
        </w:trPr>
        <w:tc>
          <w:tcPr>
            <w:tcW w:w="2547" w:type="dxa"/>
            <w:vAlign w:val="center"/>
          </w:tcPr>
          <w:p w14:paraId="37307525"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Мониторинг и оценка эффективности</w:t>
            </w:r>
          </w:p>
        </w:tc>
        <w:tc>
          <w:tcPr>
            <w:tcW w:w="3827" w:type="dxa"/>
            <w:vAlign w:val="center"/>
          </w:tcPr>
          <w:p w14:paraId="590AEED2"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Годовые отчёты, промежуточный обзор (2023), итоговая оценка (2027)</w:t>
            </w:r>
          </w:p>
        </w:tc>
        <w:tc>
          <w:tcPr>
            <w:tcW w:w="3119" w:type="dxa"/>
            <w:vAlign w:val="center"/>
          </w:tcPr>
          <w:p w14:paraId="1378DB17"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Комиссия ЕС, государства-члены, НПО, академические институты</w:t>
            </w:r>
          </w:p>
        </w:tc>
      </w:tr>
      <w:tr w:rsidR="00E94B29" w:rsidRPr="001935D0" w14:paraId="0BA396E3" w14:textId="77777777" w:rsidTr="005C6637">
        <w:trPr>
          <w:jc w:val="center"/>
        </w:trPr>
        <w:tc>
          <w:tcPr>
            <w:tcW w:w="2547" w:type="dxa"/>
            <w:vAlign w:val="center"/>
          </w:tcPr>
          <w:p w14:paraId="3C9FB21F"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Внешнеполитические инструменты</w:t>
            </w:r>
          </w:p>
        </w:tc>
        <w:tc>
          <w:tcPr>
            <w:tcW w:w="3827" w:type="dxa"/>
            <w:vAlign w:val="center"/>
          </w:tcPr>
          <w:p w14:paraId="55812F8B" w14:textId="257F3535"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Диалоги, миссии CSDP, механизмы GSP+/EBA, тематиче</w:t>
            </w:r>
            <w:r w:rsidR="005C6637">
              <w:rPr>
                <w:rFonts w:ascii="Times New Roman" w:hAnsi="Times New Roman" w:cs="Times New Roman"/>
                <w:sz w:val="24"/>
                <w:szCs w:val="24"/>
                <w:lang w:val="kk-KZ"/>
              </w:rPr>
              <w:t xml:space="preserve"> </w:t>
            </w:r>
            <w:r w:rsidRPr="001935D0">
              <w:rPr>
                <w:rFonts w:ascii="Times New Roman" w:hAnsi="Times New Roman" w:cs="Times New Roman"/>
                <w:sz w:val="24"/>
                <w:szCs w:val="24"/>
              </w:rPr>
              <w:t>ские правозащитные проекты</w:t>
            </w:r>
          </w:p>
        </w:tc>
        <w:tc>
          <w:tcPr>
            <w:tcW w:w="3119" w:type="dxa"/>
            <w:vAlign w:val="center"/>
          </w:tcPr>
          <w:p w14:paraId="5809D0FE"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Делегации ЕС, МИД, международные партнёры</w:t>
            </w:r>
          </w:p>
        </w:tc>
      </w:tr>
      <w:tr w:rsidR="00E94B29" w:rsidRPr="001935D0" w14:paraId="624FB911" w14:textId="77777777" w:rsidTr="005C6637">
        <w:trPr>
          <w:jc w:val="center"/>
        </w:trPr>
        <w:tc>
          <w:tcPr>
            <w:tcW w:w="2547" w:type="dxa"/>
            <w:vAlign w:val="center"/>
          </w:tcPr>
          <w:p w14:paraId="1DE04A8C"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Стратегии по странам</w:t>
            </w:r>
          </w:p>
        </w:tc>
        <w:tc>
          <w:tcPr>
            <w:tcW w:w="3827" w:type="dxa"/>
            <w:vAlign w:val="center"/>
          </w:tcPr>
          <w:p w14:paraId="4098ACA9" w14:textId="21ED3E64"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Интеграция Плана в местные стра</w:t>
            </w:r>
            <w:r w:rsidR="005C6637">
              <w:rPr>
                <w:rFonts w:ascii="Times New Roman" w:hAnsi="Times New Roman" w:cs="Times New Roman"/>
                <w:sz w:val="24"/>
                <w:szCs w:val="24"/>
                <w:lang w:val="kk-KZ"/>
              </w:rPr>
              <w:t xml:space="preserve"> </w:t>
            </w:r>
            <w:r w:rsidRPr="001935D0">
              <w:rPr>
                <w:rFonts w:ascii="Times New Roman" w:hAnsi="Times New Roman" w:cs="Times New Roman"/>
                <w:sz w:val="24"/>
                <w:szCs w:val="24"/>
              </w:rPr>
              <w:t>тегии делегаций и посольств ЕС</w:t>
            </w:r>
          </w:p>
        </w:tc>
        <w:tc>
          <w:tcPr>
            <w:tcW w:w="3119" w:type="dxa"/>
            <w:vAlign w:val="center"/>
          </w:tcPr>
          <w:p w14:paraId="3C249408"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Делегации, посольства стран-членов, Спецпредставитель ЕС</w:t>
            </w:r>
          </w:p>
        </w:tc>
      </w:tr>
      <w:tr w:rsidR="00E94B29" w:rsidRPr="001935D0" w14:paraId="3150BB08" w14:textId="77777777" w:rsidTr="005C6637">
        <w:trPr>
          <w:jc w:val="center"/>
        </w:trPr>
        <w:tc>
          <w:tcPr>
            <w:tcW w:w="2547" w:type="dxa"/>
            <w:vAlign w:val="center"/>
          </w:tcPr>
          <w:p w14:paraId="277BA9ED"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Консультации с гражданским обществом</w:t>
            </w:r>
          </w:p>
        </w:tc>
        <w:tc>
          <w:tcPr>
            <w:tcW w:w="3827" w:type="dxa"/>
            <w:vAlign w:val="center"/>
          </w:tcPr>
          <w:p w14:paraId="4E32C063"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Регулярные обсуждения, годовые консультации, партнёрские платформы</w:t>
            </w:r>
          </w:p>
        </w:tc>
        <w:tc>
          <w:tcPr>
            <w:tcW w:w="3119" w:type="dxa"/>
            <w:vAlign w:val="center"/>
          </w:tcPr>
          <w:p w14:paraId="0C0B8743"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НКО, правозащитники, исследовательские и экспертные сообщества</w:t>
            </w:r>
          </w:p>
        </w:tc>
      </w:tr>
      <w:tr w:rsidR="00E94B29" w:rsidRPr="001935D0" w14:paraId="3B1997E5" w14:textId="77777777" w:rsidTr="005C6637">
        <w:trPr>
          <w:jc w:val="center"/>
        </w:trPr>
        <w:tc>
          <w:tcPr>
            <w:tcW w:w="2547" w:type="dxa"/>
            <w:vAlign w:val="center"/>
          </w:tcPr>
          <w:p w14:paraId="0123E366"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Взаимодействие с Европейским парламентом</w:t>
            </w:r>
          </w:p>
        </w:tc>
        <w:tc>
          <w:tcPr>
            <w:tcW w:w="3827" w:type="dxa"/>
            <w:vAlign w:val="center"/>
          </w:tcPr>
          <w:p w14:paraId="58D76A17"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Резолюции, дебаты, парламентский контроль, подкомитет по правам человека</w:t>
            </w:r>
          </w:p>
        </w:tc>
        <w:tc>
          <w:tcPr>
            <w:tcW w:w="3119" w:type="dxa"/>
            <w:vAlign w:val="center"/>
          </w:tcPr>
          <w:p w14:paraId="5B0DCA5F"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Комитет AFET, DROI, депутаты Европарламента</w:t>
            </w:r>
          </w:p>
        </w:tc>
      </w:tr>
      <w:tr w:rsidR="00E94B29" w:rsidRPr="001935D0" w14:paraId="2E4DF499" w14:textId="77777777" w:rsidTr="005C6637">
        <w:trPr>
          <w:jc w:val="center"/>
        </w:trPr>
        <w:tc>
          <w:tcPr>
            <w:tcW w:w="2547" w:type="dxa"/>
            <w:vAlign w:val="center"/>
          </w:tcPr>
          <w:p w14:paraId="5FE50FEB"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Обзор Руководящих принципов ЕС</w:t>
            </w:r>
          </w:p>
        </w:tc>
        <w:tc>
          <w:tcPr>
            <w:tcW w:w="3827" w:type="dxa"/>
            <w:vAlign w:val="center"/>
          </w:tcPr>
          <w:p w14:paraId="71A0A181"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Актуализация, адаптация к контексту партнёров, включая HR Dialogues Guidelines</w:t>
            </w:r>
          </w:p>
        </w:tc>
        <w:tc>
          <w:tcPr>
            <w:tcW w:w="3119" w:type="dxa"/>
            <w:vAlign w:val="center"/>
          </w:tcPr>
          <w:p w14:paraId="3A60CAB9" w14:textId="6E252444"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Совет ЕС, ЕСВД, независи</w:t>
            </w:r>
            <w:r w:rsidR="005C6637">
              <w:rPr>
                <w:rFonts w:ascii="Times New Roman" w:hAnsi="Times New Roman" w:cs="Times New Roman"/>
                <w:sz w:val="24"/>
                <w:szCs w:val="24"/>
                <w:lang w:val="kk-KZ"/>
              </w:rPr>
              <w:t xml:space="preserve"> </w:t>
            </w:r>
            <w:r w:rsidRPr="001935D0">
              <w:rPr>
                <w:rFonts w:ascii="Times New Roman" w:hAnsi="Times New Roman" w:cs="Times New Roman"/>
                <w:sz w:val="24"/>
                <w:szCs w:val="24"/>
              </w:rPr>
              <w:t>мые правовые эксперты и академическое сообщество</w:t>
            </w:r>
          </w:p>
        </w:tc>
      </w:tr>
      <w:tr w:rsidR="005C6637" w:rsidRPr="001935D0" w14:paraId="47D6B48B" w14:textId="77777777" w:rsidTr="00634764">
        <w:trPr>
          <w:jc w:val="center"/>
        </w:trPr>
        <w:tc>
          <w:tcPr>
            <w:tcW w:w="9493" w:type="dxa"/>
            <w:gridSpan w:val="3"/>
            <w:vAlign w:val="center"/>
          </w:tcPr>
          <w:p w14:paraId="45722A89" w14:textId="68740EE9" w:rsidR="005C6637" w:rsidRPr="001935D0" w:rsidRDefault="005C6637" w:rsidP="00FA02FB">
            <w:pPr>
              <w:pStyle w:val="NoSpacing"/>
              <w:ind w:firstLine="529"/>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источника </w:t>
            </w:r>
            <w:r w:rsidRPr="001935D0">
              <w:rPr>
                <w:rFonts w:ascii="Times New Roman" w:hAnsi="Times New Roman" w:cs="Times New Roman"/>
                <w:sz w:val="24"/>
                <w:szCs w:val="24"/>
              </w:rPr>
              <w:t>[10</w:t>
            </w:r>
            <w:r w:rsidR="00FA02FB">
              <w:rPr>
                <w:rFonts w:ascii="Times New Roman" w:hAnsi="Times New Roman" w:cs="Times New Roman"/>
                <w:sz w:val="24"/>
                <w:szCs w:val="24"/>
                <w:lang w:val="kk-KZ"/>
              </w:rPr>
              <w:t>2</w:t>
            </w:r>
            <w:r w:rsidRPr="001935D0">
              <w:rPr>
                <w:rFonts w:ascii="Times New Roman" w:hAnsi="Times New Roman" w:cs="Times New Roman"/>
                <w:sz w:val="24"/>
                <w:szCs w:val="24"/>
              </w:rPr>
              <w:t>]</w:t>
            </w:r>
          </w:p>
        </w:tc>
      </w:tr>
    </w:tbl>
    <w:p w14:paraId="7FAD5FCE" w14:textId="5AFBF5C9" w:rsidR="00E94B29" w:rsidRPr="001935D0" w:rsidRDefault="00E94B29" w:rsidP="00593711">
      <w:pPr>
        <w:pStyle w:val="NoSpacing"/>
        <w:rPr>
          <w:rFonts w:ascii="Times New Roman" w:hAnsi="Times New Roman" w:cs="Times New Roman"/>
          <w:sz w:val="24"/>
          <w:szCs w:val="24"/>
        </w:rPr>
      </w:pPr>
    </w:p>
    <w:p w14:paraId="6B4F0526" w14:textId="77777777" w:rsidR="00E94B29" w:rsidRDefault="00E94B29" w:rsidP="005C6637">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В этой системе ключевое значение приобретают механизмы, обеспечивающие согласованность действий, прозрачность процедур и активное вовлечение заинтересованных сторон. Именно они служат гарантом результативности правозащитной политики ЕС и формируют доверие к её реализации. В таблице 2.14 представлены стратегические ориентиры, которые демонстрируют, как эти принципы интегрируются в процесс выполнения Плана.</w:t>
      </w:r>
    </w:p>
    <w:p w14:paraId="7C7F2323" w14:textId="77777777" w:rsidR="005C6637" w:rsidRPr="001935D0" w:rsidRDefault="005C6637" w:rsidP="005C6637">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Ориентиры в таблице 2.14 иллюстрируют, что План действий ЕС предусматривает не только реализацию тематических приоритетов, но и создание устойчивой институциональной базы, обеспечивающей согласованность действий различных структур, прозрачность процедур мониторинга и активное вовлечение гражданского общества. Такой подход позволяет укрепить легитимность правозащитной политики ЕС и повысить её эффективность в различных региональных контекстах.</w:t>
      </w:r>
    </w:p>
    <w:p w14:paraId="3B7CC1EC" w14:textId="77777777" w:rsidR="005C6637" w:rsidRPr="005C6637" w:rsidRDefault="005C6637" w:rsidP="005C6637">
      <w:pPr>
        <w:pStyle w:val="NoSpacing"/>
        <w:jc w:val="both"/>
        <w:rPr>
          <w:rFonts w:ascii="Times New Roman" w:hAnsi="Times New Roman" w:cs="Times New Roman"/>
          <w:sz w:val="28"/>
          <w:szCs w:val="28"/>
          <w:lang w:val="kk-KZ"/>
        </w:rPr>
      </w:pPr>
    </w:p>
    <w:p w14:paraId="51857991" w14:textId="521E2993" w:rsidR="00E94B29" w:rsidRDefault="00E94B29" w:rsidP="005C6637">
      <w:pPr>
        <w:pStyle w:val="NoSpacing"/>
        <w:jc w:val="both"/>
        <w:rPr>
          <w:rStyle w:val="Emphasis"/>
          <w:rFonts w:ascii="Times New Roman" w:hAnsi="Times New Roman" w:cs="Times New Roman"/>
          <w:i w:val="0"/>
          <w:iCs w:val="0"/>
          <w:sz w:val="28"/>
          <w:szCs w:val="28"/>
          <w:lang w:val="kk-KZ"/>
        </w:rPr>
      </w:pPr>
      <w:r w:rsidRPr="001935D0">
        <w:rPr>
          <w:rStyle w:val="Strong"/>
          <w:rFonts w:ascii="Times New Roman" w:hAnsi="Times New Roman" w:cs="Times New Roman"/>
          <w:b w:val="0"/>
          <w:sz w:val="28"/>
          <w:szCs w:val="28"/>
        </w:rPr>
        <w:lastRenderedPageBreak/>
        <w:t>Таблица 2.14</w:t>
      </w:r>
      <w:r w:rsidRPr="001935D0">
        <w:rPr>
          <w:rStyle w:val="Strong"/>
          <w:rFonts w:ascii="Times New Roman" w:hAnsi="Times New Roman" w:cs="Times New Roman"/>
          <w:i/>
          <w:sz w:val="28"/>
          <w:szCs w:val="28"/>
        </w:rPr>
        <w:t xml:space="preserve"> </w:t>
      </w:r>
      <w:r w:rsidR="005C6637" w:rsidRPr="005C6637">
        <w:rPr>
          <w:rStyle w:val="Strong"/>
          <w:rFonts w:ascii="Times New Roman" w:hAnsi="Times New Roman" w:cs="Times New Roman"/>
          <w:b w:val="0"/>
          <w:sz w:val="28"/>
          <w:szCs w:val="28"/>
        </w:rPr>
        <w:t>‒</w:t>
      </w:r>
      <w:r w:rsidR="005C6637">
        <w:rPr>
          <w:rStyle w:val="Strong"/>
          <w:rFonts w:ascii="Times New Roman" w:hAnsi="Times New Roman" w:cs="Times New Roman"/>
          <w:i/>
          <w:sz w:val="28"/>
          <w:szCs w:val="28"/>
          <w:lang w:val="kk-KZ"/>
        </w:rPr>
        <w:t xml:space="preserve"> </w:t>
      </w:r>
      <w:r w:rsidRPr="001935D0">
        <w:rPr>
          <w:rStyle w:val="Emphasis"/>
          <w:rFonts w:ascii="Times New Roman" w:hAnsi="Times New Roman" w:cs="Times New Roman"/>
          <w:i w:val="0"/>
          <w:iCs w:val="0"/>
          <w:sz w:val="28"/>
          <w:szCs w:val="28"/>
        </w:rPr>
        <w:t>Стратегические ориентиры по обеспечению согласованности, подотчётности и участия</w:t>
      </w:r>
    </w:p>
    <w:p w14:paraId="3473E489" w14:textId="77777777" w:rsidR="005C6637" w:rsidRPr="005C6637" w:rsidRDefault="005C6637" w:rsidP="005C6637">
      <w:pPr>
        <w:pStyle w:val="NoSpacing"/>
        <w:jc w:val="both"/>
        <w:rPr>
          <w:rStyle w:val="Emphasis"/>
          <w:rFonts w:ascii="Times New Roman" w:hAnsi="Times New Roman" w:cs="Times New Roman"/>
          <w:i w:val="0"/>
          <w:iCs w:val="0"/>
          <w:sz w:val="16"/>
          <w:szCs w:val="16"/>
          <w:lang w:val="kk-KZ"/>
        </w:rPr>
      </w:pPr>
    </w:p>
    <w:tbl>
      <w:tblPr>
        <w:tblStyle w:val="TableGrid"/>
        <w:tblW w:w="0" w:type="auto"/>
        <w:jc w:val="center"/>
        <w:tblLook w:val="04A0" w:firstRow="1" w:lastRow="0" w:firstColumn="1" w:lastColumn="0" w:noHBand="0" w:noVBand="1"/>
      </w:tblPr>
      <w:tblGrid>
        <w:gridCol w:w="2269"/>
        <w:gridCol w:w="3961"/>
        <w:gridCol w:w="3263"/>
      </w:tblGrid>
      <w:tr w:rsidR="00E94B29" w:rsidRPr="005C6637" w14:paraId="376C611E" w14:textId="77777777" w:rsidTr="005C6637">
        <w:trPr>
          <w:jc w:val="center"/>
        </w:trPr>
        <w:tc>
          <w:tcPr>
            <w:tcW w:w="2269" w:type="dxa"/>
            <w:vAlign w:val="center"/>
          </w:tcPr>
          <w:p w14:paraId="089585C6" w14:textId="77777777" w:rsidR="00E94B29" w:rsidRPr="005C6637" w:rsidRDefault="00E94B29" w:rsidP="00593711">
            <w:pPr>
              <w:pStyle w:val="NoSpacing"/>
              <w:jc w:val="center"/>
              <w:rPr>
                <w:rStyle w:val="Emphasis"/>
                <w:rFonts w:ascii="Times New Roman" w:hAnsi="Times New Roman" w:cs="Times New Roman"/>
                <w:sz w:val="28"/>
                <w:szCs w:val="28"/>
              </w:rPr>
            </w:pPr>
            <w:r w:rsidRPr="005C6637">
              <w:rPr>
                <w:rFonts w:ascii="Times New Roman" w:eastAsia="Times New Roman" w:hAnsi="Times New Roman" w:cs="Times New Roman"/>
                <w:bCs/>
                <w:sz w:val="24"/>
                <w:szCs w:val="24"/>
                <w:lang w:eastAsia="ru-RU"/>
              </w:rPr>
              <w:t>Ориентир</w:t>
            </w:r>
          </w:p>
        </w:tc>
        <w:tc>
          <w:tcPr>
            <w:tcW w:w="3961" w:type="dxa"/>
            <w:vAlign w:val="center"/>
          </w:tcPr>
          <w:p w14:paraId="6B39A517" w14:textId="77777777" w:rsidR="00E94B29" w:rsidRPr="005C6637" w:rsidRDefault="00E94B29" w:rsidP="00593711">
            <w:pPr>
              <w:pStyle w:val="NoSpacing"/>
              <w:jc w:val="center"/>
              <w:rPr>
                <w:rStyle w:val="Emphasis"/>
                <w:rFonts w:ascii="Times New Roman" w:hAnsi="Times New Roman" w:cs="Times New Roman"/>
                <w:sz w:val="28"/>
                <w:szCs w:val="28"/>
              </w:rPr>
            </w:pPr>
            <w:r w:rsidRPr="005C6637">
              <w:rPr>
                <w:rFonts w:ascii="Times New Roman" w:eastAsia="Times New Roman" w:hAnsi="Times New Roman" w:cs="Times New Roman"/>
                <w:bCs/>
                <w:sz w:val="24"/>
                <w:szCs w:val="24"/>
                <w:lang w:eastAsia="ru-RU"/>
              </w:rPr>
              <w:t>Цели</w:t>
            </w:r>
          </w:p>
        </w:tc>
        <w:tc>
          <w:tcPr>
            <w:tcW w:w="3263" w:type="dxa"/>
            <w:vAlign w:val="center"/>
          </w:tcPr>
          <w:p w14:paraId="1D7F4AFC" w14:textId="77777777" w:rsidR="00E94B29" w:rsidRPr="005C6637" w:rsidRDefault="00E94B29" w:rsidP="00593711">
            <w:pPr>
              <w:pStyle w:val="NoSpacing"/>
              <w:jc w:val="center"/>
              <w:rPr>
                <w:rStyle w:val="Emphasis"/>
                <w:rFonts w:ascii="Times New Roman" w:hAnsi="Times New Roman" w:cs="Times New Roman"/>
                <w:sz w:val="28"/>
                <w:szCs w:val="28"/>
              </w:rPr>
            </w:pPr>
            <w:r w:rsidRPr="005C6637">
              <w:rPr>
                <w:rFonts w:ascii="Times New Roman" w:eastAsia="Times New Roman" w:hAnsi="Times New Roman" w:cs="Times New Roman"/>
                <w:bCs/>
                <w:sz w:val="24"/>
                <w:szCs w:val="24"/>
                <w:lang w:eastAsia="ru-RU"/>
              </w:rPr>
              <w:t>Ключевые инструменты</w:t>
            </w:r>
          </w:p>
        </w:tc>
      </w:tr>
      <w:tr w:rsidR="00E94B29" w:rsidRPr="001935D0" w14:paraId="77354272" w14:textId="77777777" w:rsidTr="005C6637">
        <w:trPr>
          <w:jc w:val="center"/>
        </w:trPr>
        <w:tc>
          <w:tcPr>
            <w:tcW w:w="2269" w:type="dxa"/>
            <w:vAlign w:val="center"/>
          </w:tcPr>
          <w:p w14:paraId="53D67EE2" w14:textId="77777777" w:rsidR="00E94B29" w:rsidRPr="001935D0" w:rsidRDefault="00E94B29" w:rsidP="00593711">
            <w:pPr>
              <w:pStyle w:val="NoSpacing"/>
              <w:jc w:val="center"/>
              <w:rPr>
                <w:rStyle w:val="Emphasis"/>
                <w:rFonts w:ascii="Times New Roman" w:hAnsi="Times New Roman" w:cs="Times New Roman"/>
                <w:i w:val="0"/>
                <w:sz w:val="28"/>
                <w:szCs w:val="28"/>
              </w:rPr>
            </w:pPr>
            <w:r w:rsidRPr="001935D0">
              <w:rPr>
                <w:rFonts w:ascii="Times New Roman" w:eastAsia="Times New Roman" w:hAnsi="Times New Roman" w:cs="Times New Roman"/>
                <w:sz w:val="24"/>
                <w:szCs w:val="24"/>
                <w:lang w:eastAsia="ru-RU"/>
              </w:rPr>
              <w:t>Институциональная согласованность</w:t>
            </w:r>
          </w:p>
        </w:tc>
        <w:tc>
          <w:tcPr>
            <w:tcW w:w="3961" w:type="dxa"/>
            <w:vAlign w:val="center"/>
          </w:tcPr>
          <w:p w14:paraId="66CE8CC6" w14:textId="77777777" w:rsidR="00E94B29" w:rsidRPr="001935D0" w:rsidRDefault="00E94B29" w:rsidP="00593711">
            <w:pPr>
              <w:pStyle w:val="NoSpacing"/>
              <w:jc w:val="center"/>
              <w:rPr>
                <w:rStyle w:val="Emphasis"/>
                <w:rFonts w:ascii="Times New Roman" w:hAnsi="Times New Roman" w:cs="Times New Roman"/>
                <w:i w:val="0"/>
                <w:sz w:val="28"/>
                <w:szCs w:val="28"/>
              </w:rPr>
            </w:pPr>
            <w:r w:rsidRPr="001935D0">
              <w:rPr>
                <w:rFonts w:ascii="Times New Roman" w:eastAsia="Times New Roman" w:hAnsi="Times New Roman" w:cs="Times New Roman"/>
                <w:sz w:val="24"/>
                <w:szCs w:val="24"/>
                <w:lang w:eastAsia="ru-RU"/>
              </w:rPr>
              <w:t>Координация между структурами ЕС, консолидация внешнеполитических и программных инструментов</w:t>
            </w:r>
          </w:p>
        </w:tc>
        <w:tc>
          <w:tcPr>
            <w:tcW w:w="3263" w:type="dxa"/>
            <w:vAlign w:val="center"/>
          </w:tcPr>
          <w:p w14:paraId="1CFB7E9E" w14:textId="5D13281F" w:rsidR="00E94B29" w:rsidRPr="001935D0" w:rsidRDefault="00E94B29" w:rsidP="00593711">
            <w:pPr>
              <w:pStyle w:val="NoSpacing"/>
              <w:jc w:val="center"/>
              <w:rPr>
                <w:rStyle w:val="Emphasis"/>
                <w:rFonts w:ascii="Times New Roman" w:hAnsi="Times New Roman" w:cs="Times New Roman"/>
                <w:i w:val="0"/>
                <w:sz w:val="28"/>
                <w:szCs w:val="28"/>
              </w:rPr>
            </w:pPr>
            <w:r w:rsidRPr="001935D0">
              <w:rPr>
                <w:rFonts w:ascii="Times New Roman" w:eastAsia="Times New Roman" w:hAnsi="Times New Roman" w:cs="Times New Roman"/>
                <w:sz w:val="24"/>
                <w:szCs w:val="24"/>
                <w:lang w:eastAsia="ru-RU"/>
              </w:rPr>
              <w:t>Whole-of-EU Approach, План демократического управления, межинститу</w:t>
            </w:r>
            <w:r w:rsidR="005C6637">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циональные платформы</w:t>
            </w:r>
          </w:p>
        </w:tc>
      </w:tr>
      <w:tr w:rsidR="00E94B29" w:rsidRPr="001935D0" w14:paraId="051F9726" w14:textId="77777777" w:rsidTr="005C6637">
        <w:trPr>
          <w:jc w:val="center"/>
        </w:trPr>
        <w:tc>
          <w:tcPr>
            <w:tcW w:w="2269" w:type="dxa"/>
            <w:vAlign w:val="center"/>
          </w:tcPr>
          <w:p w14:paraId="51430174" w14:textId="77777777" w:rsidR="00E94B29" w:rsidRPr="001935D0" w:rsidRDefault="00E94B29" w:rsidP="00593711">
            <w:pPr>
              <w:pStyle w:val="NoSpacing"/>
              <w:jc w:val="center"/>
              <w:rPr>
                <w:rStyle w:val="Emphasis"/>
                <w:rFonts w:ascii="Times New Roman" w:hAnsi="Times New Roman" w:cs="Times New Roman"/>
                <w:i w:val="0"/>
                <w:sz w:val="28"/>
                <w:szCs w:val="28"/>
              </w:rPr>
            </w:pPr>
            <w:r w:rsidRPr="001935D0">
              <w:rPr>
                <w:rFonts w:ascii="Times New Roman" w:eastAsia="Times New Roman" w:hAnsi="Times New Roman" w:cs="Times New Roman"/>
                <w:sz w:val="24"/>
                <w:szCs w:val="24"/>
                <w:lang w:eastAsia="ru-RU"/>
              </w:rPr>
              <w:t>Подотчётность и мониторинг</w:t>
            </w:r>
          </w:p>
        </w:tc>
        <w:tc>
          <w:tcPr>
            <w:tcW w:w="3961" w:type="dxa"/>
            <w:vAlign w:val="center"/>
          </w:tcPr>
          <w:p w14:paraId="129BAAAA" w14:textId="77777777" w:rsidR="00E94B29" w:rsidRPr="001935D0" w:rsidRDefault="00E94B29" w:rsidP="00593711">
            <w:pPr>
              <w:pStyle w:val="NoSpacing"/>
              <w:jc w:val="center"/>
              <w:rPr>
                <w:rStyle w:val="Emphasis"/>
                <w:rFonts w:ascii="Times New Roman" w:hAnsi="Times New Roman" w:cs="Times New Roman"/>
                <w:i w:val="0"/>
                <w:sz w:val="28"/>
                <w:szCs w:val="28"/>
              </w:rPr>
            </w:pPr>
            <w:r w:rsidRPr="001935D0">
              <w:rPr>
                <w:rFonts w:ascii="Times New Roman" w:eastAsia="Times New Roman" w:hAnsi="Times New Roman" w:cs="Times New Roman"/>
                <w:sz w:val="24"/>
                <w:szCs w:val="24"/>
                <w:lang w:eastAsia="ru-RU"/>
              </w:rPr>
              <w:t>Отчётность за реализацию Плана, оценка воздействия на права человека</w:t>
            </w:r>
          </w:p>
        </w:tc>
        <w:tc>
          <w:tcPr>
            <w:tcW w:w="3263" w:type="dxa"/>
            <w:vAlign w:val="center"/>
          </w:tcPr>
          <w:p w14:paraId="78EF0855" w14:textId="42F70A9F" w:rsidR="00E94B29" w:rsidRPr="001935D0" w:rsidRDefault="00E94B29" w:rsidP="00593711">
            <w:pPr>
              <w:pStyle w:val="NoSpacing"/>
              <w:jc w:val="center"/>
              <w:rPr>
                <w:rStyle w:val="Emphasis"/>
                <w:rFonts w:ascii="Times New Roman" w:hAnsi="Times New Roman" w:cs="Times New Roman"/>
                <w:i w:val="0"/>
                <w:sz w:val="28"/>
                <w:szCs w:val="28"/>
              </w:rPr>
            </w:pPr>
            <w:r w:rsidRPr="001935D0">
              <w:rPr>
                <w:rFonts w:ascii="Times New Roman" w:eastAsia="Times New Roman" w:hAnsi="Times New Roman" w:cs="Times New Roman"/>
                <w:sz w:val="24"/>
                <w:szCs w:val="24"/>
                <w:lang w:eastAsia="ru-RU"/>
              </w:rPr>
              <w:t>Годовые доклады EEAS, индикаторы GEN, незави</w:t>
            </w:r>
            <w:r w:rsidR="005C6637">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симая оценка, механизмы раннего предупреждения</w:t>
            </w:r>
          </w:p>
        </w:tc>
      </w:tr>
      <w:tr w:rsidR="00E94B29" w:rsidRPr="001935D0" w14:paraId="62255D69" w14:textId="77777777" w:rsidTr="005C6637">
        <w:trPr>
          <w:jc w:val="center"/>
        </w:trPr>
        <w:tc>
          <w:tcPr>
            <w:tcW w:w="2269" w:type="dxa"/>
            <w:vAlign w:val="center"/>
          </w:tcPr>
          <w:p w14:paraId="27F6406F" w14:textId="77777777" w:rsidR="00E94B29" w:rsidRPr="001935D0" w:rsidRDefault="00E94B29" w:rsidP="00593711">
            <w:pPr>
              <w:pStyle w:val="NoSpacing"/>
              <w:jc w:val="center"/>
              <w:rPr>
                <w:rStyle w:val="Emphasis"/>
                <w:rFonts w:ascii="Times New Roman" w:hAnsi="Times New Roman" w:cs="Times New Roman"/>
                <w:i w:val="0"/>
                <w:sz w:val="28"/>
                <w:szCs w:val="28"/>
              </w:rPr>
            </w:pPr>
            <w:r w:rsidRPr="001935D0">
              <w:rPr>
                <w:rFonts w:ascii="Times New Roman" w:eastAsia="Times New Roman" w:hAnsi="Times New Roman" w:cs="Times New Roman"/>
                <w:sz w:val="24"/>
                <w:szCs w:val="24"/>
                <w:lang w:eastAsia="ru-RU"/>
              </w:rPr>
              <w:t>Участие и инклюзивность</w:t>
            </w:r>
          </w:p>
        </w:tc>
        <w:tc>
          <w:tcPr>
            <w:tcW w:w="3961" w:type="dxa"/>
            <w:vAlign w:val="center"/>
          </w:tcPr>
          <w:p w14:paraId="2D129B92" w14:textId="77777777" w:rsidR="00E94B29" w:rsidRPr="001935D0" w:rsidRDefault="00E94B29" w:rsidP="00593711">
            <w:pPr>
              <w:pStyle w:val="NoSpacing"/>
              <w:jc w:val="center"/>
              <w:rPr>
                <w:rStyle w:val="Emphasis"/>
                <w:rFonts w:ascii="Times New Roman" w:hAnsi="Times New Roman" w:cs="Times New Roman"/>
                <w:i w:val="0"/>
                <w:sz w:val="28"/>
                <w:szCs w:val="28"/>
              </w:rPr>
            </w:pPr>
            <w:r w:rsidRPr="001935D0">
              <w:rPr>
                <w:rFonts w:ascii="Times New Roman" w:eastAsia="Times New Roman" w:hAnsi="Times New Roman" w:cs="Times New Roman"/>
                <w:sz w:val="24"/>
                <w:szCs w:val="24"/>
                <w:lang w:eastAsia="ru-RU"/>
              </w:rPr>
              <w:t>Вовлечение НПО, экспертных сообществ, локальных партнёров и целевых групп</w:t>
            </w:r>
          </w:p>
        </w:tc>
        <w:tc>
          <w:tcPr>
            <w:tcW w:w="3263" w:type="dxa"/>
            <w:vAlign w:val="center"/>
          </w:tcPr>
          <w:p w14:paraId="3DE70130" w14:textId="77777777" w:rsidR="00E94B29" w:rsidRPr="001935D0" w:rsidRDefault="00E94B29" w:rsidP="00593711">
            <w:pPr>
              <w:pStyle w:val="NoSpacing"/>
              <w:jc w:val="center"/>
              <w:rPr>
                <w:rStyle w:val="Emphasis"/>
                <w:rFonts w:ascii="Times New Roman" w:hAnsi="Times New Roman" w:cs="Times New Roman"/>
                <w:i w:val="0"/>
                <w:sz w:val="28"/>
                <w:szCs w:val="28"/>
              </w:rPr>
            </w:pPr>
            <w:r w:rsidRPr="001935D0">
              <w:rPr>
                <w:rFonts w:ascii="Times New Roman" w:eastAsia="Times New Roman" w:hAnsi="Times New Roman" w:cs="Times New Roman"/>
                <w:sz w:val="24"/>
                <w:szCs w:val="24"/>
                <w:lang w:eastAsia="ru-RU"/>
              </w:rPr>
              <w:t>Финансирование через NDICI, EIDHR, цифровые платформы участия, механизмы обратной связи</w:t>
            </w:r>
          </w:p>
        </w:tc>
      </w:tr>
      <w:tr w:rsidR="005C6637" w:rsidRPr="001935D0" w14:paraId="124587ED" w14:textId="77777777" w:rsidTr="00634764">
        <w:trPr>
          <w:jc w:val="center"/>
        </w:trPr>
        <w:tc>
          <w:tcPr>
            <w:tcW w:w="9493" w:type="dxa"/>
            <w:gridSpan w:val="3"/>
            <w:vAlign w:val="center"/>
          </w:tcPr>
          <w:p w14:paraId="6D09210B" w14:textId="3AF75FD1" w:rsidR="005C6637" w:rsidRPr="005C6637" w:rsidRDefault="005C6637" w:rsidP="00FA02FB">
            <w:pPr>
              <w:pStyle w:val="NoSpacing"/>
              <w:ind w:firstLine="529"/>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w:t>
            </w:r>
            <w:r>
              <w:rPr>
                <w:rFonts w:ascii="Times New Roman" w:hAnsi="Times New Roman" w:cs="Times New Roman"/>
                <w:sz w:val="24"/>
                <w:szCs w:val="24"/>
              </w:rPr>
              <w:t xml:space="preserve">тавлено автором по данным </w:t>
            </w:r>
            <w:r>
              <w:rPr>
                <w:rFonts w:ascii="Times New Roman" w:hAnsi="Times New Roman" w:cs="Times New Roman"/>
                <w:sz w:val="24"/>
                <w:szCs w:val="24"/>
                <w:lang w:val="kk-KZ"/>
              </w:rPr>
              <w:t xml:space="preserve">источника </w:t>
            </w:r>
            <w:r>
              <w:rPr>
                <w:rFonts w:ascii="Times New Roman" w:hAnsi="Times New Roman" w:cs="Times New Roman"/>
                <w:sz w:val="24"/>
                <w:szCs w:val="24"/>
              </w:rPr>
              <w:t>[10</w:t>
            </w:r>
            <w:r w:rsidR="00FA02FB">
              <w:rPr>
                <w:rFonts w:ascii="Times New Roman" w:hAnsi="Times New Roman" w:cs="Times New Roman"/>
                <w:sz w:val="24"/>
                <w:szCs w:val="24"/>
                <w:lang w:val="kk-KZ"/>
              </w:rPr>
              <w:t>2</w:t>
            </w:r>
            <w:r>
              <w:rPr>
                <w:rFonts w:ascii="Times New Roman" w:hAnsi="Times New Roman" w:cs="Times New Roman"/>
                <w:sz w:val="24"/>
                <w:szCs w:val="24"/>
              </w:rPr>
              <w:t>]</w:t>
            </w:r>
          </w:p>
        </w:tc>
      </w:tr>
    </w:tbl>
    <w:p w14:paraId="3D46DD79" w14:textId="77777777" w:rsidR="00E94B29" w:rsidRPr="001935D0" w:rsidRDefault="00E94B29" w:rsidP="00593711">
      <w:pPr>
        <w:pStyle w:val="NoSpacing"/>
        <w:ind w:firstLine="567"/>
        <w:jc w:val="both"/>
        <w:rPr>
          <w:rFonts w:ascii="Times New Roman" w:hAnsi="Times New Roman" w:cs="Times New Roman"/>
          <w:sz w:val="28"/>
          <w:szCs w:val="28"/>
        </w:rPr>
      </w:pPr>
    </w:p>
    <w:p w14:paraId="61190528" w14:textId="77777777" w:rsidR="00E94B29" w:rsidRPr="001935D0" w:rsidRDefault="00E94B29" w:rsidP="005C6637">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совокупности представленные механизмы и ориентиры формируют целостную модель институциональной реализации Плана действий, сочетающую политическую подотчётность, гибкость и адаптивность. Это создаёт основу для адаптации правозащитных инструментов к условиям стран-партнёров, включая государства Центральной Азии. </w:t>
      </w:r>
    </w:p>
    <w:p w14:paraId="17E7BD4E" w14:textId="555C393D" w:rsidR="00E94B29" w:rsidRPr="001935D0" w:rsidRDefault="00E94B29" w:rsidP="005C6637">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2024 году Европейский </w:t>
      </w:r>
      <w:r w:rsidR="007C324F" w:rsidRPr="001935D0">
        <w:rPr>
          <w:rFonts w:ascii="Times New Roman" w:hAnsi="Times New Roman" w:cs="Times New Roman"/>
          <w:sz w:val="28"/>
          <w:szCs w:val="28"/>
          <w:lang w:val="uk-UA"/>
        </w:rPr>
        <w:t>С</w:t>
      </w:r>
      <w:r w:rsidR="007C324F" w:rsidRPr="001935D0">
        <w:rPr>
          <w:rFonts w:ascii="Times New Roman" w:hAnsi="Times New Roman" w:cs="Times New Roman"/>
          <w:sz w:val="28"/>
          <w:szCs w:val="28"/>
        </w:rPr>
        <w:t>оюз</w:t>
      </w:r>
      <w:r w:rsidRPr="001935D0">
        <w:rPr>
          <w:rFonts w:ascii="Times New Roman" w:hAnsi="Times New Roman" w:cs="Times New Roman"/>
          <w:sz w:val="28"/>
          <w:szCs w:val="28"/>
        </w:rPr>
        <w:t xml:space="preserve"> продолжил целенаправленную реализацию </w:t>
      </w:r>
      <w:r w:rsidRPr="001935D0">
        <w:rPr>
          <w:rStyle w:val="Strong"/>
          <w:rFonts w:ascii="Times New Roman" w:hAnsi="Times New Roman" w:cs="Times New Roman"/>
          <w:b w:val="0"/>
          <w:bCs w:val="0"/>
          <w:sz w:val="28"/>
          <w:szCs w:val="28"/>
        </w:rPr>
        <w:t>Плана действий ЕС по правам человека и демократии на 2020–2027 годы</w:t>
      </w:r>
      <w:r w:rsidRPr="001935D0">
        <w:rPr>
          <w:rFonts w:ascii="Times New Roman" w:hAnsi="Times New Roman" w:cs="Times New Roman"/>
          <w:sz w:val="28"/>
          <w:szCs w:val="28"/>
        </w:rPr>
        <w:t>, фокусируясь, в частности, на стратегическом партнёрстве с Республикой Казахстан. Политика ЕС в данном направлении строилась на принципах инклюзивного диалога, институционального укрепления и адресной поддержки реформ, особенно в контексте продолжающихся изменений в политико-правовой системе страны после январских событий 2022 года [10</w:t>
      </w:r>
      <w:r w:rsidR="00FA02FB">
        <w:rPr>
          <w:rFonts w:ascii="Times New Roman" w:hAnsi="Times New Roman" w:cs="Times New Roman"/>
          <w:sz w:val="28"/>
          <w:szCs w:val="28"/>
          <w:lang w:val="kk-KZ"/>
        </w:rPr>
        <w:t>2</w:t>
      </w:r>
      <w:r w:rsidRPr="001935D0">
        <w:rPr>
          <w:rFonts w:ascii="Times New Roman" w:hAnsi="Times New Roman" w:cs="Times New Roman"/>
          <w:sz w:val="28"/>
          <w:szCs w:val="28"/>
        </w:rPr>
        <w:t>].</w:t>
      </w:r>
    </w:p>
    <w:p w14:paraId="305610C9" w14:textId="7E84FF91" w:rsidR="00E94B29" w:rsidRPr="001935D0" w:rsidRDefault="00E94B29" w:rsidP="005C6637">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Согласно заявленному курсу казахстанского руководства на формирование модели «президентской республики с сильным парламентом и подотчётным правительством»,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 активизировал комплекс мероприятий, сочетающих </w:t>
      </w:r>
      <w:r w:rsidRPr="001935D0">
        <w:rPr>
          <w:rStyle w:val="Strong"/>
          <w:rFonts w:ascii="Times New Roman" w:hAnsi="Times New Roman" w:cs="Times New Roman"/>
          <w:b w:val="0"/>
          <w:bCs w:val="0"/>
          <w:sz w:val="28"/>
          <w:szCs w:val="28"/>
        </w:rPr>
        <w:t>политический диалог</w:t>
      </w:r>
      <w:r w:rsidRPr="001935D0">
        <w:rPr>
          <w:rFonts w:ascii="Times New Roman" w:hAnsi="Times New Roman" w:cs="Times New Roman"/>
          <w:sz w:val="28"/>
          <w:szCs w:val="28"/>
        </w:rPr>
        <w:t xml:space="preserve">, </w:t>
      </w:r>
      <w:r w:rsidRPr="001935D0">
        <w:rPr>
          <w:rStyle w:val="Strong"/>
          <w:rFonts w:ascii="Times New Roman" w:hAnsi="Times New Roman" w:cs="Times New Roman"/>
          <w:b w:val="0"/>
          <w:bCs w:val="0"/>
          <w:sz w:val="28"/>
          <w:szCs w:val="28"/>
        </w:rPr>
        <w:t>финансовое содействие</w:t>
      </w:r>
      <w:r w:rsidRPr="001935D0">
        <w:rPr>
          <w:rFonts w:ascii="Times New Roman" w:hAnsi="Times New Roman" w:cs="Times New Roman"/>
          <w:sz w:val="28"/>
          <w:szCs w:val="28"/>
        </w:rPr>
        <w:t xml:space="preserve">, </w:t>
      </w:r>
      <w:r w:rsidRPr="001935D0">
        <w:rPr>
          <w:rStyle w:val="Strong"/>
          <w:rFonts w:ascii="Times New Roman" w:hAnsi="Times New Roman" w:cs="Times New Roman"/>
          <w:b w:val="0"/>
          <w:bCs w:val="0"/>
          <w:sz w:val="28"/>
          <w:szCs w:val="28"/>
        </w:rPr>
        <w:t>вовлечение гражданского общества</w:t>
      </w:r>
      <w:r w:rsidRPr="001935D0">
        <w:rPr>
          <w:rFonts w:ascii="Times New Roman" w:hAnsi="Times New Roman" w:cs="Times New Roman"/>
          <w:sz w:val="28"/>
          <w:szCs w:val="28"/>
        </w:rPr>
        <w:t xml:space="preserve"> и </w:t>
      </w:r>
      <w:r w:rsidRPr="001935D0">
        <w:rPr>
          <w:rStyle w:val="Strong"/>
          <w:rFonts w:ascii="Times New Roman" w:hAnsi="Times New Roman" w:cs="Times New Roman"/>
          <w:b w:val="0"/>
          <w:bCs w:val="0"/>
          <w:sz w:val="28"/>
          <w:szCs w:val="28"/>
        </w:rPr>
        <w:t>публичную дипломатию</w:t>
      </w:r>
      <w:r w:rsidRPr="001935D0">
        <w:rPr>
          <w:rFonts w:ascii="Times New Roman" w:hAnsi="Times New Roman" w:cs="Times New Roman"/>
          <w:sz w:val="28"/>
          <w:szCs w:val="28"/>
        </w:rPr>
        <w:t>.</w:t>
      </w:r>
    </w:p>
    <w:p w14:paraId="70CEB261" w14:textId="59A048A2" w:rsidR="00E94B29" w:rsidRPr="001935D0" w:rsidRDefault="00E94B29" w:rsidP="005C6637">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Подход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в 2024 году демонстрировал высокую степень адаптивности к внутреннему контексту Казахстана и был ориентирован на системную интеграцию правозащитной повестки в существующую архитектуру двусторонних отношений. Политико-юридический диалог опирался на механизм Соглашения EPCA и использовался не только как канал коммуникации, но и как средство подотчётного мониторинга обязательств</w:t>
      </w:r>
      <w:r w:rsidR="005C6637">
        <w:rPr>
          <w:rFonts w:ascii="Times New Roman" w:hAnsi="Times New Roman" w:cs="Times New Roman"/>
          <w:sz w:val="28"/>
          <w:szCs w:val="28"/>
          <w:lang w:val="kk-KZ"/>
        </w:rPr>
        <w:t> </w:t>
      </w:r>
      <w:r w:rsidRPr="001935D0">
        <w:rPr>
          <w:rFonts w:ascii="Times New Roman" w:hAnsi="Times New Roman" w:cs="Times New Roman"/>
          <w:sz w:val="28"/>
          <w:szCs w:val="28"/>
        </w:rPr>
        <w:t>[11</w:t>
      </w:r>
      <w:r w:rsidR="00FA02FB">
        <w:rPr>
          <w:rFonts w:ascii="Times New Roman" w:hAnsi="Times New Roman" w:cs="Times New Roman"/>
          <w:sz w:val="28"/>
          <w:szCs w:val="28"/>
          <w:lang w:val="kk-KZ"/>
        </w:rPr>
        <w:t>4</w:t>
      </w:r>
      <w:r w:rsidRPr="001935D0">
        <w:rPr>
          <w:rFonts w:ascii="Times New Roman" w:hAnsi="Times New Roman" w:cs="Times New Roman"/>
          <w:sz w:val="28"/>
          <w:szCs w:val="28"/>
        </w:rPr>
        <w:t xml:space="preserve">]. </w:t>
      </w:r>
    </w:p>
    <w:p w14:paraId="449E1864" w14:textId="6A3B93BE" w:rsidR="00E94B29" w:rsidRPr="001935D0" w:rsidRDefault="00E94B29" w:rsidP="005C6637">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Финансовая поддержка, осуществляемая через Инструмент «Глобальная Европа» (NDICI), отличалась направленностью на конкретные результаты и прозрачность процедур. Особое внимание уделялось работе с региональными НПО, что отражает стратегию ЕС по расширению участия локальных участников в процессах правового реформирования [11</w:t>
      </w:r>
      <w:r w:rsidR="00FA02FB">
        <w:rPr>
          <w:rFonts w:ascii="Times New Roman" w:hAnsi="Times New Roman" w:cs="Times New Roman"/>
          <w:sz w:val="28"/>
          <w:szCs w:val="28"/>
          <w:lang w:val="kk-KZ"/>
        </w:rPr>
        <w:t>5</w:t>
      </w:r>
      <w:r w:rsidRPr="001935D0">
        <w:rPr>
          <w:rFonts w:ascii="Times New Roman" w:hAnsi="Times New Roman" w:cs="Times New Roman"/>
          <w:sz w:val="28"/>
          <w:szCs w:val="28"/>
        </w:rPr>
        <w:t>].</w:t>
      </w:r>
    </w:p>
    <w:p w14:paraId="001A9690" w14:textId="77777777" w:rsidR="00E94B29" w:rsidRPr="001935D0" w:rsidRDefault="00E94B29" w:rsidP="005C6637">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Публичная дипломатия осуществлялась в форме мероприятий, посвящённых общим принципам прав человека, демократического участия и равного доступа к институтам. Из коммуникационных практик исключались чувствительные и потенциально поляризующие темы, что соответствует принципам дипломатической нейтральности и уважения к социокультурному контексту принимающей страны.</w:t>
      </w:r>
    </w:p>
    <w:p w14:paraId="170ECAD0" w14:textId="398D9666" w:rsidR="00E94B29" w:rsidRPr="001935D0" w:rsidRDefault="00E94B29" w:rsidP="005C6637">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Политика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в области прав человека всё в большей степени характеризуется не только нормативным влиянием (normative power), но и прагматической адаптацией к политическому ландшафту стран-партнёров [1</w:t>
      </w:r>
      <w:r w:rsidR="00FA02FB">
        <w:rPr>
          <w:rFonts w:ascii="Times New Roman" w:hAnsi="Times New Roman" w:cs="Times New Roman"/>
          <w:sz w:val="28"/>
          <w:szCs w:val="28"/>
          <w:lang w:val="kk-KZ"/>
        </w:rPr>
        <w:t>03</w:t>
      </w:r>
      <w:r w:rsidRPr="001935D0">
        <w:rPr>
          <w:rFonts w:ascii="Times New Roman" w:hAnsi="Times New Roman" w:cs="Times New Roman"/>
          <w:sz w:val="28"/>
          <w:szCs w:val="28"/>
        </w:rPr>
        <w:t>]. В случае Казахстана такая адаптация приобретает ключевое значение с учётом особенностей политического транзита, ограниченной открытости институтов к внешнему мониторингу, а также чувствительности правозащитной тематики в условиях геополитического позиционирования страны.</w:t>
      </w:r>
    </w:p>
    <w:p w14:paraId="2D873F65" w14:textId="77777777" w:rsidR="00E94B29" w:rsidRPr="001935D0" w:rsidRDefault="00E94B29" w:rsidP="005C6637">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этом контексте важно не только фиксировать факты реализации тех или иных компонентов Плана действий ЕС, но и выявлять логику их институционализации, степень влияния на внутренние процессы и способность адаптироваться к условиям гибридного политического режима. Такой подход позволяет анализировать не декларативную активность, а реальную результативность внешнеполитических инструментов Союза.</w:t>
      </w:r>
    </w:p>
    <w:p w14:paraId="3897BF85" w14:textId="77777777" w:rsidR="00E94B29" w:rsidRDefault="00E94B29" w:rsidP="005C6637">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С этой целью автором разработана модель институционального сопоставления, позволяющая соотнести различные уровни внешней деятельности ЕС – от дипломатических инициатив до проектной и коммуникационной поддержки – с национальными откликами и результатами реформм (таблица 2.15).</w:t>
      </w:r>
    </w:p>
    <w:p w14:paraId="3C7ABF99" w14:textId="77777777" w:rsidR="005C6637" w:rsidRPr="001935D0" w:rsidRDefault="005C6637" w:rsidP="005C6637">
      <w:pPr>
        <w:pStyle w:val="NoSpacing"/>
        <w:ind w:firstLine="567"/>
        <w:jc w:val="both"/>
        <w:rPr>
          <w:rFonts w:ascii="Times New Roman" w:hAnsi="Times New Roman" w:cs="Times New Roman"/>
          <w:sz w:val="28"/>
          <w:szCs w:val="28"/>
        </w:rPr>
      </w:pPr>
      <w:r w:rsidRPr="001935D0">
        <w:rPr>
          <w:rFonts w:ascii="Times New Roman" w:hAnsi="Times New Roman" w:cs="Times New Roman"/>
          <w:sz w:val="28"/>
          <w:szCs w:val="28"/>
        </w:rPr>
        <w:t xml:space="preserve">Представленные в таблице 2.15 меры демонстрируют системный подход Европейского </w:t>
      </w:r>
      <w:r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при котором нормативная внешнеполитическая повестка интегрируется с операционными инструментами воздействия. Наибольший прогресс был достигнут в направлении региональной поддержки правозащитных инициатив и расширения диалога с гражданским обществом, тогда как политико-юридический диалог, реализуемый в рамках механизма EPCA, при всей его регулярности сохранял преимущественно декларативный характер.</w:t>
      </w:r>
    </w:p>
    <w:p w14:paraId="4C153788" w14:textId="77777777" w:rsidR="005C6637" w:rsidRPr="001935D0" w:rsidRDefault="005C6637" w:rsidP="005C6637">
      <w:pPr>
        <w:pStyle w:val="NoSpacing"/>
        <w:ind w:firstLine="567"/>
        <w:jc w:val="both"/>
        <w:rPr>
          <w:rFonts w:ascii="Times New Roman" w:hAnsi="Times New Roman" w:cs="Times New Roman"/>
          <w:sz w:val="28"/>
          <w:szCs w:val="28"/>
        </w:rPr>
      </w:pPr>
      <w:r w:rsidRPr="001935D0">
        <w:rPr>
          <w:rFonts w:ascii="Times New Roman" w:hAnsi="Times New Roman" w:cs="Times New Roman"/>
          <w:sz w:val="28"/>
          <w:szCs w:val="28"/>
        </w:rPr>
        <w:t>Финансовые инструменты ЕС, в частности NDICI, проявили эффективность в запуске отдельных реформ и поддержке целевых проектов, однако их территориальный охват и глубина проработки оставались ограниченными. Недостаток независимого мониторинга и сужение пространства для свободы выражения оказывали сдерживающее влияние на устойчивость достигнутых результатов. Эти обстоятельства обосновывают необходимость смещения акцента с фиксации формальных шагов на оценку фактического воздействия правозащитной политики, что позволит корректировать применяемые подходы с учётом региональной специфики, включая государства Центральной Азии.</w:t>
      </w:r>
    </w:p>
    <w:p w14:paraId="309B155A" w14:textId="77777777" w:rsidR="00E94B29" w:rsidRPr="001935D0" w:rsidRDefault="00E94B29" w:rsidP="00593711">
      <w:pPr>
        <w:pStyle w:val="NoSpacing"/>
        <w:ind w:firstLine="567"/>
        <w:jc w:val="both"/>
        <w:rPr>
          <w:rFonts w:ascii="Times New Roman" w:hAnsi="Times New Roman" w:cs="Times New Roman"/>
          <w:sz w:val="28"/>
          <w:szCs w:val="28"/>
        </w:rPr>
      </w:pPr>
    </w:p>
    <w:p w14:paraId="488EF4D6" w14:textId="4EA38EFC" w:rsidR="00E94B29" w:rsidRDefault="00E94B29" w:rsidP="005C6637">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Таблица.2.15 </w:t>
      </w:r>
      <w:r w:rsidR="005C6637">
        <w:rPr>
          <w:rFonts w:ascii="Times New Roman" w:hAnsi="Times New Roman" w:cs="Times New Roman"/>
          <w:sz w:val="28"/>
          <w:szCs w:val="28"/>
        </w:rPr>
        <w:t>‒</w:t>
      </w:r>
      <w:r w:rsidR="005C6637">
        <w:rPr>
          <w:rFonts w:ascii="Times New Roman" w:hAnsi="Times New Roman" w:cs="Times New Roman"/>
          <w:sz w:val="28"/>
          <w:szCs w:val="28"/>
          <w:lang w:val="kk-KZ"/>
        </w:rPr>
        <w:t xml:space="preserve"> </w:t>
      </w:r>
      <w:r w:rsidRPr="001935D0">
        <w:rPr>
          <w:rFonts w:ascii="Times New Roman" w:hAnsi="Times New Roman" w:cs="Times New Roman"/>
          <w:sz w:val="28"/>
          <w:szCs w:val="28"/>
        </w:rPr>
        <w:t>Основные направления реализации Плана действий ЕС в Республике Казахстан</w:t>
      </w:r>
    </w:p>
    <w:p w14:paraId="73B12CCA" w14:textId="77777777" w:rsidR="005C6637" w:rsidRPr="005C6637" w:rsidRDefault="005C6637" w:rsidP="005C6637">
      <w:pPr>
        <w:pStyle w:val="NoSpacing"/>
        <w:jc w:val="both"/>
        <w:rPr>
          <w:rFonts w:ascii="Times New Roman" w:hAnsi="Times New Roman" w:cs="Times New Roman"/>
          <w:sz w:val="16"/>
          <w:szCs w:val="16"/>
          <w:lang w:val="kk-KZ"/>
        </w:rPr>
      </w:pPr>
    </w:p>
    <w:tbl>
      <w:tblPr>
        <w:tblStyle w:val="TableGrid"/>
        <w:tblW w:w="0" w:type="auto"/>
        <w:jc w:val="center"/>
        <w:tblLook w:val="04A0" w:firstRow="1" w:lastRow="0" w:firstColumn="1" w:lastColumn="0" w:noHBand="0" w:noVBand="1"/>
      </w:tblPr>
      <w:tblGrid>
        <w:gridCol w:w="1771"/>
        <w:gridCol w:w="4036"/>
        <w:gridCol w:w="3686"/>
      </w:tblGrid>
      <w:tr w:rsidR="00E94B29" w:rsidRPr="005C6637" w14:paraId="01A63B44" w14:textId="77777777" w:rsidTr="00E569B8">
        <w:trPr>
          <w:jc w:val="center"/>
        </w:trPr>
        <w:tc>
          <w:tcPr>
            <w:tcW w:w="1771" w:type="dxa"/>
            <w:vAlign w:val="center"/>
          </w:tcPr>
          <w:p w14:paraId="2F539919" w14:textId="77777777" w:rsidR="00E94B29" w:rsidRPr="005C6637" w:rsidRDefault="00E94B29" w:rsidP="005C6637">
            <w:pPr>
              <w:pStyle w:val="NoSpacing"/>
              <w:spacing w:line="228" w:lineRule="auto"/>
              <w:jc w:val="center"/>
              <w:rPr>
                <w:rFonts w:ascii="Times New Roman" w:hAnsi="Times New Roman" w:cs="Times New Roman"/>
                <w:sz w:val="24"/>
                <w:szCs w:val="24"/>
              </w:rPr>
            </w:pPr>
            <w:r w:rsidRPr="005C6637">
              <w:rPr>
                <w:rStyle w:val="Strong"/>
                <w:rFonts w:ascii="Times New Roman" w:hAnsi="Times New Roman" w:cs="Times New Roman"/>
                <w:b w:val="0"/>
                <w:sz w:val="24"/>
                <w:szCs w:val="24"/>
              </w:rPr>
              <w:lastRenderedPageBreak/>
              <w:t>Направление деятельности</w:t>
            </w:r>
          </w:p>
        </w:tc>
        <w:tc>
          <w:tcPr>
            <w:tcW w:w="4036" w:type="dxa"/>
            <w:vAlign w:val="center"/>
          </w:tcPr>
          <w:p w14:paraId="35252861" w14:textId="77777777" w:rsidR="00E94B29" w:rsidRPr="005C6637" w:rsidRDefault="00E94B29" w:rsidP="005C6637">
            <w:pPr>
              <w:pStyle w:val="NoSpacing"/>
              <w:spacing w:line="228" w:lineRule="auto"/>
              <w:jc w:val="center"/>
              <w:rPr>
                <w:rFonts w:ascii="Times New Roman" w:hAnsi="Times New Roman" w:cs="Times New Roman"/>
                <w:sz w:val="24"/>
                <w:szCs w:val="24"/>
              </w:rPr>
            </w:pPr>
            <w:r w:rsidRPr="005C6637">
              <w:rPr>
                <w:rStyle w:val="Strong"/>
                <w:rFonts w:ascii="Times New Roman" w:hAnsi="Times New Roman" w:cs="Times New Roman"/>
                <w:b w:val="0"/>
                <w:sz w:val="24"/>
                <w:szCs w:val="24"/>
              </w:rPr>
              <w:t>Конкретные инструменты и действия</w:t>
            </w:r>
          </w:p>
        </w:tc>
        <w:tc>
          <w:tcPr>
            <w:tcW w:w="3686" w:type="dxa"/>
            <w:vAlign w:val="center"/>
          </w:tcPr>
          <w:p w14:paraId="6D8AD1F9" w14:textId="77777777" w:rsidR="00E94B29" w:rsidRPr="005C6637" w:rsidRDefault="00E94B29" w:rsidP="005C6637">
            <w:pPr>
              <w:pStyle w:val="NoSpacing"/>
              <w:spacing w:line="228" w:lineRule="auto"/>
              <w:jc w:val="center"/>
              <w:rPr>
                <w:rFonts w:ascii="Times New Roman" w:hAnsi="Times New Roman" w:cs="Times New Roman"/>
                <w:sz w:val="24"/>
                <w:szCs w:val="24"/>
              </w:rPr>
            </w:pPr>
            <w:r w:rsidRPr="005C6637">
              <w:rPr>
                <w:rStyle w:val="Strong"/>
                <w:rFonts w:ascii="Times New Roman" w:hAnsi="Times New Roman" w:cs="Times New Roman"/>
                <w:b w:val="0"/>
                <w:sz w:val="24"/>
                <w:szCs w:val="24"/>
              </w:rPr>
              <w:t>Ответственные субъекты</w:t>
            </w:r>
          </w:p>
        </w:tc>
      </w:tr>
      <w:tr w:rsidR="00E94B29" w:rsidRPr="001935D0" w14:paraId="6E64D547" w14:textId="77777777" w:rsidTr="00E569B8">
        <w:trPr>
          <w:jc w:val="center"/>
        </w:trPr>
        <w:tc>
          <w:tcPr>
            <w:tcW w:w="1771" w:type="dxa"/>
            <w:vAlign w:val="center"/>
          </w:tcPr>
          <w:p w14:paraId="613C5247" w14:textId="77777777" w:rsidR="00E94B29" w:rsidRPr="005C6637" w:rsidRDefault="00E94B29" w:rsidP="005C6637">
            <w:pPr>
              <w:pStyle w:val="NoSpacing"/>
              <w:spacing w:line="228" w:lineRule="auto"/>
              <w:rPr>
                <w:rFonts w:ascii="Times New Roman" w:hAnsi="Times New Roman" w:cs="Times New Roman"/>
                <w:b/>
                <w:i/>
                <w:sz w:val="24"/>
                <w:szCs w:val="24"/>
              </w:rPr>
            </w:pPr>
            <w:r w:rsidRPr="005C6637">
              <w:rPr>
                <w:rStyle w:val="Strong"/>
                <w:rFonts w:ascii="Times New Roman" w:hAnsi="Times New Roman" w:cs="Times New Roman"/>
                <w:b w:val="0"/>
                <w:i/>
                <w:sz w:val="24"/>
                <w:szCs w:val="24"/>
              </w:rPr>
              <w:t>Политико-правовой диалог</w:t>
            </w:r>
          </w:p>
        </w:tc>
        <w:tc>
          <w:tcPr>
            <w:tcW w:w="4036" w:type="dxa"/>
            <w:vAlign w:val="center"/>
          </w:tcPr>
          <w:p w14:paraId="622D5EEF" w14:textId="77777777" w:rsidR="00E94B29" w:rsidRPr="005C6637" w:rsidRDefault="00E94B29" w:rsidP="005C6637">
            <w:pPr>
              <w:pStyle w:val="NoSpacing"/>
              <w:spacing w:line="228" w:lineRule="auto"/>
              <w:rPr>
                <w:rFonts w:ascii="Times New Roman" w:hAnsi="Times New Roman" w:cs="Times New Roman"/>
                <w:sz w:val="24"/>
                <w:szCs w:val="24"/>
              </w:rPr>
            </w:pPr>
            <w:r w:rsidRPr="005C6637">
              <w:rPr>
                <w:rFonts w:ascii="Times New Roman" w:hAnsi="Times New Roman" w:cs="Times New Roman"/>
                <w:sz w:val="24"/>
                <w:szCs w:val="24"/>
              </w:rPr>
              <w:t>Заседания Подкомитета по вопросам юстиции; двусторонние диалоги по правам человека в рамках Соглашения о расширенном партнёрстве и сотрудничестве (EPCA); демарши в МИД РК</w:t>
            </w:r>
          </w:p>
        </w:tc>
        <w:tc>
          <w:tcPr>
            <w:tcW w:w="3686" w:type="dxa"/>
            <w:vAlign w:val="center"/>
          </w:tcPr>
          <w:p w14:paraId="019FE6C5" w14:textId="6D209E71" w:rsidR="00E94B29" w:rsidRPr="005C6637" w:rsidRDefault="00E94B29" w:rsidP="005C6637">
            <w:pPr>
              <w:pStyle w:val="NoSpacing"/>
              <w:spacing w:line="228" w:lineRule="auto"/>
              <w:rPr>
                <w:rFonts w:ascii="Times New Roman" w:hAnsi="Times New Roman" w:cs="Times New Roman"/>
                <w:sz w:val="24"/>
                <w:szCs w:val="24"/>
              </w:rPr>
            </w:pPr>
            <w:r w:rsidRPr="005C6637">
              <w:rPr>
                <w:rFonts w:ascii="Times New Roman" w:hAnsi="Times New Roman" w:cs="Times New Roman"/>
                <w:sz w:val="24"/>
                <w:szCs w:val="24"/>
              </w:rPr>
              <w:t>Делегация ЕС в Казахстане, Европейская служба внешне</w:t>
            </w:r>
            <w:r w:rsidR="005C6637" w:rsidRPr="005C6637">
              <w:rPr>
                <w:rFonts w:ascii="Times New Roman" w:hAnsi="Times New Roman" w:cs="Times New Roman"/>
                <w:sz w:val="24"/>
                <w:szCs w:val="24"/>
                <w:lang w:val="kk-KZ"/>
              </w:rPr>
              <w:t xml:space="preserve"> </w:t>
            </w:r>
            <w:r w:rsidRPr="005C6637">
              <w:rPr>
                <w:rFonts w:ascii="Times New Roman" w:hAnsi="Times New Roman" w:cs="Times New Roman"/>
                <w:sz w:val="24"/>
                <w:szCs w:val="24"/>
              </w:rPr>
              <w:t>политической деятельности (ЕСВД – European External Action Service), Министерство иностран</w:t>
            </w:r>
            <w:r w:rsidR="005C6637" w:rsidRPr="005C6637">
              <w:rPr>
                <w:rFonts w:ascii="Times New Roman" w:hAnsi="Times New Roman" w:cs="Times New Roman"/>
                <w:sz w:val="24"/>
                <w:szCs w:val="24"/>
                <w:lang w:val="kk-KZ"/>
              </w:rPr>
              <w:t xml:space="preserve"> </w:t>
            </w:r>
            <w:r w:rsidRPr="005C6637">
              <w:rPr>
                <w:rFonts w:ascii="Times New Roman" w:hAnsi="Times New Roman" w:cs="Times New Roman"/>
                <w:sz w:val="24"/>
                <w:szCs w:val="24"/>
              </w:rPr>
              <w:t>ных дел Республики Казахстан</w:t>
            </w:r>
          </w:p>
        </w:tc>
      </w:tr>
      <w:tr w:rsidR="00E94B29" w:rsidRPr="00AD6D54" w14:paraId="7D4BC6F2" w14:textId="77777777" w:rsidTr="00E569B8">
        <w:trPr>
          <w:jc w:val="center"/>
        </w:trPr>
        <w:tc>
          <w:tcPr>
            <w:tcW w:w="1771" w:type="dxa"/>
            <w:vAlign w:val="center"/>
          </w:tcPr>
          <w:p w14:paraId="2D56EA19" w14:textId="77777777" w:rsidR="00E94B29" w:rsidRPr="005C6637" w:rsidRDefault="00E94B29" w:rsidP="005C6637">
            <w:pPr>
              <w:pStyle w:val="NoSpacing"/>
              <w:spacing w:line="228" w:lineRule="auto"/>
              <w:rPr>
                <w:rFonts w:ascii="Times New Roman" w:hAnsi="Times New Roman" w:cs="Times New Roman"/>
                <w:b/>
                <w:i/>
                <w:sz w:val="24"/>
                <w:szCs w:val="24"/>
              </w:rPr>
            </w:pPr>
            <w:r w:rsidRPr="005C6637">
              <w:rPr>
                <w:rStyle w:val="Strong"/>
                <w:rFonts w:ascii="Times New Roman" w:hAnsi="Times New Roman" w:cs="Times New Roman"/>
                <w:b w:val="0"/>
                <w:i/>
                <w:sz w:val="24"/>
                <w:szCs w:val="24"/>
              </w:rPr>
              <w:t>Финансовая поддержка</w:t>
            </w:r>
          </w:p>
        </w:tc>
        <w:tc>
          <w:tcPr>
            <w:tcW w:w="4036" w:type="dxa"/>
            <w:vAlign w:val="center"/>
          </w:tcPr>
          <w:p w14:paraId="7A5F9646" w14:textId="6CA3E4B3" w:rsidR="00E94B29" w:rsidRPr="005C6637" w:rsidRDefault="00E94B29" w:rsidP="005C6637">
            <w:pPr>
              <w:pStyle w:val="NoSpacing"/>
              <w:spacing w:line="228" w:lineRule="auto"/>
              <w:rPr>
                <w:rFonts w:ascii="Times New Roman" w:hAnsi="Times New Roman" w:cs="Times New Roman"/>
                <w:sz w:val="24"/>
                <w:szCs w:val="24"/>
              </w:rPr>
            </w:pPr>
            <w:r w:rsidRPr="005C6637">
              <w:rPr>
                <w:rFonts w:ascii="Times New Roman" w:hAnsi="Times New Roman" w:cs="Times New Roman"/>
                <w:sz w:val="24"/>
                <w:szCs w:val="24"/>
              </w:rPr>
              <w:t>Финансирование 6 проектов в сфере прав человека на сумму более 3,4 млн</w:t>
            </w:r>
            <w:r w:rsidR="005C6637" w:rsidRPr="005C6637">
              <w:rPr>
                <w:rFonts w:ascii="Times New Roman" w:hAnsi="Times New Roman" w:cs="Times New Roman"/>
                <w:sz w:val="24"/>
                <w:szCs w:val="24"/>
                <w:lang w:val="kk-KZ"/>
              </w:rPr>
              <w:t>.</w:t>
            </w:r>
            <w:r w:rsidRPr="005C6637">
              <w:rPr>
                <w:rFonts w:ascii="Times New Roman" w:hAnsi="Times New Roman" w:cs="Times New Roman"/>
                <w:sz w:val="24"/>
                <w:szCs w:val="24"/>
              </w:rPr>
              <w:t xml:space="preserve"> евро (свобода выражения мнения, борьба с пытками, правовая защита в регионах, реформа уголовной юстиции)</w:t>
            </w:r>
          </w:p>
        </w:tc>
        <w:tc>
          <w:tcPr>
            <w:tcW w:w="3686" w:type="dxa"/>
            <w:vAlign w:val="center"/>
          </w:tcPr>
          <w:p w14:paraId="4014E96D" w14:textId="78A7ADF2" w:rsidR="00E94B29" w:rsidRPr="005C6637" w:rsidRDefault="00E94B29" w:rsidP="005C6637">
            <w:pPr>
              <w:pStyle w:val="NoSpacing"/>
              <w:spacing w:line="228" w:lineRule="auto"/>
              <w:rPr>
                <w:rFonts w:ascii="Times New Roman" w:hAnsi="Times New Roman" w:cs="Times New Roman"/>
                <w:sz w:val="24"/>
                <w:szCs w:val="24"/>
                <w:lang w:val="en-US"/>
              </w:rPr>
            </w:pPr>
            <w:r w:rsidRPr="005C6637">
              <w:rPr>
                <w:rFonts w:ascii="Times New Roman" w:hAnsi="Times New Roman" w:cs="Times New Roman"/>
                <w:sz w:val="24"/>
                <w:szCs w:val="24"/>
              </w:rPr>
              <w:t>Инструмент</w:t>
            </w:r>
            <w:r w:rsidRPr="005C6637">
              <w:rPr>
                <w:rFonts w:ascii="Times New Roman" w:hAnsi="Times New Roman" w:cs="Times New Roman"/>
                <w:sz w:val="24"/>
                <w:szCs w:val="24"/>
                <w:lang w:val="en-US"/>
              </w:rPr>
              <w:t xml:space="preserve"> «</w:t>
            </w:r>
            <w:r w:rsidRPr="005C6637">
              <w:rPr>
                <w:rFonts w:ascii="Times New Roman" w:hAnsi="Times New Roman" w:cs="Times New Roman"/>
                <w:sz w:val="24"/>
                <w:szCs w:val="24"/>
              </w:rPr>
              <w:t>Глобальная</w:t>
            </w:r>
            <w:r w:rsidRPr="005C6637">
              <w:rPr>
                <w:rFonts w:ascii="Times New Roman" w:hAnsi="Times New Roman" w:cs="Times New Roman"/>
                <w:sz w:val="24"/>
                <w:szCs w:val="24"/>
                <w:lang w:val="en-US"/>
              </w:rPr>
              <w:t xml:space="preserve"> </w:t>
            </w:r>
            <w:r w:rsidRPr="005C6637">
              <w:rPr>
                <w:rFonts w:ascii="Times New Roman" w:hAnsi="Times New Roman" w:cs="Times New Roman"/>
                <w:sz w:val="24"/>
                <w:szCs w:val="24"/>
              </w:rPr>
              <w:t>Европа</w:t>
            </w:r>
            <w:r w:rsidRPr="005C6637">
              <w:rPr>
                <w:rFonts w:ascii="Times New Roman" w:hAnsi="Times New Roman" w:cs="Times New Roman"/>
                <w:sz w:val="24"/>
                <w:szCs w:val="24"/>
                <w:lang w:val="en-US"/>
              </w:rPr>
              <w:t>» (NDICI – Neighbourhood, Development and International Co</w:t>
            </w:r>
            <w:r w:rsidR="005C6637" w:rsidRPr="005C6637">
              <w:rPr>
                <w:rFonts w:ascii="Times New Roman" w:hAnsi="Times New Roman" w:cs="Times New Roman"/>
                <w:sz w:val="24"/>
                <w:szCs w:val="24"/>
                <w:lang w:val="kk-KZ"/>
              </w:rPr>
              <w:t xml:space="preserve"> </w:t>
            </w:r>
            <w:r w:rsidRPr="005C6637">
              <w:rPr>
                <w:rFonts w:ascii="Times New Roman" w:hAnsi="Times New Roman" w:cs="Times New Roman"/>
                <w:sz w:val="24"/>
                <w:szCs w:val="24"/>
                <w:lang w:val="en-US"/>
              </w:rPr>
              <w:t xml:space="preserve">operation Instrument), </w:t>
            </w:r>
            <w:r w:rsidRPr="005C6637">
              <w:rPr>
                <w:rFonts w:ascii="Times New Roman" w:hAnsi="Times New Roman" w:cs="Times New Roman"/>
                <w:sz w:val="24"/>
                <w:szCs w:val="24"/>
              </w:rPr>
              <w:t>Европей</w:t>
            </w:r>
            <w:r w:rsidR="005C6637" w:rsidRPr="005C6637">
              <w:rPr>
                <w:rFonts w:ascii="Times New Roman" w:hAnsi="Times New Roman" w:cs="Times New Roman"/>
                <w:sz w:val="24"/>
                <w:szCs w:val="24"/>
                <w:lang w:val="kk-KZ"/>
              </w:rPr>
              <w:t xml:space="preserve"> </w:t>
            </w:r>
            <w:r w:rsidRPr="005C6637">
              <w:rPr>
                <w:rFonts w:ascii="Times New Roman" w:hAnsi="Times New Roman" w:cs="Times New Roman"/>
                <w:sz w:val="24"/>
                <w:szCs w:val="24"/>
              </w:rPr>
              <w:t>ская</w:t>
            </w:r>
            <w:r w:rsidRPr="005C6637">
              <w:rPr>
                <w:rFonts w:ascii="Times New Roman" w:hAnsi="Times New Roman" w:cs="Times New Roman"/>
                <w:sz w:val="24"/>
                <w:szCs w:val="24"/>
                <w:lang w:val="en-US"/>
              </w:rPr>
              <w:t xml:space="preserve"> </w:t>
            </w:r>
            <w:r w:rsidRPr="005C6637">
              <w:rPr>
                <w:rFonts w:ascii="Times New Roman" w:hAnsi="Times New Roman" w:cs="Times New Roman"/>
                <w:sz w:val="24"/>
                <w:szCs w:val="24"/>
              </w:rPr>
              <w:t>комиссия</w:t>
            </w:r>
            <w:r w:rsidRPr="005C6637">
              <w:rPr>
                <w:rFonts w:ascii="Times New Roman" w:hAnsi="Times New Roman" w:cs="Times New Roman"/>
                <w:sz w:val="24"/>
                <w:szCs w:val="24"/>
                <w:lang w:val="en-US"/>
              </w:rPr>
              <w:t xml:space="preserve">, </w:t>
            </w:r>
            <w:r w:rsidRPr="005C6637">
              <w:rPr>
                <w:rFonts w:ascii="Times New Roman" w:hAnsi="Times New Roman" w:cs="Times New Roman"/>
                <w:sz w:val="24"/>
                <w:szCs w:val="24"/>
              </w:rPr>
              <w:t>Делегация</w:t>
            </w:r>
            <w:r w:rsidRPr="005C6637">
              <w:rPr>
                <w:rFonts w:ascii="Times New Roman" w:hAnsi="Times New Roman" w:cs="Times New Roman"/>
                <w:sz w:val="24"/>
                <w:szCs w:val="24"/>
                <w:lang w:val="en-US"/>
              </w:rPr>
              <w:t xml:space="preserve"> </w:t>
            </w:r>
            <w:r w:rsidRPr="005C6637">
              <w:rPr>
                <w:rFonts w:ascii="Times New Roman" w:hAnsi="Times New Roman" w:cs="Times New Roman"/>
                <w:sz w:val="24"/>
                <w:szCs w:val="24"/>
              </w:rPr>
              <w:t>ЕС</w:t>
            </w:r>
          </w:p>
        </w:tc>
      </w:tr>
      <w:tr w:rsidR="00E94B29" w:rsidRPr="001935D0" w14:paraId="672B337F" w14:textId="77777777" w:rsidTr="00E569B8">
        <w:trPr>
          <w:jc w:val="center"/>
        </w:trPr>
        <w:tc>
          <w:tcPr>
            <w:tcW w:w="1771" w:type="dxa"/>
            <w:vAlign w:val="center"/>
          </w:tcPr>
          <w:p w14:paraId="5F1C35A3" w14:textId="1251F154" w:rsidR="00E94B29" w:rsidRPr="005C6637" w:rsidRDefault="00E94B29" w:rsidP="005C6637">
            <w:pPr>
              <w:pStyle w:val="NoSpacing"/>
              <w:spacing w:line="228" w:lineRule="auto"/>
              <w:rPr>
                <w:rFonts w:ascii="Times New Roman" w:hAnsi="Times New Roman" w:cs="Times New Roman"/>
                <w:b/>
                <w:i/>
                <w:sz w:val="24"/>
                <w:szCs w:val="24"/>
              </w:rPr>
            </w:pPr>
            <w:r w:rsidRPr="005C6637">
              <w:rPr>
                <w:rStyle w:val="Strong"/>
                <w:rFonts w:ascii="Times New Roman" w:hAnsi="Times New Roman" w:cs="Times New Roman"/>
                <w:b w:val="0"/>
                <w:i/>
                <w:sz w:val="24"/>
                <w:szCs w:val="24"/>
              </w:rPr>
              <w:t>Партнёрство с граждан</w:t>
            </w:r>
            <w:r w:rsidR="00E569B8">
              <w:rPr>
                <w:rStyle w:val="Strong"/>
                <w:rFonts w:ascii="Times New Roman" w:hAnsi="Times New Roman" w:cs="Times New Roman"/>
                <w:b w:val="0"/>
                <w:i/>
                <w:sz w:val="24"/>
                <w:szCs w:val="24"/>
                <w:lang w:val="kk-KZ"/>
              </w:rPr>
              <w:t xml:space="preserve"> </w:t>
            </w:r>
            <w:r w:rsidRPr="005C6637">
              <w:rPr>
                <w:rStyle w:val="Strong"/>
                <w:rFonts w:ascii="Times New Roman" w:hAnsi="Times New Roman" w:cs="Times New Roman"/>
                <w:b w:val="0"/>
                <w:i/>
                <w:sz w:val="24"/>
                <w:szCs w:val="24"/>
              </w:rPr>
              <w:t>ским обществом</w:t>
            </w:r>
          </w:p>
        </w:tc>
        <w:tc>
          <w:tcPr>
            <w:tcW w:w="4036" w:type="dxa"/>
            <w:vAlign w:val="center"/>
          </w:tcPr>
          <w:p w14:paraId="584294A4" w14:textId="0673598B" w:rsidR="00E94B29" w:rsidRPr="005C6637" w:rsidRDefault="00E94B29" w:rsidP="005C6637">
            <w:pPr>
              <w:pStyle w:val="NoSpacing"/>
              <w:spacing w:line="228" w:lineRule="auto"/>
              <w:rPr>
                <w:rFonts w:ascii="Times New Roman" w:hAnsi="Times New Roman" w:cs="Times New Roman"/>
                <w:sz w:val="24"/>
                <w:szCs w:val="24"/>
              </w:rPr>
            </w:pPr>
            <w:r w:rsidRPr="005C6637">
              <w:rPr>
                <w:rFonts w:ascii="Times New Roman" w:hAnsi="Times New Roman" w:cs="Times New Roman"/>
                <w:sz w:val="24"/>
                <w:szCs w:val="24"/>
              </w:rPr>
              <w:t>Реализация Дорожной карты взаи</w:t>
            </w:r>
            <w:r w:rsidR="005C6637" w:rsidRPr="005C6637">
              <w:rPr>
                <w:rFonts w:ascii="Times New Roman" w:hAnsi="Times New Roman" w:cs="Times New Roman"/>
                <w:sz w:val="24"/>
                <w:szCs w:val="24"/>
                <w:lang w:val="kk-KZ"/>
              </w:rPr>
              <w:t xml:space="preserve"> </w:t>
            </w:r>
            <w:r w:rsidRPr="005C6637">
              <w:rPr>
                <w:rFonts w:ascii="Times New Roman" w:hAnsi="Times New Roman" w:cs="Times New Roman"/>
                <w:sz w:val="24"/>
                <w:szCs w:val="24"/>
              </w:rPr>
              <w:t>модействия ЕС – Казахстан (2024–2027); вовлечение НПО в про</w:t>
            </w:r>
            <w:r w:rsidR="005C6637" w:rsidRPr="005C6637">
              <w:rPr>
                <w:rFonts w:ascii="Times New Roman" w:hAnsi="Times New Roman" w:cs="Times New Roman"/>
                <w:sz w:val="24"/>
                <w:szCs w:val="24"/>
                <w:lang w:val="kk-KZ"/>
              </w:rPr>
              <w:t xml:space="preserve"> </w:t>
            </w:r>
            <w:r w:rsidRPr="005C6637">
              <w:rPr>
                <w:rFonts w:ascii="Times New Roman" w:hAnsi="Times New Roman" w:cs="Times New Roman"/>
                <w:sz w:val="24"/>
                <w:szCs w:val="24"/>
              </w:rPr>
              <w:t>цессы мониторинга и оценки реформ</w:t>
            </w:r>
          </w:p>
        </w:tc>
        <w:tc>
          <w:tcPr>
            <w:tcW w:w="3686" w:type="dxa"/>
            <w:vAlign w:val="center"/>
          </w:tcPr>
          <w:p w14:paraId="0D4D3D09" w14:textId="176B479E" w:rsidR="00E94B29" w:rsidRPr="005C6637" w:rsidRDefault="00E94B29" w:rsidP="005C6637">
            <w:pPr>
              <w:pStyle w:val="NoSpacing"/>
              <w:spacing w:line="228" w:lineRule="auto"/>
              <w:rPr>
                <w:rFonts w:ascii="Times New Roman" w:hAnsi="Times New Roman" w:cs="Times New Roman"/>
                <w:sz w:val="24"/>
                <w:szCs w:val="24"/>
              </w:rPr>
            </w:pPr>
            <w:r w:rsidRPr="005C6637">
              <w:rPr>
                <w:rFonts w:ascii="Times New Roman" w:hAnsi="Times New Roman" w:cs="Times New Roman"/>
                <w:sz w:val="24"/>
                <w:szCs w:val="24"/>
              </w:rPr>
              <w:t>Делегация ЕС, неправительствен</w:t>
            </w:r>
            <w:r w:rsidR="005C6637" w:rsidRPr="005C6637">
              <w:rPr>
                <w:rFonts w:ascii="Times New Roman" w:hAnsi="Times New Roman" w:cs="Times New Roman"/>
                <w:sz w:val="24"/>
                <w:szCs w:val="24"/>
                <w:lang w:val="kk-KZ"/>
              </w:rPr>
              <w:t xml:space="preserve"> </w:t>
            </w:r>
            <w:r w:rsidRPr="005C6637">
              <w:rPr>
                <w:rFonts w:ascii="Times New Roman" w:hAnsi="Times New Roman" w:cs="Times New Roman"/>
                <w:sz w:val="24"/>
                <w:szCs w:val="24"/>
              </w:rPr>
              <w:t>ные организации Казахстана, правозащитные платформы, профильные министерства</w:t>
            </w:r>
          </w:p>
        </w:tc>
      </w:tr>
      <w:tr w:rsidR="00E94B29" w:rsidRPr="001935D0" w14:paraId="75C4AB6E" w14:textId="77777777" w:rsidTr="00E569B8">
        <w:trPr>
          <w:jc w:val="center"/>
        </w:trPr>
        <w:tc>
          <w:tcPr>
            <w:tcW w:w="1771" w:type="dxa"/>
            <w:vAlign w:val="center"/>
          </w:tcPr>
          <w:p w14:paraId="7F6375EF" w14:textId="77777777" w:rsidR="00E94B29" w:rsidRPr="005C6637" w:rsidRDefault="00E94B29" w:rsidP="005C6637">
            <w:pPr>
              <w:pStyle w:val="NoSpacing"/>
              <w:spacing w:line="228" w:lineRule="auto"/>
              <w:rPr>
                <w:rFonts w:ascii="Times New Roman" w:hAnsi="Times New Roman" w:cs="Times New Roman"/>
                <w:b/>
                <w:i/>
                <w:sz w:val="24"/>
                <w:szCs w:val="24"/>
              </w:rPr>
            </w:pPr>
            <w:r w:rsidRPr="005C6637">
              <w:rPr>
                <w:rStyle w:val="Strong"/>
                <w:rFonts w:ascii="Times New Roman" w:hAnsi="Times New Roman" w:cs="Times New Roman"/>
                <w:b w:val="0"/>
                <w:i/>
                <w:sz w:val="24"/>
                <w:szCs w:val="24"/>
              </w:rPr>
              <w:t>Публичная дипломатия и коммуникация</w:t>
            </w:r>
          </w:p>
        </w:tc>
        <w:tc>
          <w:tcPr>
            <w:tcW w:w="4036" w:type="dxa"/>
            <w:vAlign w:val="center"/>
          </w:tcPr>
          <w:p w14:paraId="25B05A1F" w14:textId="6C411389" w:rsidR="00E94B29" w:rsidRPr="005C6637" w:rsidRDefault="00E94B29" w:rsidP="005C6637">
            <w:pPr>
              <w:pStyle w:val="NoSpacing"/>
              <w:spacing w:line="228" w:lineRule="auto"/>
              <w:rPr>
                <w:rFonts w:ascii="Times New Roman" w:hAnsi="Times New Roman" w:cs="Times New Roman"/>
                <w:sz w:val="24"/>
                <w:szCs w:val="24"/>
              </w:rPr>
            </w:pPr>
            <w:r w:rsidRPr="005C6637">
              <w:rPr>
                <w:rFonts w:ascii="Times New Roman" w:hAnsi="Times New Roman" w:cs="Times New Roman"/>
                <w:sz w:val="24"/>
                <w:szCs w:val="24"/>
              </w:rPr>
              <w:t>Проведение просветительских меро</w:t>
            </w:r>
            <w:r w:rsidR="00E569B8">
              <w:rPr>
                <w:rFonts w:ascii="Times New Roman" w:hAnsi="Times New Roman" w:cs="Times New Roman"/>
                <w:sz w:val="24"/>
                <w:szCs w:val="24"/>
                <w:lang w:val="kk-KZ"/>
              </w:rPr>
              <w:t xml:space="preserve"> </w:t>
            </w:r>
            <w:r w:rsidRPr="005C6637">
              <w:rPr>
                <w:rFonts w:ascii="Times New Roman" w:hAnsi="Times New Roman" w:cs="Times New Roman"/>
                <w:sz w:val="24"/>
                <w:szCs w:val="24"/>
              </w:rPr>
              <w:t>приятий, форумов, кампаний по воп</w:t>
            </w:r>
            <w:r w:rsidR="00E569B8">
              <w:rPr>
                <w:rFonts w:ascii="Times New Roman" w:hAnsi="Times New Roman" w:cs="Times New Roman"/>
                <w:sz w:val="24"/>
                <w:szCs w:val="24"/>
                <w:lang w:val="kk-KZ"/>
              </w:rPr>
              <w:t xml:space="preserve"> </w:t>
            </w:r>
            <w:r w:rsidRPr="005C6637">
              <w:rPr>
                <w:rFonts w:ascii="Times New Roman" w:hAnsi="Times New Roman" w:cs="Times New Roman"/>
                <w:sz w:val="24"/>
                <w:szCs w:val="24"/>
              </w:rPr>
              <w:t>росам доступа к правосудию, право</w:t>
            </w:r>
            <w:r w:rsidR="00E569B8">
              <w:rPr>
                <w:rFonts w:ascii="Times New Roman" w:hAnsi="Times New Roman" w:cs="Times New Roman"/>
                <w:sz w:val="24"/>
                <w:szCs w:val="24"/>
                <w:lang w:val="kk-KZ"/>
              </w:rPr>
              <w:t xml:space="preserve"> </w:t>
            </w:r>
            <w:r w:rsidRPr="005C6637">
              <w:rPr>
                <w:rFonts w:ascii="Times New Roman" w:hAnsi="Times New Roman" w:cs="Times New Roman"/>
                <w:sz w:val="24"/>
                <w:szCs w:val="24"/>
              </w:rPr>
              <w:t>вого информирования, участия молодёжи</w:t>
            </w:r>
          </w:p>
        </w:tc>
        <w:tc>
          <w:tcPr>
            <w:tcW w:w="3686" w:type="dxa"/>
            <w:vAlign w:val="center"/>
          </w:tcPr>
          <w:p w14:paraId="797E1A52" w14:textId="77777777" w:rsidR="00E94B29" w:rsidRPr="005C6637" w:rsidRDefault="00E94B29" w:rsidP="005C6637">
            <w:pPr>
              <w:pStyle w:val="NoSpacing"/>
              <w:spacing w:line="228" w:lineRule="auto"/>
              <w:rPr>
                <w:rFonts w:ascii="Times New Roman" w:hAnsi="Times New Roman" w:cs="Times New Roman"/>
                <w:sz w:val="24"/>
                <w:szCs w:val="24"/>
              </w:rPr>
            </w:pPr>
            <w:r w:rsidRPr="005C6637">
              <w:rPr>
                <w:rFonts w:ascii="Times New Roman" w:hAnsi="Times New Roman" w:cs="Times New Roman"/>
                <w:sz w:val="24"/>
                <w:szCs w:val="24"/>
              </w:rPr>
              <w:t>Делегация ЕС, государственные органы РК, местные партнёрские организации</w:t>
            </w:r>
          </w:p>
        </w:tc>
      </w:tr>
      <w:tr w:rsidR="005C6637" w:rsidRPr="001935D0" w14:paraId="3AB85F64" w14:textId="77777777" w:rsidTr="00634764">
        <w:trPr>
          <w:jc w:val="center"/>
        </w:trPr>
        <w:tc>
          <w:tcPr>
            <w:tcW w:w="9493" w:type="dxa"/>
            <w:gridSpan w:val="3"/>
            <w:vAlign w:val="center"/>
          </w:tcPr>
          <w:p w14:paraId="0FC95B18" w14:textId="2410C6A1" w:rsidR="005C6637" w:rsidRPr="005C6637" w:rsidRDefault="005C6637" w:rsidP="00FA02FB">
            <w:pPr>
              <w:pStyle w:val="NoSpacing"/>
              <w:spacing w:line="228" w:lineRule="auto"/>
              <w:ind w:firstLine="567"/>
              <w:jc w:val="both"/>
              <w:rPr>
                <w:rFonts w:ascii="Times New Roman" w:hAnsi="Times New Roman" w:cs="Times New Roman"/>
                <w:sz w:val="24"/>
                <w:szCs w:val="24"/>
                <w:lang w:val="kk-KZ"/>
              </w:rPr>
            </w:pPr>
            <w:r w:rsidRPr="005C6637">
              <w:rPr>
                <w:rFonts w:ascii="Times New Roman" w:hAnsi="Times New Roman" w:cs="Times New Roman"/>
                <w:sz w:val="24"/>
                <w:szCs w:val="24"/>
                <w:lang w:val="kk-KZ"/>
              </w:rPr>
              <w:t xml:space="preserve">Примечание – </w:t>
            </w:r>
            <w:r w:rsidRPr="005C6637">
              <w:rPr>
                <w:rFonts w:ascii="Times New Roman" w:hAnsi="Times New Roman" w:cs="Times New Roman"/>
                <w:sz w:val="24"/>
                <w:szCs w:val="24"/>
              </w:rPr>
              <w:t xml:space="preserve">Составлено автором по данным </w:t>
            </w:r>
            <w:r w:rsidRPr="005C6637">
              <w:rPr>
                <w:rFonts w:ascii="Times New Roman" w:hAnsi="Times New Roman" w:cs="Times New Roman"/>
                <w:sz w:val="24"/>
                <w:szCs w:val="24"/>
                <w:lang w:val="kk-KZ"/>
              </w:rPr>
              <w:t xml:space="preserve">источника </w:t>
            </w:r>
            <w:r w:rsidRPr="005C6637">
              <w:rPr>
                <w:rFonts w:ascii="Times New Roman" w:hAnsi="Times New Roman" w:cs="Times New Roman"/>
                <w:sz w:val="24"/>
                <w:szCs w:val="24"/>
              </w:rPr>
              <w:t>[1</w:t>
            </w:r>
            <w:r w:rsidR="00FA02FB">
              <w:rPr>
                <w:rFonts w:ascii="Times New Roman" w:hAnsi="Times New Roman" w:cs="Times New Roman"/>
                <w:sz w:val="24"/>
                <w:szCs w:val="24"/>
                <w:lang w:val="kk-KZ"/>
              </w:rPr>
              <w:t>16</w:t>
            </w:r>
            <w:r w:rsidRPr="005C6637">
              <w:rPr>
                <w:rFonts w:ascii="Times New Roman" w:hAnsi="Times New Roman" w:cs="Times New Roman"/>
                <w:sz w:val="24"/>
                <w:szCs w:val="24"/>
              </w:rPr>
              <w:t>]</w:t>
            </w:r>
          </w:p>
        </w:tc>
      </w:tr>
    </w:tbl>
    <w:p w14:paraId="25796487" w14:textId="77777777" w:rsidR="00C05485" w:rsidRDefault="00C05485" w:rsidP="00E569B8">
      <w:pPr>
        <w:pStyle w:val="NoSpacing"/>
        <w:ind w:firstLine="709"/>
        <w:jc w:val="both"/>
        <w:rPr>
          <w:rFonts w:ascii="Times New Roman" w:hAnsi="Times New Roman" w:cs="Times New Roman"/>
          <w:sz w:val="28"/>
          <w:szCs w:val="28"/>
          <w:lang w:val="kk-KZ"/>
        </w:rPr>
      </w:pPr>
    </w:p>
    <w:p w14:paraId="2F733A22" w14:textId="439A5EFE" w:rsidR="005C6637" w:rsidRPr="001935D0" w:rsidRDefault="005C6637"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w:t>
      </w:r>
      <w:r>
        <w:rPr>
          <w:rFonts w:ascii="Times New Roman" w:hAnsi="Times New Roman" w:cs="Times New Roman"/>
          <w:sz w:val="28"/>
          <w:szCs w:val="28"/>
          <w:lang w:val="kk-KZ"/>
        </w:rPr>
        <w:t xml:space="preserve">соответствии с рисунком 2.8 в </w:t>
      </w:r>
      <w:r w:rsidRPr="001935D0">
        <w:rPr>
          <w:rFonts w:ascii="Times New Roman" w:hAnsi="Times New Roman" w:cs="Times New Roman"/>
          <w:sz w:val="28"/>
          <w:szCs w:val="28"/>
        </w:rPr>
        <w:t xml:space="preserve">целях формирования аналитически обоснованного инструментария предложен </w:t>
      </w:r>
      <w:r w:rsidRPr="001935D0">
        <w:rPr>
          <w:rStyle w:val="Strong"/>
          <w:rFonts w:ascii="Times New Roman" w:hAnsi="Times New Roman" w:cs="Times New Roman"/>
          <w:b w:val="0"/>
          <w:sz w:val="28"/>
          <w:szCs w:val="28"/>
        </w:rPr>
        <w:t>индикативный подход</w:t>
      </w:r>
      <w:r w:rsidRPr="001935D0">
        <w:rPr>
          <w:rFonts w:ascii="Times New Roman" w:hAnsi="Times New Roman" w:cs="Times New Roman"/>
          <w:sz w:val="28"/>
          <w:szCs w:val="28"/>
        </w:rPr>
        <w:t>, охватывающий три ключевых оси оценки:</w:t>
      </w:r>
    </w:p>
    <w:p w14:paraId="0B4EA4D8" w14:textId="77777777"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Представленный индикативный подход к оценке результативности внешней правозащитной политики ЕС в Казахстане формируют научно обоснованную рамку анализа не только степени реализации Плана действий, но и его адаптивности к условиям авторитарно-гибридных режимов. Это позволяет сделать вывод о необходимости переосмысления универсалистского подхода ЕС, усиления механизмов условности (conditionality), применения принципа «больше за большее» (more-for-more), а также локализации стратегий с учётом реальных институциональных и социокультурных ограничений. Устойчивость результатов в значительной мере зависит от качества диалога, прозрачности партнёрства и активного участия местных участников.</w:t>
      </w:r>
    </w:p>
    <w:p w14:paraId="6316990E" w14:textId="77777777" w:rsidR="00E94B29" w:rsidRDefault="00E94B29" w:rsidP="00E569B8">
      <w:pPr>
        <w:pStyle w:val="NoSpacing"/>
        <w:ind w:firstLine="709"/>
        <w:jc w:val="both"/>
        <w:rPr>
          <w:rFonts w:ascii="Times New Roman" w:hAnsi="Times New Roman" w:cs="Times New Roman"/>
          <w:sz w:val="28"/>
          <w:szCs w:val="28"/>
          <w:lang w:val="kk-KZ"/>
        </w:rPr>
      </w:pPr>
    </w:p>
    <w:p w14:paraId="5A8FDB41" w14:textId="77777777" w:rsidR="00C05485" w:rsidRDefault="00C05485" w:rsidP="00E569B8">
      <w:pPr>
        <w:pStyle w:val="NoSpacing"/>
        <w:ind w:firstLine="709"/>
        <w:jc w:val="both"/>
        <w:rPr>
          <w:rFonts w:ascii="Times New Roman" w:hAnsi="Times New Roman" w:cs="Times New Roman"/>
          <w:sz w:val="28"/>
          <w:szCs w:val="28"/>
          <w:lang w:val="kk-KZ"/>
        </w:rPr>
      </w:pPr>
    </w:p>
    <w:p w14:paraId="249BE179" w14:textId="77777777" w:rsidR="00423585" w:rsidRPr="001935D0" w:rsidRDefault="00423585" w:rsidP="00423585">
      <w:pPr>
        <w:pStyle w:val="NoSpacing"/>
        <w:jc w:val="both"/>
        <w:rPr>
          <w:rFonts w:ascii="Times New Roman" w:hAnsi="Times New Roman" w:cs="Times New Roman"/>
          <w:sz w:val="28"/>
          <w:szCs w:val="28"/>
        </w:rPr>
      </w:pPr>
      <w:r w:rsidRPr="001935D0">
        <w:rPr>
          <w:rFonts w:ascii="Times New Roman" w:hAnsi="Times New Roman" w:cs="Times New Roman"/>
          <w:noProof/>
          <w:sz w:val="28"/>
          <w:szCs w:val="28"/>
          <w:lang w:eastAsia="ru-RU"/>
        </w:rPr>
        <w:lastRenderedPageBreak/>
        <w:drawing>
          <wp:inline distT="0" distB="0" distL="0" distR="0" wp14:anchorId="0B25AB8A" wp14:editId="3F3272AC">
            <wp:extent cx="5867400" cy="4518660"/>
            <wp:effectExtent l="38100" t="38100" r="0" b="34290"/>
            <wp:docPr id="35"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44CD47A2" w14:textId="77777777" w:rsidR="00C05485" w:rsidRPr="005C6637" w:rsidRDefault="00C05485" w:rsidP="00C05485">
      <w:pPr>
        <w:pStyle w:val="NoSpacing"/>
        <w:ind w:firstLine="567"/>
        <w:jc w:val="center"/>
        <w:rPr>
          <w:rFonts w:ascii="Times New Roman" w:hAnsi="Times New Roman" w:cs="Times New Roman"/>
          <w:sz w:val="16"/>
          <w:szCs w:val="16"/>
          <w:lang w:val="kk-KZ"/>
        </w:rPr>
      </w:pPr>
    </w:p>
    <w:p w14:paraId="1241E82C" w14:textId="77777777" w:rsidR="00C05485" w:rsidRPr="001935D0" w:rsidRDefault="00C05485" w:rsidP="00C05485">
      <w:pPr>
        <w:pStyle w:val="NoSpacing"/>
        <w:jc w:val="center"/>
        <w:rPr>
          <w:rFonts w:ascii="Times New Roman" w:hAnsi="Times New Roman" w:cs="Times New Roman"/>
          <w:sz w:val="28"/>
          <w:szCs w:val="28"/>
        </w:rPr>
      </w:pPr>
      <w:r w:rsidRPr="001935D0">
        <w:rPr>
          <w:rFonts w:ascii="Times New Roman" w:hAnsi="Times New Roman" w:cs="Times New Roman"/>
          <w:sz w:val="28"/>
          <w:szCs w:val="28"/>
        </w:rPr>
        <w:t>Рис</w:t>
      </w:r>
      <w:r>
        <w:rPr>
          <w:rFonts w:ascii="Times New Roman" w:hAnsi="Times New Roman" w:cs="Times New Roman"/>
          <w:sz w:val="28"/>
          <w:szCs w:val="28"/>
          <w:lang w:val="kk-KZ"/>
        </w:rPr>
        <w:t>унок</w:t>
      </w:r>
      <w:r w:rsidRPr="001935D0">
        <w:rPr>
          <w:rFonts w:ascii="Times New Roman" w:hAnsi="Times New Roman" w:cs="Times New Roman"/>
          <w:sz w:val="28"/>
          <w:szCs w:val="28"/>
        </w:rPr>
        <w:t xml:space="preserve"> 2.8 </w:t>
      </w:r>
      <w:r>
        <w:rPr>
          <w:rFonts w:ascii="Times New Roman" w:hAnsi="Times New Roman" w:cs="Times New Roman"/>
          <w:sz w:val="28"/>
          <w:szCs w:val="28"/>
          <w:lang w:val="kk-KZ"/>
        </w:rPr>
        <w:t xml:space="preserve">– </w:t>
      </w:r>
      <w:r w:rsidRPr="001935D0">
        <w:rPr>
          <w:rFonts w:ascii="Times New Roman" w:hAnsi="Times New Roman" w:cs="Times New Roman"/>
          <w:sz w:val="28"/>
          <w:szCs w:val="28"/>
        </w:rPr>
        <w:t>Индикативный подход к оценке результативности внешней правозащитной политики ЕС в Казахстане</w:t>
      </w:r>
    </w:p>
    <w:p w14:paraId="05749D0E" w14:textId="77777777" w:rsidR="00C05485" w:rsidRPr="005C6637" w:rsidRDefault="00C05485" w:rsidP="00C05485">
      <w:pPr>
        <w:pStyle w:val="NoSpacing"/>
        <w:ind w:firstLine="709"/>
        <w:jc w:val="both"/>
        <w:rPr>
          <w:rFonts w:ascii="Times New Roman" w:hAnsi="Times New Roman" w:cs="Times New Roman"/>
          <w:sz w:val="16"/>
          <w:szCs w:val="16"/>
          <w:lang w:val="kk-KZ"/>
        </w:rPr>
      </w:pPr>
    </w:p>
    <w:p w14:paraId="65B9D6FC" w14:textId="77777777" w:rsidR="00C05485" w:rsidRPr="00FA02FB" w:rsidRDefault="00C05485" w:rsidP="00C05485">
      <w:pPr>
        <w:pStyle w:val="NoSpacing"/>
        <w:ind w:firstLine="709"/>
        <w:jc w:val="both"/>
        <w:rPr>
          <w:rFonts w:ascii="Times New Roman" w:hAnsi="Times New Roman" w:cs="Times New Roman"/>
          <w:sz w:val="24"/>
          <w:szCs w:val="24"/>
        </w:rPr>
      </w:pPr>
      <w:r w:rsidRPr="00FA02FB">
        <w:rPr>
          <w:rFonts w:ascii="Times New Roman" w:hAnsi="Times New Roman" w:cs="Times New Roman"/>
          <w:sz w:val="24"/>
          <w:szCs w:val="24"/>
          <w:lang w:val="kk-KZ"/>
        </w:rPr>
        <w:t xml:space="preserve">Примечание – </w:t>
      </w:r>
      <w:r w:rsidRPr="00FA02FB">
        <w:rPr>
          <w:rFonts w:ascii="Times New Roman" w:hAnsi="Times New Roman" w:cs="Times New Roman"/>
          <w:sz w:val="24"/>
          <w:szCs w:val="24"/>
        </w:rPr>
        <w:t xml:space="preserve">Составлено автором </w:t>
      </w:r>
    </w:p>
    <w:p w14:paraId="59F0F0AC" w14:textId="77777777" w:rsidR="00C05485" w:rsidRPr="00C05485" w:rsidRDefault="00C05485" w:rsidP="00E569B8">
      <w:pPr>
        <w:pStyle w:val="NoSpacing"/>
        <w:ind w:firstLine="709"/>
        <w:jc w:val="both"/>
        <w:rPr>
          <w:rFonts w:ascii="Times New Roman" w:hAnsi="Times New Roman" w:cs="Times New Roman"/>
          <w:sz w:val="28"/>
          <w:szCs w:val="28"/>
          <w:lang w:val="kk-KZ"/>
        </w:rPr>
      </w:pPr>
    </w:p>
    <w:p w14:paraId="74FA9CD4" w14:textId="5DC25E59" w:rsidR="00E94B29" w:rsidRPr="001935D0" w:rsidRDefault="00E94B29" w:rsidP="00E569B8">
      <w:pPr>
        <w:spacing w:after="0" w:line="240" w:lineRule="auto"/>
        <w:ind w:firstLine="709"/>
        <w:jc w:val="both"/>
        <w:rPr>
          <w:rFonts w:ascii="Times New Roman" w:hAnsi="Times New Roman" w:cs="Times New Roman"/>
          <w:b/>
          <w:sz w:val="28"/>
          <w:szCs w:val="28"/>
        </w:rPr>
      </w:pPr>
      <w:r w:rsidRPr="001935D0">
        <w:rPr>
          <w:rFonts w:ascii="Times New Roman" w:hAnsi="Times New Roman" w:cs="Times New Roman"/>
          <w:b/>
          <w:sz w:val="28"/>
          <w:szCs w:val="28"/>
        </w:rPr>
        <w:t>2.3 Практика ЕС в сфере прав человека в Центральной Азии и Казахстане</w:t>
      </w:r>
    </w:p>
    <w:p w14:paraId="5E73A686" w14:textId="68E64952"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Внешнеполитическая стратегия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в области прав человека демонстрирует поступательную эволюцию – от нормативного утверждения универсальных демократических стандартов к более гибкому, контекстно чувствительному и прагматичному взаимодействию с государствами-партнёрами. В этом процессе Центральная Азия, включая Казахстан, занимает важное место в правозащитной повестке ЕС. Такое внимание обусловлено стратегическим положением региона, его реформаторским потенциалом и необходимостью укрепления демократических институтов в условиях глобальной нестабильности.</w:t>
      </w:r>
    </w:p>
    <w:p w14:paraId="15C853AD" w14:textId="0B2940BE"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 исходит из понимания, что эффективное продвижение прав человека в данном макрорегионе требует не только политического диалога, но и устойчивых институциональных механизмов, способных поддерживать системные реформы, обеспечивать участие гражданского общества и защиту фундаментальных свобод. Поэтому политика ЕС сочетает инструментальный и ценностно-ориентированный подходы, опираясь на многоуровневую </w:t>
      </w:r>
      <w:r w:rsidRPr="001935D0">
        <w:rPr>
          <w:rFonts w:ascii="Times New Roman" w:hAnsi="Times New Roman" w:cs="Times New Roman"/>
          <w:sz w:val="28"/>
          <w:szCs w:val="28"/>
        </w:rPr>
        <w:lastRenderedPageBreak/>
        <w:t>архитектуру внешнего взаимодействия, в которой стратегические интересы неразрывно связаны с гуманитарными обязательс</w:t>
      </w:r>
    </w:p>
    <w:p w14:paraId="413EC407" w14:textId="4577CE44"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Особое значение в переос</w:t>
      </w:r>
      <w:r w:rsidR="007C324F" w:rsidRPr="001935D0">
        <w:rPr>
          <w:rFonts w:ascii="Times New Roman" w:hAnsi="Times New Roman" w:cs="Times New Roman"/>
          <w:sz w:val="28"/>
          <w:szCs w:val="28"/>
        </w:rPr>
        <w:t>мыслении подходов Европейского С</w:t>
      </w:r>
      <w:r w:rsidRPr="001935D0">
        <w:rPr>
          <w:rFonts w:ascii="Times New Roman" w:hAnsi="Times New Roman" w:cs="Times New Roman"/>
          <w:sz w:val="28"/>
          <w:szCs w:val="28"/>
        </w:rPr>
        <w:t>оюза к демократическому управлению приобрело стратегическое исследование «The EU Pushes Back: A New Democracy Plan», подготовленное в рамках проекта SHAPEDEM-EU [1</w:t>
      </w:r>
      <w:r w:rsidR="00FA02FB">
        <w:rPr>
          <w:rFonts w:ascii="Times New Roman" w:hAnsi="Times New Roman" w:cs="Times New Roman"/>
          <w:sz w:val="28"/>
          <w:szCs w:val="28"/>
          <w:lang w:val="kk-KZ"/>
        </w:rPr>
        <w:t>17</w:t>
      </w:r>
      <w:r w:rsidRPr="001935D0">
        <w:rPr>
          <w:rFonts w:ascii="Times New Roman" w:hAnsi="Times New Roman" w:cs="Times New Roman"/>
          <w:sz w:val="28"/>
          <w:szCs w:val="28"/>
        </w:rPr>
        <w:t>]. Этот документ отражает обновлённую концепцию внешнеполитической и институциональной деятельности ЕС в ответ на новые вызовы, включая усиление авторитарных тенденций, цифровые угрозы и сокращение пространства для гражданского общества в странах-партнёрах, таких как Казахстан, Узбекистан и Таджикистан.</w:t>
      </w:r>
    </w:p>
    <w:p w14:paraId="1FF31284" w14:textId="77777777"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Центральным понятием данного нового подхода выступает категория устойчивости демократии (democratic resilience) – комплекс правовых, институциональных и социокультурных механизмов, обеспечивающих способность демократических систем адаптироваться к внутренним и внешним вызовам. В интерпретации ЕС, устойчивость демократии предполагает не только эффективное функционирование государственных институтов, но и инклюзивное взаимодействие с широким спектром негосударственных акторов: гражданским обществом, академическим сообществом, правозащитными организациями и инициативными группами на местах.</w:t>
      </w:r>
    </w:p>
    <w:p w14:paraId="4B1A20DA" w14:textId="77777777"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Таким образом, современная правозащитная стратегия ЕС в Центральной Азии основывается на балансе между универсальными ценностями и региональной спецификой. Она стремится не столько к экстраполяции европейских моделей, сколько к совместной разработке адаптивных, устойчивых и инклюзивных решений, направленных на укрепление прав человека и демократических практик в условиях многослойных вызовов современности. На практике это отражается в ряде инновационных направлений внешней политики ЕС, в том числе применимых к центральноазиатскому региону (таблица 2.16).</w:t>
      </w:r>
    </w:p>
    <w:p w14:paraId="4198E26D" w14:textId="77777777" w:rsidR="00E569B8" w:rsidRDefault="00E569B8" w:rsidP="00593711">
      <w:pPr>
        <w:spacing w:after="0" w:line="240" w:lineRule="auto"/>
        <w:jc w:val="center"/>
        <w:rPr>
          <w:rFonts w:ascii="Times New Roman" w:eastAsia="Times New Roman" w:hAnsi="Times New Roman" w:cs="Times New Roman"/>
          <w:bCs/>
          <w:sz w:val="28"/>
          <w:szCs w:val="28"/>
          <w:lang w:val="kk-KZ" w:eastAsia="ru-RU"/>
        </w:rPr>
      </w:pPr>
    </w:p>
    <w:p w14:paraId="446B2F4D" w14:textId="673B6386" w:rsidR="00E94B29" w:rsidRDefault="00E94B29" w:rsidP="00E569B8">
      <w:pPr>
        <w:spacing w:after="0" w:line="240" w:lineRule="auto"/>
        <w:jc w:val="both"/>
        <w:rPr>
          <w:rFonts w:ascii="Times New Roman" w:eastAsia="Times New Roman" w:hAnsi="Times New Roman" w:cs="Times New Roman"/>
          <w:bCs/>
          <w:sz w:val="28"/>
          <w:szCs w:val="28"/>
          <w:lang w:val="kk-KZ" w:eastAsia="ru-RU"/>
        </w:rPr>
      </w:pPr>
      <w:r w:rsidRPr="001935D0">
        <w:rPr>
          <w:rFonts w:ascii="Times New Roman" w:eastAsia="Times New Roman" w:hAnsi="Times New Roman" w:cs="Times New Roman"/>
          <w:bCs/>
          <w:sz w:val="28"/>
          <w:szCs w:val="28"/>
          <w:lang w:eastAsia="ru-RU"/>
        </w:rPr>
        <w:t xml:space="preserve">Таблица 2.16 </w:t>
      </w:r>
      <w:r w:rsidR="00E569B8">
        <w:rPr>
          <w:rFonts w:ascii="Times New Roman" w:eastAsia="Times New Roman" w:hAnsi="Times New Roman" w:cs="Times New Roman"/>
          <w:bCs/>
          <w:sz w:val="28"/>
          <w:szCs w:val="28"/>
          <w:lang w:eastAsia="ru-RU"/>
        </w:rPr>
        <w:t>‒</w:t>
      </w:r>
      <w:r w:rsidR="00E569B8">
        <w:rPr>
          <w:rFonts w:ascii="Times New Roman" w:eastAsia="Times New Roman" w:hAnsi="Times New Roman" w:cs="Times New Roman"/>
          <w:bCs/>
          <w:sz w:val="28"/>
          <w:szCs w:val="28"/>
          <w:lang w:val="kk-KZ" w:eastAsia="ru-RU"/>
        </w:rPr>
        <w:t xml:space="preserve"> </w:t>
      </w:r>
      <w:r w:rsidRPr="001935D0">
        <w:rPr>
          <w:rFonts w:ascii="Times New Roman" w:eastAsia="Times New Roman" w:hAnsi="Times New Roman" w:cs="Times New Roman"/>
          <w:bCs/>
          <w:sz w:val="28"/>
          <w:szCs w:val="28"/>
          <w:lang w:eastAsia="ru-RU"/>
        </w:rPr>
        <w:t>Инновационные направления политики ЕС в контексте концепции «устойчивости демократии»</w:t>
      </w:r>
    </w:p>
    <w:p w14:paraId="6C65F627" w14:textId="77777777" w:rsidR="00E569B8" w:rsidRPr="00E569B8" w:rsidRDefault="00E569B8" w:rsidP="00E569B8">
      <w:pPr>
        <w:spacing w:after="0" w:line="240" w:lineRule="auto"/>
        <w:jc w:val="right"/>
        <w:rPr>
          <w:rFonts w:ascii="Times New Roman" w:eastAsia="Times New Roman" w:hAnsi="Times New Roman" w:cs="Times New Roman"/>
          <w:bCs/>
          <w:sz w:val="16"/>
          <w:szCs w:val="16"/>
          <w:lang w:val="kk-KZ" w:eastAsia="ru-RU"/>
        </w:rPr>
      </w:pPr>
    </w:p>
    <w:tbl>
      <w:tblPr>
        <w:tblStyle w:val="TableGrid"/>
        <w:tblW w:w="9493" w:type="dxa"/>
        <w:jc w:val="center"/>
        <w:tblLook w:val="04A0" w:firstRow="1" w:lastRow="0" w:firstColumn="1" w:lastColumn="0" w:noHBand="0" w:noVBand="1"/>
      </w:tblPr>
      <w:tblGrid>
        <w:gridCol w:w="2405"/>
        <w:gridCol w:w="3686"/>
        <w:gridCol w:w="3402"/>
      </w:tblGrid>
      <w:tr w:rsidR="00E94B29" w:rsidRPr="001935D0" w14:paraId="21676BAD" w14:textId="77777777" w:rsidTr="00E569B8">
        <w:trPr>
          <w:jc w:val="center"/>
        </w:trPr>
        <w:tc>
          <w:tcPr>
            <w:tcW w:w="2405" w:type="dxa"/>
            <w:vAlign w:val="center"/>
          </w:tcPr>
          <w:p w14:paraId="5F026A39" w14:textId="77777777" w:rsidR="00E94B29" w:rsidRPr="001935D0" w:rsidRDefault="00E94B29" w:rsidP="00593711">
            <w:pPr>
              <w:pStyle w:val="NoSpacing"/>
              <w:jc w:val="center"/>
              <w:rPr>
                <w:rFonts w:ascii="Times New Roman" w:hAnsi="Times New Roman" w:cs="Times New Roman"/>
                <w:sz w:val="24"/>
                <w:szCs w:val="24"/>
                <w:lang w:eastAsia="ru-RU"/>
              </w:rPr>
            </w:pPr>
            <w:r w:rsidRPr="001935D0">
              <w:rPr>
                <w:rFonts w:ascii="Times New Roman" w:hAnsi="Times New Roman" w:cs="Times New Roman"/>
                <w:sz w:val="24"/>
                <w:szCs w:val="24"/>
                <w:lang w:eastAsia="ru-RU"/>
              </w:rPr>
              <w:t>Направление</w:t>
            </w:r>
          </w:p>
        </w:tc>
        <w:tc>
          <w:tcPr>
            <w:tcW w:w="3686" w:type="dxa"/>
            <w:vAlign w:val="center"/>
          </w:tcPr>
          <w:p w14:paraId="7AB1F0F5" w14:textId="77777777" w:rsidR="00E94B29" w:rsidRPr="001935D0" w:rsidRDefault="00E94B29" w:rsidP="00593711">
            <w:pPr>
              <w:pStyle w:val="NoSpacing"/>
              <w:jc w:val="center"/>
              <w:rPr>
                <w:rFonts w:ascii="Times New Roman" w:hAnsi="Times New Roman" w:cs="Times New Roman"/>
                <w:sz w:val="24"/>
                <w:szCs w:val="24"/>
                <w:lang w:eastAsia="ru-RU"/>
              </w:rPr>
            </w:pPr>
            <w:r w:rsidRPr="001935D0">
              <w:rPr>
                <w:rFonts w:ascii="Times New Roman" w:hAnsi="Times New Roman" w:cs="Times New Roman"/>
                <w:sz w:val="24"/>
                <w:szCs w:val="24"/>
                <w:lang w:eastAsia="ru-RU"/>
              </w:rPr>
              <w:t>Содержание</w:t>
            </w:r>
          </w:p>
        </w:tc>
        <w:tc>
          <w:tcPr>
            <w:tcW w:w="3402" w:type="dxa"/>
            <w:vAlign w:val="center"/>
          </w:tcPr>
          <w:p w14:paraId="1775E88F" w14:textId="77777777" w:rsidR="00E94B29" w:rsidRPr="001935D0" w:rsidRDefault="00E94B29" w:rsidP="00593711">
            <w:pPr>
              <w:pStyle w:val="NoSpacing"/>
              <w:jc w:val="center"/>
              <w:rPr>
                <w:rFonts w:ascii="Times New Roman" w:hAnsi="Times New Roman" w:cs="Times New Roman"/>
                <w:sz w:val="24"/>
                <w:szCs w:val="24"/>
                <w:lang w:eastAsia="ru-RU"/>
              </w:rPr>
            </w:pPr>
            <w:r w:rsidRPr="001935D0">
              <w:rPr>
                <w:rFonts w:ascii="Times New Roman" w:hAnsi="Times New Roman" w:cs="Times New Roman"/>
                <w:sz w:val="24"/>
                <w:szCs w:val="24"/>
                <w:lang w:eastAsia="ru-RU"/>
              </w:rPr>
              <w:t>Реализация через механизмы</w:t>
            </w:r>
          </w:p>
        </w:tc>
      </w:tr>
      <w:tr w:rsidR="00E94B29" w:rsidRPr="00AD6D54" w14:paraId="642578C1" w14:textId="77777777" w:rsidTr="00E569B8">
        <w:trPr>
          <w:jc w:val="center"/>
        </w:trPr>
        <w:tc>
          <w:tcPr>
            <w:tcW w:w="2405" w:type="dxa"/>
            <w:vAlign w:val="center"/>
          </w:tcPr>
          <w:p w14:paraId="179A8864"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Укрепление гражданского общества</w:t>
            </w:r>
          </w:p>
        </w:tc>
        <w:tc>
          <w:tcPr>
            <w:tcW w:w="3686" w:type="dxa"/>
            <w:vAlign w:val="center"/>
          </w:tcPr>
          <w:p w14:paraId="1E6F352E"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Повышение устойчивости НПО, защита правозащитников, участие в консультациях</w:t>
            </w:r>
          </w:p>
        </w:tc>
        <w:tc>
          <w:tcPr>
            <w:tcW w:w="3402" w:type="dxa"/>
            <w:vAlign w:val="center"/>
          </w:tcPr>
          <w:p w14:paraId="2B57D8D0" w14:textId="54472C36" w:rsidR="00E94B29" w:rsidRPr="001935D0" w:rsidRDefault="00E94B29" w:rsidP="00593711">
            <w:pPr>
              <w:pStyle w:val="NoSpacing"/>
              <w:rPr>
                <w:rFonts w:ascii="Times New Roman" w:hAnsi="Times New Roman" w:cs="Times New Roman"/>
                <w:sz w:val="24"/>
                <w:szCs w:val="24"/>
                <w:lang w:val="en-US" w:eastAsia="ru-RU"/>
              </w:rPr>
            </w:pPr>
            <w:r w:rsidRPr="001935D0">
              <w:rPr>
                <w:rFonts w:ascii="Times New Roman" w:hAnsi="Times New Roman" w:cs="Times New Roman"/>
                <w:sz w:val="24"/>
                <w:szCs w:val="24"/>
                <w:lang w:val="en-US" w:eastAsia="ru-RU"/>
              </w:rPr>
              <w:t>NDICI – Global Europe, Euro</w:t>
            </w:r>
            <w:r w:rsidR="00E569B8">
              <w:rPr>
                <w:rFonts w:ascii="Times New Roman" w:hAnsi="Times New Roman" w:cs="Times New Roman"/>
                <w:sz w:val="24"/>
                <w:szCs w:val="24"/>
                <w:lang w:val="kk-KZ" w:eastAsia="ru-RU"/>
              </w:rPr>
              <w:t xml:space="preserve"> </w:t>
            </w:r>
            <w:r w:rsidRPr="001935D0">
              <w:rPr>
                <w:rFonts w:ascii="Times New Roman" w:hAnsi="Times New Roman" w:cs="Times New Roman"/>
                <w:sz w:val="24"/>
                <w:szCs w:val="24"/>
                <w:lang w:val="en-US" w:eastAsia="ru-RU"/>
              </w:rPr>
              <w:t xml:space="preserve">pean Democracy Action Plan, </w:t>
            </w:r>
            <w:r w:rsidRPr="001935D0">
              <w:rPr>
                <w:rFonts w:ascii="Times New Roman" w:hAnsi="Times New Roman" w:cs="Times New Roman"/>
                <w:sz w:val="24"/>
                <w:szCs w:val="24"/>
                <w:lang w:eastAsia="ru-RU"/>
              </w:rPr>
              <w:t>консультационные</w:t>
            </w:r>
            <w:r w:rsidRPr="001935D0">
              <w:rPr>
                <w:rFonts w:ascii="Times New Roman" w:hAnsi="Times New Roman" w:cs="Times New Roman"/>
                <w:sz w:val="24"/>
                <w:szCs w:val="24"/>
                <w:lang w:val="en-US" w:eastAsia="ru-RU"/>
              </w:rPr>
              <w:t xml:space="preserve"> </w:t>
            </w:r>
            <w:r w:rsidRPr="001935D0">
              <w:rPr>
                <w:rFonts w:ascii="Times New Roman" w:hAnsi="Times New Roman" w:cs="Times New Roman"/>
                <w:sz w:val="24"/>
                <w:szCs w:val="24"/>
                <w:lang w:eastAsia="ru-RU"/>
              </w:rPr>
              <w:t>платформы</w:t>
            </w:r>
          </w:p>
        </w:tc>
      </w:tr>
      <w:tr w:rsidR="00E94B29" w:rsidRPr="001935D0" w14:paraId="65CFF7E9" w14:textId="77777777" w:rsidTr="00E569B8">
        <w:trPr>
          <w:jc w:val="center"/>
        </w:trPr>
        <w:tc>
          <w:tcPr>
            <w:tcW w:w="2405" w:type="dxa"/>
            <w:vAlign w:val="center"/>
          </w:tcPr>
          <w:p w14:paraId="0C96721D"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Целевая дипломатия и санкции</w:t>
            </w:r>
          </w:p>
        </w:tc>
        <w:tc>
          <w:tcPr>
            <w:tcW w:w="3686" w:type="dxa"/>
            <w:vAlign w:val="center"/>
          </w:tcPr>
          <w:p w14:paraId="02A46887"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Использование дипломатических инструментов и санкционных режимов</w:t>
            </w:r>
          </w:p>
        </w:tc>
        <w:tc>
          <w:tcPr>
            <w:tcW w:w="3402" w:type="dxa"/>
            <w:vAlign w:val="center"/>
          </w:tcPr>
          <w:p w14:paraId="784ABA0A" w14:textId="4977F732"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EU Human Rights Sanctions Regime (EUGHRSR), спецпред</w:t>
            </w:r>
            <w:r w:rsidR="00E569B8">
              <w:rPr>
                <w:rFonts w:ascii="Times New Roman" w:hAnsi="Times New Roman" w:cs="Times New Roman"/>
                <w:sz w:val="24"/>
                <w:szCs w:val="24"/>
                <w:lang w:val="kk-KZ" w:eastAsia="ru-RU"/>
              </w:rPr>
              <w:t xml:space="preserve"> </w:t>
            </w:r>
            <w:r w:rsidRPr="001935D0">
              <w:rPr>
                <w:rFonts w:ascii="Times New Roman" w:hAnsi="Times New Roman" w:cs="Times New Roman"/>
                <w:sz w:val="24"/>
                <w:szCs w:val="24"/>
                <w:lang w:eastAsia="ru-RU"/>
              </w:rPr>
              <w:t>ставители ЕС по правам человека</w:t>
            </w:r>
          </w:p>
        </w:tc>
      </w:tr>
      <w:tr w:rsidR="00E94B29" w:rsidRPr="001935D0" w14:paraId="2B46D0BA" w14:textId="77777777" w:rsidTr="00E569B8">
        <w:trPr>
          <w:jc w:val="center"/>
        </w:trPr>
        <w:tc>
          <w:tcPr>
            <w:tcW w:w="2405" w:type="dxa"/>
            <w:vAlign w:val="center"/>
          </w:tcPr>
          <w:p w14:paraId="76669429"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Стратегическая коммуникация</w:t>
            </w:r>
          </w:p>
        </w:tc>
        <w:tc>
          <w:tcPr>
            <w:tcW w:w="3686" w:type="dxa"/>
            <w:vAlign w:val="center"/>
          </w:tcPr>
          <w:p w14:paraId="584EE606"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Борьба с дезинформацией, поддержка независимых СМИ и цифровых прав</w:t>
            </w:r>
          </w:p>
        </w:tc>
        <w:tc>
          <w:tcPr>
            <w:tcW w:w="3402" w:type="dxa"/>
            <w:vAlign w:val="center"/>
          </w:tcPr>
          <w:p w14:paraId="65DB5B34" w14:textId="1A53225E"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Action Plan against Disinforma</w:t>
            </w:r>
            <w:r w:rsidR="00E569B8">
              <w:rPr>
                <w:rFonts w:ascii="Times New Roman" w:hAnsi="Times New Roman" w:cs="Times New Roman"/>
                <w:sz w:val="24"/>
                <w:szCs w:val="24"/>
                <w:lang w:val="kk-KZ" w:eastAsia="ru-RU"/>
              </w:rPr>
              <w:t xml:space="preserve"> </w:t>
            </w:r>
            <w:r w:rsidRPr="001935D0">
              <w:rPr>
                <w:rFonts w:ascii="Times New Roman" w:hAnsi="Times New Roman" w:cs="Times New Roman"/>
                <w:sz w:val="24"/>
                <w:szCs w:val="24"/>
                <w:lang w:eastAsia="ru-RU"/>
              </w:rPr>
              <w:t>tion, цифровая безопасность, поддержка медиаструктур</w:t>
            </w:r>
          </w:p>
        </w:tc>
      </w:tr>
      <w:tr w:rsidR="00E94B29" w:rsidRPr="001935D0" w14:paraId="4962DB3E" w14:textId="77777777" w:rsidTr="00E569B8">
        <w:trPr>
          <w:jc w:val="center"/>
        </w:trPr>
        <w:tc>
          <w:tcPr>
            <w:tcW w:w="2405" w:type="dxa"/>
            <w:vAlign w:val="center"/>
          </w:tcPr>
          <w:p w14:paraId="56C24C8E"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Гибкость и чувствительность к контексту</w:t>
            </w:r>
          </w:p>
        </w:tc>
        <w:tc>
          <w:tcPr>
            <w:tcW w:w="3686" w:type="dxa"/>
            <w:vAlign w:val="center"/>
          </w:tcPr>
          <w:p w14:paraId="76FFCD62"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Адаптивный подход, учитывающий локальные особенности</w:t>
            </w:r>
          </w:p>
        </w:tc>
        <w:tc>
          <w:tcPr>
            <w:tcW w:w="3402" w:type="dxa"/>
            <w:vAlign w:val="center"/>
          </w:tcPr>
          <w:p w14:paraId="4E7714B9" w14:textId="025A248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Инициатива Team Europe Democracy, двусторонние стра</w:t>
            </w:r>
            <w:r w:rsidR="00E569B8">
              <w:rPr>
                <w:rFonts w:ascii="Times New Roman" w:hAnsi="Times New Roman" w:cs="Times New Roman"/>
                <w:sz w:val="24"/>
                <w:szCs w:val="24"/>
                <w:lang w:val="kk-KZ" w:eastAsia="ru-RU"/>
              </w:rPr>
              <w:t xml:space="preserve"> </w:t>
            </w:r>
            <w:r w:rsidRPr="001935D0">
              <w:rPr>
                <w:rFonts w:ascii="Times New Roman" w:hAnsi="Times New Roman" w:cs="Times New Roman"/>
                <w:sz w:val="24"/>
                <w:szCs w:val="24"/>
                <w:lang w:eastAsia="ru-RU"/>
              </w:rPr>
              <w:t>тегические дорожные карты</w:t>
            </w:r>
          </w:p>
        </w:tc>
      </w:tr>
      <w:tr w:rsidR="00E569B8" w:rsidRPr="001935D0" w14:paraId="43F1DAE4" w14:textId="77777777" w:rsidTr="00634764">
        <w:trPr>
          <w:jc w:val="center"/>
        </w:trPr>
        <w:tc>
          <w:tcPr>
            <w:tcW w:w="9493" w:type="dxa"/>
            <w:gridSpan w:val="3"/>
            <w:vAlign w:val="center"/>
          </w:tcPr>
          <w:p w14:paraId="5F2FB2F9" w14:textId="3469B4BB" w:rsidR="00E569B8" w:rsidRPr="001935D0" w:rsidRDefault="009D7580" w:rsidP="00FA02FB">
            <w:pPr>
              <w:pStyle w:val="NoSpacing"/>
              <w:ind w:firstLine="529"/>
              <w:rPr>
                <w:rFonts w:ascii="Times New Roman" w:hAnsi="Times New Roman" w:cs="Times New Roman"/>
                <w:sz w:val="24"/>
                <w:szCs w:val="24"/>
                <w:lang w:eastAsia="ru-RU"/>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Pr>
                <w:rFonts w:ascii="Times New Roman" w:hAnsi="Times New Roman" w:cs="Times New Roman"/>
                <w:sz w:val="24"/>
                <w:szCs w:val="24"/>
                <w:lang w:val="kk-KZ"/>
              </w:rPr>
              <w:t>103; 115; 116; 117</w:t>
            </w:r>
            <w:r w:rsidRPr="001935D0">
              <w:rPr>
                <w:rFonts w:ascii="Times New Roman" w:hAnsi="Times New Roman" w:cs="Times New Roman"/>
                <w:sz w:val="24"/>
                <w:szCs w:val="24"/>
              </w:rPr>
              <w:t>]</w:t>
            </w:r>
          </w:p>
        </w:tc>
      </w:tr>
    </w:tbl>
    <w:p w14:paraId="04B25A45" w14:textId="0E4F2979"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 xml:space="preserve">Переосмысление подхода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к содействию демократии приобретает особую значимость в контексте Центральной Азии, где институциональная трансформация сопровождается сложными социокультурными и политическими условиями. В отличие от прежней универсалистской модели, ориентированной на нормативную трансплантацию европейских стандартов, современная стратегия ЕС основывается на контекстно чувствительной фасилитации.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всё чаще позиционирует себя не как директивный актор, а как партнёр, способствующий развитию устойчивых и инклюзивных демократических практик на локальном уровне [1</w:t>
      </w:r>
      <w:r w:rsidR="00FA02FB">
        <w:rPr>
          <w:rFonts w:ascii="Times New Roman" w:hAnsi="Times New Roman" w:cs="Times New Roman"/>
          <w:sz w:val="28"/>
          <w:szCs w:val="28"/>
          <w:lang w:val="kk-KZ"/>
        </w:rPr>
        <w:t>16</w:t>
      </w:r>
      <w:r w:rsidRPr="001935D0">
        <w:rPr>
          <w:rFonts w:ascii="Times New Roman" w:hAnsi="Times New Roman" w:cs="Times New Roman"/>
          <w:sz w:val="28"/>
          <w:szCs w:val="28"/>
        </w:rPr>
        <w:t>].</w:t>
      </w:r>
    </w:p>
    <w:p w14:paraId="493DB007" w14:textId="77777777"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Ключевым понятием обновлённого подхода выступает концепция </w:t>
      </w:r>
      <w:r w:rsidRPr="001935D0">
        <w:rPr>
          <w:rStyle w:val="Strong"/>
          <w:rFonts w:ascii="Times New Roman" w:hAnsi="Times New Roman" w:cs="Times New Roman"/>
          <w:b w:val="0"/>
          <w:bCs w:val="0"/>
          <w:sz w:val="28"/>
          <w:szCs w:val="28"/>
        </w:rPr>
        <w:t>«push-back»</w:t>
      </w:r>
      <w:r w:rsidRPr="001935D0">
        <w:rPr>
          <w:rFonts w:ascii="Times New Roman" w:hAnsi="Times New Roman" w:cs="Times New Roman"/>
          <w:sz w:val="28"/>
          <w:szCs w:val="28"/>
        </w:rPr>
        <w:t xml:space="preserve">, отражающая проактивное реагирование на угрозы демократии и базовым правам. В рамках данной концепции акцент смещается с конфронтационного давления на </w:t>
      </w:r>
      <w:r w:rsidRPr="001935D0">
        <w:rPr>
          <w:rStyle w:val="Strong"/>
          <w:rFonts w:ascii="Times New Roman" w:hAnsi="Times New Roman" w:cs="Times New Roman"/>
          <w:b w:val="0"/>
          <w:bCs w:val="0"/>
          <w:sz w:val="28"/>
          <w:szCs w:val="28"/>
        </w:rPr>
        <w:t>системную защиту демократических ценностей</w:t>
      </w:r>
      <w:r w:rsidRPr="001935D0">
        <w:rPr>
          <w:rFonts w:ascii="Times New Roman" w:hAnsi="Times New Roman" w:cs="Times New Roman"/>
          <w:sz w:val="28"/>
          <w:szCs w:val="28"/>
        </w:rPr>
        <w:t>, которая реализуется через:</w:t>
      </w:r>
    </w:p>
    <w:p w14:paraId="5E96E7C4" w14:textId="77777777" w:rsidR="00E94B29" w:rsidRPr="001935D0" w:rsidRDefault="00E94B29" w:rsidP="00E569B8">
      <w:pPr>
        <w:pStyle w:val="NoSpacing"/>
        <w:numPr>
          <w:ilvl w:val="0"/>
          <w:numId w:val="6"/>
        </w:numPr>
        <w:tabs>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применение </w:t>
      </w:r>
      <w:r w:rsidRPr="001935D0">
        <w:rPr>
          <w:rStyle w:val="Strong"/>
          <w:rFonts w:ascii="Times New Roman" w:hAnsi="Times New Roman" w:cs="Times New Roman"/>
          <w:b w:val="0"/>
          <w:bCs w:val="0"/>
          <w:sz w:val="28"/>
          <w:szCs w:val="28"/>
        </w:rPr>
        <w:t>целевых санкционных механизмов</w:t>
      </w:r>
      <w:r w:rsidRPr="001935D0">
        <w:rPr>
          <w:rFonts w:ascii="Times New Roman" w:hAnsi="Times New Roman" w:cs="Times New Roman"/>
          <w:sz w:val="28"/>
          <w:szCs w:val="28"/>
        </w:rPr>
        <w:t xml:space="preserve"> в отношении факторов, подрывающих демократию и верховенство права;</w:t>
      </w:r>
    </w:p>
    <w:p w14:paraId="5E462145" w14:textId="77777777" w:rsidR="00E94B29" w:rsidRPr="001935D0" w:rsidRDefault="00E94B29" w:rsidP="00E569B8">
      <w:pPr>
        <w:pStyle w:val="NoSpacing"/>
        <w:numPr>
          <w:ilvl w:val="0"/>
          <w:numId w:val="6"/>
        </w:numPr>
        <w:tabs>
          <w:tab w:val="left" w:pos="993"/>
        </w:tabs>
        <w:ind w:left="0" w:firstLine="709"/>
        <w:jc w:val="both"/>
        <w:rPr>
          <w:rFonts w:ascii="Times New Roman" w:hAnsi="Times New Roman" w:cs="Times New Roman"/>
          <w:sz w:val="28"/>
          <w:szCs w:val="28"/>
        </w:rPr>
      </w:pPr>
      <w:r w:rsidRPr="001935D0">
        <w:rPr>
          <w:rStyle w:val="Strong"/>
          <w:rFonts w:ascii="Times New Roman" w:hAnsi="Times New Roman" w:cs="Times New Roman"/>
          <w:b w:val="0"/>
          <w:bCs w:val="0"/>
          <w:sz w:val="28"/>
          <w:szCs w:val="28"/>
        </w:rPr>
        <w:t>поддержку коалиций гражданского общества</w:t>
      </w:r>
      <w:r w:rsidRPr="001935D0">
        <w:rPr>
          <w:rFonts w:ascii="Times New Roman" w:hAnsi="Times New Roman" w:cs="Times New Roman"/>
          <w:sz w:val="28"/>
          <w:szCs w:val="28"/>
        </w:rPr>
        <w:t>, в том числе в репрессивных или ограниченных политических режимах;</w:t>
      </w:r>
    </w:p>
    <w:p w14:paraId="43773074" w14:textId="77777777" w:rsidR="00E94B29" w:rsidRPr="001935D0" w:rsidRDefault="00E94B29" w:rsidP="00E569B8">
      <w:pPr>
        <w:pStyle w:val="NoSpacing"/>
        <w:numPr>
          <w:ilvl w:val="0"/>
          <w:numId w:val="6"/>
        </w:numPr>
        <w:tabs>
          <w:tab w:val="left" w:pos="993"/>
        </w:tabs>
        <w:ind w:left="0" w:firstLine="709"/>
        <w:jc w:val="both"/>
        <w:rPr>
          <w:rFonts w:ascii="Times New Roman" w:hAnsi="Times New Roman" w:cs="Times New Roman"/>
          <w:sz w:val="28"/>
          <w:szCs w:val="28"/>
        </w:rPr>
      </w:pPr>
      <w:r w:rsidRPr="001935D0">
        <w:rPr>
          <w:rStyle w:val="Strong"/>
          <w:rFonts w:ascii="Times New Roman" w:hAnsi="Times New Roman" w:cs="Times New Roman"/>
          <w:b w:val="0"/>
          <w:bCs w:val="0"/>
          <w:sz w:val="28"/>
          <w:szCs w:val="28"/>
        </w:rPr>
        <w:t>развитие международных партнёрств</w:t>
      </w:r>
      <w:r w:rsidRPr="001935D0">
        <w:rPr>
          <w:rFonts w:ascii="Times New Roman" w:hAnsi="Times New Roman" w:cs="Times New Roman"/>
          <w:sz w:val="28"/>
          <w:szCs w:val="28"/>
        </w:rPr>
        <w:t xml:space="preserve"> с участием локальных и глобальных стейкхолдеров;</w:t>
      </w:r>
    </w:p>
    <w:p w14:paraId="4E8AAA8E" w14:textId="77777777" w:rsidR="00E94B29" w:rsidRPr="001935D0" w:rsidRDefault="00E94B29" w:rsidP="00E569B8">
      <w:pPr>
        <w:pStyle w:val="NoSpacing"/>
        <w:numPr>
          <w:ilvl w:val="0"/>
          <w:numId w:val="6"/>
        </w:numPr>
        <w:tabs>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реализацию инициатив в рамках </w:t>
      </w:r>
      <w:r w:rsidRPr="001935D0">
        <w:rPr>
          <w:rStyle w:val="Strong"/>
          <w:rFonts w:ascii="Times New Roman" w:hAnsi="Times New Roman" w:cs="Times New Roman"/>
          <w:b w:val="0"/>
          <w:bCs w:val="0"/>
          <w:sz w:val="28"/>
          <w:szCs w:val="28"/>
        </w:rPr>
        <w:t>Team Europe Democracy</w:t>
      </w:r>
      <w:r w:rsidRPr="001935D0">
        <w:rPr>
          <w:rFonts w:ascii="Times New Roman" w:hAnsi="Times New Roman" w:cs="Times New Roman"/>
          <w:sz w:val="28"/>
          <w:szCs w:val="28"/>
        </w:rPr>
        <w:t xml:space="preserve"> и </w:t>
      </w:r>
      <w:r w:rsidRPr="001935D0">
        <w:rPr>
          <w:rStyle w:val="Strong"/>
          <w:rFonts w:ascii="Times New Roman" w:hAnsi="Times New Roman" w:cs="Times New Roman"/>
          <w:b w:val="0"/>
          <w:bCs w:val="0"/>
          <w:sz w:val="28"/>
          <w:szCs w:val="28"/>
        </w:rPr>
        <w:t>тематического компонента NDICI – Global Europe</w:t>
      </w:r>
      <w:r w:rsidRPr="001935D0">
        <w:rPr>
          <w:rFonts w:ascii="Times New Roman" w:hAnsi="Times New Roman" w:cs="Times New Roman"/>
          <w:sz w:val="28"/>
          <w:szCs w:val="28"/>
        </w:rPr>
        <w:t>.</w:t>
      </w:r>
    </w:p>
    <w:p w14:paraId="38BDF050" w14:textId="26292DD0"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Как</w:t>
      </w:r>
      <w:r w:rsidRPr="001935D0">
        <w:rPr>
          <w:rFonts w:ascii="Times New Roman" w:hAnsi="Times New Roman" w:cs="Times New Roman"/>
          <w:sz w:val="28"/>
          <w:szCs w:val="28"/>
          <w:lang w:val="en-US"/>
        </w:rPr>
        <w:t xml:space="preserve"> </w:t>
      </w:r>
      <w:r w:rsidRPr="001935D0">
        <w:rPr>
          <w:rFonts w:ascii="Times New Roman" w:hAnsi="Times New Roman" w:cs="Times New Roman"/>
          <w:sz w:val="28"/>
          <w:szCs w:val="28"/>
        </w:rPr>
        <w:t>показывает</w:t>
      </w:r>
      <w:r w:rsidRPr="001935D0">
        <w:rPr>
          <w:rFonts w:ascii="Times New Roman" w:hAnsi="Times New Roman" w:cs="Times New Roman"/>
          <w:sz w:val="28"/>
          <w:szCs w:val="28"/>
          <w:lang w:val="en-US"/>
        </w:rPr>
        <w:t xml:space="preserve"> </w:t>
      </w:r>
      <w:r w:rsidRPr="001935D0">
        <w:rPr>
          <w:rFonts w:ascii="Times New Roman" w:hAnsi="Times New Roman" w:cs="Times New Roman"/>
          <w:sz w:val="28"/>
          <w:szCs w:val="28"/>
        </w:rPr>
        <w:t>аналитическое</w:t>
      </w:r>
      <w:r w:rsidRPr="001935D0">
        <w:rPr>
          <w:rFonts w:ascii="Times New Roman" w:hAnsi="Times New Roman" w:cs="Times New Roman"/>
          <w:sz w:val="28"/>
          <w:szCs w:val="28"/>
          <w:lang w:val="en-US"/>
        </w:rPr>
        <w:t xml:space="preserve"> </w:t>
      </w:r>
      <w:r w:rsidRPr="001935D0">
        <w:rPr>
          <w:rFonts w:ascii="Times New Roman" w:hAnsi="Times New Roman" w:cs="Times New Roman"/>
          <w:sz w:val="28"/>
          <w:szCs w:val="28"/>
        </w:rPr>
        <w:t>исследование</w:t>
      </w:r>
      <w:r w:rsidRPr="001935D0">
        <w:rPr>
          <w:rFonts w:ascii="Times New Roman" w:hAnsi="Times New Roman" w:cs="Times New Roman"/>
          <w:sz w:val="28"/>
          <w:szCs w:val="28"/>
          <w:lang w:val="en-US"/>
        </w:rPr>
        <w:t xml:space="preserve"> Rethinking and Reshaping the EU’s Democracy Support in its Eastern &amp; Southern Neighbourhood – SHAPEDEM-EU. </w:t>
      </w:r>
      <w:r w:rsidRPr="001935D0">
        <w:rPr>
          <w:rStyle w:val="Emphasis"/>
          <w:rFonts w:ascii="Times New Roman" w:hAnsi="Times New Roman" w:cs="Times New Roman"/>
          <w:sz w:val="28"/>
          <w:szCs w:val="28"/>
        </w:rPr>
        <w:t>The EU Pushes Back: A New Democracy Plan</w:t>
      </w:r>
      <w:r w:rsidRPr="001935D0">
        <w:rPr>
          <w:rFonts w:ascii="Times New Roman" w:hAnsi="Times New Roman" w:cs="Times New Roman"/>
          <w:sz w:val="28"/>
          <w:szCs w:val="28"/>
        </w:rPr>
        <w:t xml:space="preserve"> (2024)</w:t>
      </w:r>
      <w:r w:rsidRPr="001935D0">
        <w:rPr>
          <w:rStyle w:val="Strong"/>
          <w:rFonts w:ascii="Times New Roman" w:hAnsi="Times New Roman" w:cs="Times New Roman"/>
          <w:b w:val="0"/>
          <w:bCs w:val="0"/>
          <w:sz w:val="28"/>
          <w:szCs w:val="28"/>
        </w:rPr>
        <w:t xml:space="preserve"> [1</w:t>
      </w:r>
      <w:r w:rsidR="00FA02FB">
        <w:rPr>
          <w:rStyle w:val="Strong"/>
          <w:rFonts w:ascii="Times New Roman" w:hAnsi="Times New Roman" w:cs="Times New Roman"/>
          <w:b w:val="0"/>
          <w:bCs w:val="0"/>
          <w:sz w:val="28"/>
          <w:szCs w:val="28"/>
          <w:lang w:val="kk-KZ"/>
        </w:rPr>
        <w:t>17</w:t>
      </w:r>
      <w:r w:rsidRPr="001935D0">
        <w:rPr>
          <w:rStyle w:val="Strong"/>
          <w:rFonts w:ascii="Times New Roman" w:hAnsi="Times New Roman" w:cs="Times New Roman"/>
          <w:b w:val="0"/>
          <w:bCs w:val="0"/>
          <w:sz w:val="28"/>
          <w:szCs w:val="28"/>
        </w:rPr>
        <w:t>]</w:t>
      </w:r>
      <w:r w:rsidRPr="001935D0">
        <w:rPr>
          <w:rFonts w:ascii="Times New Roman" w:hAnsi="Times New Roman" w:cs="Times New Roman"/>
          <w:sz w:val="28"/>
          <w:szCs w:val="28"/>
        </w:rPr>
        <w:t xml:space="preserve">, данные меры позволяют Европейскому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оюзу сохранять стратегическое присутствие в условиях сужающегося пространства для гражданских свобод, включая Казахстан и другие государства Центральной Азии. ЕС демонстрирует гибкость, готовность учитывать локальный контекст и стремление укреплять </w:t>
      </w:r>
      <w:r w:rsidRPr="001935D0">
        <w:rPr>
          <w:rStyle w:val="Strong"/>
          <w:rFonts w:ascii="Times New Roman" w:hAnsi="Times New Roman" w:cs="Times New Roman"/>
          <w:b w:val="0"/>
          <w:bCs w:val="0"/>
          <w:sz w:val="28"/>
          <w:szCs w:val="28"/>
        </w:rPr>
        <w:t>гражданскую резистентность</w:t>
      </w:r>
      <w:r w:rsidRPr="001935D0">
        <w:rPr>
          <w:rFonts w:ascii="Times New Roman" w:hAnsi="Times New Roman" w:cs="Times New Roman"/>
          <w:sz w:val="28"/>
          <w:szCs w:val="28"/>
        </w:rPr>
        <w:t xml:space="preserve">, расширять </w:t>
      </w:r>
      <w:r w:rsidRPr="001935D0">
        <w:rPr>
          <w:rStyle w:val="Strong"/>
          <w:rFonts w:ascii="Times New Roman" w:hAnsi="Times New Roman" w:cs="Times New Roman"/>
          <w:b w:val="0"/>
          <w:bCs w:val="0"/>
          <w:sz w:val="28"/>
          <w:szCs w:val="28"/>
        </w:rPr>
        <w:t>участие граждан в принятии решений</w:t>
      </w:r>
      <w:r w:rsidRPr="001935D0">
        <w:rPr>
          <w:rFonts w:ascii="Times New Roman" w:hAnsi="Times New Roman" w:cs="Times New Roman"/>
          <w:sz w:val="28"/>
          <w:szCs w:val="28"/>
        </w:rPr>
        <w:t xml:space="preserve">, а также защищать </w:t>
      </w:r>
      <w:r w:rsidRPr="001935D0">
        <w:rPr>
          <w:rStyle w:val="Strong"/>
          <w:rFonts w:ascii="Times New Roman" w:hAnsi="Times New Roman" w:cs="Times New Roman"/>
          <w:b w:val="0"/>
          <w:bCs w:val="0"/>
          <w:sz w:val="28"/>
          <w:szCs w:val="28"/>
        </w:rPr>
        <w:t>правозащитные механизмы на институциональном уровне</w:t>
      </w:r>
      <w:r w:rsidRPr="001935D0">
        <w:rPr>
          <w:rFonts w:ascii="Times New Roman" w:hAnsi="Times New Roman" w:cs="Times New Roman"/>
          <w:sz w:val="28"/>
          <w:szCs w:val="28"/>
        </w:rPr>
        <w:t>.</w:t>
      </w:r>
    </w:p>
    <w:p w14:paraId="69B90806" w14:textId="0C7F5198"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Одним из центральных инструментов, обеспечивающих реализацию этих стратегических задач, выступает </w:t>
      </w:r>
      <w:r w:rsidRPr="001935D0">
        <w:rPr>
          <w:rStyle w:val="Strong"/>
          <w:rFonts w:ascii="Times New Roman" w:hAnsi="Times New Roman" w:cs="Times New Roman"/>
          <w:b w:val="0"/>
          <w:bCs w:val="0"/>
          <w:sz w:val="28"/>
          <w:szCs w:val="28"/>
        </w:rPr>
        <w:t>Инструмент соседства, развития и международного сотрудничества (Neighbourhood, Development and International Cooperation Instrument – NDICI) – «Глобальная Европа»</w:t>
      </w:r>
      <w:r w:rsidRPr="001935D0">
        <w:rPr>
          <w:rFonts w:ascii="Times New Roman" w:hAnsi="Times New Roman" w:cs="Times New Roman"/>
          <w:sz w:val="28"/>
          <w:szCs w:val="28"/>
        </w:rPr>
        <w:t xml:space="preserve">, утверждённый в 2021 году в рамках Многолетней финансовой перспективы ЕС на 2021–2027 гг. Общий бюджет NDICI составляет </w:t>
      </w:r>
      <w:r w:rsidRPr="001935D0">
        <w:rPr>
          <w:rStyle w:val="Strong"/>
          <w:rFonts w:ascii="Times New Roman" w:hAnsi="Times New Roman" w:cs="Times New Roman"/>
          <w:b w:val="0"/>
          <w:bCs w:val="0"/>
          <w:sz w:val="28"/>
          <w:szCs w:val="28"/>
        </w:rPr>
        <w:t>79,46 млрд</w:t>
      </w:r>
      <w:r w:rsidR="00FA02FB">
        <w:rPr>
          <w:rStyle w:val="Strong"/>
          <w:rFonts w:ascii="Times New Roman" w:hAnsi="Times New Roman" w:cs="Times New Roman"/>
          <w:b w:val="0"/>
          <w:bCs w:val="0"/>
          <w:sz w:val="28"/>
          <w:szCs w:val="28"/>
          <w:lang w:val="kk-KZ"/>
        </w:rPr>
        <w:t>.</w:t>
      </w:r>
      <w:r w:rsidRPr="001935D0">
        <w:rPr>
          <w:rStyle w:val="Strong"/>
          <w:rFonts w:ascii="Times New Roman" w:hAnsi="Times New Roman" w:cs="Times New Roman"/>
          <w:b w:val="0"/>
          <w:bCs w:val="0"/>
          <w:sz w:val="28"/>
          <w:szCs w:val="28"/>
        </w:rPr>
        <w:t xml:space="preserve"> евро</w:t>
      </w:r>
      <w:r w:rsidRPr="001935D0">
        <w:rPr>
          <w:rFonts w:ascii="Times New Roman" w:hAnsi="Times New Roman" w:cs="Times New Roman"/>
          <w:sz w:val="28"/>
          <w:szCs w:val="28"/>
        </w:rPr>
        <w:t xml:space="preserve">, что отражает приоритетность тематики прав человека, устойчивого развития и демократии в современной внешней политике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[11</w:t>
      </w:r>
      <w:r w:rsidR="00FA02FB">
        <w:rPr>
          <w:rFonts w:ascii="Times New Roman" w:hAnsi="Times New Roman" w:cs="Times New Roman"/>
          <w:sz w:val="28"/>
          <w:szCs w:val="28"/>
          <w:lang w:val="kk-KZ"/>
        </w:rPr>
        <w:t>5</w:t>
      </w:r>
      <w:r w:rsidRPr="001935D0">
        <w:rPr>
          <w:rFonts w:ascii="Times New Roman" w:hAnsi="Times New Roman" w:cs="Times New Roman"/>
          <w:sz w:val="28"/>
          <w:szCs w:val="28"/>
        </w:rPr>
        <w:t>].</w:t>
      </w:r>
    </w:p>
    <w:p w14:paraId="7A75BBA6" w14:textId="77777777" w:rsidR="00E94B29" w:rsidRPr="001935D0" w:rsidRDefault="00E94B29" w:rsidP="00E569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Создание NDICI стало результатом </w:t>
      </w:r>
      <w:r w:rsidRPr="001935D0">
        <w:rPr>
          <w:rStyle w:val="Strong"/>
          <w:rFonts w:ascii="Times New Roman" w:hAnsi="Times New Roman" w:cs="Times New Roman"/>
          <w:b w:val="0"/>
          <w:bCs w:val="0"/>
          <w:sz w:val="28"/>
          <w:szCs w:val="28"/>
        </w:rPr>
        <w:t>консолидации прежних внешнеполитических механизмов</w:t>
      </w:r>
      <w:r w:rsidRPr="001935D0">
        <w:rPr>
          <w:rFonts w:ascii="Times New Roman" w:hAnsi="Times New Roman" w:cs="Times New Roman"/>
          <w:sz w:val="28"/>
          <w:szCs w:val="28"/>
        </w:rPr>
        <w:t xml:space="preserve">, включая Европейский фонд развития, Инструмент европейского соседства и Инструмент содействия демократии и правам человека. Такая интеграция способствовала </w:t>
      </w:r>
      <w:r w:rsidRPr="001935D0">
        <w:rPr>
          <w:rStyle w:val="Strong"/>
          <w:rFonts w:ascii="Times New Roman" w:hAnsi="Times New Roman" w:cs="Times New Roman"/>
          <w:b w:val="0"/>
          <w:bCs w:val="0"/>
          <w:sz w:val="28"/>
          <w:szCs w:val="28"/>
        </w:rPr>
        <w:t>упрощению институциональной архитектуры</w:t>
      </w:r>
      <w:r w:rsidRPr="001935D0">
        <w:rPr>
          <w:rFonts w:ascii="Times New Roman" w:hAnsi="Times New Roman" w:cs="Times New Roman"/>
          <w:sz w:val="28"/>
          <w:szCs w:val="28"/>
        </w:rPr>
        <w:t xml:space="preserve">, </w:t>
      </w:r>
      <w:r w:rsidRPr="001935D0">
        <w:rPr>
          <w:rStyle w:val="Strong"/>
          <w:rFonts w:ascii="Times New Roman" w:hAnsi="Times New Roman" w:cs="Times New Roman"/>
          <w:b w:val="0"/>
          <w:bCs w:val="0"/>
          <w:sz w:val="28"/>
          <w:szCs w:val="28"/>
        </w:rPr>
        <w:t>повышению согласованности действий</w:t>
      </w:r>
      <w:r w:rsidRPr="001935D0">
        <w:rPr>
          <w:rFonts w:ascii="Times New Roman" w:hAnsi="Times New Roman" w:cs="Times New Roman"/>
          <w:sz w:val="28"/>
          <w:szCs w:val="28"/>
        </w:rPr>
        <w:t xml:space="preserve"> и </w:t>
      </w:r>
      <w:r w:rsidRPr="001935D0">
        <w:rPr>
          <w:rStyle w:val="Strong"/>
          <w:rFonts w:ascii="Times New Roman" w:hAnsi="Times New Roman" w:cs="Times New Roman"/>
          <w:b w:val="0"/>
          <w:bCs w:val="0"/>
          <w:sz w:val="28"/>
          <w:szCs w:val="28"/>
        </w:rPr>
        <w:t>усилению операционной эффективности</w:t>
      </w:r>
      <w:r w:rsidRPr="001935D0">
        <w:rPr>
          <w:rFonts w:ascii="Times New Roman" w:hAnsi="Times New Roman" w:cs="Times New Roman"/>
          <w:sz w:val="28"/>
          <w:szCs w:val="28"/>
        </w:rPr>
        <w:t xml:space="preserve"> в области защиты прав человека, </w:t>
      </w:r>
      <w:r w:rsidRPr="001935D0">
        <w:rPr>
          <w:rFonts w:ascii="Times New Roman" w:hAnsi="Times New Roman" w:cs="Times New Roman"/>
          <w:sz w:val="28"/>
          <w:szCs w:val="28"/>
        </w:rPr>
        <w:lastRenderedPageBreak/>
        <w:t>поддержки гражданского общества и устойчивого институционального развития в странах-партнёрах ЕС, включая Центральную Азию (таблица 2.17).</w:t>
      </w:r>
    </w:p>
    <w:p w14:paraId="11ACB79C" w14:textId="77777777" w:rsidR="00E94B29" w:rsidRPr="001935D0" w:rsidRDefault="00E94B29" w:rsidP="00593711">
      <w:pPr>
        <w:pStyle w:val="NoSpacing"/>
        <w:ind w:firstLine="567"/>
        <w:jc w:val="both"/>
        <w:rPr>
          <w:rFonts w:ascii="Times New Roman" w:hAnsi="Times New Roman" w:cs="Times New Roman"/>
          <w:sz w:val="28"/>
          <w:szCs w:val="28"/>
        </w:rPr>
      </w:pPr>
    </w:p>
    <w:p w14:paraId="2A0C8928" w14:textId="61FAF9E9" w:rsidR="00E94B29" w:rsidRDefault="00E94B29" w:rsidP="00E569B8">
      <w:pPr>
        <w:pStyle w:val="NoSpacing"/>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Таблица</w:t>
      </w:r>
      <w:r w:rsidR="00E569B8">
        <w:rPr>
          <w:rFonts w:ascii="Times New Roman" w:hAnsi="Times New Roman" w:cs="Times New Roman"/>
          <w:sz w:val="28"/>
          <w:szCs w:val="28"/>
          <w:lang w:eastAsia="ru-RU"/>
        </w:rPr>
        <w:t xml:space="preserve"> 2.17</w:t>
      </w:r>
      <w:r w:rsidRPr="001935D0">
        <w:rPr>
          <w:rFonts w:ascii="Times New Roman" w:hAnsi="Times New Roman" w:cs="Times New Roman"/>
          <w:sz w:val="28"/>
          <w:szCs w:val="28"/>
          <w:lang w:eastAsia="ru-RU"/>
        </w:rPr>
        <w:t xml:space="preserve"> </w:t>
      </w:r>
      <w:r w:rsidR="00E569B8">
        <w:rPr>
          <w:rFonts w:ascii="Times New Roman" w:hAnsi="Times New Roman" w:cs="Times New Roman"/>
          <w:sz w:val="28"/>
          <w:szCs w:val="28"/>
          <w:lang w:eastAsia="ru-RU"/>
        </w:rPr>
        <w:t>‒</w:t>
      </w:r>
      <w:r w:rsidR="00E569B8">
        <w:rPr>
          <w:rFonts w:ascii="Times New Roman" w:hAnsi="Times New Roman" w:cs="Times New Roman"/>
          <w:sz w:val="28"/>
          <w:szCs w:val="28"/>
          <w:lang w:val="kk-KZ" w:eastAsia="ru-RU"/>
        </w:rPr>
        <w:t xml:space="preserve"> </w:t>
      </w:r>
      <w:r w:rsidRPr="001935D0">
        <w:rPr>
          <w:rFonts w:ascii="Times New Roman" w:hAnsi="Times New Roman" w:cs="Times New Roman"/>
          <w:sz w:val="28"/>
          <w:szCs w:val="28"/>
          <w:lang w:eastAsia="ru-RU"/>
        </w:rPr>
        <w:t>Компоненты NDICI и приоритеты в области прав человека</w:t>
      </w:r>
    </w:p>
    <w:p w14:paraId="74525DAC" w14:textId="77777777" w:rsidR="00E569B8" w:rsidRPr="00E569B8" w:rsidRDefault="00E569B8" w:rsidP="00E569B8">
      <w:pPr>
        <w:pStyle w:val="NoSpacing"/>
        <w:jc w:val="both"/>
        <w:rPr>
          <w:rFonts w:ascii="Times New Roman" w:hAnsi="Times New Roman" w:cs="Times New Roman"/>
          <w:sz w:val="16"/>
          <w:szCs w:val="16"/>
          <w:lang w:val="kk-KZ" w:eastAsia="ru-RU"/>
        </w:rPr>
      </w:pPr>
    </w:p>
    <w:tbl>
      <w:tblPr>
        <w:tblStyle w:val="TableGrid"/>
        <w:tblW w:w="9493" w:type="dxa"/>
        <w:jc w:val="center"/>
        <w:tblLayout w:type="fixed"/>
        <w:tblLook w:val="04A0" w:firstRow="1" w:lastRow="0" w:firstColumn="1" w:lastColumn="0" w:noHBand="0" w:noVBand="1"/>
      </w:tblPr>
      <w:tblGrid>
        <w:gridCol w:w="1838"/>
        <w:gridCol w:w="3969"/>
        <w:gridCol w:w="3686"/>
      </w:tblGrid>
      <w:tr w:rsidR="00E94B29" w:rsidRPr="001935D0" w14:paraId="77AA2933" w14:textId="77777777" w:rsidTr="00E569B8">
        <w:trPr>
          <w:jc w:val="center"/>
        </w:trPr>
        <w:tc>
          <w:tcPr>
            <w:tcW w:w="1838" w:type="dxa"/>
            <w:vAlign w:val="center"/>
          </w:tcPr>
          <w:p w14:paraId="3DF680D3" w14:textId="77777777" w:rsidR="00E94B29" w:rsidRPr="001935D0" w:rsidRDefault="00E94B29" w:rsidP="00AE60C9">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Компонент</w:t>
            </w:r>
          </w:p>
        </w:tc>
        <w:tc>
          <w:tcPr>
            <w:tcW w:w="3969" w:type="dxa"/>
            <w:vAlign w:val="center"/>
          </w:tcPr>
          <w:p w14:paraId="34B8E875" w14:textId="77777777" w:rsidR="00E94B29" w:rsidRPr="001935D0" w:rsidRDefault="00E94B29" w:rsidP="00AE60C9">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Содержание и приоритеты</w:t>
            </w:r>
          </w:p>
        </w:tc>
        <w:tc>
          <w:tcPr>
            <w:tcW w:w="3686" w:type="dxa"/>
            <w:vAlign w:val="center"/>
          </w:tcPr>
          <w:p w14:paraId="34BAA71F" w14:textId="77777777" w:rsidR="00E94B29" w:rsidRPr="001935D0" w:rsidRDefault="00E94B29" w:rsidP="00AE60C9">
            <w:pPr>
              <w:pStyle w:val="NoSpacing"/>
              <w:jc w:val="center"/>
              <w:rPr>
                <w:rFonts w:ascii="Times New Roman" w:hAnsi="Times New Roman" w:cs="Times New Roman"/>
                <w:sz w:val="24"/>
                <w:szCs w:val="24"/>
              </w:rPr>
            </w:pPr>
            <w:r w:rsidRPr="001935D0">
              <w:rPr>
                <w:rFonts w:ascii="Times New Roman" w:hAnsi="Times New Roman" w:cs="Times New Roman"/>
                <w:sz w:val="24"/>
                <w:szCs w:val="24"/>
              </w:rPr>
              <w:t>Релевантность к правам человека</w:t>
            </w:r>
          </w:p>
        </w:tc>
      </w:tr>
      <w:tr w:rsidR="00E94B29" w:rsidRPr="001935D0" w14:paraId="1673DF48" w14:textId="77777777" w:rsidTr="00E569B8">
        <w:trPr>
          <w:jc w:val="center"/>
        </w:trPr>
        <w:tc>
          <w:tcPr>
            <w:tcW w:w="1838" w:type="dxa"/>
            <w:vAlign w:val="center"/>
          </w:tcPr>
          <w:p w14:paraId="55FB7AAB" w14:textId="6D4423BA" w:rsidR="00E94B29" w:rsidRPr="001935D0" w:rsidRDefault="00E94B29" w:rsidP="00AE60C9">
            <w:pPr>
              <w:pStyle w:val="NoSpacing"/>
              <w:spacing w:line="228" w:lineRule="auto"/>
              <w:rPr>
                <w:rFonts w:ascii="Times New Roman" w:hAnsi="Times New Roman" w:cs="Times New Roman"/>
                <w:sz w:val="24"/>
                <w:szCs w:val="24"/>
              </w:rPr>
            </w:pPr>
            <w:r w:rsidRPr="001935D0">
              <w:rPr>
                <w:rFonts w:ascii="Times New Roman" w:hAnsi="Times New Roman" w:cs="Times New Roman"/>
                <w:sz w:val="24"/>
                <w:szCs w:val="24"/>
              </w:rPr>
              <w:t>Географичес</w:t>
            </w:r>
            <w:r w:rsidR="00AE60C9">
              <w:rPr>
                <w:rFonts w:ascii="Times New Roman" w:hAnsi="Times New Roman" w:cs="Times New Roman"/>
                <w:sz w:val="24"/>
                <w:szCs w:val="24"/>
                <w:lang w:val="kk-KZ"/>
              </w:rPr>
              <w:t xml:space="preserve"> </w:t>
            </w:r>
            <w:r w:rsidRPr="001935D0">
              <w:rPr>
                <w:rFonts w:ascii="Times New Roman" w:hAnsi="Times New Roman" w:cs="Times New Roman"/>
                <w:sz w:val="24"/>
                <w:szCs w:val="24"/>
              </w:rPr>
              <w:t>кий компонент</w:t>
            </w:r>
          </w:p>
        </w:tc>
        <w:tc>
          <w:tcPr>
            <w:tcW w:w="3969" w:type="dxa"/>
            <w:vAlign w:val="center"/>
          </w:tcPr>
          <w:p w14:paraId="2B9DD6C0" w14:textId="5A63DE9D" w:rsidR="00E94B29" w:rsidRPr="001935D0" w:rsidRDefault="00E94B29" w:rsidP="00AE60C9">
            <w:pPr>
              <w:pStyle w:val="NoSpacing"/>
              <w:spacing w:line="228" w:lineRule="auto"/>
              <w:jc w:val="both"/>
              <w:rPr>
                <w:rFonts w:ascii="Times New Roman" w:hAnsi="Times New Roman" w:cs="Times New Roman"/>
                <w:sz w:val="24"/>
                <w:szCs w:val="24"/>
              </w:rPr>
            </w:pPr>
            <w:r w:rsidRPr="001935D0">
              <w:rPr>
                <w:rFonts w:ascii="Times New Roman" w:hAnsi="Times New Roman" w:cs="Times New Roman"/>
                <w:sz w:val="24"/>
                <w:szCs w:val="24"/>
              </w:rPr>
              <w:t>Поддержка реформ, диалога и институтов в странах соседства, Аф</w:t>
            </w:r>
            <w:r w:rsidR="00AE60C9">
              <w:rPr>
                <w:rFonts w:ascii="Times New Roman" w:hAnsi="Times New Roman" w:cs="Times New Roman"/>
                <w:sz w:val="24"/>
                <w:szCs w:val="24"/>
                <w:lang w:val="kk-KZ"/>
              </w:rPr>
              <w:t xml:space="preserve"> </w:t>
            </w:r>
            <w:r w:rsidRPr="001935D0">
              <w:rPr>
                <w:rFonts w:ascii="Times New Roman" w:hAnsi="Times New Roman" w:cs="Times New Roman"/>
                <w:sz w:val="24"/>
                <w:szCs w:val="24"/>
              </w:rPr>
              <w:t>рики, Азии и Латинской Америки</w:t>
            </w:r>
          </w:p>
        </w:tc>
        <w:tc>
          <w:tcPr>
            <w:tcW w:w="3686" w:type="dxa"/>
            <w:vAlign w:val="center"/>
          </w:tcPr>
          <w:p w14:paraId="61445B6A" w14:textId="77777777" w:rsidR="00E94B29" w:rsidRPr="001935D0" w:rsidRDefault="00E94B29" w:rsidP="00AE60C9">
            <w:pPr>
              <w:pStyle w:val="NoSpacing"/>
              <w:spacing w:line="228" w:lineRule="auto"/>
              <w:jc w:val="both"/>
              <w:rPr>
                <w:rFonts w:ascii="Times New Roman" w:hAnsi="Times New Roman" w:cs="Times New Roman"/>
                <w:sz w:val="24"/>
                <w:szCs w:val="24"/>
              </w:rPr>
            </w:pPr>
            <w:r w:rsidRPr="001935D0">
              <w:rPr>
                <w:rFonts w:ascii="Times New Roman" w:hAnsi="Times New Roman" w:cs="Times New Roman"/>
                <w:sz w:val="24"/>
                <w:szCs w:val="24"/>
              </w:rPr>
              <w:t>Укрепление верховенства права, участие в выборах, развитие демократического управления</w:t>
            </w:r>
          </w:p>
        </w:tc>
      </w:tr>
      <w:tr w:rsidR="00E94B29" w:rsidRPr="001935D0" w14:paraId="5E70C974" w14:textId="77777777" w:rsidTr="00AE60C9">
        <w:trPr>
          <w:jc w:val="center"/>
        </w:trPr>
        <w:tc>
          <w:tcPr>
            <w:tcW w:w="1838" w:type="dxa"/>
            <w:tcBorders>
              <w:bottom w:val="nil"/>
            </w:tcBorders>
            <w:vAlign w:val="center"/>
          </w:tcPr>
          <w:p w14:paraId="7649849A" w14:textId="77777777" w:rsidR="00E94B29" w:rsidRPr="001935D0" w:rsidRDefault="00E94B29" w:rsidP="00AE60C9">
            <w:pPr>
              <w:pStyle w:val="NoSpacing"/>
              <w:spacing w:line="228" w:lineRule="auto"/>
              <w:rPr>
                <w:rFonts w:ascii="Times New Roman" w:hAnsi="Times New Roman" w:cs="Times New Roman"/>
                <w:sz w:val="24"/>
                <w:szCs w:val="24"/>
              </w:rPr>
            </w:pPr>
            <w:r w:rsidRPr="001935D0">
              <w:rPr>
                <w:rFonts w:ascii="Times New Roman" w:hAnsi="Times New Roman" w:cs="Times New Roman"/>
                <w:sz w:val="24"/>
                <w:szCs w:val="24"/>
              </w:rPr>
              <w:t>Тематический компонент</w:t>
            </w:r>
          </w:p>
        </w:tc>
        <w:tc>
          <w:tcPr>
            <w:tcW w:w="3969" w:type="dxa"/>
            <w:tcBorders>
              <w:bottom w:val="nil"/>
            </w:tcBorders>
            <w:vAlign w:val="center"/>
          </w:tcPr>
          <w:p w14:paraId="7D70F1AA" w14:textId="4AF0A149" w:rsidR="00E94B29" w:rsidRPr="001935D0" w:rsidRDefault="00E94B29" w:rsidP="00AE60C9">
            <w:pPr>
              <w:pStyle w:val="NoSpacing"/>
              <w:spacing w:line="228" w:lineRule="auto"/>
              <w:jc w:val="both"/>
              <w:rPr>
                <w:rFonts w:ascii="Times New Roman" w:hAnsi="Times New Roman" w:cs="Times New Roman"/>
                <w:sz w:val="24"/>
                <w:szCs w:val="24"/>
              </w:rPr>
            </w:pPr>
            <w:r w:rsidRPr="001935D0">
              <w:rPr>
                <w:rFonts w:ascii="Times New Roman" w:hAnsi="Times New Roman" w:cs="Times New Roman"/>
                <w:sz w:val="24"/>
                <w:szCs w:val="24"/>
              </w:rPr>
              <w:t>Программы по правам человека, гендерному равенству, цифрови</w:t>
            </w:r>
            <w:r w:rsidR="00AE60C9" w:rsidRPr="001935D0">
              <w:rPr>
                <w:rFonts w:ascii="Times New Roman" w:hAnsi="Times New Roman" w:cs="Times New Roman"/>
                <w:sz w:val="24"/>
                <w:szCs w:val="24"/>
              </w:rPr>
              <w:t>за</w:t>
            </w:r>
            <w:r w:rsidR="00AE60C9">
              <w:rPr>
                <w:rFonts w:ascii="Times New Roman" w:hAnsi="Times New Roman" w:cs="Times New Roman"/>
                <w:sz w:val="24"/>
                <w:szCs w:val="24"/>
                <w:lang w:val="kk-KZ"/>
              </w:rPr>
              <w:t xml:space="preserve"> </w:t>
            </w:r>
            <w:r w:rsidR="00AE60C9" w:rsidRPr="001935D0">
              <w:rPr>
                <w:rFonts w:ascii="Times New Roman" w:hAnsi="Times New Roman" w:cs="Times New Roman"/>
                <w:sz w:val="24"/>
                <w:szCs w:val="24"/>
              </w:rPr>
              <w:t>ции, культуре, климату</w:t>
            </w:r>
          </w:p>
        </w:tc>
        <w:tc>
          <w:tcPr>
            <w:tcW w:w="3686" w:type="dxa"/>
            <w:tcBorders>
              <w:bottom w:val="nil"/>
            </w:tcBorders>
            <w:vAlign w:val="center"/>
          </w:tcPr>
          <w:p w14:paraId="70F41259" w14:textId="2039770F" w:rsidR="00E94B29" w:rsidRPr="001935D0" w:rsidRDefault="00E94B29" w:rsidP="00AE60C9">
            <w:pPr>
              <w:pStyle w:val="NoSpacing"/>
              <w:spacing w:line="228" w:lineRule="auto"/>
              <w:jc w:val="both"/>
              <w:rPr>
                <w:rFonts w:ascii="Times New Roman" w:hAnsi="Times New Roman" w:cs="Times New Roman"/>
                <w:sz w:val="24"/>
                <w:szCs w:val="24"/>
              </w:rPr>
            </w:pPr>
            <w:r w:rsidRPr="001935D0">
              <w:rPr>
                <w:rFonts w:ascii="Times New Roman" w:hAnsi="Times New Roman" w:cs="Times New Roman"/>
                <w:sz w:val="24"/>
                <w:szCs w:val="24"/>
              </w:rPr>
              <w:t>Поддержка НКО, правозащитни</w:t>
            </w:r>
            <w:r w:rsidR="00AE60C9">
              <w:rPr>
                <w:rFonts w:ascii="Times New Roman" w:hAnsi="Times New Roman" w:cs="Times New Roman"/>
                <w:sz w:val="24"/>
                <w:szCs w:val="24"/>
                <w:lang w:val="kk-KZ"/>
              </w:rPr>
              <w:t xml:space="preserve"> </w:t>
            </w:r>
            <w:r w:rsidRPr="001935D0">
              <w:rPr>
                <w:rFonts w:ascii="Times New Roman" w:hAnsi="Times New Roman" w:cs="Times New Roman"/>
                <w:sz w:val="24"/>
                <w:szCs w:val="24"/>
              </w:rPr>
              <w:t xml:space="preserve">ков, инклюзивного </w:t>
            </w:r>
            <w:r w:rsidR="00AE60C9" w:rsidRPr="001935D0">
              <w:rPr>
                <w:rFonts w:ascii="Times New Roman" w:hAnsi="Times New Roman" w:cs="Times New Roman"/>
                <w:sz w:val="24"/>
                <w:szCs w:val="24"/>
              </w:rPr>
              <w:t>управления, цифровой этики и прав меньшинств</w:t>
            </w:r>
          </w:p>
        </w:tc>
      </w:tr>
      <w:tr w:rsidR="00E94B29" w:rsidRPr="001935D0" w14:paraId="5C3BF019" w14:textId="77777777" w:rsidTr="00E569B8">
        <w:trPr>
          <w:jc w:val="center"/>
        </w:trPr>
        <w:tc>
          <w:tcPr>
            <w:tcW w:w="1838" w:type="dxa"/>
            <w:vAlign w:val="center"/>
          </w:tcPr>
          <w:p w14:paraId="27ED615A"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Инструмент быстрого реагирования</w:t>
            </w:r>
          </w:p>
        </w:tc>
        <w:tc>
          <w:tcPr>
            <w:tcW w:w="3969" w:type="dxa"/>
            <w:vAlign w:val="center"/>
          </w:tcPr>
          <w:p w14:paraId="58BC76FC"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Экстренные меры в условиях кризисов, конфликтов, репрессий, угроз свободе выражения</w:t>
            </w:r>
          </w:p>
        </w:tc>
        <w:tc>
          <w:tcPr>
            <w:tcW w:w="3686" w:type="dxa"/>
            <w:vAlign w:val="center"/>
          </w:tcPr>
          <w:p w14:paraId="512D91B7" w14:textId="6163FB5F"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Защита прав человека в острых ситуациях, мониторинг наруше</w:t>
            </w:r>
            <w:r w:rsidR="00AE60C9">
              <w:rPr>
                <w:rFonts w:ascii="Times New Roman" w:hAnsi="Times New Roman" w:cs="Times New Roman"/>
                <w:sz w:val="24"/>
                <w:szCs w:val="24"/>
                <w:lang w:val="kk-KZ"/>
              </w:rPr>
              <w:t xml:space="preserve"> </w:t>
            </w:r>
            <w:r w:rsidRPr="001935D0">
              <w:rPr>
                <w:rFonts w:ascii="Times New Roman" w:hAnsi="Times New Roman" w:cs="Times New Roman"/>
                <w:sz w:val="24"/>
                <w:szCs w:val="24"/>
              </w:rPr>
              <w:t>ний, реагирование на репрес</w:t>
            </w:r>
            <w:r w:rsidR="00AE60C9">
              <w:rPr>
                <w:rFonts w:ascii="Times New Roman" w:hAnsi="Times New Roman" w:cs="Times New Roman"/>
                <w:sz w:val="24"/>
                <w:szCs w:val="24"/>
                <w:lang w:val="kk-KZ"/>
              </w:rPr>
              <w:t xml:space="preserve"> </w:t>
            </w:r>
            <w:r w:rsidRPr="001935D0">
              <w:rPr>
                <w:rFonts w:ascii="Times New Roman" w:hAnsi="Times New Roman" w:cs="Times New Roman"/>
                <w:sz w:val="24"/>
                <w:szCs w:val="24"/>
              </w:rPr>
              <w:t>сивные практики</w:t>
            </w:r>
          </w:p>
        </w:tc>
      </w:tr>
      <w:tr w:rsidR="00E94B29" w:rsidRPr="001935D0" w14:paraId="3267DCC8" w14:textId="77777777" w:rsidTr="00E569B8">
        <w:trPr>
          <w:jc w:val="center"/>
        </w:trPr>
        <w:tc>
          <w:tcPr>
            <w:tcW w:w="1838" w:type="dxa"/>
            <w:vAlign w:val="center"/>
          </w:tcPr>
          <w:p w14:paraId="0276C807"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Гарантийный механизм EFSD+</w:t>
            </w:r>
          </w:p>
        </w:tc>
        <w:tc>
          <w:tcPr>
            <w:tcW w:w="3969" w:type="dxa"/>
            <w:vAlign w:val="center"/>
          </w:tcPr>
          <w:p w14:paraId="21E458F6" w14:textId="6D0DEAE3"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Финансовые гарантии и инвестиции на устойчивое развитие (до 53,45 млрд</w:t>
            </w:r>
            <w:r w:rsidR="00FA02FB">
              <w:rPr>
                <w:rFonts w:ascii="Times New Roman" w:hAnsi="Times New Roman" w:cs="Times New Roman"/>
                <w:sz w:val="24"/>
                <w:szCs w:val="24"/>
                <w:lang w:val="kk-KZ"/>
              </w:rPr>
              <w:t>.</w:t>
            </w:r>
            <w:r w:rsidRPr="001935D0">
              <w:rPr>
                <w:rFonts w:ascii="Times New Roman" w:hAnsi="Times New Roman" w:cs="Times New Roman"/>
                <w:sz w:val="24"/>
                <w:szCs w:val="24"/>
              </w:rPr>
              <w:t xml:space="preserve"> евро)</w:t>
            </w:r>
          </w:p>
        </w:tc>
        <w:tc>
          <w:tcPr>
            <w:tcW w:w="3686" w:type="dxa"/>
            <w:vAlign w:val="center"/>
          </w:tcPr>
          <w:p w14:paraId="5035937C" w14:textId="53AF4A12"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Продвижение социальной ответ</w:t>
            </w:r>
            <w:r w:rsidR="00AE60C9">
              <w:rPr>
                <w:rFonts w:ascii="Times New Roman" w:hAnsi="Times New Roman" w:cs="Times New Roman"/>
                <w:sz w:val="24"/>
                <w:szCs w:val="24"/>
                <w:lang w:val="kk-KZ"/>
              </w:rPr>
              <w:t xml:space="preserve"> </w:t>
            </w:r>
            <w:r w:rsidRPr="001935D0">
              <w:rPr>
                <w:rFonts w:ascii="Times New Roman" w:hAnsi="Times New Roman" w:cs="Times New Roman"/>
                <w:sz w:val="24"/>
                <w:szCs w:val="24"/>
              </w:rPr>
              <w:t>ственности, корпоративной этики, прав трудящихся и партнёрского развития</w:t>
            </w:r>
          </w:p>
        </w:tc>
      </w:tr>
      <w:tr w:rsidR="00E569B8" w:rsidRPr="001935D0" w14:paraId="707C7CC4" w14:textId="77777777" w:rsidTr="00634764">
        <w:trPr>
          <w:jc w:val="center"/>
        </w:trPr>
        <w:tc>
          <w:tcPr>
            <w:tcW w:w="9493" w:type="dxa"/>
            <w:gridSpan w:val="3"/>
            <w:vAlign w:val="center"/>
          </w:tcPr>
          <w:p w14:paraId="68B7DBEA" w14:textId="7B404E6F" w:rsidR="00E569B8" w:rsidRPr="001935D0" w:rsidRDefault="00E569B8" w:rsidP="00FA02FB">
            <w:pPr>
              <w:pStyle w:val="NoSpacing"/>
              <w:ind w:firstLine="52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источника </w:t>
            </w:r>
            <w:r w:rsidRPr="001935D0">
              <w:rPr>
                <w:rFonts w:ascii="Times New Roman" w:hAnsi="Times New Roman" w:cs="Times New Roman"/>
                <w:sz w:val="24"/>
                <w:szCs w:val="24"/>
              </w:rPr>
              <w:t>[11</w:t>
            </w:r>
            <w:r w:rsidR="00FA02FB">
              <w:rPr>
                <w:rFonts w:ascii="Times New Roman" w:hAnsi="Times New Roman" w:cs="Times New Roman"/>
                <w:sz w:val="24"/>
                <w:szCs w:val="24"/>
                <w:lang w:val="kk-KZ"/>
              </w:rPr>
              <w:t>5</w:t>
            </w:r>
            <w:r w:rsidRPr="001935D0">
              <w:rPr>
                <w:rFonts w:ascii="Times New Roman" w:hAnsi="Times New Roman" w:cs="Times New Roman"/>
                <w:sz w:val="24"/>
                <w:szCs w:val="24"/>
              </w:rPr>
              <w:t>]</w:t>
            </w:r>
          </w:p>
        </w:tc>
      </w:tr>
    </w:tbl>
    <w:p w14:paraId="06B97739" w14:textId="77777777" w:rsidR="00AE60C9" w:rsidRPr="00AE60C9" w:rsidRDefault="00AE60C9" w:rsidP="00E569B8">
      <w:pPr>
        <w:pStyle w:val="NoSpacing"/>
        <w:ind w:firstLine="709"/>
        <w:jc w:val="both"/>
        <w:rPr>
          <w:rFonts w:ascii="Times New Roman" w:hAnsi="Times New Roman" w:cs="Times New Roman"/>
          <w:sz w:val="28"/>
          <w:szCs w:val="28"/>
          <w:lang w:val="kk-KZ"/>
        </w:rPr>
      </w:pPr>
    </w:p>
    <w:p w14:paraId="0ED393B1" w14:textId="5D9331F1" w:rsidR="00E94B29" w:rsidRDefault="00E94B29" w:rsidP="00593711">
      <w:pPr>
        <w:pStyle w:val="NoSpacing"/>
        <w:rPr>
          <w:rFonts w:ascii="Times New Roman" w:hAnsi="Times New Roman" w:cs="Times New Roman"/>
          <w:lang w:val="kk-KZ"/>
        </w:rPr>
      </w:pPr>
      <w:r w:rsidRPr="001935D0">
        <w:rPr>
          <w:rFonts w:ascii="Times New Roman" w:hAnsi="Times New Roman" w:cs="Times New Roman"/>
          <w:noProof/>
          <w:lang w:eastAsia="ru-RU"/>
        </w:rPr>
        <mc:AlternateContent>
          <mc:Choice Requires="wps">
            <w:drawing>
              <wp:anchor distT="0" distB="0" distL="114300" distR="114300" simplePos="0" relativeHeight="251671552" behindDoc="0" locked="0" layoutInCell="1" allowOverlap="1" wp14:anchorId="188B3856" wp14:editId="2FFCEFD8">
                <wp:simplePos x="0" y="0"/>
                <wp:positionH relativeFrom="column">
                  <wp:posOffset>4618281</wp:posOffset>
                </wp:positionH>
                <wp:positionV relativeFrom="paragraph">
                  <wp:posOffset>1725980</wp:posOffset>
                </wp:positionV>
                <wp:extent cx="1173480" cy="0"/>
                <wp:effectExtent l="0" t="0" r="26670"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1173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E4C0A22" id="Прямая соединительная линия 2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65pt,135.9pt" to="456.05pt,1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" strokecolor="black [3200]" strokeweight=".5pt">
                <v:stroke joinstyle="miter"/>
              </v:line>
            </w:pict>
          </mc:Fallback>
        </mc:AlternateContent>
      </w:r>
      <w:r w:rsidRPr="001935D0">
        <w:rPr>
          <w:rFonts w:ascii="Times New Roman" w:hAnsi="Times New Roman" w:cs="Times New Roman"/>
          <w:noProof/>
          <w:lang w:eastAsia="ru-RU"/>
        </w:rPr>
        <mc:AlternateContent>
          <mc:Choice Requires="wps">
            <w:drawing>
              <wp:anchor distT="0" distB="0" distL="114300" distR="114300" simplePos="0" relativeHeight="251669504" behindDoc="0" locked="0" layoutInCell="1" allowOverlap="1" wp14:anchorId="1589F894" wp14:editId="691207B3">
                <wp:simplePos x="0" y="0"/>
                <wp:positionH relativeFrom="column">
                  <wp:posOffset>253291</wp:posOffset>
                </wp:positionH>
                <wp:positionV relativeFrom="paragraph">
                  <wp:posOffset>1763654</wp:posOffset>
                </wp:positionV>
                <wp:extent cx="1173480" cy="0"/>
                <wp:effectExtent l="0" t="0" r="2667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1173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2D285F2" id="Прямая соединительная линия 2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5pt,138.85pt" to="112.35pt,1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" strokecolor="black [3200]" strokeweight=".5pt">
                <v:stroke joinstyle="miter"/>
              </v:line>
            </w:pict>
          </mc:Fallback>
        </mc:AlternateContent>
      </w:r>
      <w:r w:rsidRPr="001935D0">
        <w:rPr>
          <w:rFonts w:ascii="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73BE583C" wp14:editId="684BD973">
                <wp:simplePos x="0" y="0"/>
                <wp:positionH relativeFrom="margin">
                  <wp:posOffset>2210373</wp:posOffset>
                </wp:positionH>
                <wp:positionV relativeFrom="paragraph">
                  <wp:posOffset>1666277</wp:posOffset>
                </wp:positionV>
                <wp:extent cx="1173480" cy="0"/>
                <wp:effectExtent l="0" t="0" r="2667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1173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5C9F4B6" id="Прямая соединительная линия 25"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4.05pt,131.2pt" to="266.45pt,1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" strokecolor="black [3200]" strokeweight=".5pt">
                <v:stroke joinstyle="miter"/>
                <w10:wrap anchorx="margin"/>
              </v:line>
            </w:pict>
          </mc:Fallback>
        </mc:AlternateContent>
      </w:r>
      <w:r w:rsidRPr="001935D0">
        <w:rPr>
          <w:rFonts w:ascii="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40E20118" wp14:editId="3950DA46">
                <wp:simplePos x="0" y="0"/>
                <wp:positionH relativeFrom="column">
                  <wp:posOffset>949448</wp:posOffset>
                </wp:positionH>
                <wp:positionV relativeFrom="paragraph">
                  <wp:posOffset>2988254</wp:posOffset>
                </wp:positionV>
                <wp:extent cx="1478280" cy="0"/>
                <wp:effectExtent l="0" t="0" r="26670" b="19050"/>
                <wp:wrapNone/>
                <wp:docPr id="26" name="Прямая соединительная линия 26"/>
                <wp:cNvGraphicFramePr/>
                <a:graphic xmlns:a="http://schemas.openxmlformats.org/drawingml/2006/main">
                  <a:graphicData uri="http://schemas.microsoft.com/office/word/2010/wordprocessingShape">
                    <wps:wsp>
                      <wps:cNvCnPr/>
                      <wps:spPr>
                        <a:xfrm flipV="1">
                          <a:off x="0" y="0"/>
                          <a:ext cx="1478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1B655D7" id="Прямая соединительная линия 2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75pt,235.3pt" to="191.15pt,2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" strokecolor="black [3200]" strokeweight=".5pt">
                <v:stroke joinstyle="miter"/>
              </v:line>
            </w:pict>
          </mc:Fallback>
        </mc:AlternateContent>
      </w:r>
      <w:r w:rsidRPr="001935D0">
        <w:rPr>
          <w:rFonts w:ascii="Times New Roman" w:hAnsi="Times New Roman" w:cs="Times New Roman"/>
          <w:noProof/>
          <w:lang w:eastAsia="ru-RU"/>
        </w:rPr>
        <mc:AlternateContent>
          <mc:Choice Requires="wps">
            <w:drawing>
              <wp:anchor distT="0" distB="0" distL="114300" distR="114300" simplePos="0" relativeHeight="251673600" behindDoc="0" locked="0" layoutInCell="1" allowOverlap="1" wp14:anchorId="6DD28020" wp14:editId="3F8A3D84">
                <wp:simplePos x="0" y="0"/>
                <wp:positionH relativeFrom="column">
                  <wp:posOffset>3858753</wp:posOffset>
                </wp:positionH>
                <wp:positionV relativeFrom="paragraph">
                  <wp:posOffset>2853073</wp:posOffset>
                </wp:positionV>
                <wp:extent cx="1478280" cy="0"/>
                <wp:effectExtent l="0" t="0" r="26670" b="19050"/>
                <wp:wrapNone/>
                <wp:docPr id="27" name="Прямая соединительная линия 27"/>
                <wp:cNvGraphicFramePr/>
                <a:graphic xmlns:a="http://schemas.openxmlformats.org/drawingml/2006/main">
                  <a:graphicData uri="http://schemas.microsoft.com/office/word/2010/wordprocessingShape">
                    <wps:wsp>
                      <wps:cNvCnPr/>
                      <wps:spPr>
                        <a:xfrm flipV="1">
                          <a:off x="0" y="0"/>
                          <a:ext cx="1478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6D0A0D4" id="Прямая соединительная линия 27"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85pt,224.65pt" to="420.25pt,2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" strokecolor="black [3200]" strokeweight=".5pt">
                <v:stroke joinstyle="miter"/>
              </v:line>
            </w:pict>
          </mc:Fallback>
        </mc:AlternateContent>
      </w:r>
      <w:r w:rsidRPr="001935D0">
        <w:rPr>
          <w:rFonts w:ascii="Times New Roman" w:hAnsi="Times New Roman" w:cs="Times New Roman"/>
          <w:noProof/>
          <w:lang w:eastAsia="ru-RU"/>
        </w:rPr>
        <w:drawing>
          <wp:inline distT="0" distB="0" distL="0" distR="0" wp14:anchorId="3566CE64" wp14:editId="4A2737C4">
            <wp:extent cx="6035040" cy="3634740"/>
            <wp:effectExtent l="76200" t="0" r="22860" b="0"/>
            <wp:docPr id="36" name="Схема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14:paraId="72EFDF49" w14:textId="77777777" w:rsidR="00AE60C9" w:rsidRPr="00AE60C9" w:rsidRDefault="00AE60C9" w:rsidP="00593711">
      <w:pPr>
        <w:pStyle w:val="NoSpacing"/>
        <w:rPr>
          <w:rFonts w:ascii="Times New Roman" w:hAnsi="Times New Roman" w:cs="Times New Roman"/>
          <w:sz w:val="16"/>
          <w:szCs w:val="16"/>
          <w:lang w:val="kk-KZ"/>
        </w:rPr>
      </w:pPr>
    </w:p>
    <w:p w14:paraId="65D5A7F8" w14:textId="0C3427C8" w:rsidR="00E94B29" w:rsidRPr="001935D0" w:rsidRDefault="00E94B29" w:rsidP="00593711">
      <w:pPr>
        <w:pStyle w:val="NoSpacing"/>
        <w:jc w:val="center"/>
        <w:rPr>
          <w:rFonts w:ascii="Times New Roman" w:hAnsi="Times New Roman" w:cs="Times New Roman"/>
          <w:sz w:val="28"/>
          <w:szCs w:val="28"/>
        </w:rPr>
      </w:pPr>
      <w:r w:rsidRPr="001935D0">
        <w:rPr>
          <w:rFonts w:ascii="Times New Roman" w:hAnsi="Times New Roman" w:cs="Times New Roman"/>
          <w:sz w:val="28"/>
          <w:szCs w:val="28"/>
        </w:rPr>
        <w:t>Рис</w:t>
      </w:r>
      <w:r w:rsidR="00AE60C9">
        <w:rPr>
          <w:rFonts w:ascii="Times New Roman" w:hAnsi="Times New Roman" w:cs="Times New Roman"/>
          <w:sz w:val="28"/>
          <w:szCs w:val="28"/>
          <w:lang w:val="kk-KZ"/>
        </w:rPr>
        <w:t>унок</w:t>
      </w:r>
      <w:r w:rsidRPr="001935D0">
        <w:rPr>
          <w:rFonts w:ascii="Times New Roman" w:hAnsi="Times New Roman" w:cs="Times New Roman"/>
          <w:sz w:val="28"/>
          <w:szCs w:val="28"/>
        </w:rPr>
        <w:t xml:space="preserve"> 2.9 </w:t>
      </w:r>
      <w:r w:rsidR="00AE60C9">
        <w:rPr>
          <w:rFonts w:ascii="Times New Roman" w:hAnsi="Times New Roman" w:cs="Times New Roman"/>
          <w:sz w:val="28"/>
          <w:szCs w:val="28"/>
          <w:lang w:val="kk-KZ"/>
        </w:rPr>
        <w:t xml:space="preserve">– </w:t>
      </w:r>
      <w:r w:rsidRPr="001935D0">
        <w:rPr>
          <w:rFonts w:ascii="Times New Roman" w:hAnsi="Times New Roman" w:cs="Times New Roman"/>
          <w:sz w:val="28"/>
          <w:szCs w:val="28"/>
        </w:rPr>
        <w:t>Горизонтальные приоритеты NDICI – «Глобальная Европа» (2021–2027)</w:t>
      </w:r>
    </w:p>
    <w:p w14:paraId="47E6DCFA" w14:textId="77777777" w:rsidR="00AE60C9" w:rsidRPr="00AE60C9" w:rsidRDefault="00AE60C9" w:rsidP="00593711">
      <w:pPr>
        <w:pStyle w:val="NoSpacing"/>
        <w:jc w:val="both"/>
        <w:rPr>
          <w:rFonts w:ascii="Times New Roman" w:hAnsi="Times New Roman" w:cs="Times New Roman"/>
          <w:sz w:val="16"/>
          <w:szCs w:val="16"/>
          <w:lang w:val="kk-KZ"/>
        </w:rPr>
      </w:pPr>
    </w:p>
    <w:p w14:paraId="33A24193" w14:textId="77777777" w:rsidR="009D7580" w:rsidRPr="001935D0" w:rsidRDefault="009D7580" w:rsidP="009D7580">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[11</w:t>
      </w:r>
      <w:r>
        <w:rPr>
          <w:rFonts w:ascii="Times New Roman" w:hAnsi="Times New Roman" w:cs="Times New Roman"/>
          <w:sz w:val="24"/>
          <w:szCs w:val="24"/>
          <w:lang w:val="kk-KZ"/>
        </w:rPr>
        <w:t>5;</w:t>
      </w:r>
      <w:r w:rsidRPr="001935D0">
        <w:rPr>
          <w:rFonts w:ascii="Times New Roman" w:hAnsi="Times New Roman" w:cs="Times New Roman"/>
          <w:sz w:val="24"/>
          <w:szCs w:val="24"/>
        </w:rPr>
        <w:t xml:space="preserve"> 1</w:t>
      </w:r>
      <w:r>
        <w:rPr>
          <w:rFonts w:ascii="Times New Roman" w:hAnsi="Times New Roman" w:cs="Times New Roman"/>
          <w:sz w:val="24"/>
          <w:szCs w:val="24"/>
          <w:lang w:val="kk-KZ"/>
        </w:rPr>
        <w:t>18</w:t>
      </w:r>
      <w:r w:rsidRPr="001935D0">
        <w:rPr>
          <w:rFonts w:ascii="Times New Roman" w:hAnsi="Times New Roman" w:cs="Times New Roman"/>
          <w:sz w:val="24"/>
          <w:szCs w:val="24"/>
        </w:rPr>
        <w:t>]</w:t>
      </w:r>
    </w:p>
    <w:p w14:paraId="342369A0" w14:textId="77777777" w:rsidR="00E94B29" w:rsidRPr="009D7580" w:rsidRDefault="00E94B29" w:rsidP="00593711">
      <w:pPr>
        <w:pStyle w:val="NoSpacing"/>
        <w:jc w:val="center"/>
        <w:rPr>
          <w:rFonts w:ascii="Times New Roman" w:hAnsi="Times New Roman" w:cs="Times New Roman"/>
          <w:sz w:val="28"/>
          <w:szCs w:val="28"/>
        </w:rPr>
      </w:pPr>
    </w:p>
    <w:p w14:paraId="25CF76F8" w14:textId="4507F320" w:rsidR="00423585" w:rsidRDefault="00423585" w:rsidP="00423585">
      <w:pPr>
        <w:pStyle w:val="NoSpacing"/>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соответствии с рисунком 2.9 </w:t>
      </w:r>
      <w:r w:rsidRPr="001935D0">
        <w:rPr>
          <w:rFonts w:ascii="Times New Roman" w:hAnsi="Times New Roman" w:cs="Times New Roman"/>
          <w:sz w:val="28"/>
          <w:szCs w:val="28"/>
        </w:rPr>
        <w:t xml:space="preserve">помимо основных компонентов, NDICI включает инновационные горизонтальные механизмы, позволяющие </w:t>
      </w:r>
      <w:r w:rsidRPr="001935D0">
        <w:rPr>
          <w:rFonts w:ascii="Times New Roman" w:hAnsi="Times New Roman" w:cs="Times New Roman"/>
          <w:sz w:val="28"/>
          <w:szCs w:val="28"/>
        </w:rPr>
        <w:lastRenderedPageBreak/>
        <w:t>реализовывать права человека как сквозной приоритет во всех направлениях внешней деятельности ЕС.</w:t>
      </w:r>
    </w:p>
    <w:p w14:paraId="4D97EAF4" w14:textId="79ED9A80"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Инструмент NDICI – «Глобальная Европа» отражает трансверсальный подход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к вопросам прав человека, демократии и устойчивого развития, встраивая эти принципы во все направления внешнеполитического сотрудничества [1</w:t>
      </w:r>
      <w:r w:rsidR="00FA02FB">
        <w:rPr>
          <w:rFonts w:ascii="Times New Roman" w:hAnsi="Times New Roman" w:cs="Times New Roman"/>
          <w:sz w:val="28"/>
          <w:szCs w:val="28"/>
          <w:lang w:val="kk-KZ"/>
        </w:rPr>
        <w:t>18</w:t>
      </w:r>
      <w:r w:rsidRPr="001935D0">
        <w:rPr>
          <w:rFonts w:ascii="Times New Roman" w:hAnsi="Times New Roman" w:cs="Times New Roman"/>
          <w:sz w:val="28"/>
          <w:szCs w:val="28"/>
        </w:rPr>
        <w:t>]. Его архитектура предусматривает ряд ключевых приоритетов, каждый из которых играет стратегическую роль в реализации комплексной повестки ЕС.</w:t>
      </w:r>
    </w:p>
    <w:p w14:paraId="581D6596" w14:textId="13D32CB1"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 около 20% совокупного бюджета направлено на развитие человеческого капитала – прежде всего в сферах образования, здравоохранения и социальной защиты, что способствует укреплению социальной устойчивости в странах-партнёрах. Более 30% ассигнований ориентированы на климатическую устойчивость, включая поддержку «зелёного курса» и реализацию обязательств по Парижскому соглашению. Не менее 10% финансирования предназначено для совершенствования политики в области миграции и управления мобильностью населения [1</w:t>
      </w:r>
      <w:r w:rsidR="00FA02FB">
        <w:rPr>
          <w:rFonts w:ascii="Times New Roman" w:hAnsi="Times New Roman" w:cs="Times New Roman"/>
          <w:sz w:val="28"/>
          <w:szCs w:val="28"/>
          <w:lang w:val="kk-KZ"/>
        </w:rPr>
        <w:t>18</w:t>
      </w:r>
      <w:r w:rsidRPr="001935D0">
        <w:rPr>
          <w:rFonts w:ascii="Times New Roman" w:hAnsi="Times New Roman" w:cs="Times New Roman"/>
          <w:sz w:val="28"/>
          <w:szCs w:val="28"/>
        </w:rPr>
        <w:t>].</w:t>
      </w:r>
    </w:p>
    <w:p w14:paraId="7ACF0840" w14:textId="5CE71536"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Особое значение придаётся обеспечению гендерного равенства: ориентировочно 85% проектов включают соответствующие принципы в процесс планирования и реализации. Кроме того, до 93% всех средств классифицируются как официальная помощь развитию (Official Development Assistance), что обеспечивает соответствие международным стандартам эффективности, транспарентности и подотчётности, установленным Комитетом по содействию развитию ОЭСР [1</w:t>
      </w:r>
      <w:r w:rsidR="00FA02FB">
        <w:rPr>
          <w:rFonts w:ascii="Times New Roman" w:hAnsi="Times New Roman" w:cs="Times New Roman"/>
          <w:sz w:val="28"/>
          <w:szCs w:val="28"/>
          <w:lang w:val="kk-KZ"/>
        </w:rPr>
        <w:t>19</w:t>
      </w:r>
      <w:r w:rsidRPr="001935D0">
        <w:rPr>
          <w:rFonts w:ascii="Times New Roman" w:hAnsi="Times New Roman" w:cs="Times New Roman"/>
          <w:sz w:val="28"/>
          <w:szCs w:val="28"/>
        </w:rPr>
        <w:t>]</w:t>
      </w:r>
      <w:r w:rsidRPr="001935D0">
        <w:rPr>
          <w:rFonts w:ascii="Times New Roman" w:hAnsi="Times New Roman" w:cs="Times New Roman"/>
        </w:rPr>
        <w:t>.</w:t>
      </w:r>
    </w:p>
    <w:p w14:paraId="737C7A81" w14:textId="77777777"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NDICI функционирует не только как финансовый инструмент, но и как институциональная опора правозащитной стратегии ЕС, обеспечивая её гибкость, результативность и способность к быстрой адаптации. Благодаря этому он служит эффективным механизмом поддержки демократии и прав человека в глобальном контексте.</w:t>
      </w:r>
    </w:p>
    <w:p w14:paraId="09749F6D" w14:textId="0B8A756A"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Особенно актуальной реализация NDICI становится в отношении стран Центральной Азии, включая Казахстан, где процессы демократического реформирования сопровождаются институциональной нестабильностью и потребностью в устойчивой поддержке гражданских инициатив. В таких условиях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выстраивает модель ответственного партнёрства, в рамках которой права человека рассматриваются как интегральная часть более широкой стратегии устойчивого развития, цифровой трансформации и инклюзивного управления.</w:t>
      </w:r>
    </w:p>
    <w:p w14:paraId="5A14D61D" w14:textId="77777777"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Таким образом, правозащитная практика ЕС в регионе основывается на стратегическом соединении демократических принципов с социально-экономическими преобразованиями и институциональным развитием. Универсальность подхода при этом сочетается с возможностью его адаптации к местному контексту, что делает NDICI значимым ресурсом для формирования партнёрских и устойчивых правозащитных политик в Центральной Азии.</w:t>
      </w:r>
    </w:p>
    <w:p w14:paraId="6C66F53E" w14:textId="43D289DA"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Комплексность взаимодействия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с государствами Центральной Азии, включая Казахстан, обусловлена не только рамочными соглашениями и стратегическими декларациями, но и характером социальных, </w:t>
      </w:r>
      <w:r w:rsidRPr="001935D0">
        <w:rPr>
          <w:rFonts w:ascii="Times New Roman" w:hAnsi="Times New Roman" w:cs="Times New Roman"/>
          <w:sz w:val="28"/>
          <w:szCs w:val="28"/>
        </w:rPr>
        <w:lastRenderedPageBreak/>
        <w:t>институциональных и культурных условий, в которых осуществляется реализация внешнеполитических приоритетов. Учитывая региональную специфику и исторически сложившиеся модели государственного управления, особую значимость приобретает анализ восприятия и практической реализации правозащитных инициатив на уровне гражданского общества, экспертных сообществ и образовательных структур.</w:t>
      </w:r>
    </w:p>
    <w:p w14:paraId="44DB3C24" w14:textId="090C303B" w:rsidR="00E94B29" w:rsidRPr="001935D0" w:rsidRDefault="004A3405" w:rsidP="00AE60C9">
      <w:pPr>
        <w:pStyle w:val="NoSpacing"/>
        <w:ind w:firstLine="709"/>
        <w:jc w:val="both"/>
        <w:rPr>
          <w:rFonts w:ascii="Times New Roman" w:hAnsi="Times New Roman" w:cs="Times New Roman"/>
          <w:sz w:val="28"/>
          <w:szCs w:val="28"/>
        </w:rPr>
      </w:pPr>
      <w:r>
        <w:rPr>
          <w:rFonts w:ascii="Times New Roman" w:hAnsi="Times New Roman" w:cs="Times New Roman"/>
          <w:sz w:val="28"/>
          <w:szCs w:val="28"/>
        </w:rPr>
        <w:t>П</w:t>
      </w:r>
      <w:r w:rsidR="00E94B29" w:rsidRPr="001935D0">
        <w:rPr>
          <w:rFonts w:ascii="Times New Roman" w:hAnsi="Times New Roman" w:cs="Times New Roman"/>
          <w:sz w:val="28"/>
          <w:szCs w:val="28"/>
        </w:rPr>
        <w:t xml:space="preserve">. </w:t>
      </w:r>
      <w:r>
        <w:rPr>
          <w:rFonts w:ascii="Times New Roman" w:hAnsi="Times New Roman" w:cs="Times New Roman"/>
          <w:sz w:val="28"/>
          <w:szCs w:val="28"/>
        </w:rPr>
        <w:t>Чаней</w:t>
      </w:r>
      <w:r w:rsidR="00811F16">
        <w:rPr>
          <w:rFonts w:ascii="Times New Roman" w:hAnsi="Times New Roman" w:cs="Times New Roman"/>
          <w:sz w:val="28"/>
          <w:szCs w:val="28"/>
          <w:lang w:val="kk-KZ"/>
        </w:rPr>
        <w:t xml:space="preserve"> </w:t>
      </w:r>
      <w:r w:rsidR="00E94B29" w:rsidRPr="001935D0">
        <w:rPr>
          <w:rFonts w:ascii="Times New Roman" w:hAnsi="Times New Roman" w:cs="Times New Roman"/>
          <w:sz w:val="28"/>
          <w:szCs w:val="28"/>
        </w:rPr>
        <w:t>[12</w:t>
      </w:r>
      <w:r w:rsidR="00FA02FB">
        <w:rPr>
          <w:rFonts w:ascii="Times New Roman" w:hAnsi="Times New Roman" w:cs="Times New Roman"/>
          <w:sz w:val="28"/>
          <w:szCs w:val="28"/>
          <w:lang w:val="kk-KZ"/>
        </w:rPr>
        <w:t>0, р. 734-758</w:t>
      </w:r>
      <w:r w:rsidR="00E94B29" w:rsidRPr="001935D0">
        <w:rPr>
          <w:rFonts w:ascii="Times New Roman" w:hAnsi="Times New Roman" w:cs="Times New Roman"/>
          <w:sz w:val="28"/>
          <w:szCs w:val="28"/>
        </w:rPr>
        <w:t>] в своём исследовании, посвящённом реализации Конвенции ООН о правах инвалидов на пространстве Содружества Независимых Государств, указывает на неоднородность участия гражданского общества, зависящую от политического контекста. В частности, в условиях авторитарных режимов, таких как Казахстан, наблюдается инструментализация неправительственных организаций, что ослабляет их независимость и снижает эффективность правозащитной деятельности. Отмечается, что формальные шаги по имплементации международных обязательств часто носят декларативный характер, а взаимодействие между государственными структурами и гражданским сектором остаётся фрагментарным. J. Wouters</w:t>
      </w:r>
      <w:r w:rsidR="00E94B29" w:rsidRPr="001935D0">
        <w:rPr>
          <w:rFonts w:ascii="Times New Roman" w:hAnsi="Times New Roman" w:cs="Times New Roman"/>
        </w:rPr>
        <w:t xml:space="preserve"> </w:t>
      </w:r>
      <w:r w:rsidR="00E94B29" w:rsidRPr="00AE60C9">
        <w:rPr>
          <w:rFonts w:ascii="Times New Roman" w:hAnsi="Times New Roman" w:cs="Times New Roman"/>
          <w:sz w:val="28"/>
          <w:szCs w:val="28"/>
        </w:rPr>
        <w:t>et al.</w:t>
      </w:r>
      <w:r w:rsidR="00E94B29" w:rsidRPr="001935D0">
        <w:rPr>
          <w:rFonts w:ascii="Times New Roman" w:hAnsi="Times New Roman" w:cs="Times New Roman"/>
          <w:sz w:val="28"/>
          <w:szCs w:val="28"/>
        </w:rPr>
        <w:t xml:space="preserve"> [12</w:t>
      </w:r>
      <w:r w:rsidR="00FA02FB">
        <w:rPr>
          <w:rFonts w:ascii="Times New Roman" w:hAnsi="Times New Roman" w:cs="Times New Roman"/>
          <w:sz w:val="28"/>
          <w:szCs w:val="28"/>
          <w:lang w:val="kk-KZ"/>
        </w:rPr>
        <w:t>1</w:t>
      </w:r>
      <w:r w:rsidR="00E94B29" w:rsidRPr="001935D0">
        <w:rPr>
          <w:rFonts w:ascii="Times New Roman" w:hAnsi="Times New Roman" w:cs="Times New Roman"/>
          <w:sz w:val="28"/>
          <w:szCs w:val="28"/>
        </w:rPr>
        <w:t>] акцентируют внимание на важности развития межпарламентского взаимодействия в рамках ЕС как инструмента повышения согласованности правозащитной политики. Их подход может быть адаптирован и применён во внешней политике Союза, включая взаимодействие с Казахстаном через механизмы, предусмотренные Соглашением о расширенном партнёрстве и сотрудничестве.</w:t>
      </w:r>
    </w:p>
    <w:p w14:paraId="299F0B38" w14:textId="0131E8E8" w:rsidR="00E94B29" w:rsidRPr="001935D0" w:rsidRDefault="00811F16" w:rsidP="00AE60C9">
      <w:pPr>
        <w:pStyle w:val="NoSpacing"/>
        <w:ind w:firstLine="709"/>
        <w:jc w:val="both"/>
        <w:rPr>
          <w:rFonts w:ascii="Times New Roman" w:hAnsi="Times New Roman" w:cs="Times New Roman"/>
          <w:sz w:val="28"/>
          <w:szCs w:val="28"/>
        </w:rPr>
      </w:pPr>
      <w:r w:rsidRPr="00811F16">
        <w:rPr>
          <w:rFonts w:ascii="Times New Roman" w:hAnsi="Times New Roman" w:cs="Times New Roman"/>
          <w:sz w:val="28"/>
          <w:szCs w:val="28"/>
        </w:rPr>
        <w:t>К. Роллан</w:t>
      </w:r>
      <w:r w:rsidR="00AE60C9">
        <w:rPr>
          <w:rFonts w:ascii="Times New Roman" w:hAnsi="Times New Roman" w:cs="Times New Roman"/>
          <w:sz w:val="28"/>
          <w:szCs w:val="28"/>
          <w:lang w:val="kk-KZ"/>
        </w:rPr>
        <w:t>,</w:t>
      </w:r>
      <w:r w:rsidR="00E94B29" w:rsidRPr="001935D0">
        <w:rPr>
          <w:rFonts w:ascii="Times New Roman" w:hAnsi="Times New Roman" w:cs="Times New Roman"/>
          <w:sz w:val="28"/>
          <w:szCs w:val="28"/>
        </w:rPr>
        <w:t xml:space="preserve"> </w:t>
      </w:r>
      <w:r w:rsidRPr="00811F16">
        <w:rPr>
          <w:rFonts w:ascii="Times New Roman" w:hAnsi="Times New Roman" w:cs="Times New Roman"/>
          <w:sz w:val="28"/>
          <w:szCs w:val="28"/>
        </w:rPr>
        <w:t>М. Сомертон (</w:t>
      </w:r>
      <w:r w:rsidR="00E94B29" w:rsidRPr="001935D0">
        <w:rPr>
          <w:rFonts w:ascii="Times New Roman" w:hAnsi="Times New Roman" w:cs="Times New Roman"/>
          <w:sz w:val="28"/>
          <w:szCs w:val="28"/>
        </w:rPr>
        <w:t xml:space="preserve"> [12</w:t>
      </w:r>
      <w:r w:rsidR="00FA02FB">
        <w:rPr>
          <w:rFonts w:ascii="Times New Roman" w:hAnsi="Times New Roman" w:cs="Times New Roman"/>
          <w:sz w:val="28"/>
          <w:szCs w:val="28"/>
          <w:lang w:val="kk-KZ"/>
        </w:rPr>
        <w:t>2, р. 19-23</w:t>
      </w:r>
      <w:r w:rsidR="00E94B29" w:rsidRPr="001935D0">
        <w:rPr>
          <w:rFonts w:ascii="Times New Roman" w:hAnsi="Times New Roman" w:cs="Times New Roman"/>
          <w:sz w:val="28"/>
          <w:szCs w:val="28"/>
        </w:rPr>
        <w:t>] анализируют процессы реформирования инклюзивного образования в Казахстане, инициированные представителями гражданского общества. Несмотря на ограниченные ресурсы и институциональные барьеры, локальные инициативы демонстрируют способность формировать устойчивые практики социального участия. Авторы подчёркивают, что даже в условиях авторитарного контекста возможны формы конструктивного диалога, способствующие политическим изменениям на уровне сообществ.</w:t>
      </w:r>
    </w:p>
    <w:p w14:paraId="557E2A86" w14:textId="175477FD"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E. </w:t>
      </w:r>
      <w:r w:rsidR="00811F16" w:rsidRPr="00811F16">
        <w:rPr>
          <w:rFonts w:ascii="Times New Roman" w:hAnsi="Times New Roman" w:cs="Times New Roman"/>
          <w:sz w:val="28"/>
          <w:szCs w:val="28"/>
        </w:rPr>
        <w:t>Джураев</w:t>
      </w:r>
      <w:r w:rsidR="00AE60C9">
        <w:rPr>
          <w:rFonts w:ascii="Times New Roman" w:hAnsi="Times New Roman" w:cs="Times New Roman"/>
          <w:sz w:val="28"/>
          <w:szCs w:val="28"/>
          <w:lang w:val="kk-KZ"/>
        </w:rPr>
        <w:t>,</w:t>
      </w:r>
      <w:r w:rsidR="00FA02FB">
        <w:rPr>
          <w:rFonts w:ascii="Times New Roman" w:hAnsi="Times New Roman" w:cs="Times New Roman"/>
          <w:sz w:val="28"/>
          <w:szCs w:val="28"/>
        </w:rPr>
        <w:t xml:space="preserve"> </w:t>
      </w:r>
      <w:r w:rsidR="00811F16" w:rsidRPr="00811F16">
        <w:rPr>
          <w:rFonts w:ascii="Times New Roman" w:hAnsi="Times New Roman" w:cs="Times New Roman"/>
          <w:sz w:val="28"/>
          <w:szCs w:val="28"/>
        </w:rPr>
        <w:t xml:space="preserve">Н. Мураталиева </w:t>
      </w:r>
      <w:r w:rsidR="00FA02FB">
        <w:rPr>
          <w:rFonts w:ascii="Times New Roman" w:hAnsi="Times New Roman" w:cs="Times New Roman"/>
          <w:sz w:val="28"/>
          <w:szCs w:val="28"/>
        </w:rPr>
        <w:t>[12</w:t>
      </w:r>
      <w:r w:rsidR="00FA02FB">
        <w:rPr>
          <w:rFonts w:ascii="Times New Roman" w:hAnsi="Times New Roman" w:cs="Times New Roman"/>
          <w:sz w:val="28"/>
          <w:szCs w:val="28"/>
          <w:lang w:val="kk-KZ"/>
        </w:rPr>
        <w:t>3</w:t>
      </w:r>
      <w:r w:rsidRPr="001935D0">
        <w:rPr>
          <w:rFonts w:ascii="Times New Roman" w:hAnsi="Times New Roman" w:cs="Times New Roman"/>
          <w:sz w:val="28"/>
          <w:szCs w:val="28"/>
        </w:rPr>
        <w:t xml:space="preserve">] в своём исследовании анализируют условия успешной реализации обновлённой Стратегии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в Центральной Азии, принятой в 2019 году. Подчёркивается, что ключевым фактором эффективности стратегии станет способность ЕС сбалансировать ценностный подход, ориентированный на права человека, с прагматичными интересами в сферах безопасности, энергетики и миграции. Авторы также выделяют необходимость углубления партнёрства с местными элитами и расширения участия гражданского общества, особенно в условиях становления или эрозии демократических институтов. Внимание уделяется новым акцентам європейской политики – инклюзивности и устойчивости как основам устойчивого взаимодействия.</w:t>
      </w:r>
    </w:p>
    <w:p w14:paraId="643245F2" w14:textId="517E849C" w:rsidR="00E94B29" w:rsidRPr="001935D0" w:rsidRDefault="00811F16" w:rsidP="00AE60C9">
      <w:pPr>
        <w:pStyle w:val="NoSpacing"/>
        <w:ind w:firstLine="709"/>
        <w:jc w:val="both"/>
        <w:rPr>
          <w:rFonts w:ascii="Times New Roman" w:hAnsi="Times New Roman" w:cs="Times New Roman"/>
          <w:sz w:val="28"/>
          <w:szCs w:val="28"/>
        </w:rPr>
      </w:pPr>
      <w:r w:rsidRPr="00811F16">
        <w:rPr>
          <w:rFonts w:ascii="Times New Roman" w:hAnsi="Times New Roman" w:cs="Times New Roman"/>
          <w:sz w:val="28"/>
          <w:szCs w:val="28"/>
        </w:rPr>
        <w:t xml:space="preserve">Х. Уильямсон </w:t>
      </w:r>
      <w:r w:rsidR="00E94B29" w:rsidRPr="001935D0">
        <w:rPr>
          <w:rFonts w:ascii="Times New Roman" w:hAnsi="Times New Roman" w:cs="Times New Roman"/>
          <w:sz w:val="28"/>
          <w:szCs w:val="28"/>
        </w:rPr>
        <w:t>[12</w:t>
      </w:r>
      <w:r w:rsidR="00FA02FB">
        <w:rPr>
          <w:rFonts w:ascii="Times New Roman" w:hAnsi="Times New Roman" w:cs="Times New Roman"/>
          <w:sz w:val="28"/>
          <w:szCs w:val="28"/>
          <w:lang w:val="kk-KZ"/>
        </w:rPr>
        <w:t>4</w:t>
      </w:r>
      <w:r w:rsidR="00E94B29" w:rsidRPr="001935D0">
        <w:rPr>
          <w:rFonts w:ascii="Times New Roman" w:hAnsi="Times New Roman" w:cs="Times New Roman"/>
          <w:sz w:val="28"/>
          <w:szCs w:val="28"/>
        </w:rPr>
        <w:t xml:space="preserve">] в аналитической статье, подготовленной в рамках деятельности Human Rights Watch, указывает на амбивалентность включения государств Центральной Азии, включая Казахстан, в Совет ООН по правам человека. Хотя это формально предоставляет новые возможности для </w:t>
      </w:r>
      <w:r w:rsidR="00E94B29" w:rsidRPr="001935D0">
        <w:rPr>
          <w:rFonts w:ascii="Times New Roman" w:hAnsi="Times New Roman" w:cs="Times New Roman"/>
          <w:sz w:val="28"/>
          <w:szCs w:val="28"/>
        </w:rPr>
        <w:lastRenderedPageBreak/>
        <w:t>продвижения реформ, авторитарные правительства зачастую используют международные площадки для внешней легитимации, продолжая практики внутреннего давления на гражданское общество. Уильямсон акцентирует необходимость активного использования дипломатических и правовых механизмов со стороны ЕС и международных НПО для обеспечения подотчётности и защиты базовых свобод.</w:t>
      </w:r>
    </w:p>
    <w:p w14:paraId="77B24AFF" w14:textId="513EE503" w:rsidR="00E94B29" w:rsidRPr="001935D0" w:rsidRDefault="00811F16" w:rsidP="00AE60C9">
      <w:pPr>
        <w:pStyle w:val="NoSpacing"/>
        <w:ind w:firstLine="709"/>
        <w:jc w:val="both"/>
        <w:rPr>
          <w:rFonts w:ascii="Times New Roman" w:hAnsi="Times New Roman" w:cs="Times New Roman"/>
          <w:sz w:val="28"/>
          <w:szCs w:val="28"/>
        </w:rPr>
      </w:pPr>
      <w:r w:rsidRPr="00811F16">
        <w:rPr>
          <w:rFonts w:ascii="Times New Roman" w:hAnsi="Times New Roman" w:cs="Times New Roman"/>
          <w:sz w:val="28"/>
          <w:szCs w:val="28"/>
        </w:rPr>
        <w:t xml:space="preserve">В. Аксёнова </w:t>
      </w:r>
      <w:r w:rsidR="00E94B29" w:rsidRPr="001935D0">
        <w:rPr>
          <w:rFonts w:ascii="Times New Roman" w:hAnsi="Times New Roman" w:cs="Times New Roman"/>
          <w:sz w:val="28"/>
          <w:szCs w:val="28"/>
        </w:rPr>
        <w:t>[12</w:t>
      </w:r>
      <w:r w:rsidR="00FA02FB">
        <w:rPr>
          <w:rFonts w:ascii="Times New Roman" w:hAnsi="Times New Roman" w:cs="Times New Roman"/>
          <w:sz w:val="28"/>
          <w:szCs w:val="28"/>
          <w:lang w:val="kk-KZ"/>
        </w:rPr>
        <w:t>5</w:t>
      </w:r>
      <w:r w:rsidR="00E94B29" w:rsidRPr="001935D0">
        <w:rPr>
          <w:rFonts w:ascii="Times New Roman" w:hAnsi="Times New Roman" w:cs="Times New Roman"/>
          <w:sz w:val="28"/>
          <w:szCs w:val="28"/>
        </w:rPr>
        <w:t xml:space="preserve">] даёт критическую оценку еволюции подходов Европейского </w:t>
      </w:r>
      <w:r w:rsidR="007C324F" w:rsidRPr="001935D0">
        <w:rPr>
          <w:rFonts w:ascii="Times New Roman" w:hAnsi="Times New Roman" w:cs="Times New Roman"/>
          <w:sz w:val="28"/>
          <w:szCs w:val="28"/>
          <w:lang w:val="uk-UA"/>
        </w:rPr>
        <w:t>С</w:t>
      </w:r>
      <w:r w:rsidR="00E94B29" w:rsidRPr="001935D0">
        <w:rPr>
          <w:rFonts w:ascii="Times New Roman" w:hAnsi="Times New Roman" w:cs="Times New Roman"/>
          <w:sz w:val="28"/>
          <w:szCs w:val="28"/>
        </w:rPr>
        <w:t>оюза в сфере прав человека в регионе. В её работе прослеживается переход от политики «мягкой силы» и диалога к институциональной фрагментации и стратегической непоследовательности. Несмотря на декларации о приоритетности прав человека, в практической плоскости ЕС нередко отдаёт предпочтение прагматическим интересам, прежде всего в энергетической и безопастностной сферах. Отмечается также ограниченность включения местных НПО в диалог с европейскими структурами, что снижает восприятие легитимности проводимой политики внутри самих стран региона.</w:t>
      </w:r>
    </w:p>
    <w:p w14:paraId="0DF42308" w14:textId="307D4973"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Продвижение прав человека как универсальной ценности остаётся одним из приоритетных направлений внешней политики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На стыке глобальных механизмов, правового инструментария и локальных особенностей формируется комплексный підход, охватывающий санкционные меры, сотрудничество с организациями гражданского общества и гендерную тематику. M. Perez [1</w:t>
      </w:r>
      <w:r w:rsidR="00FA02FB">
        <w:rPr>
          <w:rFonts w:ascii="Times New Roman" w:hAnsi="Times New Roman" w:cs="Times New Roman"/>
          <w:sz w:val="28"/>
          <w:szCs w:val="28"/>
          <w:lang w:val="kk-KZ"/>
        </w:rPr>
        <w:t>26, р. 255-268</w:t>
      </w:r>
      <w:r w:rsidRPr="001935D0">
        <w:rPr>
          <w:rFonts w:ascii="Times New Roman" w:hAnsi="Times New Roman" w:cs="Times New Roman"/>
          <w:sz w:val="28"/>
          <w:szCs w:val="28"/>
        </w:rPr>
        <w:t xml:space="preserve">] анализирует эффективность глобального санкционного режима ЕС, направленного против серьёзных нарушений прав человека. Отмечается, что несмотря на юридическую обоснованность и символическую значимость таких мер, их реальное воздействие ограничено в странах с низким уровнем подотчётности. Автор подчеркивает наличие двойных стандартов в применении санкций, особенно в отношении стратегически важных государств-партнёров, что снижает доверие к правозащитной повестке </w:t>
      </w:r>
      <w:r w:rsidR="007C324F" w:rsidRPr="001935D0">
        <w:rPr>
          <w:rFonts w:ascii="Times New Roman" w:hAnsi="Times New Roman" w:cs="Times New Roman"/>
          <w:sz w:val="28"/>
          <w:szCs w:val="28"/>
        </w:rPr>
        <w:t>Европейского Союза</w:t>
      </w:r>
      <w:r w:rsidRPr="001935D0">
        <w:rPr>
          <w:rFonts w:ascii="Times New Roman" w:hAnsi="Times New Roman" w:cs="Times New Roman"/>
          <w:sz w:val="28"/>
          <w:szCs w:val="28"/>
        </w:rPr>
        <w:t>.</w:t>
      </w:r>
    </w:p>
    <w:p w14:paraId="69F0B043" w14:textId="6549A5B9" w:rsidR="00E94B29" w:rsidRPr="001935D0" w:rsidRDefault="00811F16" w:rsidP="00AE60C9">
      <w:pPr>
        <w:pStyle w:val="NoSpacing"/>
        <w:ind w:firstLine="709"/>
        <w:jc w:val="both"/>
        <w:rPr>
          <w:rFonts w:ascii="Times New Roman" w:hAnsi="Times New Roman" w:cs="Times New Roman"/>
          <w:sz w:val="28"/>
          <w:szCs w:val="28"/>
        </w:rPr>
      </w:pPr>
      <w:r w:rsidRPr="00811F16">
        <w:rPr>
          <w:rFonts w:ascii="Times New Roman" w:hAnsi="Times New Roman" w:cs="Times New Roman"/>
          <w:sz w:val="28"/>
          <w:szCs w:val="28"/>
        </w:rPr>
        <w:t>Н. Кейзер</w:t>
      </w:r>
      <w:r w:rsidR="00AE60C9">
        <w:rPr>
          <w:rFonts w:ascii="Times New Roman" w:hAnsi="Times New Roman" w:cs="Times New Roman"/>
          <w:sz w:val="28"/>
          <w:szCs w:val="28"/>
          <w:lang w:val="kk-KZ"/>
        </w:rPr>
        <w:t>,</w:t>
      </w:r>
      <w:r w:rsidR="00E94B29" w:rsidRPr="001935D0">
        <w:rPr>
          <w:rFonts w:ascii="Times New Roman" w:hAnsi="Times New Roman" w:cs="Times New Roman"/>
          <w:sz w:val="28"/>
          <w:szCs w:val="28"/>
        </w:rPr>
        <w:t xml:space="preserve"> </w:t>
      </w:r>
      <w:r w:rsidRPr="00811F16">
        <w:rPr>
          <w:rFonts w:ascii="Times New Roman" w:hAnsi="Times New Roman" w:cs="Times New Roman"/>
          <w:sz w:val="28"/>
          <w:szCs w:val="28"/>
        </w:rPr>
        <w:t xml:space="preserve">Ф. Боссёйт </w:t>
      </w:r>
      <w:r w:rsidR="00E94B29" w:rsidRPr="001935D0">
        <w:rPr>
          <w:rFonts w:ascii="Times New Roman" w:hAnsi="Times New Roman" w:cs="Times New Roman"/>
          <w:sz w:val="28"/>
          <w:szCs w:val="28"/>
        </w:rPr>
        <w:t>[1</w:t>
      </w:r>
      <w:r w:rsidR="00FA02FB">
        <w:rPr>
          <w:rFonts w:ascii="Times New Roman" w:hAnsi="Times New Roman" w:cs="Times New Roman"/>
          <w:sz w:val="28"/>
          <w:szCs w:val="28"/>
          <w:lang w:val="kk-KZ"/>
        </w:rPr>
        <w:t>27, р. 784-793</w:t>
      </w:r>
      <w:r w:rsidR="00E94B29" w:rsidRPr="001935D0">
        <w:rPr>
          <w:rFonts w:ascii="Times New Roman" w:hAnsi="Times New Roman" w:cs="Times New Roman"/>
          <w:sz w:val="28"/>
          <w:szCs w:val="28"/>
        </w:rPr>
        <w:t>] сосредотачивают внимание на взаимодействии ЕС с неправительственными организациями. В их исследовании выявляется несоответствие между провозглашёнными принципами участия и фактической практикой: в ряде стран НПО остаются формальными участниками без реального влияния на процессы принятия решений. Это институциональное расхождение усиливает недоверие к механизмам вовлечения, зафиксированным в стратегических документах ЕС.</w:t>
      </w:r>
    </w:p>
    <w:p w14:paraId="51A6E9AF" w14:textId="76D73461"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Гендерное измерение внешней политики ЕС становится всё более актуальным. </w:t>
      </w:r>
      <w:r w:rsidR="00811F16" w:rsidRPr="00811F16">
        <w:rPr>
          <w:rFonts w:ascii="Times New Roman" w:hAnsi="Times New Roman" w:cs="Times New Roman"/>
          <w:sz w:val="28"/>
          <w:szCs w:val="28"/>
        </w:rPr>
        <w:t xml:space="preserve">Р. Жарқынбаева </w:t>
      </w:r>
      <w:r w:rsidR="00FA02FB">
        <w:rPr>
          <w:rFonts w:ascii="Times New Roman" w:hAnsi="Times New Roman" w:cs="Times New Roman"/>
          <w:sz w:val="28"/>
          <w:szCs w:val="28"/>
        </w:rPr>
        <w:t>[1</w:t>
      </w:r>
      <w:r w:rsidR="00FA02FB">
        <w:rPr>
          <w:rFonts w:ascii="Times New Roman" w:hAnsi="Times New Roman" w:cs="Times New Roman"/>
          <w:sz w:val="28"/>
          <w:szCs w:val="28"/>
          <w:lang w:val="kk-KZ"/>
        </w:rPr>
        <w:t>28, р. 331-355</w:t>
      </w:r>
      <w:r w:rsidRPr="001935D0">
        <w:rPr>
          <w:rFonts w:ascii="Times New Roman" w:hAnsi="Times New Roman" w:cs="Times New Roman"/>
          <w:sz w:val="28"/>
          <w:szCs w:val="28"/>
        </w:rPr>
        <w:t>]. Авторы подчеркивают, что несмотря на существование международных обязательств и правовых рамок, устойчивые патриархальные установки существенно ограничивают возможности для реализации прав женщин. Гендерное равенство остаётся преимущественно декларируемым, а не реализуемым принципом.</w:t>
      </w:r>
    </w:p>
    <w:p w14:paraId="0B5FB545" w14:textId="74205B33"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Эти выводы находят подтверждение в сравнительном исследовании </w:t>
      </w:r>
      <w:r w:rsidR="00811F16" w:rsidRPr="00811F16">
        <w:rPr>
          <w:rFonts w:ascii="Times New Roman" w:hAnsi="Times New Roman" w:cs="Times New Roman"/>
          <w:sz w:val="28"/>
          <w:szCs w:val="28"/>
        </w:rPr>
        <w:t>О. Яновская</w:t>
      </w:r>
      <w:r w:rsidR="00AE60C9" w:rsidRPr="00811F16">
        <w:rPr>
          <w:rFonts w:ascii="Times New Roman" w:hAnsi="Times New Roman" w:cs="Times New Roman"/>
          <w:sz w:val="28"/>
          <w:szCs w:val="28"/>
          <w:lang w:val="kk-KZ"/>
        </w:rPr>
        <w:t>,</w:t>
      </w:r>
      <w:r w:rsidRPr="00811F16">
        <w:rPr>
          <w:rFonts w:ascii="Times New Roman" w:hAnsi="Times New Roman" w:cs="Times New Roman"/>
          <w:sz w:val="28"/>
          <w:szCs w:val="28"/>
        </w:rPr>
        <w:t xml:space="preserve"> </w:t>
      </w:r>
      <w:r w:rsidR="00811F16" w:rsidRPr="00811F16">
        <w:rPr>
          <w:rFonts w:ascii="Times New Roman" w:hAnsi="Times New Roman" w:cs="Times New Roman"/>
          <w:sz w:val="28"/>
          <w:szCs w:val="28"/>
        </w:rPr>
        <w:t xml:space="preserve">А. Липовка </w:t>
      </w:r>
      <w:r w:rsidRPr="001935D0">
        <w:rPr>
          <w:rFonts w:ascii="Times New Roman" w:hAnsi="Times New Roman" w:cs="Times New Roman"/>
          <w:sz w:val="28"/>
          <w:szCs w:val="28"/>
        </w:rPr>
        <w:t>[1</w:t>
      </w:r>
      <w:r w:rsidR="00FA02FB">
        <w:rPr>
          <w:rFonts w:ascii="Times New Roman" w:hAnsi="Times New Roman" w:cs="Times New Roman"/>
          <w:sz w:val="28"/>
          <w:szCs w:val="28"/>
          <w:lang w:val="kk-KZ"/>
        </w:rPr>
        <w:t>29, р. 61-83</w:t>
      </w:r>
      <w:r w:rsidRPr="001935D0">
        <w:rPr>
          <w:rFonts w:ascii="Times New Roman" w:hAnsi="Times New Roman" w:cs="Times New Roman"/>
          <w:sz w:val="28"/>
          <w:szCs w:val="28"/>
        </w:rPr>
        <w:t xml:space="preserve">], в котором проанализированы гендерные стереотипы в семьях Центральной Европы и Центральной Азии. Выявлены </w:t>
      </w:r>
      <w:r w:rsidRPr="001935D0">
        <w:rPr>
          <w:rFonts w:ascii="Times New Roman" w:hAnsi="Times New Roman" w:cs="Times New Roman"/>
          <w:sz w:val="28"/>
          <w:szCs w:val="28"/>
        </w:rPr>
        <w:lastRenderedPageBreak/>
        <w:t>значительные различия: если в странах Центральной Европы наблюдается движение к паритетной модели, то в Центральной Азии преобладают традиционные роли с доминирующим положением мужчины. Исследование показывает, что эффективная реализация гендерной политики требует не только стратегий и деклараций, но и глубокой культурной трансформации при поддержке устойчивых институциональных механизмов.</w:t>
      </w:r>
    </w:p>
    <w:p w14:paraId="71B9D19C" w14:textId="346945A7" w:rsidR="00E94B29" w:rsidRPr="001935D0" w:rsidRDefault="00811F16" w:rsidP="00AE60C9">
      <w:pPr>
        <w:pStyle w:val="NoSpacing"/>
        <w:ind w:firstLine="709"/>
        <w:jc w:val="both"/>
        <w:rPr>
          <w:rFonts w:ascii="Times New Roman" w:hAnsi="Times New Roman" w:cs="Times New Roman"/>
          <w:sz w:val="28"/>
          <w:szCs w:val="28"/>
        </w:rPr>
      </w:pPr>
      <w:r w:rsidRPr="00811F16">
        <w:rPr>
          <w:rFonts w:ascii="Times New Roman" w:hAnsi="Times New Roman" w:cs="Times New Roman"/>
          <w:sz w:val="28"/>
          <w:szCs w:val="28"/>
        </w:rPr>
        <w:t xml:space="preserve">Ж. Урбаева </w:t>
      </w:r>
      <w:r w:rsidR="00E94B29" w:rsidRPr="001935D0">
        <w:rPr>
          <w:rFonts w:ascii="Times New Roman" w:hAnsi="Times New Roman" w:cs="Times New Roman"/>
          <w:sz w:val="28"/>
          <w:szCs w:val="28"/>
        </w:rPr>
        <w:t>[13</w:t>
      </w:r>
      <w:r w:rsidR="00FA02FB">
        <w:rPr>
          <w:rFonts w:ascii="Times New Roman" w:hAnsi="Times New Roman" w:cs="Times New Roman"/>
          <w:sz w:val="28"/>
          <w:szCs w:val="28"/>
          <w:lang w:val="kk-KZ"/>
        </w:rPr>
        <w:t>0, р. 207-214</w:t>
      </w:r>
      <w:r w:rsidR="00E94B29" w:rsidRPr="001935D0">
        <w:rPr>
          <w:rFonts w:ascii="Times New Roman" w:hAnsi="Times New Roman" w:cs="Times New Roman"/>
          <w:sz w:val="28"/>
          <w:szCs w:val="28"/>
        </w:rPr>
        <w:t xml:space="preserve">] исследует взгляды женщин Центральной Азии на гендерные роли в зависимости от доступа к возможностям социальной мобильности. Показано, что расширение доступа к образованию, занятости и миграции способствует переосмыслению традиционных установок и росту критичности по отношению к патриархальным нормам. В то же время, в сельской местности сохраняется высокая степень зависимости от иерархических моделей, основанных на мужской поддержке и внутрисемейной социализации. T. </w:t>
      </w:r>
      <w:r>
        <w:rPr>
          <w:rFonts w:ascii="Times New Roman" w:hAnsi="Times New Roman" w:cs="Times New Roman"/>
          <w:sz w:val="28"/>
          <w:szCs w:val="28"/>
          <w:lang w:val="kk-KZ"/>
        </w:rPr>
        <w:t>Александров</w:t>
      </w:r>
      <w:r w:rsidR="00E94B29" w:rsidRPr="001935D0">
        <w:rPr>
          <w:rFonts w:ascii="Times New Roman" w:hAnsi="Times New Roman" w:cs="Times New Roman"/>
          <w:sz w:val="28"/>
          <w:szCs w:val="28"/>
        </w:rPr>
        <w:t xml:space="preserve"> [13</w:t>
      </w:r>
      <w:r w:rsidR="00FA02FB">
        <w:rPr>
          <w:rFonts w:ascii="Times New Roman" w:hAnsi="Times New Roman" w:cs="Times New Roman"/>
          <w:sz w:val="28"/>
          <w:szCs w:val="28"/>
          <w:lang w:val="kk-KZ"/>
        </w:rPr>
        <w:t>1, р. 1-19</w:t>
      </w:r>
      <w:r w:rsidR="00E94B29" w:rsidRPr="001935D0">
        <w:rPr>
          <w:rFonts w:ascii="Times New Roman" w:hAnsi="Times New Roman" w:cs="Times New Roman"/>
          <w:sz w:val="28"/>
          <w:szCs w:val="28"/>
        </w:rPr>
        <w:t>], анализируют роль этнокультурных объединений в Казахстане. По их наблюдениям, современные этнические ассоциации унаследовали институциональные черты советского национального проекта, опирающегося на формальный мультикультурализм и контролируемую лояльность. Тем не менее, при наличии реальных правовых механизмов участия, такие объединения могут стать ресурсом для развития гражданского общества, особенно в вопросах культурного диалога и местного представительства.</w:t>
      </w:r>
    </w:p>
    <w:p w14:paraId="00AB3AB2" w14:textId="376F654B"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M. </w:t>
      </w:r>
      <w:r w:rsidR="00811F16">
        <w:rPr>
          <w:rFonts w:ascii="Times New Roman" w:hAnsi="Times New Roman" w:cs="Times New Roman"/>
          <w:sz w:val="28"/>
          <w:szCs w:val="28"/>
          <w:lang w:val="kk-KZ"/>
        </w:rPr>
        <w:t>Кааратаев</w:t>
      </w:r>
      <w:r w:rsidRPr="001935D0">
        <w:rPr>
          <w:rFonts w:ascii="Times New Roman" w:hAnsi="Times New Roman" w:cs="Times New Roman"/>
          <w:sz w:val="28"/>
          <w:szCs w:val="28"/>
        </w:rPr>
        <w:t xml:space="preserve"> [13</w:t>
      </w:r>
      <w:r w:rsidR="00FA02FB">
        <w:rPr>
          <w:rFonts w:ascii="Times New Roman" w:hAnsi="Times New Roman" w:cs="Times New Roman"/>
          <w:sz w:val="28"/>
          <w:szCs w:val="28"/>
          <w:lang w:val="kk-KZ"/>
        </w:rPr>
        <w:t>2, р. 63-69</w:t>
      </w:r>
      <w:r w:rsidRPr="001935D0">
        <w:rPr>
          <w:rFonts w:ascii="Times New Roman" w:hAnsi="Times New Roman" w:cs="Times New Roman"/>
          <w:sz w:val="28"/>
          <w:szCs w:val="28"/>
        </w:rPr>
        <w:t>] рассматривают взаимосвязь водных, энергетических и продовольственных систем в Казахстане с позиций устойчивого развития. Отмечается, что отсутствие координированной межсекторальной политики ограничивает прогресс в достижении Целей устойчивого развития и увеличивает социальную уязвимость. Авторы подчёркивают необходимость комплексного подхода к экологическим и экономическим рискам. F. Miruktamova [13</w:t>
      </w:r>
      <w:r w:rsidR="00FA02FB">
        <w:rPr>
          <w:rFonts w:ascii="Times New Roman" w:hAnsi="Times New Roman" w:cs="Times New Roman"/>
          <w:sz w:val="28"/>
          <w:szCs w:val="28"/>
          <w:lang w:val="kk-KZ"/>
        </w:rPr>
        <w:t>3, р. 71-74</w:t>
      </w:r>
      <w:r w:rsidRPr="001935D0">
        <w:rPr>
          <w:rFonts w:ascii="Times New Roman" w:hAnsi="Times New Roman" w:cs="Times New Roman"/>
          <w:sz w:val="28"/>
          <w:szCs w:val="28"/>
        </w:rPr>
        <w:t>] анализирует реализацию прав ребёнка в Узбекистане. Несмотря на принятые реформы, направленные на совершенствование законодательства и создание механизмов мониторинга, сохраняются проблемы в сфере образования, защиты от насилия и участия детей в общественной жизни. Отмечается необходимость усиления независимых институтов, способных эффективно отслеживать соблюдение прав на местах.</w:t>
      </w:r>
    </w:p>
    <w:p w14:paraId="43F77D3B" w14:textId="5370EC41" w:rsidR="00E94B29" w:rsidRPr="001935D0" w:rsidRDefault="00811F16" w:rsidP="00AE60C9">
      <w:pPr>
        <w:pStyle w:val="NoSpacing"/>
        <w:ind w:firstLine="709"/>
        <w:jc w:val="both"/>
        <w:rPr>
          <w:rFonts w:ascii="Times New Roman" w:hAnsi="Times New Roman" w:cs="Times New Roman"/>
          <w:sz w:val="28"/>
          <w:szCs w:val="28"/>
        </w:rPr>
      </w:pPr>
      <w:r w:rsidRPr="00811F16">
        <w:rPr>
          <w:rFonts w:ascii="Times New Roman" w:hAnsi="Times New Roman" w:cs="Times New Roman"/>
          <w:sz w:val="28"/>
          <w:szCs w:val="28"/>
        </w:rPr>
        <w:t xml:space="preserve">Г. Кулдышева </w:t>
      </w:r>
      <w:r w:rsidR="00E94B29" w:rsidRPr="001935D0">
        <w:rPr>
          <w:rFonts w:ascii="Times New Roman" w:hAnsi="Times New Roman" w:cs="Times New Roman"/>
          <w:sz w:val="28"/>
          <w:szCs w:val="28"/>
        </w:rPr>
        <w:t>[13</w:t>
      </w:r>
      <w:r w:rsidR="00FA02FB">
        <w:rPr>
          <w:rFonts w:ascii="Times New Roman" w:hAnsi="Times New Roman" w:cs="Times New Roman"/>
          <w:sz w:val="28"/>
          <w:szCs w:val="28"/>
          <w:lang w:val="kk-KZ"/>
        </w:rPr>
        <w:t>4, р. 169-174</w:t>
      </w:r>
      <w:r w:rsidR="00E94B29" w:rsidRPr="001935D0">
        <w:rPr>
          <w:rFonts w:ascii="Times New Roman" w:hAnsi="Times New Roman" w:cs="Times New Roman"/>
          <w:sz w:val="28"/>
          <w:szCs w:val="28"/>
        </w:rPr>
        <w:t xml:space="preserve">] исследуют законодательное регулирование социальных прав женщин в Кыргызской Республике. Несмотря на наличие нормативной базы, её реализация затруднена низким уровнем правоприменения, слабой правовой осведомлённостью и недостаточной институциональной защитой. Авторы рекомендуют гармонизацию законодательства с международными стандартами, развитие правопросветительских программ и механизмов правового сопровождения. </w:t>
      </w:r>
      <w:r w:rsidRPr="00811F16">
        <w:rPr>
          <w:rFonts w:ascii="Times New Roman" w:hAnsi="Times New Roman" w:cs="Times New Roman"/>
          <w:sz w:val="28"/>
          <w:szCs w:val="28"/>
        </w:rPr>
        <w:t xml:space="preserve">К. Пьеробон </w:t>
      </w:r>
      <w:r w:rsidR="00E94B29" w:rsidRPr="001935D0">
        <w:rPr>
          <w:rFonts w:ascii="Times New Roman" w:hAnsi="Times New Roman" w:cs="Times New Roman"/>
          <w:sz w:val="28"/>
          <w:szCs w:val="28"/>
        </w:rPr>
        <w:t>[13</w:t>
      </w:r>
      <w:r w:rsidR="00FA02FB">
        <w:rPr>
          <w:rFonts w:ascii="Times New Roman" w:hAnsi="Times New Roman" w:cs="Times New Roman"/>
          <w:sz w:val="28"/>
          <w:szCs w:val="28"/>
          <w:lang w:val="kk-KZ"/>
        </w:rPr>
        <w:t>5, р. 207-222</w:t>
      </w:r>
      <w:r w:rsidR="00E94B29" w:rsidRPr="001935D0">
        <w:rPr>
          <w:rFonts w:ascii="Times New Roman" w:hAnsi="Times New Roman" w:cs="Times New Roman"/>
          <w:sz w:val="28"/>
          <w:szCs w:val="28"/>
        </w:rPr>
        <w:t xml:space="preserve">] в своей работе проводит пилотную оценку программ Европейского </w:t>
      </w:r>
      <w:r w:rsidR="007C324F" w:rsidRPr="001935D0">
        <w:rPr>
          <w:rFonts w:ascii="Times New Roman" w:hAnsi="Times New Roman" w:cs="Times New Roman"/>
          <w:sz w:val="28"/>
          <w:szCs w:val="28"/>
          <w:lang w:val="uk-UA"/>
        </w:rPr>
        <w:t>С</w:t>
      </w:r>
      <w:r w:rsidR="00E94B29" w:rsidRPr="001935D0">
        <w:rPr>
          <w:rFonts w:ascii="Times New Roman" w:hAnsi="Times New Roman" w:cs="Times New Roman"/>
          <w:sz w:val="28"/>
          <w:szCs w:val="28"/>
        </w:rPr>
        <w:t xml:space="preserve">оюза по поддержке гражданского общества в Казахстане. Анализируется влияние этих инициатив на формирование социального капитала через развитие сетевого взаимодействия, доверия и локального участия. Несмотря на активность ЕС, устойчивость и автономность неправительственных организаций остаются ограниченными. Многие НПО зависят от внешнего финансирования и не обладают прочной </w:t>
      </w:r>
      <w:r w:rsidR="00E94B29" w:rsidRPr="001935D0">
        <w:rPr>
          <w:rFonts w:ascii="Times New Roman" w:hAnsi="Times New Roman" w:cs="Times New Roman"/>
          <w:sz w:val="28"/>
          <w:szCs w:val="28"/>
        </w:rPr>
        <w:lastRenderedPageBreak/>
        <w:t>интеграцией в общественную среду. При этом государство продолжает осуществлять контроль над гражданским пространством, что сдерживает инициативы «снизу».</w:t>
      </w:r>
    </w:p>
    <w:p w14:paraId="088C0D9D" w14:textId="2ADCA152" w:rsidR="00E94B29" w:rsidRPr="001935D0" w:rsidRDefault="00811F16" w:rsidP="00AE60C9">
      <w:pPr>
        <w:pStyle w:val="NoSpacing"/>
        <w:ind w:firstLine="709"/>
        <w:jc w:val="both"/>
        <w:rPr>
          <w:rFonts w:ascii="Times New Roman" w:hAnsi="Times New Roman" w:cs="Times New Roman"/>
          <w:sz w:val="28"/>
          <w:szCs w:val="28"/>
        </w:rPr>
      </w:pPr>
      <w:r w:rsidRPr="00811F16">
        <w:rPr>
          <w:rFonts w:ascii="Times New Roman" w:hAnsi="Times New Roman" w:cs="Times New Roman"/>
          <w:sz w:val="28"/>
          <w:szCs w:val="28"/>
        </w:rPr>
        <w:t xml:space="preserve">Й. Айнзидель </w:t>
      </w:r>
      <w:r w:rsidR="00E94B29" w:rsidRPr="001935D0">
        <w:rPr>
          <w:rFonts w:ascii="Times New Roman" w:hAnsi="Times New Roman" w:cs="Times New Roman"/>
          <w:sz w:val="28"/>
          <w:szCs w:val="28"/>
        </w:rPr>
        <w:t>[1</w:t>
      </w:r>
      <w:r w:rsidR="00FA02FB">
        <w:rPr>
          <w:rFonts w:ascii="Times New Roman" w:hAnsi="Times New Roman" w:cs="Times New Roman"/>
          <w:sz w:val="28"/>
          <w:szCs w:val="28"/>
          <w:lang w:val="kk-KZ"/>
        </w:rPr>
        <w:t>36, р. 2-59</w:t>
      </w:r>
      <w:r w:rsidR="00E94B29" w:rsidRPr="001935D0">
        <w:rPr>
          <w:rFonts w:ascii="Times New Roman" w:hAnsi="Times New Roman" w:cs="Times New Roman"/>
          <w:sz w:val="28"/>
          <w:szCs w:val="28"/>
        </w:rPr>
        <w:t>] в диссертационном исследовании, выполненном в Университете Западной Шотландии, рассматривает эффективность международных гражданских организаций в условиях закрытого режима на примере Туркменистана. Автор приходит к выводу, что традиционные правозащитные методы оказываются неэффективными при отсутствии внутренних партнёров и полной изоляции. Наиболее результативными стратегиями в таком контексте являются работа с диаспорой, использование цифровых каналов и формирование международных коалиций. Однако прямая правозащитная деятельность на территории страны фактически невозможна.</w:t>
      </w:r>
    </w:p>
    <w:p w14:paraId="7FF3026B" w14:textId="6EA80006" w:rsidR="00E94B29" w:rsidRPr="001935D0" w:rsidRDefault="00811F16" w:rsidP="00AE60C9">
      <w:pPr>
        <w:pStyle w:val="NoSpacing"/>
        <w:ind w:firstLine="709"/>
        <w:jc w:val="both"/>
        <w:rPr>
          <w:rFonts w:ascii="Times New Roman" w:hAnsi="Times New Roman" w:cs="Times New Roman"/>
          <w:sz w:val="28"/>
          <w:szCs w:val="28"/>
        </w:rPr>
      </w:pPr>
      <w:r w:rsidRPr="00811F16">
        <w:rPr>
          <w:rFonts w:ascii="Times New Roman" w:hAnsi="Times New Roman" w:cs="Times New Roman"/>
          <w:sz w:val="28"/>
          <w:szCs w:val="28"/>
        </w:rPr>
        <w:t xml:space="preserve">Э. Зухриддинович </w:t>
      </w:r>
      <w:r w:rsidR="00E94B29" w:rsidRPr="001935D0">
        <w:rPr>
          <w:rFonts w:ascii="Times New Roman" w:hAnsi="Times New Roman" w:cs="Times New Roman"/>
          <w:sz w:val="28"/>
          <w:szCs w:val="28"/>
        </w:rPr>
        <w:t>[1</w:t>
      </w:r>
      <w:r w:rsidR="00FA02FB">
        <w:rPr>
          <w:rFonts w:ascii="Times New Roman" w:hAnsi="Times New Roman" w:cs="Times New Roman"/>
          <w:sz w:val="28"/>
          <w:szCs w:val="28"/>
          <w:lang w:val="kk-KZ"/>
        </w:rPr>
        <w:t>37, р. 9-14</w:t>
      </w:r>
      <w:r w:rsidR="00E94B29" w:rsidRPr="001935D0">
        <w:rPr>
          <w:rFonts w:ascii="Times New Roman" w:hAnsi="Times New Roman" w:cs="Times New Roman"/>
          <w:sz w:val="28"/>
          <w:szCs w:val="28"/>
        </w:rPr>
        <w:t>] анализирует политику Узбекистана в отношении международных неправительственных организаций в условиях посткаримовских реформ. Отмечается, что несмотря на частичное ослабление ограничений, правовой режим остаётся жёстко регламентированным. Сотрудничество с МНПО преимущественно носит имиджевый характер, ориентированный на внешнюю демонстрацию открытости, а не на институциональные изменения. В этом контексте формируется модель «приглашённой демократии», при которой международные организации допускаются к деятельности лишь в строго контролируемых сферах.</w:t>
      </w:r>
    </w:p>
    <w:p w14:paraId="28B0C087" w14:textId="1D2224CA" w:rsidR="00E94B29" w:rsidRPr="001935D0" w:rsidRDefault="00811F16" w:rsidP="00AE60C9">
      <w:pPr>
        <w:pStyle w:val="NoSpacing"/>
        <w:ind w:firstLine="709"/>
        <w:jc w:val="both"/>
        <w:rPr>
          <w:rFonts w:ascii="Times New Roman" w:hAnsi="Times New Roman" w:cs="Times New Roman"/>
          <w:sz w:val="28"/>
          <w:szCs w:val="28"/>
        </w:rPr>
      </w:pPr>
      <w:r w:rsidRPr="00811F16">
        <w:rPr>
          <w:rFonts w:ascii="Times New Roman" w:hAnsi="Times New Roman" w:cs="Times New Roman"/>
          <w:sz w:val="28"/>
          <w:szCs w:val="28"/>
        </w:rPr>
        <w:t xml:space="preserve">Р. Фон </w:t>
      </w:r>
      <w:r w:rsidR="00E94B29" w:rsidRPr="001935D0">
        <w:rPr>
          <w:rFonts w:ascii="Times New Roman" w:hAnsi="Times New Roman" w:cs="Times New Roman"/>
          <w:sz w:val="28"/>
          <w:szCs w:val="28"/>
        </w:rPr>
        <w:t>[1</w:t>
      </w:r>
      <w:r w:rsidR="00FA02FB">
        <w:rPr>
          <w:rFonts w:ascii="Times New Roman" w:hAnsi="Times New Roman" w:cs="Times New Roman"/>
          <w:sz w:val="28"/>
          <w:szCs w:val="28"/>
          <w:lang w:val="kk-KZ"/>
        </w:rPr>
        <w:t>38, р. 617-637</w:t>
      </w:r>
      <w:r w:rsidR="00E94B29" w:rsidRPr="001935D0">
        <w:rPr>
          <w:rFonts w:ascii="Times New Roman" w:hAnsi="Times New Roman" w:cs="Times New Roman"/>
          <w:sz w:val="28"/>
          <w:szCs w:val="28"/>
        </w:rPr>
        <w:t xml:space="preserve">] проводят комплексный анализ восприятий и практик взаимодействия между Европейским </w:t>
      </w:r>
      <w:r w:rsidR="007C324F" w:rsidRPr="001935D0">
        <w:rPr>
          <w:rFonts w:ascii="Times New Roman" w:hAnsi="Times New Roman" w:cs="Times New Roman"/>
          <w:sz w:val="28"/>
          <w:szCs w:val="28"/>
          <w:lang w:val="uk-UA"/>
        </w:rPr>
        <w:t>С</w:t>
      </w:r>
      <w:r w:rsidR="00E94B29" w:rsidRPr="001935D0">
        <w:rPr>
          <w:rFonts w:ascii="Times New Roman" w:hAnsi="Times New Roman" w:cs="Times New Roman"/>
          <w:sz w:val="28"/>
          <w:szCs w:val="28"/>
        </w:rPr>
        <w:t>оюзом и странами Центральной Азии. Авторы отмечают амбивалентность взаимных ожиданий: в то время как ЕС рассматривает регион как пространство реализации нормативной внешней политики, элиты Центральной Азии интерпретируют сотрудничество преимущественно через призму прагматизма и защиты суверенитета. Приводятся примеры, когда заявленные правозащитные инициативы имели формальный характер и не приводили к устойчивым институциональным изменениям. Особое внимание уделяется асимметрии подходов и недостаточной согласованности приоритетов, что ограничивает эффективность сотрудничества.</w:t>
      </w:r>
    </w:p>
    <w:p w14:paraId="1FD6C60C" w14:textId="5E8E8619"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M. M</w:t>
      </w:r>
      <w:r w:rsidR="00811F16">
        <w:rPr>
          <w:rFonts w:ascii="Times New Roman" w:hAnsi="Times New Roman" w:cs="Times New Roman"/>
          <w:sz w:val="28"/>
          <w:szCs w:val="28"/>
          <w:lang w:val="kk-KZ"/>
        </w:rPr>
        <w:t>алгаждарова</w:t>
      </w:r>
      <w:r w:rsidRPr="001935D0">
        <w:rPr>
          <w:rFonts w:ascii="Times New Roman" w:hAnsi="Times New Roman" w:cs="Times New Roman"/>
          <w:sz w:val="28"/>
          <w:szCs w:val="28"/>
        </w:rPr>
        <w:t xml:space="preserve"> [1</w:t>
      </w:r>
      <w:r w:rsidR="0058454E">
        <w:rPr>
          <w:rFonts w:ascii="Times New Roman" w:hAnsi="Times New Roman" w:cs="Times New Roman"/>
          <w:sz w:val="28"/>
          <w:szCs w:val="28"/>
          <w:lang w:val="kk-KZ"/>
        </w:rPr>
        <w:t>39, р. 291-</w:t>
      </w:r>
      <w:r w:rsidR="005B2792">
        <w:rPr>
          <w:rFonts w:ascii="Times New Roman" w:hAnsi="Times New Roman" w:cs="Times New Roman"/>
          <w:sz w:val="28"/>
          <w:szCs w:val="28"/>
          <w:lang w:val="kk-KZ"/>
        </w:rPr>
        <w:t>306</w:t>
      </w:r>
      <w:r w:rsidRPr="001935D0">
        <w:rPr>
          <w:rFonts w:ascii="Times New Roman" w:hAnsi="Times New Roman" w:cs="Times New Roman"/>
          <w:sz w:val="28"/>
          <w:szCs w:val="28"/>
        </w:rPr>
        <w:t>] конкретизируют направления правозащитного взаимодействия между ЕС и странами Центральной Азии. В числе ключевых тематик выделяются гендерное равенство, права мигрантов, доступ к правосудию и противодействие насилию. Авторы подчёркивают, что правозащитная повестка в регионе проходит процесс адаптации: она локализуется в пределах допустимого дискурса, который определяется внутренними политико-культурными рамками. Так, в Казахстане и Кыргызстане прослеживаются ограниченные, но институционализированные форматы взаимодействия с НПО, тогда как в Туркменистане и Узбекистане сотрудничество сводится преимущественно к технической поддержке и узкоспециализированным программам.</w:t>
      </w:r>
    </w:p>
    <w:p w14:paraId="0D788D62" w14:textId="1C828922" w:rsidR="00E94B29" w:rsidRPr="001935D0" w:rsidRDefault="00E94B29" w:rsidP="00AE60C9">
      <w:pPr>
        <w:pStyle w:val="NoSpacing"/>
        <w:ind w:firstLine="709"/>
        <w:jc w:val="both"/>
        <w:rPr>
          <w:rStyle w:val="SubtleEmphasis"/>
          <w:rFonts w:ascii="Times New Roman" w:hAnsi="Times New Roman" w:cs="Times New Roman"/>
          <w:i w:val="0"/>
          <w:iCs w:val="0"/>
          <w:color w:val="auto"/>
          <w:sz w:val="28"/>
          <w:szCs w:val="28"/>
        </w:rPr>
      </w:pPr>
      <w:r w:rsidRPr="001935D0">
        <w:rPr>
          <w:rStyle w:val="SubtleEmphasis"/>
          <w:rFonts w:ascii="Times New Roman" w:hAnsi="Times New Roman" w:cs="Times New Roman"/>
          <w:i w:val="0"/>
          <w:color w:val="auto"/>
          <w:sz w:val="28"/>
          <w:szCs w:val="28"/>
        </w:rPr>
        <w:t xml:space="preserve">Несмотря на формализованный приоритет прав человека во внешней политике Европейского </w:t>
      </w:r>
      <w:r w:rsidR="007C324F" w:rsidRPr="001935D0">
        <w:rPr>
          <w:rStyle w:val="SubtleEmphasis"/>
          <w:rFonts w:ascii="Times New Roman" w:hAnsi="Times New Roman" w:cs="Times New Roman"/>
          <w:i w:val="0"/>
          <w:color w:val="auto"/>
          <w:sz w:val="28"/>
          <w:szCs w:val="28"/>
          <w:lang w:val="uk-UA"/>
        </w:rPr>
        <w:t>С</w:t>
      </w:r>
      <w:r w:rsidRPr="001935D0">
        <w:rPr>
          <w:rStyle w:val="SubtleEmphasis"/>
          <w:rFonts w:ascii="Times New Roman" w:hAnsi="Times New Roman" w:cs="Times New Roman"/>
          <w:i w:val="0"/>
          <w:color w:val="auto"/>
          <w:sz w:val="28"/>
          <w:szCs w:val="28"/>
        </w:rPr>
        <w:t xml:space="preserve">оюза, взаимодействие с государствами Центральной </w:t>
      </w:r>
      <w:r w:rsidRPr="001935D0">
        <w:rPr>
          <w:rStyle w:val="SubtleEmphasis"/>
          <w:rFonts w:ascii="Times New Roman" w:hAnsi="Times New Roman" w:cs="Times New Roman"/>
          <w:i w:val="0"/>
          <w:color w:val="auto"/>
          <w:sz w:val="28"/>
          <w:szCs w:val="28"/>
        </w:rPr>
        <w:lastRenderedPageBreak/>
        <w:t>Азии демонстрирует устойчивое противоречие между декларируемыми ценностями и реалиями прагматического партнёрства. Особенно это проявляется в условиях углубляющегося геополитического и экономического сотрудничества, при котором правозащитная тематика отступает на периферию стратегического диалога.</w:t>
      </w:r>
    </w:p>
    <w:p w14:paraId="64D4A5F7" w14:textId="3EE06ADB" w:rsidR="00E94B29" w:rsidRPr="001935D0" w:rsidRDefault="00E94B29" w:rsidP="00AE60C9">
      <w:pPr>
        <w:pStyle w:val="NoSpacing"/>
        <w:ind w:firstLine="709"/>
        <w:jc w:val="both"/>
        <w:rPr>
          <w:rStyle w:val="SubtleEmphasis"/>
          <w:rFonts w:ascii="Times New Roman" w:hAnsi="Times New Roman" w:cs="Times New Roman"/>
          <w:i w:val="0"/>
          <w:iCs w:val="0"/>
          <w:color w:val="auto"/>
          <w:sz w:val="28"/>
          <w:szCs w:val="28"/>
        </w:rPr>
      </w:pPr>
      <w:r w:rsidRPr="001935D0">
        <w:rPr>
          <w:rStyle w:val="SubtleEmphasis"/>
          <w:rFonts w:ascii="Times New Roman" w:hAnsi="Times New Roman" w:cs="Times New Roman"/>
          <w:i w:val="0"/>
          <w:color w:val="auto"/>
          <w:sz w:val="28"/>
          <w:szCs w:val="28"/>
        </w:rPr>
        <w:t>Проведённый 4 апреля 2025 года в Самарканде первый саммит ЕС–Центральная Азия обозначил важный институциональный рубеж у</w:t>
      </w:r>
      <w:r w:rsidR="00F116BD" w:rsidRPr="001935D0">
        <w:rPr>
          <w:rStyle w:val="SubtleEmphasis"/>
          <w:rFonts w:ascii="Times New Roman" w:hAnsi="Times New Roman" w:cs="Times New Roman"/>
          <w:i w:val="0"/>
          <w:color w:val="auto"/>
          <w:sz w:val="28"/>
          <w:szCs w:val="28"/>
        </w:rPr>
        <w:t xml:space="preserve"> </w:t>
      </w:r>
      <w:r w:rsidRPr="001935D0">
        <w:rPr>
          <w:rStyle w:val="SubtleEmphasis"/>
          <w:rFonts w:ascii="Times New Roman" w:hAnsi="Times New Roman" w:cs="Times New Roman"/>
          <w:i w:val="0"/>
          <w:color w:val="auto"/>
          <w:sz w:val="28"/>
          <w:szCs w:val="28"/>
        </w:rPr>
        <w:t>взаимоотношениях между Брюсселем и странами региона – Казахстаном, Кыргызстаном, Узбекистаном, Таджикистаном и Туркменистаном. Основными темами встречи стали торговля, энергетика, климатическая трансформация и вопросы безопасности [14</w:t>
      </w:r>
      <w:r w:rsidR="005B2792">
        <w:rPr>
          <w:rStyle w:val="SubtleEmphasis"/>
          <w:rFonts w:ascii="Times New Roman" w:hAnsi="Times New Roman" w:cs="Times New Roman"/>
          <w:i w:val="0"/>
          <w:color w:val="auto"/>
          <w:sz w:val="28"/>
          <w:szCs w:val="28"/>
          <w:lang w:val="kk-KZ"/>
        </w:rPr>
        <w:t>0</w:t>
      </w:r>
      <w:r w:rsidRPr="001935D0">
        <w:rPr>
          <w:rStyle w:val="SubtleEmphasis"/>
          <w:rFonts w:ascii="Times New Roman" w:hAnsi="Times New Roman" w:cs="Times New Roman"/>
          <w:i w:val="0"/>
          <w:color w:val="auto"/>
          <w:sz w:val="28"/>
          <w:szCs w:val="28"/>
        </w:rPr>
        <w:t>]. В то же время, правозащитная повестка была представлена маргинально, несмотря на призывы международных акторов усилить внимание к вопросам верховенства права и защиты базовых свобод.</w:t>
      </w:r>
    </w:p>
    <w:p w14:paraId="4CEFEBDE" w14:textId="6DCC1866" w:rsidR="00E94B29" w:rsidRPr="001935D0" w:rsidRDefault="00E94B29" w:rsidP="00AE60C9">
      <w:pPr>
        <w:pStyle w:val="NoSpacing"/>
        <w:ind w:firstLine="709"/>
        <w:jc w:val="both"/>
        <w:rPr>
          <w:rStyle w:val="SubtleEmphasis"/>
          <w:rFonts w:ascii="Times New Roman" w:hAnsi="Times New Roman" w:cs="Times New Roman"/>
          <w:i w:val="0"/>
          <w:iCs w:val="0"/>
          <w:color w:val="auto"/>
          <w:sz w:val="28"/>
          <w:szCs w:val="28"/>
        </w:rPr>
      </w:pPr>
      <w:r w:rsidRPr="001935D0">
        <w:rPr>
          <w:rStyle w:val="SubtleEmphasis"/>
          <w:rFonts w:ascii="Times New Roman" w:hAnsi="Times New Roman" w:cs="Times New Roman"/>
          <w:i w:val="0"/>
          <w:color w:val="auto"/>
          <w:sz w:val="28"/>
          <w:szCs w:val="28"/>
        </w:rPr>
        <w:t>Как подчеркнула И. Кирова, представительница Human Rights Watch, устойчивое партнёрство между ЕС и государствами региона невозможно без институционального акцента на правах человека [14</w:t>
      </w:r>
      <w:r w:rsidR="005B2792">
        <w:rPr>
          <w:rStyle w:val="SubtleEmphasis"/>
          <w:rFonts w:ascii="Times New Roman" w:hAnsi="Times New Roman" w:cs="Times New Roman"/>
          <w:i w:val="0"/>
          <w:color w:val="auto"/>
          <w:sz w:val="28"/>
          <w:szCs w:val="28"/>
          <w:lang w:val="kk-KZ"/>
        </w:rPr>
        <w:t>1</w:t>
      </w:r>
      <w:r w:rsidRPr="001935D0">
        <w:rPr>
          <w:rStyle w:val="SubtleEmphasis"/>
          <w:rFonts w:ascii="Times New Roman" w:hAnsi="Times New Roman" w:cs="Times New Roman"/>
          <w:i w:val="0"/>
          <w:color w:val="auto"/>
          <w:sz w:val="28"/>
          <w:szCs w:val="28"/>
        </w:rPr>
        <w:t>]. В качестве иллюстрации ослабления принципа условности приводится заключение торговой сделки с Кыргызстаном после принятия закона об «иностранных представителях», по образцу аналогичных российских норм. Отсутствие чётких правозащитных условий при заключении соглашений со стороны ЕС, по мнению правозащитников, способствует сохранению статуса-кво и позволяет авторитарным режимам получать экономические преимущества без выполнения соответствующих обязательств.</w:t>
      </w:r>
    </w:p>
    <w:p w14:paraId="2B387625" w14:textId="77777777" w:rsidR="00E94B29" w:rsidRPr="001935D0" w:rsidRDefault="00E94B29" w:rsidP="00AE60C9">
      <w:pPr>
        <w:pStyle w:val="NoSpacing"/>
        <w:ind w:firstLine="709"/>
        <w:jc w:val="both"/>
        <w:rPr>
          <w:rStyle w:val="SubtleEmphasis"/>
          <w:rFonts w:ascii="Times New Roman" w:hAnsi="Times New Roman" w:cs="Times New Roman"/>
          <w:i w:val="0"/>
          <w:iCs w:val="0"/>
          <w:color w:val="auto"/>
          <w:sz w:val="28"/>
          <w:szCs w:val="28"/>
        </w:rPr>
      </w:pPr>
      <w:r w:rsidRPr="001935D0">
        <w:rPr>
          <w:rStyle w:val="SubtleEmphasis"/>
          <w:rFonts w:ascii="Times New Roman" w:hAnsi="Times New Roman" w:cs="Times New Roman"/>
          <w:i w:val="0"/>
          <w:color w:val="auto"/>
          <w:sz w:val="28"/>
          <w:szCs w:val="28"/>
        </w:rPr>
        <w:t>Казахстан, при участии в международных правозащитных механизмах – включая Универсальный периодический обзор ООН, співпрацю с ОБСЕ та участь у міжнародних договорах, – демонстрирует выборочный подход к реализации своих обязательств. Государственные институты, такие как институт омбудсмена или Конституционный суд, функционируют в условиях ограниченной автономии и вертикальной подотчётности. Гражданский сектор сталкивается с нормативными и административными барьерами, в то время как правозащитное пространство регулируется преимущественно в интересах государственной стабильности.</w:t>
      </w:r>
    </w:p>
    <w:p w14:paraId="301942C2" w14:textId="6F55B350" w:rsidR="00E94B29" w:rsidRPr="001935D0" w:rsidRDefault="00E94B29" w:rsidP="00AE60C9">
      <w:pPr>
        <w:pStyle w:val="NoSpacing"/>
        <w:ind w:firstLine="709"/>
        <w:jc w:val="both"/>
        <w:rPr>
          <w:rStyle w:val="SubtleEmphasis"/>
          <w:rFonts w:ascii="Times New Roman" w:hAnsi="Times New Roman" w:cs="Times New Roman"/>
          <w:i w:val="0"/>
          <w:iCs w:val="0"/>
          <w:color w:val="auto"/>
          <w:sz w:val="28"/>
          <w:szCs w:val="28"/>
        </w:rPr>
      </w:pPr>
      <w:r w:rsidRPr="001935D0">
        <w:rPr>
          <w:rStyle w:val="SubtleEmphasis"/>
          <w:rFonts w:ascii="Times New Roman" w:hAnsi="Times New Roman" w:cs="Times New Roman"/>
          <w:i w:val="0"/>
          <w:color w:val="auto"/>
          <w:sz w:val="28"/>
          <w:szCs w:val="28"/>
        </w:rPr>
        <w:t>Параллельно Казахстан активно участвует в формировании экономических платформ взаимодействия с ЕС – в частности, в развитии Транскаспийского транспортного коридора и диалоге по поставкам стратегического сырья. Это подтверждает наличие дисбаланса между экономическим прагматизмом и ценностным дискурсом, последний из которых не сопровождается инструментами подотчётности или санкционного давления</w:t>
      </w:r>
      <w:r w:rsidR="00AE60C9">
        <w:rPr>
          <w:rStyle w:val="SubtleEmphasis"/>
          <w:rFonts w:ascii="Times New Roman" w:hAnsi="Times New Roman" w:cs="Times New Roman"/>
          <w:i w:val="0"/>
          <w:color w:val="auto"/>
          <w:sz w:val="28"/>
          <w:szCs w:val="28"/>
          <w:lang w:val="kk-KZ"/>
        </w:rPr>
        <w:t> </w:t>
      </w:r>
      <w:r w:rsidRPr="001935D0">
        <w:rPr>
          <w:rStyle w:val="SubtleEmphasis"/>
          <w:rFonts w:ascii="Times New Roman" w:hAnsi="Times New Roman" w:cs="Times New Roman"/>
          <w:i w:val="0"/>
          <w:color w:val="auto"/>
          <w:sz w:val="28"/>
          <w:szCs w:val="28"/>
        </w:rPr>
        <w:t>[14</w:t>
      </w:r>
      <w:r w:rsidR="005B2792">
        <w:rPr>
          <w:rStyle w:val="SubtleEmphasis"/>
          <w:rFonts w:ascii="Times New Roman" w:hAnsi="Times New Roman" w:cs="Times New Roman"/>
          <w:i w:val="0"/>
          <w:color w:val="auto"/>
          <w:sz w:val="28"/>
          <w:szCs w:val="28"/>
          <w:lang w:val="kk-KZ"/>
        </w:rPr>
        <w:t>2</w:t>
      </w:r>
      <w:r w:rsidRPr="001935D0">
        <w:rPr>
          <w:rStyle w:val="SubtleEmphasis"/>
          <w:rFonts w:ascii="Times New Roman" w:hAnsi="Times New Roman" w:cs="Times New Roman"/>
          <w:i w:val="0"/>
          <w:color w:val="auto"/>
          <w:sz w:val="28"/>
          <w:szCs w:val="28"/>
        </w:rPr>
        <w:t>].</w:t>
      </w:r>
    </w:p>
    <w:p w14:paraId="5422D3BC" w14:textId="7C0F90BC" w:rsidR="00E94B29" w:rsidRPr="001935D0" w:rsidRDefault="00E94B29" w:rsidP="00AE60C9">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Одним из устойчивых вызовов для внешней политики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остаётся несогласованность между декларацией ценностей и ограниченными мерами давления в случае их нарушения. Дополнительную обеспокоенность вызывает вероятность использования территории Казахстана, Узбекистана и Кыргызстана для обхода антироссийских санкций. Несмотря на публично выраженное беспокойство со стороны Европейского парламента, </w:t>
      </w:r>
      <w:r w:rsidRPr="001935D0">
        <w:rPr>
          <w:rFonts w:ascii="Times New Roman" w:hAnsi="Times New Roman" w:cs="Times New Roman"/>
          <w:sz w:val="28"/>
          <w:szCs w:val="28"/>
        </w:rPr>
        <w:lastRenderedPageBreak/>
        <w:t xml:space="preserve">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не выдвигал конкретных политико-правовых условий по данному вопросу, предпочитая стратегию «тихого воздействия» и постепенного влияния. Хотя такой подход соответствует принципам дипломатической сдержанности, он одновременно снижает действенность правозащитного инструментария ЕС и ослабляет стимулы к соблюдению международных стандартов со стороны государств-партнёров.</w:t>
      </w:r>
    </w:p>
    <w:p w14:paraId="5721A32B" w14:textId="71B032CB" w:rsidR="00E94B29" w:rsidRDefault="00E94B29" w:rsidP="00AE60C9">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Взаимодействие ЕС со странами Центральной Азии формируется на пересечении геополитических интересов и нормативных ориентиров.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последовательно утверждает универсальность прав человека, верховенство права и участие гражданского общества как неотъемлемые элементы демократического управления. Однако в условиях авторитарных или гибридных политических систем степень соответствия этим принципам остаётся фрагментарной и неравномерной. Несмотря на институционализированное сотрудничество с ЕС, ситуация в сфере прав человека в Казахстане, Кыргызстане, Узбекистане, Таджикистане и Туркменистане по-прежнему существенно расходится с европейской моделью. Для систематизации выявленных различий и оценки степени соответствия правозащитных механизмов стандартам ЕС ниже представлена сравнительная таблица 2.18 по итогам 2024 года, основанная на анализе официальных отчётов, экспертных оценок и данных мониторинговых организаций [1</w:t>
      </w:r>
      <w:r w:rsidR="005B2792">
        <w:rPr>
          <w:rFonts w:ascii="Times New Roman" w:hAnsi="Times New Roman" w:cs="Times New Roman"/>
          <w:sz w:val="28"/>
          <w:szCs w:val="28"/>
          <w:lang w:val="kk-KZ"/>
        </w:rPr>
        <w:t>16</w:t>
      </w:r>
      <w:r w:rsidRPr="001935D0">
        <w:rPr>
          <w:rFonts w:ascii="Times New Roman" w:hAnsi="Times New Roman" w:cs="Times New Roman"/>
          <w:sz w:val="28"/>
          <w:szCs w:val="28"/>
        </w:rPr>
        <w:t>].</w:t>
      </w:r>
    </w:p>
    <w:p w14:paraId="5155BBC2" w14:textId="77777777" w:rsidR="00807861" w:rsidRPr="001935D0" w:rsidRDefault="00807861" w:rsidP="00807861">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Анализируя сравнительные данные по странам Центральной Азии, необходимо отметить, что Республика Казахстан продолжает демонстрировать двойственность в области прав человека. С одной стороны, после событий января 2022 года были инициированы значимые реформы: частичная декриминализация домашнего насилия, принятие закона о борьбе с торговлей людьми, а также запуск в феврале 2024 года Плана действий в области прав человека, охватывающего вопросы гендерного насилия, реформу уголовного правосудия и запрет пыток. Однако при сохранении политической централизации политический плюрализм остаётся ограниченным, а новый закон о средствах массовой информации, принятый в 2024 году, противоречит международным обязательствам Республики Казахстан. В ответ Европейский </w:t>
      </w:r>
      <w:r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продолжает реализацию Дорожной карты по взаимодействию с неправительственными организациями и финансирует проекты, направленные на защиту свободы выражения мнений, поддержку уязвимых групп и развитие общественного диалога.</w:t>
      </w:r>
    </w:p>
    <w:p w14:paraId="6A436565" w14:textId="77777777" w:rsidR="00807861" w:rsidRPr="00807861" w:rsidRDefault="00807861" w:rsidP="00AE60C9">
      <w:pPr>
        <w:pStyle w:val="NoSpacing"/>
        <w:ind w:firstLine="709"/>
        <w:jc w:val="both"/>
        <w:rPr>
          <w:rFonts w:ascii="Times New Roman" w:hAnsi="Times New Roman" w:cs="Times New Roman"/>
          <w:sz w:val="28"/>
          <w:szCs w:val="28"/>
          <w:lang w:val="kk-KZ"/>
        </w:rPr>
      </w:pPr>
    </w:p>
    <w:p w14:paraId="407D9A96" w14:textId="77777777" w:rsidR="00E94B29" w:rsidRPr="001935D0" w:rsidRDefault="00E94B29" w:rsidP="00593711">
      <w:pPr>
        <w:pStyle w:val="NoSpacing"/>
        <w:rPr>
          <w:rFonts w:ascii="Times New Roman" w:hAnsi="Times New Roman" w:cs="Times New Roman"/>
        </w:rPr>
      </w:pPr>
    </w:p>
    <w:p w14:paraId="2DA050E6" w14:textId="613166D1" w:rsidR="00E94B29" w:rsidRDefault="00E94B29" w:rsidP="00AE60C9">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2.18 </w:t>
      </w:r>
      <w:r w:rsidR="00AE60C9">
        <w:rPr>
          <w:rFonts w:ascii="Times New Roman" w:hAnsi="Times New Roman" w:cs="Times New Roman"/>
          <w:sz w:val="28"/>
          <w:szCs w:val="28"/>
        </w:rPr>
        <w:t>‒</w:t>
      </w:r>
      <w:r w:rsidR="00AE60C9">
        <w:rPr>
          <w:rFonts w:ascii="Times New Roman" w:hAnsi="Times New Roman" w:cs="Times New Roman"/>
          <w:sz w:val="28"/>
          <w:szCs w:val="28"/>
          <w:lang w:val="kk-KZ"/>
        </w:rPr>
        <w:t xml:space="preserve"> </w:t>
      </w:r>
      <w:r w:rsidRPr="001935D0">
        <w:rPr>
          <w:rFonts w:ascii="Times New Roman" w:hAnsi="Times New Roman" w:cs="Times New Roman"/>
          <w:sz w:val="28"/>
          <w:szCs w:val="28"/>
        </w:rPr>
        <w:t>Сравнительный анализ правозащитной ситуации в странах Центральной Азии по данным 2024 Human rights and democracy in the world: Country reports</w:t>
      </w:r>
    </w:p>
    <w:p w14:paraId="3F4256C3" w14:textId="77777777" w:rsidR="00AE60C9" w:rsidRPr="00AE60C9" w:rsidRDefault="00AE60C9" w:rsidP="00AE60C9">
      <w:pPr>
        <w:pStyle w:val="NoSpacing"/>
        <w:jc w:val="right"/>
        <w:rPr>
          <w:rFonts w:ascii="Times New Roman" w:hAnsi="Times New Roman" w:cs="Times New Roman"/>
          <w:sz w:val="16"/>
          <w:szCs w:val="16"/>
          <w:lang w:val="kk-KZ"/>
        </w:rPr>
      </w:pPr>
    </w:p>
    <w:tbl>
      <w:tblPr>
        <w:tblStyle w:val="TableGrid"/>
        <w:tblW w:w="9493" w:type="dxa"/>
        <w:jc w:val="center"/>
        <w:tblLayout w:type="fixed"/>
        <w:tblLook w:val="04A0" w:firstRow="1" w:lastRow="0" w:firstColumn="1" w:lastColumn="0" w:noHBand="0" w:noVBand="1"/>
      </w:tblPr>
      <w:tblGrid>
        <w:gridCol w:w="836"/>
        <w:gridCol w:w="1680"/>
        <w:gridCol w:w="1874"/>
        <w:gridCol w:w="1559"/>
        <w:gridCol w:w="1984"/>
        <w:gridCol w:w="1560"/>
      </w:tblGrid>
      <w:tr w:rsidR="00E94B29" w:rsidRPr="001935D0" w14:paraId="3A30FA38" w14:textId="77777777" w:rsidTr="0027189F">
        <w:trPr>
          <w:cantSplit/>
          <w:trHeight w:val="663"/>
          <w:jc w:val="center"/>
        </w:trPr>
        <w:tc>
          <w:tcPr>
            <w:tcW w:w="836" w:type="dxa"/>
            <w:vAlign w:val="center"/>
          </w:tcPr>
          <w:p w14:paraId="7A4C4A50" w14:textId="77777777" w:rsidR="00E94B29" w:rsidRPr="001935D0" w:rsidRDefault="00E94B29" w:rsidP="00AE60C9">
            <w:pPr>
              <w:pStyle w:val="NoSpacing"/>
              <w:ind w:left="-96" w:right="-110"/>
              <w:jc w:val="center"/>
              <w:rPr>
                <w:rFonts w:ascii="Times New Roman" w:hAnsi="Times New Roman" w:cs="Times New Roman"/>
                <w:sz w:val="24"/>
                <w:szCs w:val="24"/>
              </w:rPr>
            </w:pPr>
            <w:r w:rsidRPr="001935D0">
              <w:rPr>
                <w:rStyle w:val="Strong"/>
                <w:rFonts w:ascii="Times New Roman" w:hAnsi="Times New Roman" w:cs="Times New Roman"/>
                <w:b w:val="0"/>
                <w:bCs w:val="0"/>
                <w:sz w:val="24"/>
                <w:szCs w:val="24"/>
              </w:rPr>
              <w:t>Страна</w:t>
            </w:r>
          </w:p>
        </w:tc>
        <w:tc>
          <w:tcPr>
            <w:tcW w:w="1680" w:type="dxa"/>
            <w:vAlign w:val="center"/>
          </w:tcPr>
          <w:p w14:paraId="5BCBD932" w14:textId="77777777" w:rsidR="00E94B29" w:rsidRPr="001935D0" w:rsidRDefault="00E94B29" w:rsidP="00AE60C9">
            <w:pPr>
              <w:pStyle w:val="NoSpacing"/>
              <w:jc w:val="center"/>
              <w:rPr>
                <w:rFonts w:ascii="Times New Roman" w:hAnsi="Times New Roman" w:cs="Times New Roman"/>
                <w:sz w:val="24"/>
                <w:szCs w:val="24"/>
              </w:rPr>
            </w:pPr>
            <w:r w:rsidRPr="001935D0">
              <w:rPr>
                <w:rStyle w:val="Strong"/>
                <w:rFonts w:ascii="Times New Roman" w:hAnsi="Times New Roman" w:cs="Times New Roman"/>
                <w:b w:val="0"/>
                <w:bCs w:val="0"/>
                <w:sz w:val="24"/>
                <w:szCs w:val="24"/>
              </w:rPr>
              <w:t>Политические права</w:t>
            </w:r>
          </w:p>
        </w:tc>
        <w:tc>
          <w:tcPr>
            <w:tcW w:w="1874" w:type="dxa"/>
            <w:vAlign w:val="center"/>
          </w:tcPr>
          <w:p w14:paraId="36583000" w14:textId="77777777" w:rsidR="00E94B29" w:rsidRPr="001935D0" w:rsidRDefault="00E94B29" w:rsidP="00AE60C9">
            <w:pPr>
              <w:pStyle w:val="NoSpacing"/>
              <w:jc w:val="center"/>
              <w:rPr>
                <w:rFonts w:ascii="Times New Roman" w:hAnsi="Times New Roman" w:cs="Times New Roman"/>
                <w:sz w:val="24"/>
                <w:szCs w:val="24"/>
              </w:rPr>
            </w:pPr>
            <w:r w:rsidRPr="001935D0">
              <w:rPr>
                <w:rStyle w:val="Strong"/>
                <w:rFonts w:ascii="Times New Roman" w:hAnsi="Times New Roman" w:cs="Times New Roman"/>
                <w:b w:val="0"/>
                <w:bCs w:val="0"/>
                <w:sz w:val="24"/>
                <w:szCs w:val="24"/>
              </w:rPr>
              <w:t>Свобода слова и СМИ</w:t>
            </w:r>
          </w:p>
        </w:tc>
        <w:tc>
          <w:tcPr>
            <w:tcW w:w="1559" w:type="dxa"/>
            <w:vAlign w:val="center"/>
          </w:tcPr>
          <w:p w14:paraId="70364BDC" w14:textId="77777777" w:rsidR="00E94B29" w:rsidRPr="001935D0" w:rsidRDefault="00E94B29" w:rsidP="00AE60C9">
            <w:pPr>
              <w:pStyle w:val="NoSpacing"/>
              <w:jc w:val="center"/>
              <w:rPr>
                <w:rFonts w:ascii="Times New Roman" w:hAnsi="Times New Roman" w:cs="Times New Roman"/>
                <w:sz w:val="24"/>
                <w:szCs w:val="24"/>
              </w:rPr>
            </w:pPr>
            <w:r w:rsidRPr="001935D0">
              <w:rPr>
                <w:rStyle w:val="Strong"/>
                <w:rFonts w:ascii="Times New Roman" w:hAnsi="Times New Roman" w:cs="Times New Roman"/>
                <w:b w:val="0"/>
                <w:bCs w:val="0"/>
                <w:sz w:val="24"/>
                <w:szCs w:val="24"/>
              </w:rPr>
              <w:t>Гражданское общество</w:t>
            </w:r>
          </w:p>
        </w:tc>
        <w:tc>
          <w:tcPr>
            <w:tcW w:w="1984" w:type="dxa"/>
            <w:vAlign w:val="center"/>
          </w:tcPr>
          <w:p w14:paraId="6E092B48" w14:textId="77777777" w:rsidR="00E94B29" w:rsidRPr="001935D0" w:rsidRDefault="00E94B29" w:rsidP="00AE60C9">
            <w:pPr>
              <w:pStyle w:val="NoSpacing"/>
              <w:jc w:val="center"/>
              <w:rPr>
                <w:rFonts w:ascii="Times New Roman" w:hAnsi="Times New Roman" w:cs="Times New Roman"/>
                <w:sz w:val="24"/>
                <w:szCs w:val="24"/>
              </w:rPr>
            </w:pPr>
            <w:r w:rsidRPr="001935D0">
              <w:rPr>
                <w:rStyle w:val="Strong"/>
                <w:rFonts w:ascii="Times New Roman" w:hAnsi="Times New Roman" w:cs="Times New Roman"/>
                <w:b w:val="0"/>
                <w:bCs w:val="0"/>
                <w:sz w:val="24"/>
                <w:szCs w:val="24"/>
              </w:rPr>
              <w:t>Международные обязательства</w:t>
            </w:r>
          </w:p>
        </w:tc>
        <w:tc>
          <w:tcPr>
            <w:tcW w:w="1560" w:type="dxa"/>
            <w:vAlign w:val="center"/>
          </w:tcPr>
          <w:p w14:paraId="70CE6CCD" w14:textId="77777777" w:rsidR="00E94B29" w:rsidRPr="001935D0" w:rsidRDefault="00E94B29" w:rsidP="00AE60C9">
            <w:pPr>
              <w:pStyle w:val="NoSpacing"/>
              <w:jc w:val="center"/>
              <w:rPr>
                <w:rFonts w:ascii="Times New Roman" w:hAnsi="Times New Roman" w:cs="Times New Roman"/>
                <w:sz w:val="24"/>
                <w:szCs w:val="24"/>
              </w:rPr>
            </w:pPr>
            <w:r w:rsidRPr="001935D0">
              <w:rPr>
                <w:rStyle w:val="Strong"/>
                <w:rFonts w:ascii="Times New Roman" w:hAnsi="Times New Roman" w:cs="Times New Roman"/>
                <w:b w:val="0"/>
                <w:bCs w:val="0"/>
                <w:sz w:val="24"/>
                <w:szCs w:val="24"/>
              </w:rPr>
              <w:t>Приоритеты ЕС</w:t>
            </w:r>
          </w:p>
        </w:tc>
      </w:tr>
      <w:tr w:rsidR="00E94B29" w:rsidRPr="001935D0" w14:paraId="77DEAF43" w14:textId="77777777" w:rsidTr="00AE60C9">
        <w:trPr>
          <w:cantSplit/>
          <w:trHeight w:val="1134"/>
          <w:jc w:val="center"/>
        </w:trPr>
        <w:tc>
          <w:tcPr>
            <w:tcW w:w="836" w:type="dxa"/>
            <w:textDirection w:val="btLr"/>
            <w:vAlign w:val="center"/>
          </w:tcPr>
          <w:p w14:paraId="03FC1907" w14:textId="77777777" w:rsidR="00E94B29" w:rsidRPr="001935D0" w:rsidRDefault="00E94B29" w:rsidP="00593711">
            <w:pPr>
              <w:pStyle w:val="NoSpacing"/>
              <w:ind w:left="113" w:right="113"/>
              <w:rPr>
                <w:rFonts w:ascii="Times New Roman" w:hAnsi="Times New Roman" w:cs="Times New Roman"/>
                <w:sz w:val="24"/>
                <w:szCs w:val="24"/>
              </w:rPr>
            </w:pPr>
            <w:r w:rsidRPr="001935D0">
              <w:rPr>
                <w:rStyle w:val="Strong"/>
                <w:rFonts w:ascii="Times New Roman" w:hAnsi="Times New Roman" w:cs="Times New Roman"/>
                <w:b w:val="0"/>
                <w:bCs w:val="0"/>
                <w:sz w:val="24"/>
                <w:szCs w:val="24"/>
              </w:rPr>
              <w:lastRenderedPageBreak/>
              <w:t>Казахстан</w:t>
            </w:r>
          </w:p>
        </w:tc>
        <w:tc>
          <w:tcPr>
            <w:tcW w:w="1680" w:type="dxa"/>
            <w:vAlign w:val="center"/>
          </w:tcPr>
          <w:p w14:paraId="7958DD7C" w14:textId="38E4CFBA"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Ограничен</w:t>
            </w:r>
            <w:r w:rsidR="00AE60C9">
              <w:rPr>
                <w:rFonts w:ascii="Times New Roman" w:hAnsi="Times New Roman" w:cs="Times New Roman"/>
                <w:sz w:val="24"/>
                <w:szCs w:val="24"/>
                <w:lang w:val="kk-KZ"/>
              </w:rPr>
              <w:t xml:space="preserve"> </w:t>
            </w:r>
            <w:r w:rsidRPr="001935D0">
              <w:rPr>
                <w:rFonts w:ascii="Times New Roman" w:hAnsi="Times New Roman" w:cs="Times New Roman"/>
                <w:sz w:val="24"/>
                <w:szCs w:val="24"/>
              </w:rPr>
              <w:t>ный плюрализм, стагнация реформ</w:t>
            </w:r>
          </w:p>
        </w:tc>
        <w:tc>
          <w:tcPr>
            <w:tcW w:w="1874" w:type="dxa"/>
            <w:vAlign w:val="center"/>
          </w:tcPr>
          <w:p w14:paraId="6135C3DF" w14:textId="3D01DC86"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Новый закон ограничивает свободу прес</w:t>
            </w:r>
            <w:r w:rsidR="00AE60C9">
              <w:rPr>
                <w:rFonts w:ascii="Times New Roman" w:hAnsi="Times New Roman" w:cs="Times New Roman"/>
                <w:sz w:val="24"/>
                <w:szCs w:val="24"/>
                <w:lang w:val="kk-KZ"/>
              </w:rPr>
              <w:t xml:space="preserve"> </w:t>
            </w:r>
            <w:r w:rsidRPr="001935D0">
              <w:rPr>
                <w:rFonts w:ascii="Times New Roman" w:hAnsi="Times New Roman" w:cs="Times New Roman"/>
                <w:sz w:val="24"/>
                <w:szCs w:val="24"/>
              </w:rPr>
              <w:t>сы, преследования журналистов</w:t>
            </w:r>
          </w:p>
        </w:tc>
        <w:tc>
          <w:tcPr>
            <w:tcW w:w="1559" w:type="dxa"/>
            <w:vAlign w:val="center"/>
          </w:tcPr>
          <w:p w14:paraId="66A83C84"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Частичное участие НПО, высокий уровень контроля</w:t>
            </w:r>
          </w:p>
        </w:tc>
        <w:tc>
          <w:tcPr>
            <w:tcW w:w="1984" w:type="dxa"/>
            <w:vAlign w:val="center"/>
          </w:tcPr>
          <w:p w14:paraId="5F26937B"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УПР, ратифицированы ключевые конвенции ООН</w:t>
            </w:r>
          </w:p>
        </w:tc>
        <w:tc>
          <w:tcPr>
            <w:tcW w:w="1560" w:type="dxa"/>
            <w:vAlign w:val="center"/>
          </w:tcPr>
          <w:p w14:paraId="65F4B55D" w14:textId="6B6C6829"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Борьба с пыт</w:t>
            </w:r>
            <w:r w:rsidR="00AE60C9">
              <w:rPr>
                <w:rFonts w:ascii="Times New Roman" w:hAnsi="Times New Roman" w:cs="Times New Roman"/>
                <w:sz w:val="24"/>
                <w:szCs w:val="24"/>
                <w:lang w:val="kk-KZ"/>
              </w:rPr>
              <w:t xml:space="preserve"> </w:t>
            </w:r>
            <w:r w:rsidRPr="001935D0">
              <w:rPr>
                <w:rFonts w:ascii="Times New Roman" w:hAnsi="Times New Roman" w:cs="Times New Roman"/>
                <w:sz w:val="24"/>
                <w:szCs w:val="24"/>
              </w:rPr>
              <w:t>ками, гендер</w:t>
            </w:r>
            <w:r w:rsidR="00AE60C9">
              <w:rPr>
                <w:rFonts w:ascii="Times New Roman" w:hAnsi="Times New Roman" w:cs="Times New Roman"/>
                <w:sz w:val="24"/>
                <w:szCs w:val="24"/>
                <w:lang w:val="kk-KZ"/>
              </w:rPr>
              <w:t xml:space="preserve"> </w:t>
            </w:r>
            <w:r w:rsidRPr="001935D0">
              <w:rPr>
                <w:rFonts w:ascii="Times New Roman" w:hAnsi="Times New Roman" w:cs="Times New Roman"/>
                <w:sz w:val="24"/>
                <w:szCs w:val="24"/>
              </w:rPr>
              <w:t>ное насилие, поддержка ЛГБТИ</w:t>
            </w:r>
          </w:p>
        </w:tc>
      </w:tr>
      <w:tr w:rsidR="00E94B29" w:rsidRPr="001935D0" w14:paraId="7BE91F50" w14:textId="77777777" w:rsidTr="00AE60C9">
        <w:trPr>
          <w:cantSplit/>
          <w:trHeight w:val="1134"/>
          <w:jc w:val="center"/>
        </w:trPr>
        <w:tc>
          <w:tcPr>
            <w:tcW w:w="836" w:type="dxa"/>
            <w:textDirection w:val="btLr"/>
            <w:vAlign w:val="center"/>
          </w:tcPr>
          <w:p w14:paraId="34F68E8F" w14:textId="77777777" w:rsidR="00E94B29" w:rsidRPr="001935D0" w:rsidRDefault="00E94B29" w:rsidP="0027189F">
            <w:pPr>
              <w:pStyle w:val="NoSpacing"/>
              <w:ind w:left="113" w:right="113"/>
              <w:jc w:val="center"/>
              <w:rPr>
                <w:rFonts w:ascii="Times New Roman" w:hAnsi="Times New Roman" w:cs="Times New Roman"/>
                <w:sz w:val="24"/>
                <w:szCs w:val="24"/>
              </w:rPr>
            </w:pPr>
            <w:r w:rsidRPr="001935D0">
              <w:rPr>
                <w:rStyle w:val="Strong"/>
                <w:rFonts w:ascii="Times New Roman" w:hAnsi="Times New Roman" w:cs="Times New Roman"/>
                <w:b w:val="0"/>
                <w:bCs w:val="0"/>
                <w:sz w:val="24"/>
                <w:szCs w:val="24"/>
              </w:rPr>
              <w:t>Кыргызстан</w:t>
            </w:r>
          </w:p>
        </w:tc>
        <w:tc>
          <w:tcPr>
            <w:tcW w:w="1680" w:type="dxa"/>
            <w:vAlign w:val="center"/>
          </w:tcPr>
          <w:p w14:paraId="71C7C91B" w14:textId="6409FD6D"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Усиление репрессий, закон об «и</w:t>
            </w:r>
            <w:r w:rsidR="0027189F">
              <w:rPr>
                <w:rFonts w:ascii="Times New Roman" w:hAnsi="Times New Roman" w:cs="Times New Roman"/>
                <w:sz w:val="24"/>
                <w:szCs w:val="24"/>
                <w:lang w:val="kk-KZ"/>
              </w:rPr>
              <w:t xml:space="preserve"> </w:t>
            </w:r>
            <w:r w:rsidRPr="001935D0">
              <w:rPr>
                <w:rFonts w:ascii="Times New Roman" w:hAnsi="Times New Roman" w:cs="Times New Roman"/>
                <w:sz w:val="24"/>
                <w:szCs w:val="24"/>
              </w:rPr>
              <w:t>ностранных предста</w:t>
            </w:r>
            <w:r w:rsidR="0027189F">
              <w:rPr>
                <w:rFonts w:ascii="Times New Roman" w:hAnsi="Times New Roman" w:cs="Times New Roman"/>
                <w:sz w:val="24"/>
                <w:szCs w:val="24"/>
                <w:lang w:val="kk-KZ"/>
              </w:rPr>
              <w:t xml:space="preserve"> </w:t>
            </w:r>
            <w:r w:rsidRPr="001935D0">
              <w:rPr>
                <w:rFonts w:ascii="Times New Roman" w:hAnsi="Times New Roman" w:cs="Times New Roman"/>
                <w:sz w:val="24"/>
                <w:szCs w:val="24"/>
              </w:rPr>
              <w:t>вителях»</w:t>
            </w:r>
          </w:p>
        </w:tc>
        <w:tc>
          <w:tcPr>
            <w:tcW w:w="1874" w:type="dxa"/>
            <w:vAlign w:val="center"/>
          </w:tcPr>
          <w:p w14:paraId="187B03C0"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Преследования медиа, блокировка независимых СМИ</w:t>
            </w:r>
          </w:p>
        </w:tc>
        <w:tc>
          <w:tcPr>
            <w:tcW w:w="1559" w:type="dxa"/>
            <w:vAlign w:val="center"/>
          </w:tcPr>
          <w:p w14:paraId="424BA8CD"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Самороспуск НПО, атмосфера страха</w:t>
            </w:r>
          </w:p>
        </w:tc>
        <w:tc>
          <w:tcPr>
            <w:tcW w:w="1984" w:type="dxa"/>
            <w:vAlign w:val="center"/>
          </w:tcPr>
          <w:p w14:paraId="6B97A852"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Участие в GSP+, взаимодействие с ОБСЕ и Венецианской комиссией</w:t>
            </w:r>
          </w:p>
        </w:tc>
        <w:tc>
          <w:tcPr>
            <w:tcW w:w="1560" w:type="dxa"/>
            <w:vAlign w:val="center"/>
          </w:tcPr>
          <w:p w14:paraId="3421488D"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Поддержка омбудсмена, проекты для молодёжи, цифровые права</w:t>
            </w:r>
          </w:p>
        </w:tc>
      </w:tr>
      <w:tr w:rsidR="00E94B29" w:rsidRPr="001935D0" w14:paraId="64D23790" w14:textId="77777777" w:rsidTr="00AE60C9">
        <w:trPr>
          <w:cantSplit/>
          <w:trHeight w:val="1777"/>
          <w:jc w:val="center"/>
        </w:trPr>
        <w:tc>
          <w:tcPr>
            <w:tcW w:w="836" w:type="dxa"/>
            <w:textDirection w:val="btLr"/>
            <w:vAlign w:val="center"/>
          </w:tcPr>
          <w:p w14:paraId="396334F4" w14:textId="77777777" w:rsidR="00E94B29" w:rsidRPr="001935D0" w:rsidRDefault="00E94B29" w:rsidP="00593711">
            <w:pPr>
              <w:pStyle w:val="NoSpacing"/>
              <w:ind w:left="113" w:right="113"/>
              <w:rPr>
                <w:rFonts w:ascii="Times New Roman" w:hAnsi="Times New Roman" w:cs="Times New Roman"/>
                <w:sz w:val="24"/>
                <w:szCs w:val="24"/>
              </w:rPr>
            </w:pPr>
            <w:r w:rsidRPr="001935D0">
              <w:rPr>
                <w:rStyle w:val="Strong"/>
                <w:rFonts w:ascii="Times New Roman" w:hAnsi="Times New Roman" w:cs="Times New Roman"/>
                <w:b w:val="0"/>
                <w:bCs w:val="0"/>
                <w:sz w:val="24"/>
                <w:szCs w:val="24"/>
              </w:rPr>
              <w:t>Узбекистан</w:t>
            </w:r>
          </w:p>
        </w:tc>
        <w:tc>
          <w:tcPr>
            <w:tcW w:w="1680" w:type="dxa"/>
            <w:vAlign w:val="center"/>
          </w:tcPr>
          <w:p w14:paraId="2DF335E8"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Формальные выборы, слабая партийная конкуренция</w:t>
            </w:r>
          </w:p>
        </w:tc>
        <w:tc>
          <w:tcPr>
            <w:tcW w:w="1874" w:type="dxa"/>
            <w:vAlign w:val="center"/>
          </w:tcPr>
          <w:p w14:paraId="6667C0C6" w14:textId="46BCBB0C"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Усиление давления на журналистов, ограниченный доступ к регист</w:t>
            </w:r>
            <w:r w:rsidR="0027189F">
              <w:rPr>
                <w:rFonts w:ascii="Times New Roman" w:hAnsi="Times New Roman" w:cs="Times New Roman"/>
                <w:sz w:val="24"/>
                <w:szCs w:val="24"/>
                <w:lang w:val="kk-KZ"/>
              </w:rPr>
              <w:t xml:space="preserve"> </w:t>
            </w:r>
            <w:r w:rsidRPr="001935D0">
              <w:rPr>
                <w:rFonts w:ascii="Times New Roman" w:hAnsi="Times New Roman" w:cs="Times New Roman"/>
                <w:sz w:val="24"/>
                <w:szCs w:val="24"/>
              </w:rPr>
              <w:t>рации НПО</w:t>
            </w:r>
          </w:p>
        </w:tc>
        <w:tc>
          <w:tcPr>
            <w:tcW w:w="1559" w:type="dxa"/>
            <w:vAlign w:val="center"/>
          </w:tcPr>
          <w:p w14:paraId="355B4E50"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Доступ ограничен зарегистрированным организациям</w:t>
            </w:r>
          </w:p>
        </w:tc>
        <w:tc>
          <w:tcPr>
            <w:tcW w:w="1984" w:type="dxa"/>
            <w:vAlign w:val="center"/>
          </w:tcPr>
          <w:p w14:paraId="0AD81980"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УПР, участие в мониторинге GSP+</w:t>
            </w:r>
          </w:p>
        </w:tc>
        <w:tc>
          <w:tcPr>
            <w:tcW w:w="1560" w:type="dxa"/>
            <w:vAlign w:val="center"/>
          </w:tcPr>
          <w:p w14:paraId="1F56ED16"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Репатриация детей, участие молодёжи, гендерные инициативы</w:t>
            </w:r>
          </w:p>
        </w:tc>
      </w:tr>
      <w:tr w:rsidR="00E94B29" w:rsidRPr="001935D0" w14:paraId="1A6EDA9E" w14:textId="77777777" w:rsidTr="0027189F">
        <w:trPr>
          <w:cantSplit/>
          <w:trHeight w:val="1134"/>
          <w:jc w:val="center"/>
        </w:trPr>
        <w:tc>
          <w:tcPr>
            <w:tcW w:w="836" w:type="dxa"/>
            <w:tcBorders>
              <w:bottom w:val="nil"/>
            </w:tcBorders>
            <w:textDirection w:val="btLr"/>
            <w:vAlign w:val="center"/>
          </w:tcPr>
          <w:p w14:paraId="6FAA6F98" w14:textId="77777777" w:rsidR="00E94B29" w:rsidRPr="001935D0" w:rsidRDefault="00E94B29" w:rsidP="0027189F">
            <w:pPr>
              <w:pStyle w:val="NoSpacing"/>
              <w:ind w:left="113" w:right="113"/>
              <w:jc w:val="center"/>
              <w:rPr>
                <w:rFonts w:ascii="Times New Roman" w:hAnsi="Times New Roman" w:cs="Times New Roman"/>
                <w:sz w:val="24"/>
                <w:szCs w:val="24"/>
              </w:rPr>
            </w:pPr>
            <w:r w:rsidRPr="001935D0">
              <w:rPr>
                <w:rStyle w:val="Strong"/>
                <w:rFonts w:ascii="Times New Roman" w:hAnsi="Times New Roman" w:cs="Times New Roman"/>
                <w:b w:val="0"/>
                <w:bCs w:val="0"/>
                <w:sz w:val="24"/>
                <w:szCs w:val="24"/>
              </w:rPr>
              <w:t>Таджикистан</w:t>
            </w:r>
          </w:p>
        </w:tc>
        <w:tc>
          <w:tcPr>
            <w:tcW w:w="1680" w:type="dxa"/>
            <w:tcBorders>
              <w:bottom w:val="nil"/>
            </w:tcBorders>
            <w:vAlign w:val="center"/>
          </w:tcPr>
          <w:p w14:paraId="788803B7" w14:textId="0957F7D9" w:rsidR="00E94B29" w:rsidRPr="001935D0" w:rsidRDefault="00E94B29" w:rsidP="0027189F">
            <w:pPr>
              <w:pStyle w:val="NoSpacing"/>
              <w:ind w:right="-72"/>
              <w:rPr>
                <w:rFonts w:ascii="Times New Roman" w:hAnsi="Times New Roman" w:cs="Times New Roman"/>
                <w:sz w:val="24"/>
                <w:szCs w:val="24"/>
              </w:rPr>
            </w:pPr>
            <w:r w:rsidRPr="001935D0">
              <w:rPr>
                <w:rFonts w:ascii="Times New Roman" w:hAnsi="Times New Roman" w:cs="Times New Roman"/>
                <w:sz w:val="24"/>
                <w:szCs w:val="24"/>
              </w:rPr>
              <w:t>Авторитаризм, жёсткий контроль, прес</w:t>
            </w:r>
            <w:r w:rsidR="0027189F">
              <w:rPr>
                <w:rFonts w:ascii="Times New Roman" w:hAnsi="Times New Roman" w:cs="Times New Roman"/>
                <w:sz w:val="24"/>
                <w:szCs w:val="24"/>
                <w:lang w:val="kk-KZ"/>
              </w:rPr>
              <w:t xml:space="preserve"> </w:t>
            </w:r>
            <w:r w:rsidRPr="001935D0">
              <w:rPr>
                <w:rFonts w:ascii="Times New Roman" w:hAnsi="Times New Roman" w:cs="Times New Roman"/>
                <w:sz w:val="24"/>
                <w:szCs w:val="24"/>
              </w:rPr>
              <w:t>ледование активистов</w:t>
            </w:r>
          </w:p>
        </w:tc>
        <w:tc>
          <w:tcPr>
            <w:tcW w:w="1874" w:type="dxa"/>
            <w:tcBorders>
              <w:bottom w:val="nil"/>
            </w:tcBorders>
            <w:vAlign w:val="center"/>
          </w:tcPr>
          <w:p w14:paraId="15037A18"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0 баллов Freedom House, аресты блогеров</w:t>
            </w:r>
          </w:p>
        </w:tc>
        <w:tc>
          <w:tcPr>
            <w:tcW w:w="1559" w:type="dxa"/>
            <w:tcBorders>
              <w:bottom w:val="nil"/>
            </w:tcBorders>
            <w:vAlign w:val="center"/>
          </w:tcPr>
          <w:p w14:paraId="416FB2E0"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Разгром НПО, массовые закрытия</w:t>
            </w:r>
          </w:p>
        </w:tc>
        <w:tc>
          <w:tcPr>
            <w:tcW w:w="1984" w:type="dxa"/>
            <w:tcBorders>
              <w:bottom w:val="nil"/>
            </w:tcBorders>
            <w:vAlign w:val="center"/>
          </w:tcPr>
          <w:p w14:paraId="752E1224"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Работа спецдокладчиков ООН, участие в УПР</w:t>
            </w:r>
          </w:p>
        </w:tc>
        <w:tc>
          <w:tcPr>
            <w:tcW w:w="1560" w:type="dxa"/>
            <w:tcBorders>
              <w:bottom w:val="nil"/>
            </w:tcBorders>
            <w:vAlign w:val="center"/>
          </w:tcPr>
          <w:p w14:paraId="037AD5F5" w14:textId="6E4C373B"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Поддержка женщин, судебная реформа, права зак</w:t>
            </w:r>
            <w:r w:rsidR="0027189F">
              <w:rPr>
                <w:rFonts w:ascii="Times New Roman" w:hAnsi="Times New Roman" w:cs="Times New Roman"/>
                <w:sz w:val="24"/>
                <w:szCs w:val="24"/>
                <w:lang w:val="kk-KZ"/>
              </w:rPr>
              <w:t xml:space="preserve"> </w:t>
            </w:r>
            <w:r w:rsidRPr="001935D0">
              <w:rPr>
                <w:rFonts w:ascii="Times New Roman" w:hAnsi="Times New Roman" w:cs="Times New Roman"/>
                <w:sz w:val="24"/>
                <w:szCs w:val="24"/>
              </w:rPr>
              <w:t>лючённых</w:t>
            </w:r>
          </w:p>
        </w:tc>
      </w:tr>
      <w:tr w:rsidR="00E94B29" w:rsidRPr="001935D0" w14:paraId="4EF6AFDA" w14:textId="77777777" w:rsidTr="00AE60C9">
        <w:trPr>
          <w:cantSplit/>
          <w:trHeight w:val="1703"/>
          <w:jc w:val="center"/>
        </w:trPr>
        <w:tc>
          <w:tcPr>
            <w:tcW w:w="836" w:type="dxa"/>
            <w:textDirection w:val="btLr"/>
            <w:vAlign w:val="center"/>
          </w:tcPr>
          <w:p w14:paraId="29C5A53C" w14:textId="77777777" w:rsidR="00E94B29" w:rsidRPr="001935D0" w:rsidRDefault="00E94B29" w:rsidP="00593711">
            <w:pPr>
              <w:pStyle w:val="NoSpacing"/>
              <w:ind w:left="113" w:right="113"/>
              <w:rPr>
                <w:rFonts w:ascii="Times New Roman" w:hAnsi="Times New Roman" w:cs="Times New Roman"/>
                <w:sz w:val="24"/>
                <w:szCs w:val="24"/>
              </w:rPr>
            </w:pPr>
            <w:r w:rsidRPr="001935D0">
              <w:rPr>
                <w:rStyle w:val="Strong"/>
                <w:rFonts w:ascii="Times New Roman" w:hAnsi="Times New Roman" w:cs="Times New Roman"/>
                <w:b w:val="0"/>
                <w:bCs w:val="0"/>
                <w:sz w:val="24"/>
                <w:szCs w:val="24"/>
              </w:rPr>
              <w:t>Туркменистан</w:t>
            </w:r>
          </w:p>
        </w:tc>
        <w:tc>
          <w:tcPr>
            <w:tcW w:w="1680" w:type="dxa"/>
            <w:vAlign w:val="center"/>
          </w:tcPr>
          <w:p w14:paraId="1E60AD5D"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Закрытость, запреты на перемещения</w:t>
            </w:r>
          </w:p>
        </w:tc>
        <w:tc>
          <w:tcPr>
            <w:tcW w:w="1874" w:type="dxa"/>
            <w:vAlign w:val="center"/>
          </w:tcPr>
          <w:p w14:paraId="7DE795F5" w14:textId="439EF911"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Жёсткая цензура, криминали</w:t>
            </w:r>
            <w:r w:rsidR="0027189F">
              <w:rPr>
                <w:rFonts w:ascii="Times New Roman" w:hAnsi="Times New Roman" w:cs="Times New Roman"/>
                <w:sz w:val="24"/>
                <w:szCs w:val="24"/>
                <w:lang w:val="kk-KZ"/>
              </w:rPr>
              <w:t xml:space="preserve"> </w:t>
            </w:r>
            <w:r w:rsidRPr="001935D0">
              <w:rPr>
                <w:rFonts w:ascii="Times New Roman" w:hAnsi="Times New Roman" w:cs="Times New Roman"/>
                <w:sz w:val="24"/>
                <w:szCs w:val="24"/>
              </w:rPr>
              <w:t>зация ЛГБТИ</w:t>
            </w:r>
          </w:p>
        </w:tc>
        <w:tc>
          <w:tcPr>
            <w:tcW w:w="1559" w:type="dxa"/>
            <w:vAlign w:val="center"/>
          </w:tcPr>
          <w:p w14:paraId="3870DBA7"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Начало ограниченной поддержки НПО</w:t>
            </w:r>
          </w:p>
        </w:tc>
        <w:tc>
          <w:tcPr>
            <w:tcW w:w="1984" w:type="dxa"/>
            <w:vAlign w:val="center"/>
          </w:tcPr>
          <w:p w14:paraId="5CA7750D"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Отсутствие визитов ООН, низкий уровень участия</w:t>
            </w:r>
          </w:p>
        </w:tc>
        <w:tc>
          <w:tcPr>
            <w:tcW w:w="1560" w:type="dxa"/>
            <w:vAlign w:val="center"/>
          </w:tcPr>
          <w:p w14:paraId="1F425655" w14:textId="7825223A"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Борьба с торговлей людьми, ген</w:t>
            </w:r>
            <w:r w:rsidR="0027189F">
              <w:rPr>
                <w:rFonts w:ascii="Times New Roman" w:hAnsi="Times New Roman" w:cs="Times New Roman"/>
                <w:sz w:val="24"/>
                <w:szCs w:val="24"/>
                <w:lang w:val="kk-KZ"/>
              </w:rPr>
              <w:t xml:space="preserve"> </w:t>
            </w:r>
            <w:r w:rsidRPr="001935D0">
              <w:rPr>
                <w:rFonts w:ascii="Times New Roman" w:hAnsi="Times New Roman" w:cs="Times New Roman"/>
                <w:sz w:val="24"/>
                <w:szCs w:val="24"/>
              </w:rPr>
              <w:t>дерное равен</w:t>
            </w:r>
            <w:r w:rsidR="0027189F">
              <w:rPr>
                <w:rFonts w:ascii="Times New Roman" w:hAnsi="Times New Roman" w:cs="Times New Roman"/>
                <w:sz w:val="24"/>
                <w:szCs w:val="24"/>
                <w:lang w:val="kk-KZ"/>
              </w:rPr>
              <w:t xml:space="preserve"> </w:t>
            </w:r>
            <w:r w:rsidRPr="001935D0">
              <w:rPr>
                <w:rFonts w:ascii="Times New Roman" w:hAnsi="Times New Roman" w:cs="Times New Roman"/>
                <w:sz w:val="24"/>
                <w:szCs w:val="24"/>
              </w:rPr>
              <w:t>ство, проек</w:t>
            </w:r>
            <w:r w:rsidR="0027189F">
              <w:rPr>
                <w:rFonts w:ascii="Times New Roman" w:hAnsi="Times New Roman" w:cs="Times New Roman"/>
                <w:sz w:val="24"/>
                <w:szCs w:val="24"/>
                <w:lang w:val="kk-KZ"/>
              </w:rPr>
              <w:t xml:space="preserve"> </w:t>
            </w:r>
            <w:r w:rsidRPr="001935D0">
              <w:rPr>
                <w:rFonts w:ascii="Times New Roman" w:hAnsi="Times New Roman" w:cs="Times New Roman"/>
                <w:sz w:val="24"/>
                <w:szCs w:val="24"/>
              </w:rPr>
              <w:t>ты НПО</w:t>
            </w:r>
          </w:p>
        </w:tc>
      </w:tr>
      <w:tr w:rsidR="0027189F" w:rsidRPr="001935D0" w14:paraId="4F9985C2" w14:textId="77777777" w:rsidTr="0027189F">
        <w:trPr>
          <w:cantSplit/>
          <w:trHeight w:val="56"/>
          <w:jc w:val="center"/>
        </w:trPr>
        <w:tc>
          <w:tcPr>
            <w:tcW w:w="9493" w:type="dxa"/>
            <w:gridSpan w:val="6"/>
            <w:vAlign w:val="center"/>
          </w:tcPr>
          <w:p w14:paraId="25ABEC6B" w14:textId="32220D39" w:rsidR="0027189F" w:rsidRPr="0027189F" w:rsidRDefault="0027189F" w:rsidP="005B2792">
            <w:pPr>
              <w:pStyle w:val="NoSpacing"/>
              <w:ind w:firstLine="52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w:t>
            </w:r>
            <w:r>
              <w:rPr>
                <w:rFonts w:ascii="Times New Roman" w:hAnsi="Times New Roman" w:cs="Times New Roman"/>
                <w:sz w:val="24"/>
                <w:szCs w:val="24"/>
              </w:rPr>
              <w:t>тавлено автором по данным [1</w:t>
            </w:r>
            <w:r w:rsidR="005B2792">
              <w:rPr>
                <w:rFonts w:ascii="Times New Roman" w:hAnsi="Times New Roman" w:cs="Times New Roman"/>
                <w:sz w:val="24"/>
                <w:szCs w:val="24"/>
                <w:lang w:val="kk-KZ"/>
              </w:rPr>
              <w:t>16</w:t>
            </w:r>
            <w:r>
              <w:rPr>
                <w:rFonts w:ascii="Times New Roman" w:hAnsi="Times New Roman" w:cs="Times New Roman"/>
                <w:sz w:val="24"/>
                <w:szCs w:val="24"/>
              </w:rPr>
              <w:t>]</w:t>
            </w:r>
          </w:p>
        </w:tc>
      </w:tr>
    </w:tbl>
    <w:p w14:paraId="6EA1E722" w14:textId="77777777" w:rsidR="00E94B29" w:rsidRPr="001935D0" w:rsidRDefault="00E94B29" w:rsidP="00593711">
      <w:pPr>
        <w:pStyle w:val="NoSpacing"/>
        <w:ind w:firstLine="567"/>
        <w:jc w:val="both"/>
        <w:rPr>
          <w:rStyle w:val="Strong"/>
          <w:rFonts w:ascii="Times New Roman" w:hAnsi="Times New Roman" w:cs="Times New Roman"/>
          <w:b w:val="0"/>
          <w:bCs w:val="0"/>
          <w:sz w:val="28"/>
          <w:szCs w:val="28"/>
        </w:rPr>
      </w:pPr>
    </w:p>
    <w:p w14:paraId="5D50175F" w14:textId="528D1019"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На этом фоне Кыргызская Республика демонстрирует ухудшение правозащитной ситуации. Принятие в апреле 2024 года закона об «иностранных представителях» спровоцировало отток неправительственных организаций, а также преследование журналистов и правозащитников [14</w:t>
      </w:r>
      <w:r w:rsidR="005B2792">
        <w:rPr>
          <w:rFonts w:ascii="Times New Roman" w:hAnsi="Times New Roman" w:cs="Times New Roman"/>
          <w:sz w:val="28"/>
          <w:szCs w:val="28"/>
          <w:lang w:val="kk-KZ"/>
        </w:rPr>
        <w:t>3</w:t>
      </w:r>
      <w:r w:rsidRPr="001935D0">
        <w:rPr>
          <w:rFonts w:ascii="Times New Roman" w:hAnsi="Times New Roman" w:cs="Times New Roman"/>
          <w:sz w:val="28"/>
          <w:szCs w:val="28"/>
        </w:rPr>
        <w:t xml:space="preserve">].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выразил обеспокоенность в связи с арестами сотрудников независимого издания Temirov Live, одновременно усилив поддержку института омбудсмена и независимого мониторинга в рамках Всеобщей системы преференций «плюс», с особым вниманием к молодежным, гендерным и просветительским инициативам в отдалённых регионах.</w:t>
      </w:r>
    </w:p>
    <w:p w14:paraId="649D6D61" w14:textId="77EA5A30"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Республике Узбекистан, несмотря на определённые социальные подвижки – в частности, в сфере защиты от насилия и ратификации конвенций Международной организации труда, – сохраняется высокий уровень закрытости и ограничений на деятельность независимых средств массовой информации и неправительственных организаций.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 продолжает взаимодействие с гражданскими активистами, организует дипломатическое </w:t>
      </w:r>
      <w:r w:rsidRPr="001935D0">
        <w:rPr>
          <w:rFonts w:ascii="Times New Roman" w:hAnsi="Times New Roman" w:cs="Times New Roman"/>
          <w:sz w:val="28"/>
          <w:szCs w:val="28"/>
        </w:rPr>
        <w:lastRenderedPageBreak/>
        <w:t>присутствие на судебных заседаниях и поддерживает инициативы в области прав женщин, цифровой грамотности и репатриации уязвимых групп.</w:t>
      </w:r>
    </w:p>
    <w:p w14:paraId="067A023A" w14:textId="41EEDF6E"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Республика Таджикистан характеризуется устойчивой репрессивной политикой: отсутствием политической конкуренции, уголовным преследованием правозащитников, запретами на религиозную символику и усилением репрессий в Горно-Бадахшанской автономной области. В ответ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приостановил продвижение заявки страны на участие во Всеобщей системе преференций «плюс», сохранив при этом поддержку проектов по реформе пенитенциарной системы и защите прав этнических и религиозных меньшинств.</w:t>
      </w:r>
    </w:p>
    <w:p w14:paraId="11B41256" w14:textId="4E3192B3"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Туркменистан остаётся одной из самых закрытых юрисдикций региона. При формальном участии в отдельных мероприятиях Организации по безопасности и сотрудничеству в Европе и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страна избегает системного мониторинга. Вместе с тем Европейский союз впервые инициировал поддержку местных неправительственных организаций – прежде всего в проектах по борьбе с торговлей людьми, расширению прав женщин и экологическому просвещению. Однако сохраняются глубокие ограничения на свободу выражения мнений, свободу вероисповедания и свободу передвижения.</w:t>
      </w:r>
    </w:p>
    <w:p w14:paraId="4430279D" w14:textId="01E889C2"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На этом фоне Республика Казахстан занимает особое место в региональной архитектуре правозащитного диалога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поскольку именно с этой страной действует Соглашение о расширенном партнёрстве и сотрудничестве между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и Республикой Казахстан, вступившее в силу 1 марта 2020 года [148].</w:t>
      </w:r>
      <w:r w:rsidR="00F92F44" w:rsidRPr="00F92F44">
        <w:rPr>
          <w:rFonts w:ascii="Times New Roman" w:hAnsi="Times New Roman" w:cs="Times New Roman"/>
          <w:sz w:val="28"/>
          <w:szCs w:val="28"/>
        </w:rPr>
        <w:t xml:space="preserve"> </w:t>
      </w:r>
      <w:r w:rsidRPr="001935D0">
        <w:rPr>
          <w:rFonts w:ascii="Times New Roman" w:hAnsi="Times New Roman" w:cs="Times New Roman"/>
          <w:sz w:val="28"/>
          <w:szCs w:val="28"/>
        </w:rPr>
        <w:t>Этот документ охватывает 29 приоритетных сфер сотрудничества, включая не только торговлю и инвестиции, но и верховенство права, защиту прав человека, гендерное равенство, развитие гражданского общества и экологическую устойчивость. Несмотря на доминирующий экономический фокус, данное соглашение создаёт институциональную основу для продвижения правозащитной повестки. Важную роль играют отраслевые комитеты, политико-дипломатические консультации и формализованные механизмы оценки соблюдения обязательств.</w:t>
      </w:r>
    </w:p>
    <w:p w14:paraId="066C789F" w14:textId="47B22BEC"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последние годы наблюдается углубление политического диалога между сторонами. Примером может служить визит главы Представительства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в Республике Казахстан Кестутиса Янкаускаса в Министерство иностранных дел Республики Казахстан в 2024 году, в ходе которого обсуждались как вопросы экономического взаимодействия, так и реализация потенциала соглашения в направлении устойчивого развития и социальной модернизации. Участие Республики Казахстан в региональных форматах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и Центральной Азии, включая форумы высокого уровня и совместную разработку дорожных карт, способствует формированию институциональной среды, в которой темы транспарентности, участия гражданского общества и социальной справедливости становятся частью официального диалога.</w:t>
      </w:r>
    </w:p>
    <w:p w14:paraId="0A5C234A" w14:textId="4F1657DA"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Особое значение приобретает экономическое измерение партнёрства.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 является крупнейшим торговым партнёром Казахстана, обеспечивая более четверти его внешнеторгового оборота, и крупнейшим </w:t>
      </w:r>
      <w:r w:rsidRPr="001935D0">
        <w:rPr>
          <w:rFonts w:ascii="Times New Roman" w:hAnsi="Times New Roman" w:cs="Times New Roman"/>
          <w:sz w:val="28"/>
          <w:szCs w:val="28"/>
        </w:rPr>
        <w:lastRenderedPageBreak/>
        <w:t>иностранным инвестором с объёмом накопленных ПИИ в размере €54,8 млрд</w:t>
      </w:r>
      <w:r w:rsidR="0027189F">
        <w:rPr>
          <w:rFonts w:ascii="Times New Roman" w:hAnsi="Times New Roman" w:cs="Times New Roman"/>
          <w:sz w:val="28"/>
          <w:szCs w:val="28"/>
          <w:lang w:val="kk-KZ"/>
        </w:rPr>
        <w:t>.</w:t>
      </w:r>
      <w:r w:rsidRPr="001935D0">
        <w:rPr>
          <w:rFonts w:ascii="Times New Roman" w:hAnsi="Times New Roman" w:cs="Times New Roman"/>
          <w:sz w:val="28"/>
          <w:szCs w:val="28"/>
        </w:rPr>
        <w:t xml:space="preserve"> (2022). В 2024 г. товарооборот между сторонами достиг €45 млрд</w:t>
      </w:r>
      <w:r w:rsidR="0027189F">
        <w:rPr>
          <w:rFonts w:ascii="Times New Roman" w:hAnsi="Times New Roman" w:cs="Times New Roman"/>
          <w:sz w:val="28"/>
          <w:szCs w:val="28"/>
          <w:lang w:val="kk-KZ"/>
        </w:rPr>
        <w:t>.</w:t>
      </w:r>
      <w:r w:rsidRPr="001935D0">
        <w:rPr>
          <w:rFonts w:ascii="Times New Roman" w:hAnsi="Times New Roman" w:cs="Times New Roman"/>
          <w:sz w:val="28"/>
          <w:szCs w:val="28"/>
        </w:rPr>
        <w:t>, что отражает устойчивый рост взаимной торговли и инвестиционного сотрудничества [14</w:t>
      </w:r>
      <w:r w:rsidR="005B2792">
        <w:rPr>
          <w:rFonts w:ascii="Times New Roman" w:hAnsi="Times New Roman" w:cs="Times New Roman"/>
          <w:sz w:val="28"/>
          <w:szCs w:val="28"/>
          <w:lang w:val="kk-KZ"/>
        </w:rPr>
        <w:t>5</w:t>
      </w:r>
      <w:r w:rsidRPr="001935D0">
        <w:rPr>
          <w:rFonts w:ascii="Times New Roman" w:hAnsi="Times New Roman" w:cs="Times New Roman"/>
          <w:sz w:val="28"/>
          <w:szCs w:val="28"/>
        </w:rPr>
        <w:t>]. Таким образом, Соглашение о расширенном партнёрстве и сотрудничестве представляет собой не только юридическую основу, но и практический механизм продвижения прав человека в условиях ограниченной институциональной автономии.</w:t>
      </w:r>
    </w:p>
    <w:p w14:paraId="0BC271DA" w14:textId="3531D269"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долгосрочной перспективе Соглашение о расширенном партнёрстве и сотрудничестве может стать эффективным инструментом стимулирования институциональных реформ в Республике Казахстан, особенно при условии последовательного и дипломатически выверенного давления со стороны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в рамках ежегодных диалогов по правам человека и процедур мониторинга в рамках Универсального периодического обзора, проводимого Организацией Объединённых Наций (табл</w:t>
      </w:r>
      <w:r w:rsidR="0027189F">
        <w:rPr>
          <w:rFonts w:ascii="Times New Roman" w:hAnsi="Times New Roman" w:cs="Times New Roman"/>
          <w:sz w:val="28"/>
          <w:szCs w:val="28"/>
          <w:lang w:val="kk-KZ"/>
        </w:rPr>
        <w:t>ица</w:t>
      </w:r>
      <w:r w:rsidRPr="001935D0">
        <w:rPr>
          <w:rFonts w:ascii="Times New Roman" w:hAnsi="Times New Roman" w:cs="Times New Roman"/>
          <w:sz w:val="28"/>
          <w:szCs w:val="28"/>
        </w:rPr>
        <w:t xml:space="preserve"> 2.19).</w:t>
      </w:r>
    </w:p>
    <w:p w14:paraId="3D9672DD" w14:textId="77777777" w:rsidR="00E94B29" w:rsidRPr="001935D0" w:rsidRDefault="00E94B29" w:rsidP="00593711">
      <w:pPr>
        <w:pStyle w:val="NoSpacing"/>
        <w:rPr>
          <w:rFonts w:ascii="Times New Roman" w:hAnsi="Times New Roman" w:cs="Times New Roman"/>
        </w:rPr>
      </w:pPr>
    </w:p>
    <w:p w14:paraId="4FC16ABE" w14:textId="4FB9D664" w:rsidR="00E94B29" w:rsidRDefault="00E94B29" w:rsidP="0027189F">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2.19 </w:t>
      </w:r>
      <w:r w:rsidR="0027189F">
        <w:rPr>
          <w:rFonts w:ascii="Times New Roman" w:hAnsi="Times New Roman" w:cs="Times New Roman"/>
          <w:sz w:val="28"/>
          <w:szCs w:val="28"/>
          <w:lang w:val="kk-KZ"/>
        </w:rPr>
        <w:t xml:space="preserve">– </w:t>
      </w:r>
      <w:r w:rsidRPr="001935D0">
        <w:rPr>
          <w:rFonts w:ascii="Times New Roman" w:hAnsi="Times New Roman" w:cs="Times New Roman"/>
          <w:sz w:val="28"/>
          <w:szCs w:val="28"/>
        </w:rPr>
        <w:t>Элементы EPCA и реализация в ситуации с Казахстаном</w:t>
      </w:r>
    </w:p>
    <w:p w14:paraId="27629FDC" w14:textId="77777777" w:rsidR="0027189F" w:rsidRPr="0027189F" w:rsidRDefault="0027189F" w:rsidP="0027189F">
      <w:pPr>
        <w:pStyle w:val="NoSpacing"/>
        <w:jc w:val="both"/>
        <w:rPr>
          <w:rFonts w:ascii="Times New Roman" w:hAnsi="Times New Roman" w:cs="Times New Roman"/>
          <w:sz w:val="16"/>
          <w:szCs w:val="16"/>
          <w:lang w:val="kk-KZ"/>
        </w:rPr>
      </w:pPr>
    </w:p>
    <w:tbl>
      <w:tblPr>
        <w:tblStyle w:val="TableGrid"/>
        <w:tblW w:w="0" w:type="auto"/>
        <w:jc w:val="center"/>
        <w:tblLayout w:type="fixed"/>
        <w:tblLook w:val="04A0" w:firstRow="1" w:lastRow="0" w:firstColumn="1" w:lastColumn="0" w:noHBand="0" w:noVBand="1"/>
      </w:tblPr>
      <w:tblGrid>
        <w:gridCol w:w="2263"/>
        <w:gridCol w:w="3119"/>
        <w:gridCol w:w="4111"/>
      </w:tblGrid>
      <w:tr w:rsidR="00E94B29" w:rsidRPr="0027189F" w14:paraId="59F10A42" w14:textId="77777777" w:rsidTr="0027189F">
        <w:trPr>
          <w:jc w:val="center"/>
        </w:trPr>
        <w:tc>
          <w:tcPr>
            <w:tcW w:w="2263" w:type="dxa"/>
            <w:vAlign w:val="center"/>
          </w:tcPr>
          <w:p w14:paraId="4A28C86D" w14:textId="77777777" w:rsidR="00E94B29" w:rsidRPr="0027189F" w:rsidRDefault="00E94B29" w:rsidP="00593711">
            <w:pPr>
              <w:pStyle w:val="NoSpacing"/>
              <w:jc w:val="center"/>
              <w:rPr>
                <w:rFonts w:ascii="Times New Roman" w:hAnsi="Times New Roman" w:cs="Times New Roman"/>
                <w:bCs/>
                <w:sz w:val="24"/>
                <w:szCs w:val="24"/>
              </w:rPr>
            </w:pPr>
            <w:r w:rsidRPr="0027189F">
              <w:rPr>
                <w:rStyle w:val="Strong"/>
                <w:rFonts w:ascii="Times New Roman" w:hAnsi="Times New Roman" w:cs="Times New Roman"/>
                <w:b w:val="0"/>
                <w:sz w:val="24"/>
                <w:szCs w:val="24"/>
              </w:rPr>
              <w:t>Сфера EPCA</w:t>
            </w:r>
          </w:p>
        </w:tc>
        <w:tc>
          <w:tcPr>
            <w:tcW w:w="3119" w:type="dxa"/>
            <w:vAlign w:val="center"/>
          </w:tcPr>
          <w:p w14:paraId="199DC96E" w14:textId="77777777" w:rsidR="00E94B29" w:rsidRPr="0027189F" w:rsidRDefault="00E94B29" w:rsidP="00593711">
            <w:pPr>
              <w:pStyle w:val="NoSpacing"/>
              <w:jc w:val="center"/>
              <w:rPr>
                <w:rFonts w:ascii="Times New Roman" w:hAnsi="Times New Roman" w:cs="Times New Roman"/>
                <w:bCs/>
                <w:sz w:val="24"/>
                <w:szCs w:val="24"/>
              </w:rPr>
            </w:pPr>
            <w:r w:rsidRPr="0027189F">
              <w:rPr>
                <w:rStyle w:val="Strong"/>
                <w:rFonts w:ascii="Times New Roman" w:hAnsi="Times New Roman" w:cs="Times New Roman"/>
                <w:b w:val="0"/>
                <w:sz w:val="24"/>
                <w:szCs w:val="24"/>
              </w:rPr>
              <w:t>Цель</w:t>
            </w:r>
          </w:p>
        </w:tc>
        <w:tc>
          <w:tcPr>
            <w:tcW w:w="4111" w:type="dxa"/>
            <w:vAlign w:val="center"/>
          </w:tcPr>
          <w:p w14:paraId="55452D8B" w14:textId="77777777" w:rsidR="00E94B29" w:rsidRPr="0027189F" w:rsidRDefault="00E94B29" w:rsidP="00593711">
            <w:pPr>
              <w:pStyle w:val="NoSpacing"/>
              <w:jc w:val="center"/>
              <w:rPr>
                <w:rFonts w:ascii="Times New Roman" w:hAnsi="Times New Roman" w:cs="Times New Roman"/>
                <w:bCs/>
                <w:sz w:val="24"/>
                <w:szCs w:val="24"/>
              </w:rPr>
            </w:pPr>
            <w:r w:rsidRPr="0027189F">
              <w:rPr>
                <w:rStyle w:val="Strong"/>
                <w:rFonts w:ascii="Times New Roman" w:hAnsi="Times New Roman" w:cs="Times New Roman"/>
                <w:b w:val="0"/>
                <w:sz w:val="24"/>
                <w:szCs w:val="24"/>
              </w:rPr>
              <w:t>Реализация в Казахстане</w:t>
            </w:r>
          </w:p>
        </w:tc>
      </w:tr>
      <w:tr w:rsidR="00E94B29" w:rsidRPr="001935D0" w14:paraId="304FB54D" w14:textId="77777777" w:rsidTr="0027189F">
        <w:trPr>
          <w:jc w:val="center"/>
        </w:trPr>
        <w:tc>
          <w:tcPr>
            <w:tcW w:w="2263" w:type="dxa"/>
            <w:vAlign w:val="center"/>
          </w:tcPr>
          <w:p w14:paraId="0F235AE0" w14:textId="77777777" w:rsidR="00E94B29" w:rsidRPr="001935D0" w:rsidRDefault="00E94B29" w:rsidP="00593711">
            <w:pPr>
              <w:pStyle w:val="NoSpacing"/>
              <w:rPr>
                <w:rFonts w:ascii="Times New Roman" w:hAnsi="Times New Roman" w:cs="Times New Roman"/>
                <w:sz w:val="24"/>
                <w:szCs w:val="24"/>
              </w:rPr>
            </w:pPr>
            <w:r w:rsidRPr="001935D0">
              <w:rPr>
                <w:rStyle w:val="Strong"/>
                <w:rFonts w:ascii="Times New Roman" w:hAnsi="Times New Roman" w:cs="Times New Roman"/>
                <w:b w:val="0"/>
                <w:sz w:val="24"/>
                <w:szCs w:val="24"/>
              </w:rPr>
              <w:t>Правозащитный диалог</w:t>
            </w:r>
          </w:p>
        </w:tc>
        <w:tc>
          <w:tcPr>
            <w:tcW w:w="3119" w:type="dxa"/>
            <w:vAlign w:val="center"/>
          </w:tcPr>
          <w:p w14:paraId="5A61EF22" w14:textId="00DAFC1F" w:rsidR="00E94B29" w:rsidRPr="001935D0" w:rsidRDefault="00E94B29" w:rsidP="00593711">
            <w:pPr>
              <w:pStyle w:val="NoSpacing"/>
              <w:rPr>
                <w:rFonts w:ascii="Times New Roman" w:hAnsi="Times New Roman" w:cs="Times New Roman"/>
                <w:sz w:val="24"/>
                <w:szCs w:val="24"/>
                <w:lang w:val="en-US"/>
              </w:rPr>
            </w:pPr>
            <w:r w:rsidRPr="001935D0">
              <w:rPr>
                <w:rStyle w:val="relative"/>
                <w:rFonts w:ascii="Times New Roman" w:hAnsi="Times New Roman" w:cs="Times New Roman"/>
                <w:sz w:val="24"/>
                <w:szCs w:val="24"/>
              </w:rPr>
              <w:t>Структурированные</w:t>
            </w:r>
            <w:r w:rsidRPr="001935D0">
              <w:rPr>
                <w:rStyle w:val="relative"/>
                <w:rFonts w:ascii="Times New Roman" w:hAnsi="Times New Roman" w:cs="Times New Roman"/>
                <w:sz w:val="24"/>
                <w:szCs w:val="24"/>
                <w:lang w:val="en-US"/>
              </w:rPr>
              <w:t xml:space="preserve"> </w:t>
            </w:r>
            <w:r w:rsidRPr="001935D0">
              <w:rPr>
                <w:rStyle w:val="relative"/>
                <w:rFonts w:ascii="Times New Roman" w:hAnsi="Times New Roman" w:cs="Times New Roman"/>
                <w:sz w:val="24"/>
                <w:szCs w:val="24"/>
              </w:rPr>
              <w:t>еже</w:t>
            </w:r>
            <w:r w:rsidR="0027189F">
              <w:rPr>
                <w:rStyle w:val="relative"/>
                <w:rFonts w:ascii="Times New Roman" w:hAnsi="Times New Roman" w:cs="Times New Roman"/>
                <w:sz w:val="24"/>
                <w:szCs w:val="24"/>
                <w:lang w:val="kk-KZ"/>
              </w:rPr>
              <w:t xml:space="preserve"> </w:t>
            </w:r>
            <w:r w:rsidRPr="001935D0">
              <w:rPr>
                <w:rStyle w:val="relative"/>
                <w:rFonts w:ascii="Times New Roman" w:hAnsi="Times New Roman" w:cs="Times New Roman"/>
                <w:sz w:val="24"/>
                <w:szCs w:val="24"/>
              </w:rPr>
              <w:t>годные</w:t>
            </w:r>
            <w:r w:rsidRPr="001935D0">
              <w:rPr>
                <w:rStyle w:val="relative"/>
                <w:rFonts w:ascii="Times New Roman" w:hAnsi="Times New Roman" w:cs="Times New Roman"/>
                <w:sz w:val="24"/>
                <w:szCs w:val="24"/>
                <w:lang w:val="en-US"/>
              </w:rPr>
              <w:t xml:space="preserve"> Human Rights Dialo</w:t>
            </w:r>
            <w:r w:rsidR="0027189F">
              <w:rPr>
                <w:rStyle w:val="relative"/>
                <w:rFonts w:ascii="Times New Roman" w:hAnsi="Times New Roman" w:cs="Times New Roman"/>
                <w:sz w:val="24"/>
                <w:szCs w:val="24"/>
                <w:lang w:val="kk-KZ"/>
              </w:rPr>
              <w:t xml:space="preserve"> </w:t>
            </w:r>
            <w:r w:rsidRPr="001935D0">
              <w:rPr>
                <w:rStyle w:val="relative"/>
                <w:rFonts w:ascii="Times New Roman" w:hAnsi="Times New Roman" w:cs="Times New Roman"/>
                <w:sz w:val="24"/>
                <w:szCs w:val="24"/>
                <w:lang w:val="en-US"/>
              </w:rPr>
              <w:t xml:space="preserve">gue </w:t>
            </w:r>
            <w:r w:rsidRPr="001935D0">
              <w:rPr>
                <w:rStyle w:val="relative"/>
                <w:rFonts w:ascii="Times New Roman" w:hAnsi="Times New Roman" w:cs="Times New Roman"/>
                <w:sz w:val="24"/>
                <w:szCs w:val="24"/>
              </w:rPr>
              <w:t>и</w:t>
            </w:r>
            <w:r w:rsidRPr="001935D0">
              <w:rPr>
                <w:rStyle w:val="relative"/>
                <w:rFonts w:ascii="Times New Roman" w:hAnsi="Times New Roman" w:cs="Times New Roman"/>
                <w:sz w:val="24"/>
                <w:szCs w:val="24"/>
                <w:lang w:val="en-US"/>
              </w:rPr>
              <w:t xml:space="preserve"> Justice &amp; Home Affairs</w:t>
            </w:r>
          </w:p>
        </w:tc>
        <w:tc>
          <w:tcPr>
            <w:tcW w:w="4111" w:type="dxa"/>
            <w:vAlign w:val="center"/>
          </w:tcPr>
          <w:p w14:paraId="7A1FC82F" w14:textId="77777777" w:rsidR="00E94B29" w:rsidRPr="001935D0" w:rsidRDefault="00E94B29" w:rsidP="00593711">
            <w:pPr>
              <w:pStyle w:val="NoSpacing"/>
              <w:rPr>
                <w:rFonts w:ascii="Times New Roman" w:hAnsi="Times New Roman" w:cs="Times New Roman"/>
                <w:sz w:val="24"/>
                <w:szCs w:val="24"/>
              </w:rPr>
            </w:pPr>
            <w:r w:rsidRPr="001935D0">
              <w:rPr>
                <w:rStyle w:val="relative"/>
                <w:rFonts w:ascii="Times New Roman" w:hAnsi="Times New Roman" w:cs="Times New Roman"/>
                <w:sz w:val="24"/>
                <w:szCs w:val="24"/>
              </w:rPr>
              <w:t>16</w:t>
            </w:r>
            <w:r w:rsidRPr="001935D0">
              <w:rPr>
                <w:rStyle w:val="relative"/>
                <w:rFonts w:ascii="Times New Roman" w:hAnsi="Times New Roman" w:cs="Times New Roman"/>
                <w:sz w:val="24"/>
                <w:szCs w:val="24"/>
              </w:rPr>
              <w:noBreakHyphen/>
              <w:t>я встреча в Брюсселе (6 марта 2025): обсуждали свободу СМИ, собраний, реформу судов</w:t>
            </w:r>
            <w:r w:rsidRPr="001935D0">
              <w:rPr>
                <w:rFonts w:ascii="Times New Roman" w:hAnsi="Times New Roman" w:cs="Times New Roman"/>
                <w:sz w:val="24"/>
                <w:szCs w:val="24"/>
              </w:rPr>
              <w:t xml:space="preserve"> </w:t>
            </w:r>
          </w:p>
        </w:tc>
      </w:tr>
      <w:tr w:rsidR="00E94B29" w:rsidRPr="001935D0" w14:paraId="107C53C7" w14:textId="77777777" w:rsidTr="0027189F">
        <w:trPr>
          <w:jc w:val="center"/>
        </w:trPr>
        <w:tc>
          <w:tcPr>
            <w:tcW w:w="2263" w:type="dxa"/>
            <w:vAlign w:val="center"/>
          </w:tcPr>
          <w:p w14:paraId="7CEB191F" w14:textId="77777777" w:rsidR="00E94B29" w:rsidRPr="001935D0" w:rsidRDefault="00E94B29" w:rsidP="00593711">
            <w:pPr>
              <w:pStyle w:val="NoSpacing"/>
              <w:rPr>
                <w:rFonts w:ascii="Times New Roman" w:hAnsi="Times New Roman" w:cs="Times New Roman"/>
                <w:sz w:val="24"/>
                <w:szCs w:val="24"/>
              </w:rPr>
            </w:pPr>
            <w:r w:rsidRPr="001935D0">
              <w:rPr>
                <w:rStyle w:val="Strong"/>
                <w:rFonts w:ascii="Times New Roman" w:hAnsi="Times New Roman" w:cs="Times New Roman"/>
                <w:b w:val="0"/>
                <w:sz w:val="24"/>
                <w:szCs w:val="24"/>
              </w:rPr>
              <w:t>Активное гражданское общество</w:t>
            </w:r>
          </w:p>
        </w:tc>
        <w:tc>
          <w:tcPr>
            <w:tcW w:w="3119" w:type="dxa"/>
            <w:vAlign w:val="center"/>
          </w:tcPr>
          <w:p w14:paraId="622FA568"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Программа поддержки НПО через CSO и HRD программы</w:t>
            </w:r>
          </w:p>
        </w:tc>
        <w:tc>
          <w:tcPr>
            <w:tcW w:w="4111" w:type="dxa"/>
            <w:vAlign w:val="center"/>
          </w:tcPr>
          <w:p w14:paraId="58E97D64" w14:textId="5BD2888A"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6 проектов на €3.4 млн</w:t>
            </w:r>
            <w:r w:rsidR="0027189F">
              <w:rPr>
                <w:rFonts w:ascii="Times New Roman" w:hAnsi="Times New Roman" w:cs="Times New Roman"/>
                <w:sz w:val="24"/>
                <w:szCs w:val="24"/>
                <w:lang w:val="kk-KZ"/>
              </w:rPr>
              <w:t>.</w:t>
            </w:r>
            <w:r w:rsidRPr="001935D0">
              <w:rPr>
                <w:rFonts w:ascii="Times New Roman" w:hAnsi="Times New Roman" w:cs="Times New Roman"/>
                <w:sz w:val="24"/>
                <w:szCs w:val="24"/>
              </w:rPr>
              <w:t>: поддержка свободы выражения мнений, предотв</w:t>
            </w:r>
            <w:r w:rsidR="0027189F">
              <w:rPr>
                <w:rFonts w:ascii="Times New Roman" w:hAnsi="Times New Roman" w:cs="Times New Roman"/>
                <w:sz w:val="24"/>
                <w:szCs w:val="24"/>
                <w:lang w:val="kk-KZ"/>
              </w:rPr>
              <w:t xml:space="preserve"> </w:t>
            </w:r>
            <w:r w:rsidRPr="001935D0">
              <w:rPr>
                <w:rFonts w:ascii="Times New Roman" w:hAnsi="Times New Roman" w:cs="Times New Roman"/>
                <w:sz w:val="24"/>
                <w:szCs w:val="24"/>
              </w:rPr>
              <w:t>ращение жестокого обращения, защита прав уязвимых групп и укрепление института омбудсмена</w:t>
            </w:r>
          </w:p>
        </w:tc>
      </w:tr>
      <w:tr w:rsidR="00E94B29" w:rsidRPr="001935D0" w14:paraId="34D5885A" w14:textId="77777777" w:rsidTr="0027189F">
        <w:trPr>
          <w:jc w:val="center"/>
        </w:trPr>
        <w:tc>
          <w:tcPr>
            <w:tcW w:w="2263" w:type="dxa"/>
            <w:vAlign w:val="center"/>
          </w:tcPr>
          <w:p w14:paraId="0CA6A2BB" w14:textId="77777777" w:rsidR="00E94B29" w:rsidRPr="001935D0" w:rsidRDefault="00E94B29" w:rsidP="00593711">
            <w:pPr>
              <w:pStyle w:val="NoSpacing"/>
              <w:rPr>
                <w:rFonts w:ascii="Times New Roman" w:hAnsi="Times New Roman" w:cs="Times New Roman"/>
                <w:sz w:val="24"/>
                <w:szCs w:val="24"/>
              </w:rPr>
            </w:pPr>
            <w:r w:rsidRPr="001935D0">
              <w:rPr>
                <w:rStyle w:val="Strong"/>
                <w:rFonts w:ascii="Times New Roman" w:hAnsi="Times New Roman" w:cs="Times New Roman"/>
                <w:b w:val="0"/>
                <w:sz w:val="24"/>
                <w:szCs w:val="24"/>
              </w:rPr>
              <w:t>Торгово</w:t>
            </w:r>
            <w:r w:rsidRPr="001935D0">
              <w:rPr>
                <w:rStyle w:val="Strong"/>
                <w:rFonts w:ascii="Times New Roman" w:hAnsi="Times New Roman" w:cs="Times New Roman"/>
                <w:b w:val="0"/>
                <w:sz w:val="24"/>
                <w:szCs w:val="24"/>
              </w:rPr>
              <w:noBreakHyphen/>
              <w:t>экономическое сотрудничество</w:t>
            </w:r>
          </w:p>
        </w:tc>
        <w:tc>
          <w:tcPr>
            <w:tcW w:w="3119" w:type="dxa"/>
            <w:vAlign w:val="center"/>
          </w:tcPr>
          <w:p w14:paraId="6FBDA491"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Гарантия режима MFN, защиту ИС, либерализацию капитала, эффективный механизм спора</w:t>
            </w:r>
          </w:p>
        </w:tc>
        <w:tc>
          <w:tcPr>
            <w:tcW w:w="4111" w:type="dxa"/>
            <w:vAlign w:val="center"/>
          </w:tcPr>
          <w:p w14:paraId="595F3733" w14:textId="44CD9812"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Торговля достигла ~$50 млрд</w:t>
            </w:r>
            <w:r w:rsidR="0027189F">
              <w:rPr>
                <w:rFonts w:ascii="Times New Roman" w:hAnsi="Times New Roman" w:cs="Times New Roman"/>
                <w:sz w:val="24"/>
                <w:szCs w:val="24"/>
                <w:lang w:val="kk-KZ"/>
              </w:rPr>
              <w:t>.</w:t>
            </w:r>
            <w:r w:rsidRPr="001935D0">
              <w:rPr>
                <w:rFonts w:ascii="Times New Roman" w:hAnsi="Times New Roman" w:cs="Times New Roman"/>
                <w:sz w:val="24"/>
                <w:szCs w:val="24"/>
              </w:rPr>
              <w:t xml:space="preserve"> в 2024 году, при этом ЕС – крупнейший торговый и инвесторский партнёр </w:t>
            </w:r>
          </w:p>
        </w:tc>
      </w:tr>
      <w:tr w:rsidR="00E94B29" w:rsidRPr="001935D0" w14:paraId="7EDC582E" w14:textId="77777777" w:rsidTr="0027189F">
        <w:trPr>
          <w:jc w:val="center"/>
        </w:trPr>
        <w:tc>
          <w:tcPr>
            <w:tcW w:w="2263" w:type="dxa"/>
            <w:vAlign w:val="center"/>
          </w:tcPr>
          <w:p w14:paraId="7EDCC2F4" w14:textId="36CCFA03" w:rsidR="00E94B29" w:rsidRPr="001935D0" w:rsidRDefault="00E94B29" w:rsidP="00593711">
            <w:pPr>
              <w:pStyle w:val="NoSpacing"/>
              <w:rPr>
                <w:rFonts w:ascii="Times New Roman" w:hAnsi="Times New Roman" w:cs="Times New Roman"/>
                <w:sz w:val="24"/>
                <w:szCs w:val="24"/>
              </w:rPr>
            </w:pPr>
            <w:r w:rsidRPr="001935D0">
              <w:rPr>
                <w:rStyle w:val="Strong"/>
                <w:rFonts w:ascii="Times New Roman" w:hAnsi="Times New Roman" w:cs="Times New Roman"/>
                <w:b w:val="0"/>
                <w:sz w:val="24"/>
                <w:szCs w:val="24"/>
              </w:rPr>
              <w:t>Зелёная модерни</w:t>
            </w:r>
            <w:r w:rsidR="0027189F">
              <w:rPr>
                <w:rStyle w:val="Strong"/>
                <w:rFonts w:ascii="Times New Roman" w:hAnsi="Times New Roman" w:cs="Times New Roman"/>
                <w:b w:val="0"/>
                <w:sz w:val="24"/>
                <w:szCs w:val="24"/>
                <w:lang w:val="kk-KZ"/>
              </w:rPr>
              <w:t xml:space="preserve"> </w:t>
            </w:r>
            <w:r w:rsidRPr="001935D0">
              <w:rPr>
                <w:rStyle w:val="Strong"/>
                <w:rFonts w:ascii="Times New Roman" w:hAnsi="Times New Roman" w:cs="Times New Roman"/>
                <w:b w:val="0"/>
                <w:sz w:val="24"/>
                <w:szCs w:val="24"/>
              </w:rPr>
              <w:t>зация и климат</w:t>
            </w:r>
          </w:p>
        </w:tc>
        <w:tc>
          <w:tcPr>
            <w:tcW w:w="3119" w:type="dxa"/>
            <w:vAlign w:val="center"/>
          </w:tcPr>
          <w:p w14:paraId="762FF7CF"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Достижение углеродной нейтральности до 2050 года</w:t>
            </w:r>
          </w:p>
        </w:tc>
        <w:tc>
          <w:tcPr>
            <w:tcW w:w="4111" w:type="dxa"/>
            <w:vAlign w:val="center"/>
          </w:tcPr>
          <w:p w14:paraId="2942B311" w14:textId="1E4FD05E"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€12 млрд</w:t>
            </w:r>
            <w:r w:rsidR="0027189F">
              <w:rPr>
                <w:rFonts w:ascii="Times New Roman" w:hAnsi="Times New Roman" w:cs="Times New Roman"/>
                <w:sz w:val="24"/>
                <w:szCs w:val="24"/>
                <w:lang w:val="kk-KZ"/>
              </w:rPr>
              <w:t>.</w:t>
            </w:r>
            <w:r w:rsidRPr="001935D0">
              <w:rPr>
                <w:rFonts w:ascii="Times New Roman" w:hAnsi="Times New Roman" w:cs="Times New Roman"/>
                <w:sz w:val="24"/>
                <w:szCs w:val="24"/>
              </w:rPr>
              <w:t xml:space="preserve"> через Global Gateway, проекты ВИЭ, трасса «Транскаспий» </w:t>
            </w:r>
          </w:p>
        </w:tc>
      </w:tr>
      <w:tr w:rsidR="00E94B29" w:rsidRPr="001935D0" w14:paraId="31FC0A62" w14:textId="77777777" w:rsidTr="0027189F">
        <w:trPr>
          <w:jc w:val="center"/>
        </w:trPr>
        <w:tc>
          <w:tcPr>
            <w:tcW w:w="2263" w:type="dxa"/>
            <w:vAlign w:val="center"/>
          </w:tcPr>
          <w:p w14:paraId="662FE813" w14:textId="77777777" w:rsidR="00E94B29" w:rsidRPr="001935D0" w:rsidRDefault="00E94B29" w:rsidP="00593711">
            <w:pPr>
              <w:pStyle w:val="NoSpacing"/>
              <w:rPr>
                <w:rFonts w:ascii="Times New Roman" w:hAnsi="Times New Roman" w:cs="Times New Roman"/>
                <w:sz w:val="24"/>
                <w:szCs w:val="24"/>
              </w:rPr>
            </w:pPr>
            <w:r w:rsidRPr="001935D0">
              <w:rPr>
                <w:rStyle w:val="Strong"/>
                <w:rFonts w:ascii="Times New Roman" w:hAnsi="Times New Roman" w:cs="Times New Roman"/>
                <w:b w:val="0"/>
                <w:sz w:val="24"/>
                <w:szCs w:val="24"/>
              </w:rPr>
              <w:t>Реформа правосудия и верховенство права</w:t>
            </w:r>
          </w:p>
        </w:tc>
        <w:tc>
          <w:tcPr>
            <w:tcW w:w="3119" w:type="dxa"/>
            <w:vAlign w:val="center"/>
          </w:tcPr>
          <w:p w14:paraId="56E71B69"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Содействие независимому суду, борьбе с коррупцией и укреплению доверия к институтам</w:t>
            </w:r>
          </w:p>
        </w:tc>
        <w:tc>
          <w:tcPr>
            <w:tcW w:w="4111" w:type="dxa"/>
            <w:vAlign w:val="center"/>
          </w:tcPr>
          <w:p w14:paraId="7B13644E"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 xml:space="preserve">Проект EUCJ завершён досрочно (2018), продолжаются механизмы диалога и мониторинга </w:t>
            </w:r>
          </w:p>
        </w:tc>
      </w:tr>
      <w:tr w:rsidR="00E94B29" w:rsidRPr="001935D0" w14:paraId="23757859" w14:textId="77777777" w:rsidTr="0027189F">
        <w:trPr>
          <w:jc w:val="center"/>
        </w:trPr>
        <w:tc>
          <w:tcPr>
            <w:tcW w:w="2263" w:type="dxa"/>
            <w:vAlign w:val="center"/>
          </w:tcPr>
          <w:p w14:paraId="2D2729CB" w14:textId="77777777" w:rsidR="00E94B29" w:rsidRPr="001935D0" w:rsidRDefault="00E94B29" w:rsidP="00593711">
            <w:pPr>
              <w:pStyle w:val="NoSpacing"/>
              <w:rPr>
                <w:rFonts w:ascii="Times New Roman" w:hAnsi="Times New Roman" w:cs="Times New Roman"/>
                <w:sz w:val="24"/>
                <w:szCs w:val="24"/>
              </w:rPr>
            </w:pPr>
            <w:r w:rsidRPr="001935D0">
              <w:rPr>
                <w:rStyle w:val="Strong"/>
                <w:rFonts w:ascii="Times New Roman" w:hAnsi="Times New Roman" w:cs="Times New Roman"/>
                <w:b w:val="0"/>
                <w:sz w:val="24"/>
                <w:szCs w:val="24"/>
              </w:rPr>
              <w:t>Энергия и инфраструктура</w:t>
            </w:r>
          </w:p>
        </w:tc>
        <w:tc>
          <w:tcPr>
            <w:tcW w:w="3119" w:type="dxa"/>
            <w:vAlign w:val="center"/>
          </w:tcPr>
          <w:p w14:paraId="527B2291"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Поддержка энергетических реформ, транспортной интеграции</w:t>
            </w:r>
          </w:p>
        </w:tc>
        <w:tc>
          <w:tcPr>
            <w:tcW w:w="4111" w:type="dxa"/>
            <w:vAlign w:val="center"/>
          </w:tcPr>
          <w:p w14:paraId="58E9FC00" w14:textId="77777777" w:rsidR="00E94B29" w:rsidRPr="001935D0" w:rsidRDefault="00E94B29" w:rsidP="00593711">
            <w:pPr>
              <w:pStyle w:val="NoSpacing"/>
              <w:rPr>
                <w:rFonts w:ascii="Times New Roman" w:hAnsi="Times New Roman" w:cs="Times New Roman"/>
                <w:sz w:val="24"/>
                <w:szCs w:val="24"/>
              </w:rPr>
            </w:pPr>
            <w:r w:rsidRPr="001935D0">
              <w:rPr>
                <w:rFonts w:ascii="Times New Roman" w:hAnsi="Times New Roman" w:cs="Times New Roman"/>
                <w:sz w:val="24"/>
                <w:szCs w:val="24"/>
              </w:rPr>
              <w:t xml:space="preserve">Инициативы по межконтинентальной логистике и энергетике 2025 года </w:t>
            </w:r>
          </w:p>
        </w:tc>
      </w:tr>
      <w:tr w:rsidR="0027189F" w:rsidRPr="001935D0" w14:paraId="45230EE5" w14:textId="77777777" w:rsidTr="00634764">
        <w:trPr>
          <w:jc w:val="center"/>
        </w:trPr>
        <w:tc>
          <w:tcPr>
            <w:tcW w:w="9493" w:type="dxa"/>
            <w:gridSpan w:val="3"/>
            <w:vAlign w:val="center"/>
          </w:tcPr>
          <w:p w14:paraId="1156AC77" w14:textId="1A167747" w:rsidR="0027189F" w:rsidRPr="0027189F" w:rsidRDefault="009D7580" w:rsidP="005B2792">
            <w:pPr>
              <w:pStyle w:val="NoSpacing"/>
              <w:ind w:firstLine="52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Pr>
                <w:rFonts w:ascii="Times New Roman" w:hAnsi="Times New Roman" w:cs="Times New Roman"/>
                <w:sz w:val="24"/>
                <w:szCs w:val="24"/>
                <w:lang w:val="kk-KZ"/>
              </w:rPr>
              <w:t>146; 147</w:t>
            </w:r>
            <w:r>
              <w:rPr>
                <w:rFonts w:ascii="Times New Roman" w:hAnsi="Times New Roman" w:cs="Times New Roman"/>
                <w:sz w:val="24"/>
                <w:szCs w:val="24"/>
              </w:rPr>
              <w:t>]</w:t>
            </w:r>
          </w:p>
        </w:tc>
      </w:tr>
    </w:tbl>
    <w:p w14:paraId="6D8A68AC" w14:textId="77777777" w:rsidR="00E94B29" w:rsidRPr="0027189F" w:rsidRDefault="00E94B29" w:rsidP="00FC7EB8">
      <w:pPr>
        <w:pStyle w:val="NoSpacing"/>
        <w:ind w:firstLine="709"/>
        <w:jc w:val="both"/>
        <w:rPr>
          <w:rFonts w:ascii="Times New Roman" w:hAnsi="Times New Roman" w:cs="Times New Roman"/>
          <w:sz w:val="28"/>
          <w:szCs w:val="28"/>
        </w:rPr>
      </w:pPr>
    </w:p>
    <w:p w14:paraId="71DE92E1" w14:textId="30A3C14F"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Несмотря на то что Соглашение о расширенном партнёрстве и сотрудничестве между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и Республикой Казахстан формально закрепляет широкую нормативную основу взаимодействия, его правозащитная составляющая реализуется фрагментарно и носит преимущественно пробный характер. С 2020 года Казахстан принимает участие в ежегодных диалогах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по вопросам прав человека [1</w:t>
      </w:r>
      <w:r w:rsidR="005B2792">
        <w:rPr>
          <w:rFonts w:ascii="Times New Roman" w:hAnsi="Times New Roman" w:cs="Times New Roman"/>
          <w:sz w:val="28"/>
          <w:szCs w:val="28"/>
          <w:lang w:val="kk-KZ"/>
        </w:rPr>
        <w:t>48</w:t>
      </w:r>
      <w:r w:rsidRPr="001935D0">
        <w:rPr>
          <w:rFonts w:ascii="Times New Roman" w:hAnsi="Times New Roman" w:cs="Times New Roman"/>
          <w:sz w:val="28"/>
          <w:szCs w:val="28"/>
        </w:rPr>
        <w:t xml:space="preserve">]. Последняя встреча состоялась в марте 2025 года в Брюсселе и была посвящена </w:t>
      </w:r>
      <w:r w:rsidRPr="001935D0">
        <w:rPr>
          <w:rFonts w:ascii="Times New Roman" w:hAnsi="Times New Roman" w:cs="Times New Roman"/>
          <w:sz w:val="28"/>
          <w:szCs w:val="28"/>
        </w:rPr>
        <w:lastRenderedPageBreak/>
        <w:t>таким вопросам, как расследование событий января 2022 года, обеспечение свободы слова и мирных собраний, совершенствование законодательства о средствах массовой информации и публичных демонстрациях.</w:t>
      </w:r>
    </w:p>
    <w:p w14:paraId="02B5C072" w14:textId="626C599E"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рамках европейской инициативы по поддержке прав человека реализуется шесть проектов на общую сумму 3,4 миллиона евро, направленных на развитие свободы выражения мнений, предотвращение жестокого и бесчеловечного обращения, укрепление потенциала некоммерческих организаций, защиту уязвимых групп населения и повышение эффективности деятельности института омбудсмена [1</w:t>
      </w:r>
      <w:r w:rsidR="005B2792">
        <w:rPr>
          <w:rFonts w:ascii="Times New Roman" w:hAnsi="Times New Roman" w:cs="Times New Roman"/>
          <w:sz w:val="28"/>
          <w:szCs w:val="28"/>
          <w:lang w:val="kk-KZ"/>
        </w:rPr>
        <w:t>46</w:t>
      </w:r>
      <w:r w:rsidRPr="001935D0">
        <w:rPr>
          <w:rFonts w:ascii="Times New Roman" w:hAnsi="Times New Roman" w:cs="Times New Roman"/>
          <w:sz w:val="28"/>
          <w:szCs w:val="28"/>
        </w:rPr>
        <w:t>].</w:t>
      </w:r>
    </w:p>
    <w:p w14:paraId="11A48EE3" w14:textId="75D933D5"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то же время экономическое измерение Соглашения реализуется более последовательно. В 2024 году объём товарооборота между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и Казахстаном достиг рекордного показателя – около 50 миллиардов долларов США, что подтверждает статус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как ведущего экономического партнёра Республики Казахстан. Значительные инвестиции в объёме 12 миллиардов евро направлены на развитие инфраструктурных и транспортных связей в рамках инициативы «Глобальные ворота», в том числе проекта по формированию Срединного коридора и программы, ориентированной на климатическую и энергетическую трансформацию [1</w:t>
      </w:r>
      <w:r w:rsidR="005B2792">
        <w:rPr>
          <w:rFonts w:ascii="Times New Roman" w:hAnsi="Times New Roman" w:cs="Times New Roman"/>
          <w:sz w:val="28"/>
          <w:szCs w:val="28"/>
          <w:lang w:val="kk-KZ"/>
        </w:rPr>
        <w:t>49</w:t>
      </w:r>
      <w:r w:rsidRPr="001935D0">
        <w:rPr>
          <w:rFonts w:ascii="Times New Roman" w:hAnsi="Times New Roman" w:cs="Times New Roman"/>
          <w:sz w:val="28"/>
          <w:szCs w:val="28"/>
        </w:rPr>
        <w:t>].</w:t>
      </w:r>
    </w:p>
    <w:p w14:paraId="710A5A27" w14:textId="129B05EB"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результате проведённого анализа институциональной модели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и особенностей её практического применения в Республике Казахстан установлено, что, несмотря на наличие Соглашения о расширенном партнёрстве и сотрудничестве между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и Республикой Казахстан, участие в процедуре Универсального периодического обзора Организации Объединённых Наций и формальное функционирование таких государственных институтов, как омбудсмен и Конституционный суд, на практике сохраняется существенное несоответствие между международными обязательствами и их фактической реализацией. Данное противоречие выражается в выборочной имплементации норм международного права, правовом преследовании представителей гражданского общества, ограничениях в отношении средств массовой информации и негосударственных организаций, а также в недостаточной институциональной автономии национальных механизмов защиты прав человека [15</w:t>
      </w:r>
      <w:r w:rsidR="005B2792">
        <w:rPr>
          <w:rFonts w:ascii="Times New Roman" w:hAnsi="Times New Roman" w:cs="Times New Roman"/>
          <w:sz w:val="28"/>
          <w:szCs w:val="28"/>
          <w:lang w:val="kk-KZ"/>
        </w:rPr>
        <w:t>0</w:t>
      </w:r>
      <w:r w:rsidRPr="001935D0">
        <w:rPr>
          <w:rFonts w:ascii="Times New Roman" w:hAnsi="Times New Roman" w:cs="Times New Roman"/>
          <w:sz w:val="28"/>
          <w:szCs w:val="28"/>
        </w:rPr>
        <w:t>].</w:t>
      </w:r>
    </w:p>
    <w:p w14:paraId="35318A25" w14:textId="41052736" w:rsidR="00E94B29" w:rsidRDefault="00E94B29" w:rsidP="0027189F">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На основе выявленных дисбалансов в настоящем диссертационном исследовании предлагается институционально-адаптивный подход к усилению правозащитной политики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в условиях ограниченной трансформационной среды, характерной для Республики Казахстан и других государств Центральной Азии. На рисунке 2.10 представлена структурно-логическая схема институционально-адаптивной модели, отражающая основные элементы трансформации правозащитной политики ЕС в условиях регионального контекста.</w:t>
      </w:r>
    </w:p>
    <w:p w14:paraId="0628FB5F" w14:textId="77777777" w:rsidR="0027189F" w:rsidRPr="001935D0" w:rsidRDefault="0027189F"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отличие от универсального подхода, базирующегося преимущественно на политических заявлениях и финансовой поддержке, обосновывается поэтапная система условности, в которой каждое новое соглашение о предоставлении технической или финансовой помощи должно сопровождаться конкретными, количественно измеримыми индикаторами соблюдения прав </w:t>
      </w:r>
      <w:r w:rsidRPr="001935D0">
        <w:rPr>
          <w:rFonts w:ascii="Times New Roman" w:hAnsi="Times New Roman" w:cs="Times New Roman"/>
          <w:sz w:val="28"/>
          <w:szCs w:val="28"/>
        </w:rPr>
        <w:lastRenderedPageBreak/>
        <w:t>человека. К ним могут относиться, например, отмена законодательных положений о «ложной информации», декриминализация мирных форм протестной активности и обеспечение доступа негосударственных организаций к правосудию. Мониторинг выполнения этих индикаторов предполагается осуществлять при участии независимых международных экспертов и региональных правозащитных институтов.</w:t>
      </w:r>
    </w:p>
    <w:p w14:paraId="488D9092" w14:textId="77777777" w:rsidR="00E94B29" w:rsidRPr="001935D0" w:rsidRDefault="00E94B29" w:rsidP="00593711">
      <w:pPr>
        <w:pStyle w:val="NoSpacing"/>
        <w:ind w:firstLine="567"/>
        <w:jc w:val="both"/>
        <w:rPr>
          <w:rFonts w:ascii="Times New Roman" w:hAnsi="Times New Roman" w:cs="Times New Roman"/>
          <w:sz w:val="28"/>
          <w:szCs w:val="28"/>
        </w:rPr>
      </w:pPr>
    </w:p>
    <w:p w14:paraId="79F016CA" w14:textId="77777777" w:rsidR="00E94B29" w:rsidRPr="001935D0" w:rsidRDefault="00E94B29" w:rsidP="0027189F">
      <w:pPr>
        <w:pStyle w:val="NoSpacing"/>
        <w:ind w:left="284"/>
        <w:jc w:val="both"/>
        <w:rPr>
          <w:rFonts w:ascii="Times New Roman" w:hAnsi="Times New Roman" w:cs="Times New Roman"/>
          <w:sz w:val="28"/>
          <w:szCs w:val="28"/>
        </w:rPr>
      </w:pPr>
      <w:r w:rsidRPr="001935D0">
        <w:rPr>
          <w:rFonts w:ascii="Times New Roman" w:hAnsi="Times New Roman" w:cs="Times New Roman"/>
          <w:noProof/>
          <w:lang w:eastAsia="ru-RU"/>
        </w:rPr>
        <w:drawing>
          <wp:inline distT="0" distB="0" distL="0" distR="0" wp14:anchorId="18EA8004" wp14:editId="002769F4">
            <wp:extent cx="5836920" cy="5181600"/>
            <wp:effectExtent l="76200" t="38100" r="49530" b="95250"/>
            <wp:docPr id="28" name="Схема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14:paraId="1CFB0965" w14:textId="77777777" w:rsidR="00FC7EB8" w:rsidRPr="00FC7EB8" w:rsidRDefault="00FC7EB8" w:rsidP="00FC7EB8">
      <w:pPr>
        <w:pStyle w:val="NoSpacing"/>
        <w:jc w:val="both"/>
        <w:rPr>
          <w:rFonts w:ascii="Times New Roman" w:hAnsi="Times New Roman" w:cs="Times New Roman"/>
          <w:sz w:val="16"/>
          <w:szCs w:val="16"/>
          <w:lang w:val="kk-KZ"/>
        </w:rPr>
      </w:pPr>
    </w:p>
    <w:p w14:paraId="0AA736DA" w14:textId="76FBAFBA" w:rsidR="00E94B29" w:rsidRPr="001935D0" w:rsidRDefault="00E94B29" w:rsidP="00FC7EB8">
      <w:pPr>
        <w:pStyle w:val="NoSpacing"/>
        <w:jc w:val="center"/>
        <w:rPr>
          <w:rFonts w:ascii="Times New Roman" w:hAnsi="Times New Roman" w:cs="Times New Roman"/>
          <w:sz w:val="28"/>
          <w:szCs w:val="28"/>
        </w:rPr>
      </w:pPr>
      <w:r w:rsidRPr="001935D0">
        <w:rPr>
          <w:rFonts w:ascii="Times New Roman" w:hAnsi="Times New Roman" w:cs="Times New Roman"/>
          <w:sz w:val="28"/>
          <w:szCs w:val="28"/>
        </w:rPr>
        <w:t>Рис</w:t>
      </w:r>
      <w:r w:rsidR="00FC7EB8">
        <w:rPr>
          <w:rFonts w:ascii="Times New Roman" w:hAnsi="Times New Roman" w:cs="Times New Roman"/>
          <w:sz w:val="28"/>
          <w:szCs w:val="28"/>
          <w:lang w:val="kk-KZ"/>
        </w:rPr>
        <w:t>унок</w:t>
      </w:r>
      <w:r w:rsidRPr="001935D0">
        <w:rPr>
          <w:rFonts w:ascii="Times New Roman" w:hAnsi="Times New Roman" w:cs="Times New Roman"/>
          <w:sz w:val="28"/>
          <w:szCs w:val="28"/>
        </w:rPr>
        <w:t xml:space="preserve"> 2.10 </w:t>
      </w:r>
      <w:r w:rsidR="00FC7EB8">
        <w:rPr>
          <w:rFonts w:ascii="Times New Roman" w:hAnsi="Times New Roman" w:cs="Times New Roman"/>
          <w:sz w:val="28"/>
          <w:szCs w:val="28"/>
          <w:lang w:val="kk-KZ"/>
        </w:rPr>
        <w:t xml:space="preserve">– </w:t>
      </w:r>
      <w:r w:rsidRPr="001935D0">
        <w:rPr>
          <w:rFonts w:ascii="Times New Roman" w:hAnsi="Times New Roman" w:cs="Times New Roman"/>
          <w:sz w:val="28"/>
          <w:szCs w:val="28"/>
        </w:rPr>
        <w:t>Институционально-адаптивная модель правозащитной политики ЕС в Центральной Азии</w:t>
      </w:r>
    </w:p>
    <w:p w14:paraId="79E92EE6" w14:textId="77777777" w:rsidR="00FC7EB8" w:rsidRPr="0027189F" w:rsidRDefault="00FC7EB8" w:rsidP="00593711">
      <w:pPr>
        <w:pStyle w:val="NoSpacing"/>
        <w:jc w:val="both"/>
        <w:rPr>
          <w:rFonts w:ascii="Times New Roman" w:hAnsi="Times New Roman" w:cs="Times New Roman"/>
          <w:sz w:val="16"/>
          <w:szCs w:val="16"/>
          <w:lang w:val="kk-KZ"/>
        </w:rPr>
      </w:pPr>
    </w:p>
    <w:p w14:paraId="5038EA1B" w14:textId="1A1B1B82" w:rsidR="00E94B29" w:rsidRPr="001935D0" w:rsidRDefault="00FC7EB8" w:rsidP="0027189F">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w:t>
      </w:r>
      <w:r w:rsidR="00E94B29" w:rsidRPr="001935D0">
        <w:rPr>
          <w:rFonts w:ascii="Times New Roman" w:hAnsi="Times New Roman" w:cs="Times New Roman"/>
          <w:sz w:val="24"/>
          <w:szCs w:val="24"/>
        </w:rPr>
        <w:t xml:space="preserve">оставлено автором </w:t>
      </w:r>
    </w:p>
    <w:p w14:paraId="3279E4F4" w14:textId="77777777" w:rsidR="00E94B29" w:rsidRPr="001935D0" w:rsidRDefault="00E94B29" w:rsidP="0027189F">
      <w:pPr>
        <w:pStyle w:val="NoSpacing"/>
        <w:ind w:firstLine="709"/>
        <w:jc w:val="both"/>
        <w:rPr>
          <w:rFonts w:ascii="Times New Roman" w:hAnsi="Times New Roman" w:cs="Times New Roman"/>
          <w:sz w:val="28"/>
          <w:szCs w:val="28"/>
        </w:rPr>
      </w:pPr>
    </w:p>
    <w:p w14:paraId="08841826" w14:textId="7FFAB5D2" w:rsidR="00E94B29" w:rsidRPr="001935D0" w:rsidRDefault="00E94B29" w:rsidP="0027189F">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Дополнительно обоснована необходимость локализации европейских механизмов правовой защиты через институциональное сопряжение. В рамках этого формата ключевые национальные институты, такие как офис уполномоченного по правам человека, получают постоянное экспертное сопровождение от профильных европейских структур, таких как Агентство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по основным правам или Европейская сеть национальных учреждений по правам человека. Такое институциональное сопряжение </w:t>
      </w:r>
      <w:r w:rsidRPr="001935D0">
        <w:rPr>
          <w:rFonts w:ascii="Times New Roman" w:hAnsi="Times New Roman" w:cs="Times New Roman"/>
          <w:sz w:val="28"/>
          <w:szCs w:val="28"/>
        </w:rPr>
        <w:lastRenderedPageBreak/>
        <w:t>основывается на предварительном аудите и позволяет интегрировать национальные правозащитные структуры в межрегиональные платформы без политического давления, но в соответствии с международными стандартами.</w:t>
      </w:r>
    </w:p>
    <w:p w14:paraId="4E9F2A8B" w14:textId="327F294C"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Также предлагается горизонтальная интеграция правозащитной повестки в экономическое измерение Соглашения о расширенном партнёрстве и сотрудничестве. На практике реализация экономического компонента соглашения осуществляется независимо от ценностных приоритетов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В этой связи обосновывается необходимость внедрения обязательной правозащитной экспертизы при подготовке и реализации крупных инвестиционных и инфраструктурных проектов. Такая экспертиза включает проведение общественных консультаций, оценку воздействия на уязвимые группы населения, а также внедрение превентивных механизмов, направленных на недопущение нарушений трудовых, имущественных и социальных прав.</w:t>
      </w:r>
    </w:p>
    <w:p w14:paraId="4B2FEDF0" w14:textId="216EFC96"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С целью повышения устойчивости трансформационных процессов предлагается создание региональных платформ мониторинга и общественной отчётности при участии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Эти платформы будут заниматься сбором и систематизацией информации о фактическом положении с правами человека, фиксировать случаи нарушений, формировать альтернативные доклады и обеспечивать их интеграцию в структуру официального диалога между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и Республикой Казахстан.</w:t>
      </w:r>
    </w:p>
    <w:p w14:paraId="08C7E90E" w14:textId="65DF795B"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Таким образом, проведённый анализ позволил выявить ключевые противоречия между нормативной моделью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и практикой функционирования правозащитных институтов в Республике Казахстан, а также предложить прикладные институциональные механизмы, ориентированные на повышение эффективности внешней правозащитной политики ЕС с учётом особенностей регионального политико-правового контекста.</w:t>
      </w:r>
    </w:p>
    <w:p w14:paraId="784481E5" w14:textId="77777777" w:rsidR="00E94B29" w:rsidRPr="001935D0" w:rsidRDefault="00E94B29" w:rsidP="00FC7EB8">
      <w:pPr>
        <w:spacing w:after="0" w:line="240" w:lineRule="auto"/>
        <w:ind w:firstLine="709"/>
        <w:jc w:val="both"/>
        <w:rPr>
          <w:rFonts w:ascii="Times New Roman" w:hAnsi="Times New Roman" w:cs="Times New Roman"/>
        </w:rPr>
      </w:pPr>
    </w:p>
    <w:p w14:paraId="773816CA" w14:textId="7B4D7999" w:rsidR="00E94B29" w:rsidRPr="001935D0" w:rsidRDefault="00E94B29" w:rsidP="00FC7EB8">
      <w:pPr>
        <w:pStyle w:val="NoSpacing"/>
        <w:ind w:firstLine="709"/>
        <w:rPr>
          <w:rStyle w:val="Strong"/>
          <w:rFonts w:ascii="Times New Roman" w:hAnsi="Times New Roman" w:cs="Times New Roman"/>
          <w:bCs w:val="0"/>
          <w:sz w:val="28"/>
          <w:szCs w:val="28"/>
        </w:rPr>
      </w:pPr>
      <w:r w:rsidRPr="001935D0">
        <w:rPr>
          <w:rStyle w:val="Strong"/>
          <w:rFonts w:ascii="Times New Roman" w:hAnsi="Times New Roman" w:cs="Times New Roman"/>
          <w:sz w:val="28"/>
          <w:szCs w:val="28"/>
        </w:rPr>
        <w:t xml:space="preserve">Выводы к </w:t>
      </w:r>
      <w:r w:rsidR="009E3B02">
        <w:rPr>
          <w:rStyle w:val="Strong"/>
          <w:rFonts w:ascii="Times New Roman" w:hAnsi="Times New Roman" w:cs="Times New Roman"/>
          <w:sz w:val="28"/>
          <w:szCs w:val="28"/>
          <w:lang w:val="kk-KZ"/>
        </w:rPr>
        <w:t>разделу</w:t>
      </w:r>
      <w:r w:rsidRPr="001935D0">
        <w:rPr>
          <w:rStyle w:val="Strong"/>
          <w:rFonts w:ascii="Times New Roman" w:hAnsi="Times New Roman" w:cs="Times New Roman"/>
          <w:sz w:val="28"/>
          <w:szCs w:val="28"/>
        </w:rPr>
        <w:t xml:space="preserve"> 2</w:t>
      </w:r>
    </w:p>
    <w:p w14:paraId="3DCF331A" w14:textId="25235226"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представленном разделе диссертационного исследования была проведена комплексная оценка нормативно-правовой и институциональной модели защиты прав человека в Европейском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оюзе, включая анализ её базовых принципов, ключевых акторов и инструментов как во внутреннем, так и во внешнем измерении. Особое внимание было уделено механизмам проекции этой модели на третьи страны, в частности – на страны Центральной Азии, с акцентом на Республику Казахстан.</w:t>
      </w:r>
    </w:p>
    <w:p w14:paraId="50E83FB1" w14:textId="1EAE2C7F"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Автором детально проанализированы правовые и пол</w:t>
      </w:r>
      <w:r w:rsidR="00A4531E" w:rsidRPr="001935D0">
        <w:rPr>
          <w:rFonts w:ascii="Times New Roman" w:hAnsi="Times New Roman" w:cs="Times New Roman"/>
          <w:sz w:val="28"/>
          <w:szCs w:val="28"/>
          <w:lang w:val="kk-KZ"/>
        </w:rPr>
        <w:t>и</w:t>
      </w:r>
      <w:r w:rsidRPr="001935D0">
        <w:rPr>
          <w:rFonts w:ascii="Times New Roman" w:hAnsi="Times New Roman" w:cs="Times New Roman"/>
          <w:sz w:val="28"/>
          <w:szCs w:val="28"/>
        </w:rPr>
        <w:t xml:space="preserve">тические механизмы, посредством которых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реализует свою внешнюю политику в сфере прав человека: Европейская политика соседства, Инструмент «Глобальная Европа» (NDICI – Global Europe), Механизм условности при предоставлении макрофинансовой помощи, а также положения Соглашения о расширенном партнерстве и сотрудничестве между ЕС и Казахстаном. Также были рассмотрены форматы институционального диалога, включая участие Казахстана в процедуре Универсального периодического обзора Совета по правам человека ООН, деятельность национальных омбудсменов, парламентское взаимодействие и роль гражданского общества.</w:t>
      </w:r>
    </w:p>
    <w:p w14:paraId="78E03B92" w14:textId="77777777"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В результате исследования установлено, что, несмотря на наличие обширной договорной базы и регулярного политического диалога, реализация европейской модели защиты прав человека в условиях авторитарной устойчивости Казахстана сталкивается с рядом вызовов. Среди них – выборочная имплементация международных обязательств, ограниченная институциональная автономия правозащитных органов, а также правовое и административное давление на представителей независимого гражданского сектора.</w:t>
      </w:r>
    </w:p>
    <w:p w14:paraId="4D5A3AD0" w14:textId="77777777"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Таким образом, в рамках данного раздела автором:</w:t>
      </w:r>
    </w:p>
    <w:p w14:paraId="198F1143" w14:textId="77777777" w:rsidR="00E94B29" w:rsidRPr="001935D0" w:rsidRDefault="00E94B29" w:rsidP="0027189F">
      <w:pPr>
        <w:pStyle w:val="NoSpacing"/>
        <w:numPr>
          <w:ilvl w:val="0"/>
          <w:numId w:val="8"/>
        </w:numPr>
        <w:tabs>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выявлены основные элементы модели защиты прав человека в ЕС и её инструменты внешнего действия;</w:t>
      </w:r>
    </w:p>
    <w:p w14:paraId="2095E6B2" w14:textId="77777777" w:rsidR="00E94B29" w:rsidRPr="001935D0" w:rsidRDefault="00E94B29" w:rsidP="0027189F">
      <w:pPr>
        <w:pStyle w:val="NoSpacing"/>
        <w:numPr>
          <w:ilvl w:val="0"/>
          <w:numId w:val="8"/>
        </w:numPr>
        <w:tabs>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проанализированы особенности и ограничения их реализации в странах за пределами ЕС на примере Казахстана;</w:t>
      </w:r>
    </w:p>
    <w:p w14:paraId="31C00CB6" w14:textId="77777777" w:rsidR="00E94B29" w:rsidRPr="001935D0" w:rsidRDefault="00E94B29" w:rsidP="0027189F">
      <w:pPr>
        <w:pStyle w:val="NoSpacing"/>
        <w:numPr>
          <w:ilvl w:val="0"/>
          <w:numId w:val="8"/>
        </w:numPr>
        <w:tabs>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предложена концептуальная рамка институционально-адаптивного подхода к трансляции европейских правозащитных стандартов в условиях ограниченной трансформационной среды.</w:t>
      </w:r>
    </w:p>
    <w:p w14:paraId="2FB477FD" w14:textId="7C8439D4"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Представленные в разделе результаты имеют как теоретическое, так и прикладное значение: с одной стороны, они способствуют более глубокому пониманию природы внешнеполитической правозащитной стратегии ЕС, а с другой – формируют аналитическую основу для разработки практических рекомендаций по усилению эффективности международного правового взаимодействия между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и Республикой Казахстан.</w:t>
      </w:r>
    </w:p>
    <w:p w14:paraId="5B3E8045" w14:textId="77777777" w:rsidR="00E94B29" w:rsidRPr="001935D0" w:rsidRDefault="00E94B29" w:rsidP="00593711">
      <w:pPr>
        <w:pStyle w:val="NoSpacing"/>
        <w:ind w:firstLine="567"/>
        <w:jc w:val="both"/>
        <w:rPr>
          <w:rFonts w:ascii="Times New Roman" w:hAnsi="Times New Roman" w:cs="Times New Roman"/>
          <w:sz w:val="28"/>
          <w:szCs w:val="28"/>
        </w:rPr>
      </w:pPr>
    </w:p>
    <w:p w14:paraId="7DF4EF5F" w14:textId="77777777" w:rsidR="00E94B29" w:rsidRPr="001935D0" w:rsidRDefault="00E94B29" w:rsidP="00593711">
      <w:pPr>
        <w:pStyle w:val="NoSpacing"/>
        <w:ind w:firstLine="567"/>
        <w:jc w:val="center"/>
        <w:rPr>
          <w:rFonts w:ascii="Times New Roman" w:hAnsi="Times New Roman" w:cs="Times New Roman"/>
          <w:b/>
          <w:sz w:val="28"/>
          <w:szCs w:val="28"/>
        </w:rPr>
      </w:pPr>
    </w:p>
    <w:p w14:paraId="65466C42" w14:textId="77777777" w:rsidR="00084BCB" w:rsidRPr="001935D0" w:rsidRDefault="00084BCB" w:rsidP="00593711">
      <w:pPr>
        <w:pStyle w:val="NoSpacing"/>
        <w:ind w:firstLine="567"/>
        <w:jc w:val="center"/>
        <w:rPr>
          <w:rFonts w:ascii="Times New Roman" w:hAnsi="Times New Roman" w:cs="Times New Roman"/>
          <w:b/>
          <w:sz w:val="28"/>
          <w:szCs w:val="28"/>
        </w:rPr>
      </w:pPr>
    </w:p>
    <w:p w14:paraId="59B3FE3C" w14:textId="77777777" w:rsidR="00084BCB" w:rsidRPr="001935D0" w:rsidRDefault="00084BCB" w:rsidP="00593711">
      <w:pPr>
        <w:pStyle w:val="NoSpacing"/>
        <w:ind w:firstLine="567"/>
        <w:jc w:val="center"/>
        <w:rPr>
          <w:rFonts w:ascii="Times New Roman" w:hAnsi="Times New Roman" w:cs="Times New Roman"/>
          <w:b/>
          <w:sz w:val="28"/>
          <w:szCs w:val="28"/>
        </w:rPr>
      </w:pPr>
    </w:p>
    <w:p w14:paraId="692D30F7" w14:textId="77777777" w:rsidR="00084BCB" w:rsidRPr="001935D0" w:rsidRDefault="00084BCB" w:rsidP="00593711">
      <w:pPr>
        <w:pStyle w:val="NoSpacing"/>
        <w:ind w:firstLine="567"/>
        <w:jc w:val="center"/>
        <w:rPr>
          <w:rFonts w:ascii="Times New Roman" w:hAnsi="Times New Roman" w:cs="Times New Roman"/>
          <w:b/>
          <w:sz w:val="28"/>
          <w:szCs w:val="28"/>
        </w:rPr>
      </w:pPr>
    </w:p>
    <w:p w14:paraId="05BC6686" w14:textId="77777777" w:rsidR="00084BCB" w:rsidRDefault="00084BCB" w:rsidP="00593711">
      <w:pPr>
        <w:pStyle w:val="NoSpacing"/>
        <w:ind w:firstLine="567"/>
        <w:jc w:val="center"/>
        <w:rPr>
          <w:rFonts w:ascii="Times New Roman" w:hAnsi="Times New Roman" w:cs="Times New Roman"/>
          <w:b/>
          <w:sz w:val="28"/>
          <w:szCs w:val="28"/>
          <w:lang w:val="kk-KZ"/>
        </w:rPr>
      </w:pPr>
    </w:p>
    <w:p w14:paraId="663EDA64" w14:textId="77777777" w:rsidR="009E3B02" w:rsidRDefault="009E3B02" w:rsidP="00593711">
      <w:pPr>
        <w:pStyle w:val="NoSpacing"/>
        <w:ind w:firstLine="567"/>
        <w:jc w:val="center"/>
        <w:rPr>
          <w:rFonts w:ascii="Times New Roman" w:hAnsi="Times New Roman" w:cs="Times New Roman"/>
          <w:b/>
          <w:sz w:val="28"/>
          <w:szCs w:val="28"/>
          <w:lang w:val="kk-KZ"/>
        </w:rPr>
      </w:pPr>
    </w:p>
    <w:p w14:paraId="144D1941" w14:textId="77777777" w:rsidR="009E3B02" w:rsidRDefault="009E3B02" w:rsidP="00593711">
      <w:pPr>
        <w:pStyle w:val="NoSpacing"/>
        <w:ind w:firstLine="567"/>
        <w:jc w:val="center"/>
        <w:rPr>
          <w:rFonts w:ascii="Times New Roman" w:hAnsi="Times New Roman" w:cs="Times New Roman"/>
          <w:b/>
          <w:sz w:val="28"/>
          <w:szCs w:val="28"/>
          <w:lang w:val="kk-KZ"/>
        </w:rPr>
      </w:pPr>
    </w:p>
    <w:p w14:paraId="6CCE8DCE" w14:textId="77777777" w:rsidR="009E3B02" w:rsidRDefault="009E3B02" w:rsidP="00593711">
      <w:pPr>
        <w:pStyle w:val="NoSpacing"/>
        <w:ind w:firstLine="567"/>
        <w:jc w:val="center"/>
        <w:rPr>
          <w:rFonts w:ascii="Times New Roman" w:hAnsi="Times New Roman" w:cs="Times New Roman"/>
          <w:b/>
          <w:sz w:val="28"/>
          <w:szCs w:val="28"/>
          <w:lang w:val="kk-KZ"/>
        </w:rPr>
      </w:pPr>
    </w:p>
    <w:p w14:paraId="4B2304B5" w14:textId="77777777" w:rsidR="009E3B02" w:rsidRDefault="009E3B02" w:rsidP="00593711">
      <w:pPr>
        <w:pStyle w:val="NoSpacing"/>
        <w:ind w:firstLine="567"/>
        <w:jc w:val="center"/>
        <w:rPr>
          <w:rFonts w:ascii="Times New Roman" w:hAnsi="Times New Roman" w:cs="Times New Roman"/>
          <w:b/>
          <w:sz w:val="28"/>
          <w:szCs w:val="28"/>
          <w:lang w:val="kk-KZ"/>
        </w:rPr>
      </w:pPr>
    </w:p>
    <w:p w14:paraId="19786AC0" w14:textId="77777777" w:rsidR="009E3B02" w:rsidRDefault="009E3B02" w:rsidP="00593711">
      <w:pPr>
        <w:pStyle w:val="NoSpacing"/>
        <w:ind w:firstLine="567"/>
        <w:jc w:val="center"/>
        <w:rPr>
          <w:rFonts w:ascii="Times New Roman" w:hAnsi="Times New Roman" w:cs="Times New Roman"/>
          <w:b/>
          <w:sz w:val="28"/>
          <w:szCs w:val="28"/>
          <w:lang w:val="kk-KZ"/>
        </w:rPr>
      </w:pPr>
    </w:p>
    <w:p w14:paraId="1C7B25A9" w14:textId="77777777" w:rsidR="00811F16" w:rsidRDefault="00811F16" w:rsidP="00593711">
      <w:pPr>
        <w:pStyle w:val="NoSpacing"/>
        <w:ind w:firstLine="567"/>
        <w:jc w:val="center"/>
        <w:rPr>
          <w:rFonts w:ascii="Times New Roman" w:hAnsi="Times New Roman" w:cs="Times New Roman"/>
          <w:b/>
          <w:sz w:val="28"/>
          <w:szCs w:val="28"/>
          <w:lang w:val="kk-KZ"/>
        </w:rPr>
      </w:pPr>
    </w:p>
    <w:p w14:paraId="00E320AB" w14:textId="77777777" w:rsidR="00811F16" w:rsidRDefault="00811F16" w:rsidP="00593711">
      <w:pPr>
        <w:pStyle w:val="NoSpacing"/>
        <w:ind w:firstLine="567"/>
        <w:jc w:val="center"/>
        <w:rPr>
          <w:rFonts w:ascii="Times New Roman" w:hAnsi="Times New Roman" w:cs="Times New Roman"/>
          <w:b/>
          <w:sz w:val="28"/>
          <w:szCs w:val="28"/>
          <w:lang w:val="kk-KZ"/>
        </w:rPr>
      </w:pPr>
    </w:p>
    <w:p w14:paraId="68928F0C" w14:textId="77777777" w:rsidR="00811F16" w:rsidRDefault="00811F16" w:rsidP="00593711">
      <w:pPr>
        <w:pStyle w:val="NoSpacing"/>
        <w:ind w:firstLine="567"/>
        <w:jc w:val="center"/>
        <w:rPr>
          <w:rFonts w:ascii="Times New Roman" w:hAnsi="Times New Roman" w:cs="Times New Roman"/>
          <w:b/>
          <w:sz w:val="28"/>
          <w:szCs w:val="28"/>
          <w:lang w:val="kk-KZ"/>
        </w:rPr>
      </w:pPr>
    </w:p>
    <w:p w14:paraId="1F1873FD" w14:textId="77777777" w:rsidR="00811F16" w:rsidRDefault="00811F16" w:rsidP="00593711">
      <w:pPr>
        <w:pStyle w:val="NoSpacing"/>
        <w:ind w:firstLine="567"/>
        <w:jc w:val="center"/>
        <w:rPr>
          <w:rFonts w:ascii="Times New Roman" w:hAnsi="Times New Roman" w:cs="Times New Roman"/>
          <w:b/>
          <w:sz w:val="28"/>
          <w:szCs w:val="28"/>
          <w:lang w:val="kk-KZ"/>
        </w:rPr>
      </w:pPr>
    </w:p>
    <w:p w14:paraId="46A35C15" w14:textId="77777777" w:rsidR="00811F16" w:rsidRDefault="00811F16" w:rsidP="00593711">
      <w:pPr>
        <w:pStyle w:val="NoSpacing"/>
        <w:ind w:firstLine="567"/>
        <w:jc w:val="center"/>
        <w:rPr>
          <w:rFonts w:ascii="Times New Roman" w:hAnsi="Times New Roman" w:cs="Times New Roman"/>
          <w:b/>
          <w:sz w:val="28"/>
          <w:szCs w:val="28"/>
          <w:lang w:val="kk-KZ"/>
        </w:rPr>
      </w:pPr>
    </w:p>
    <w:p w14:paraId="03AFFB03" w14:textId="77777777" w:rsidR="00811F16" w:rsidRDefault="00811F16" w:rsidP="00593711">
      <w:pPr>
        <w:pStyle w:val="NoSpacing"/>
        <w:ind w:firstLine="567"/>
        <w:jc w:val="center"/>
        <w:rPr>
          <w:rFonts w:ascii="Times New Roman" w:hAnsi="Times New Roman" w:cs="Times New Roman"/>
          <w:b/>
          <w:sz w:val="28"/>
          <w:szCs w:val="28"/>
          <w:lang w:val="kk-KZ"/>
        </w:rPr>
      </w:pPr>
    </w:p>
    <w:p w14:paraId="7A615DD3" w14:textId="77777777" w:rsidR="00811F16" w:rsidRDefault="00811F16" w:rsidP="00593711">
      <w:pPr>
        <w:pStyle w:val="NoSpacing"/>
        <w:ind w:firstLine="567"/>
        <w:jc w:val="center"/>
        <w:rPr>
          <w:rFonts w:ascii="Times New Roman" w:hAnsi="Times New Roman" w:cs="Times New Roman"/>
          <w:b/>
          <w:sz w:val="28"/>
          <w:szCs w:val="28"/>
          <w:lang w:val="kk-KZ"/>
        </w:rPr>
      </w:pPr>
    </w:p>
    <w:p w14:paraId="7581C7D6" w14:textId="77777777" w:rsidR="00811F16" w:rsidRDefault="00811F16" w:rsidP="00593711">
      <w:pPr>
        <w:pStyle w:val="NoSpacing"/>
        <w:ind w:firstLine="567"/>
        <w:jc w:val="center"/>
        <w:rPr>
          <w:rFonts w:ascii="Times New Roman" w:hAnsi="Times New Roman" w:cs="Times New Roman"/>
          <w:b/>
          <w:sz w:val="28"/>
          <w:szCs w:val="28"/>
          <w:lang w:val="kk-KZ"/>
        </w:rPr>
      </w:pPr>
    </w:p>
    <w:p w14:paraId="35BE6EE8" w14:textId="77777777" w:rsidR="00811F16" w:rsidRDefault="00811F16" w:rsidP="00593711">
      <w:pPr>
        <w:pStyle w:val="NoSpacing"/>
        <w:ind w:firstLine="567"/>
        <w:jc w:val="center"/>
        <w:rPr>
          <w:rFonts w:ascii="Times New Roman" w:hAnsi="Times New Roman" w:cs="Times New Roman"/>
          <w:b/>
          <w:sz w:val="28"/>
          <w:szCs w:val="28"/>
          <w:lang w:val="kk-KZ"/>
        </w:rPr>
      </w:pPr>
    </w:p>
    <w:p w14:paraId="3BA3F6CE" w14:textId="77777777" w:rsidR="009E3B02" w:rsidRDefault="009E3B02" w:rsidP="00593711">
      <w:pPr>
        <w:pStyle w:val="NoSpacing"/>
        <w:ind w:firstLine="567"/>
        <w:jc w:val="center"/>
        <w:rPr>
          <w:rFonts w:ascii="Times New Roman" w:hAnsi="Times New Roman" w:cs="Times New Roman"/>
          <w:b/>
          <w:sz w:val="28"/>
          <w:szCs w:val="28"/>
          <w:lang w:val="kk-KZ"/>
        </w:rPr>
      </w:pPr>
    </w:p>
    <w:p w14:paraId="1C401960" w14:textId="77777777" w:rsidR="009E3B02" w:rsidRDefault="009E3B02" w:rsidP="00593711">
      <w:pPr>
        <w:pStyle w:val="NoSpacing"/>
        <w:ind w:firstLine="567"/>
        <w:jc w:val="center"/>
        <w:rPr>
          <w:rFonts w:ascii="Times New Roman" w:hAnsi="Times New Roman" w:cs="Times New Roman"/>
          <w:b/>
          <w:sz w:val="28"/>
          <w:szCs w:val="28"/>
          <w:lang w:val="kk-KZ"/>
        </w:rPr>
      </w:pPr>
    </w:p>
    <w:p w14:paraId="6C50B120" w14:textId="6D635303" w:rsidR="00E94B29" w:rsidRPr="001935D0" w:rsidRDefault="00E94B29" w:rsidP="00643325">
      <w:pPr>
        <w:pStyle w:val="NormalWeb"/>
        <w:shd w:val="clear" w:color="auto" w:fill="FFFFFF"/>
        <w:spacing w:before="0" w:beforeAutospacing="0" w:after="0" w:afterAutospacing="0"/>
        <w:ind w:firstLine="709"/>
        <w:jc w:val="both"/>
        <w:rPr>
          <w:sz w:val="28"/>
          <w:szCs w:val="28"/>
        </w:rPr>
      </w:pPr>
      <w:r w:rsidRPr="001935D0">
        <w:rPr>
          <w:b/>
          <w:bCs/>
          <w:sz w:val="28"/>
          <w:szCs w:val="28"/>
        </w:rPr>
        <w:lastRenderedPageBreak/>
        <w:t>3 СРАВНИТЕЛЬНЫЙ АНАЛИЗ ЕВРОПЕЙСКОЙ И КАЗАХСТАНСКОЙ МОДЕЛЕЙ ЗАЩИТЫ ПРАВ ЧЕЛОВЕКА И РЕКОМЕНДАЦИИ ПО ИХ ВЗАИМНОМУ УСОВЕРШЕНСТВОВАНИЮ</w:t>
      </w:r>
    </w:p>
    <w:p w14:paraId="10E2F158" w14:textId="77777777" w:rsidR="009E3B02" w:rsidRDefault="009E3B02" w:rsidP="00643325">
      <w:pPr>
        <w:pStyle w:val="NormalWeb"/>
        <w:shd w:val="clear" w:color="auto" w:fill="FFFFFF"/>
        <w:spacing w:before="0" w:beforeAutospacing="0" w:after="0" w:afterAutospacing="0"/>
        <w:ind w:firstLine="709"/>
        <w:jc w:val="both"/>
        <w:rPr>
          <w:b/>
          <w:bCs/>
          <w:sz w:val="28"/>
          <w:szCs w:val="28"/>
          <w:lang w:val="kk-KZ"/>
        </w:rPr>
      </w:pPr>
    </w:p>
    <w:p w14:paraId="6EA80FC2" w14:textId="167490C7" w:rsidR="00E94B29" w:rsidRPr="001935D0" w:rsidRDefault="00E94B29" w:rsidP="00643325">
      <w:pPr>
        <w:pStyle w:val="NormalWeb"/>
        <w:shd w:val="clear" w:color="auto" w:fill="FFFFFF"/>
        <w:spacing w:before="0" w:beforeAutospacing="0" w:after="0" w:afterAutospacing="0"/>
        <w:ind w:firstLine="709"/>
        <w:jc w:val="both"/>
        <w:rPr>
          <w:sz w:val="28"/>
          <w:szCs w:val="28"/>
        </w:rPr>
      </w:pPr>
      <w:r w:rsidRPr="001935D0">
        <w:rPr>
          <w:b/>
          <w:bCs/>
          <w:sz w:val="28"/>
          <w:szCs w:val="28"/>
        </w:rPr>
        <w:t>3.1 Законодательная и институциональная база Казахстана в сфере прав человека</w:t>
      </w:r>
    </w:p>
    <w:p w14:paraId="5D0E425F" w14:textId="77777777"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Республика Казахстан, провозгласив независимость в 1991 году, взяла курс на формирование правового государства и развитие национальной системы защиты прав и свобод личности. Законодательная и институциональная база в этой сфере формировалась поэтапно, учитывая международные стандарты, а также социально-политические особенности страны.</w:t>
      </w:r>
    </w:p>
    <w:p w14:paraId="071522DD" w14:textId="6DB9EE75"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На современном этапе (2023-2025) Казахстан реализует третий этап конституционно-правовых реформ, направленных на укрепление демократических институтов и развитие национальной правозащитной инфраструктуры. Эти преобразования осуществляются в соответствии с рекомендациями, полученными в ходе Четвёртого Универсального периодического обзора Совета ООН по правам человека [</w:t>
      </w:r>
      <w:r w:rsidR="005B2792">
        <w:rPr>
          <w:rFonts w:ascii="Times New Roman" w:hAnsi="Times New Roman" w:cs="Times New Roman"/>
          <w:bCs/>
          <w:sz w:val="28"/>
          <w:szCs w:val="28"/>
          <w:lang w:val="kk-KZ" w:eastAsia="ru-RU"/>
        </w:rPr>
        <w:t>71</w:t>
      </w:r>
      <w:r w:rsidRPr="001935D0">
        <w:rPr>
          <w:rFonts w:ascii="Times New Roman" w:hAnsi="Times New Roman" w:cs="Times New Roman"/>
          <w:bCs/>
          <w:sz w:val="28"/>
          <w:szCs w:val="28"/>
          <w:lang w:eastAsia="ru-RU"/>
        </w:rPr>
        <w:t>] и Третьего национального отчёта по Международному пакту о гражданских и политических правах [15</w:t>
      </w:r>
      <w:r w:rsidR="005B2792">
        <w:rPr>
          <w:rFonts w:ascii="Times New Roman" w:hAnsi="Times New Roman" w:cs="Times New Roman"/>
          <w:bCs/>
          <w:sz w:val="28"/>
          <w:szCs w:val="28"/>
          <w:lang w:val="kk-KZ" w:eastAsia="ru-RU"/>
        </w:rPr>
        <w:t>1</w:t>
      </w:r>
      <w:r w:rsidRPr="001935D0">
        <w:rPr>
          <w:rFonts w:ascii="Times New Roman" w:hAnsi="Times New Roman" w:cs="Times New Roman"/>
          <w:bCs/>
          <w:sz w:val="28"/>
          <w:szCs w:val="28"/>
          <w:lang w:eastAsia="ru-RU"/>
        </w:rPr>
        <w:t>].</w:t>
      </w:r>
      <w:r w:rsidRPr="001935D0">
        <w:rPr>
          <w:rFonts w:ascii="Times New Roman" w:hAnsi="Times New Roman" w:cs="Times New Roman"/>
        </w:rPr>
        <w:t xml:space="preserve"> </w:t>
      </w:r>
    </w:p>
    <w:p w14:paraId="50E71E6C" w14:textId="77777777"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Основополагающим документом в сфере прав человека является Конституция Республики Казахстан, которая закрепляет:</w:t>
      </w:r>
    </w:p>
    <w:p w14:paraId="4D870088" w14:textId="77777777"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верховенство прав и свобод человека и гражданина (ст. 1, ст. 12);</w:t>
      </w:r>
    </w:p>
    <w:p w14:paraId="4F2C3F71" w14:textId="48AF432C"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право на жизнь, свободу и личную неприкосновенность (ст. 15</w:t>
      </w:r>
      <w:r w:rsidR="00643325">
        <w:rPr>
          <w:rFonts w:ascii="Times New Roman" w:hAnsi="Times New Roman" w:cs="Times New Roman"/>
          <w:sz w:val="28"/>
          <w:szCs w:val="28"/>
          <w:lang w:val="kk-KZ" w:eastAsia="ru-RU"/>
        </w:rPr>
        <w:t>-</w:t>
      </w:r>
      <w:r w:rsidRPr="001935D0">
        <w:rPr>
          <w:rFonts w:ascii="Times New Roman" w:hAnsi="Times New Roman" w:cs="Times New Roman"/>
          <w:sz w:val="28"/>
          <w:szCs w:val="28"/>
          <w:lang w:eastAsia="ru-RU"/>
        </w:rPr>
        <w:t>16);</w:t>
      </w:r>
    </w:p>
    <w:p w14:paraId="6F8AAA50" w14:textId="77777777"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равенство всех перед законом и судом (ст. 14);</w:t>
      </w:r>
    </w:p>
    <w:p w14:paraId="35B4BE37" w14:textId="44A55463"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право на свободу слова, совести, собраний и объединений (ст. 20</w:t>
      </w:r>
      <w:r w:rsidR="00643325">
        <w:rPr>
          <w:rFonts w:ascii="Times New Roman" w:hAnsi="Times New Roman" w:cs="Times New Roman"/>
          <w:sz w:val="28"/>
          <w:szCs w:val="28"/>
          <w:lang w:val="kk-KZ" w:eastAsia="ru-RU"/>
        </w:rPr>
        <w:t>-</w:t>
      </w:r>
      <w:r w:rsidRPr="001935D0">
        <w:rPr>
          <w:rFonts w:ascii="Times New Roman" w:hAnsi="Times New Roman" w:cs="Times New Roman"/>
          <w:sz w:val="28"/>
          <w:szCs w:val="28"/>
          <w:lang w:eastAsia="ru-RU"/>
        </w:rPr>
        <w:t>23);</w:t>
      </w:r>
    </w:p>
    <w:p w14:paraId="71F22742" w14:textId="786C7697"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социально-экономические и культурные права: на труд, образование, медицинскую помощь, участие в культурной жизни (ст. 24</w:t>
      </w:r>
      <w:r w:rsidR="00643325">
        <w:rPr>
          <w:rFonts w:ascii="Times New Roman" w:hAnsi="Times New Roman" w:cs="Times New Roman"/>
          <w:sz w:val="28"/>
          <w:szCs w:val="28"/>
          <w:lang w:val="kk-KZ" w:eastAsia="ru-RU"/>
        </w:rPr>
        <w:t>-</w:t>
      </w:r>
      <w:r w:rsidRPr="001935D0">
        <w:rPr>
          <w:rFonts w:ascii="Times New Roman" w:hAnsi="Times New Roman" w:cs="Times New Roman"/>
          <w:sz w:val="28"/>
          <w:szCs w:val="28"/>
          <w:lang w:eastAsia="ru-RU"/>
        </w:rPr>
        <w:t>30) [15</w:t>
      </w:r>
      <w:r w:rsidR="005B2792">
        <w:rPr>
          <w:rFonts w:ascii="Times New Roman" w:hAnsi="Times New Roman" w:cs="Times New Roman"/>
          <w:sz w:val="28"/>
          <w:szCs w:val="28"/>
          <w:lang w:val="kk-KZ" w:eastAsia="ru-RU"/>
        </w:rPr>
        <w:t>2</w:t>
      </w:r>
      <w:r w:rsidRPr="001935D0">
        <w:rPr>
          <w:rFonts w:ascii="Times New Roman" w:hAnsi="Times New Roman" w:cs="Times New Roman"/>
          <w:sz w:val="28"/>
          <w:szCs w:val="28"/>
          <w:lang w:eastAsia="ru-RU"/>
        </w:rPr>
        <w:t>].</w:t>
      </w:r>
    </w:p>
    <w:p w14:paraId="71D902AA" w14:textId="6A781C44"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Начиная с 2022 года, руководство страны последовательно реализует масштабные демократические преобразования, направленные на обеспечение защиты прав человека в соответствии с международными обязательствами Республики Казахстан. В ноябре 2022 года был принят Конституционный закон «Об Уполномоченном по правам человека в Республике Казахстан», которым закреплены возможности инициирования и ратификации международных договоров, право обращаться в Конституционный Суд по вопросам соответствия нормативно-правовых актов, если они затрагивают права человека; рассматривать жалобы граждан на нарушение прав и свобод в установленном законом порядке; проводить мониторинг соблюдения прав в местах несвободы (изоляции от общества) в пределах национального превентивного механизма; вносить рекомендации и предложения в органы власти и должностным лицам по восстановлению или предотвращению нарушений прав человека; содействовать развитию образовательных и научных программ в области прав человека; сотрудничать с международныи и региональными организациями, а также с национальными институтами других государств [15</w:t>
      </w:r>
      <w:r w:rsidR="005B2792">
        <w:rPr>
          <w:rFonts w:ascii="Times New Roman" w:hAnsi="Times New Roman" w:cs="Times New Roman"/>
          <w:sz w:val="28"/>
          <w:szCs w:val="28"/>
          <w:lang w:val="kk-KZ" w:eastAsia="ru-RU"/>
        </w:rPr>
        <w:t>3</w:t>
      </w:r>
      <w:r w:rsidRPr="001935D0">
        <w:rPr>
          <w:rFonts w:ascii="Times New Roman" w:hAnsi="Times New Roman" w:cs="Times New Roman"/>
          <w:sz w:val="28"/>
          <w:szCs w:val="28"/>
          <w:lang w:eastAsia="ru-RU"/>
        </w:rPr>
        <w:t>].</w:t>
      </w:r>
    </w:p>
    <w:p w14:paraId="2D481EFB" w14:textId="0B5191FE"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 xml:space="preserve">В 2023 году на базе данного закона создана сеть региональных представительств Омбудсмена и специализированных омбудсменов – по правам </w:t>
      </w:r>
      <w:r w:rsidRPr="001935D0">
        <w:rPr>
          <w:rFonts w:ascii="Times New Roman" w:hAnsi="Times New Roman" w:cs="Times New Roman"/>
          <w:bCs/>
          <w:sz w:val="28"/>
          <w:szCs w:val="28"/>
          <w:lang w:eastAsia="ru-RU"/>
        </w:rPr>
        <w:lastRenderedPageBreak/>
        <w:t>ребёнка и по правам социально уязвимых групп населения. Это позволило реализовать Парижские принципы независимости и децентрализации правозащитных институтов, а также повысить доступность механизмов защиты на местах [15</w:t>
      </w:r>
      <w:r w:rsidR="005B2792">
        <w:rPr>
          <w:rFonts w:ascii="Times New Roman" w:hAnsi="Times New Roman" w:cs="Times New Roman"/>
          <w:bCs/>
          <w:sz w:val="28"/>
          <w:szCs w:val="28"/>
          <w:lang w:val="kk-KZ" w:eastAsia="ru-RU"/>
        </w:rPr>
        <w:t>4</w:t>
      </w:r>
      <w:r w:rsidRPr="001935D0">
        <w:rPr>
          <w:rFonts w:ascii="Times New Roman" w:hAnsi="Times New Roman" w:cs="Times New Roman"/>
          <w:bCs/>
          <w:sz w:val="28"/>
          <w:szCs w:val="28"/>
          <w:lang w:eastAsia="ru-RU"/>
        </w:rPr>
        <w:t>].</w:t>
      </w:r>
    </w:p>
    <w:p w14:paraId="42D95A53" w14:textId="7BCA2E58"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Применяемые поправки и дополнения к Закону «О внесении изменений и дополнений в Кодекс Республики Казахстан об административных правонарушениях по вопросам обеспечения прав женщин и безопасности детей» [1</w:t>
      </w:r>
      <w:r w:rsidR="005B2792">
        <w:rPr>
          <w:rFonts w:ascii="Times New Roman" w:hAnsi="Times New Roman" w:cs="Times New Roman"/>
          <w:sz w:val="28"/>
          <w:szCs w:val="28"/>
          <w:lang w:val="kk-KZ" w:eastAsia="ru-RU"/>
        </w:rPr>
        <w:t>55</w:t>
      </w:r>
      <w:r w:rsidRPr="001935D0">
        <w:rPr>
          <w:rFonts w:ascii="Times New Roman" w:hAnsi="Times New Roman" w:cs="Times New Roman"/>
          <w:sz w:val="28"/>
          <w:szCs w:val="28"/>
          <w:lang w:eastAsia="ru-RU"/>
        </w:rPr>
        <w:t>] усиливают защиту женщин и детей от насилия, включая случаи лёгких телесных повреждений, если они совершены в отношении лиц, находящихся в беспомощном состоянии или в материальной или иной зависимости от правонарушителя. Именно эти статьи чаще всего применяются по делам, связанным с домашним насилием. В 2017 году ряд преступлений, связанных с домашним насилием, был декриминализирован, однако с 2024 года законодательство вновь ужесточило ответственность за их совершение. Согласно обновлённому законодательству, обязанность по сбору доказательств по делам о домашнем насилии возложена на полицию, снимая эту ответственность с потерпевшего. Кроме того, правоохранительные органы теперь обязаны регистрировать и расследовать все факты домашнего насилия даже при отсутствии официального заявления от жертвы – в частности, если информация об инциденте стала известна через СМИ или социальные сети. Также законом отменена возможность примирения сторон в случаях повторного совершения побоев или причинения лёгких телесных повреждений, что направлено на защиту потерпевших и предотвращение рецидивов насилия.</w:t>
      </w:r>
    </w:p>
    <w:p w14:paraId="276B0582" w14:textId="2523813C" w:rsidR="00E94B29" w:rsidRPr="001935D0" w:rsidRDefault="00E94B29" w:rsidP="00643325">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bCs/>
          <w:sz w:val="28"/>
          <w:szCs w:val="28"/>
          <w:lang w:eastAsia="ru-RU"/>
        </w:rPr>
        <w:t xml:space="preserve">Указанный выше закон стал частью системных мер, реализуемых в рамках Национального плана действий в области прав человека и верховенства права </w:t>
      </w:r>
      <w:r w:rsidRPr="001935D0">
        <w:rPr>
          <w:rFonts w:ascii="Times New Roman" w:hAnsi="Times New Roman" w:cs="Times New Roman"/>
          <w:sz w:val="28"/>
          <w:szCs w:val="28"/>
        </w:rPr>
        <w:t>[1</w:t>
      </w:r>
      <w:r w:rsidR="005B2792">
        <w:rPr>
          <w:rFonts w:ascii="Times New Roman" w:hAnsi="Times New Roman" w:cs="Times New Roman"/>
          <w:sz w:val="28"/>
          <w:szCs w:val="28"/>
          <w:lang w:val="kk-KZ"/>
        </w:rPr>
        <w:t>56</w:t>
      </w:r>
      <w:r w:rsidRPr="001935D0">
        <w:rPr>
          <w:rFonts w:ascii="Times New Roman" w:hAnsi="Times New Roman" w:cs="Times New Roman"/>
          <w:sz w:val="28"/>
          <w:szCs w:val="28"/>
        </w:rPr>
        <w:t>]</w:t>
      </w:r>
      <w:r w:rsidRPr="001935D0">
        <w:rPr>
          <w:rFonts w:ascii="Times New Roman" w:hAnsi="Times New Roman" w:cs="Times New Roman"/>
          <w:bCs/>
          <w:sz w:val="28"/>
          <w:szCs w:val="28"/>
          <w:lang w:eastAsia="ru-RU"/>
        </w:rPr>
        <w:t>, который с 2023 г. закрепил приоритетные направления государственной политики по защите прав женщин, детей и социально уязвимых групп населения. Кроме того, документ учитывает рекомендации Комитета ООН против пыток и Комитета по ликвидации дискриминации в отношении женщин, данные Казахстану в 2022</w:t>
      </w:r>
      <w:r w:rsidR="00643325">
        <w:rPr>
          <w:rFonts w:ascii="Times New Roman" w:hAnsi="Times New Roman" w:cs="Times New Roman"/>
          <w:bCs/>
          <w:sz w:val="28"/>
          <w:szCs w:val="28"/>
          <w:lang w:val="kk-KZ" w:eastAsia="ru-RU"/>
        </w:rPr>
        <w:t>-</w:t>
      </w:r>
      <w:r w:rsidRPr="001935D0">
        <w:rPr>
          <w:rFonts w:ascii="Times New Roman" w:hAnsi="Times New Roman" w:cs="Times New Roman"/>
          <w:bCs/>
          <w:sz w:val="28"/>
          <w:szCs w:val="28"/>
          <w:lang w:eastAsia="ru-RU"/>
        </w:rPr>
        <w:t>2024 годах [1</w:t>
      </w:r>
      <w:r w:rsidR="005B2792">
        <w:rPr>
          <w:rFonts w:ascii="Times New Roman" w:hAnsi="Times New Roman" w:cs="Times New Roman"/>
          <w:bCs/>
          <w:sz w:val="28"/>
          <w:szCs w:val="28"/>
          <w:lang w:val="kk-KZ" w:eastAsia="ru-RU"/>
        </w:rPr>
        <w:t>57</w:t>
      </w:r>
      <w:r w:rsidRPr="001935D0">
        <w:rPr>
          <w:rFonts w:ascii="Times New Roman" w:hAnsi="Times New Roman" w:cs="Times New Roman"/>
          <w:bCs/>
          <w:sz w:val="28"/>
          <w:szCs w:val="28"/>
          <w:lang w:eastAsia="ru-RU"/>
        </w:rPr>
        <w:t>].</w:t>
      </w:r>
      <w:r w:rsidRPr="001935D0">
        <w:rPr>
          <w:rFonts w:ascii="Times New Roman" w:hAnsi="Times New Roman" w:cs="Times New Roman"/>
        </w:rPr>
        <w:t xml:space="preserve"> </w:t>
      </w:r>
    </w:p>
    <w:p w14:paraId="4FBF2085" w14:textId="511F0F3A"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соответствии со статьёй 3 Закона Республики Казахстан «О порядке организации и проведения мирных собраний в Республике Казахстан» (введён в действие 22 января 2025 года) утверждено регулирование общественных отношений, направленных на реализацию установленного Конституцией права граждан мирно собираться и проводить собрания, митинги, демонстрации, шествия и пикетирование, а также на обеспечение безопасности граждан и поддержание общественного порядка при их проведении. Также в законе определены основные принципы проведения митингов – ненасильственный характер организации и проведения мирных собраний, законность, обеспечение государственной безопасности, общественного порядка, охраны здоровья, а также защита прав и свобод других лиц [1</w:t>
      </w:r>
      <w:r w:rsidR="005B2792">
        <w:rPr>
          <w:rFonts w:ascii="Times New Roman" w:hAnsi="Times New Roman" w:cs="Times New Roman"/>
          <w:sz w:val="28"/>
          <w:szCs w:val="28"/>
          <w:lang w:val="kk-KZ"/>
        </w:rPr>
        <w:t>58</w:t>
      </w:r>
      <w:r w:rsidRPr="001935D0">
        <w:rPr>
          <w:rFonts w:ascii="Times New Roman" w:hAnsi="Times New Roman" w:cs="Times New Roman"/>
          <w:sz w:val="28"/>
          <w:szCs w:val="28"/>
        </w:rPr>
        <w:t>].</w:t>
      </w:r>
    </w:p>
    <w:p w14:paraId="724F756A" w14:textId="0F3B6DBD"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Закон Республики Казахстан «О прокуратуре» [1</w:t>
      </w:r>
      <w:r w:rsidR="005B2792">
        <w:rPr>
          <w:rFonts w:ascii="Times New Roman" w:hAnsi="Times New Roman" w:cs="Times New Roman"/>
          <w:sz w:val="28"/>
          <w:szCs w:val="28"/>
          <w:lang w:val="kk-KZ"/>
        </w:rPr>
        <w:t>59</w:t>
      </w:r>
      <w:r w:rsidRPr="001935D0">
        <w:rPr>
          <w:rFonts w:ascii="Times New Roman" w:hAnsi="Times New Roman" w:cs="Times New Roman"/>
          <w:sz w:val="28"/>
          <w:szCs w:val="28"/>
        </w:rPr>
        <w:t xml:space="preserve">] от 5 ноября 2022 года закрепляет защиту человека, его жизни, прав и свобод как высших ценностей государства, а также обеспечивает защиту и восстановление нарушенных прав и свобод человека и гражданина, охраняемых законом интересов юридических </w:t>
      </w:r>
      <w:r w:rsidRPr="001935D0">
        <w:rPr>
          <w:rFonts w:ascii="Times New Roman" w:hAnsi="Times New Roman" w:cs="Times New Roman"/>
          <w:sz w:val="28"/>
          <w:szCs w:val="28"/>
        </w:rPr>
        <w:lastRenderedPageBreak/>
        <w:t>лиц, общества и государства. Он предусматривает выявление и устранение нарушений законности, причин и условий, им способствующих, и координацию деятельности правоохранительных и иных государственных органов по обеспечению законности, правопорядка и борьбе с преступностью.</w:t>
      </w:r>
    </w:p>
    <w:p w14:paraId="6D58614F" w14:textId="1744FC7D"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Государственные органы выстроили системный подход к обеспечению прав человека, </w:t>
      </w:r>
      <w:r w:rsidRPr="001935D0">
        <w:rPr>
          <w:rStyle w:val="Strong"/>
          <w:rFonts w:ascii="Times New Roman" w:hAnsi="Times New Roman" w:cs="Times New Roman"/>
          <w:b w:val="0"/>
          <w:sz w:val="28"/>
          <w:szCs w:val="28"/>
        </w:rPr>
        <w:t>основанный на трёх взаимосвязанных стратегических правительственных документах: «План первоочередных мер в области прав человека» [1</w:t>
      </w:r>
      <w:r w:rsidR="005B2792">
        <w:rPr>
          <w:rStyle w:val="Strong"/>
          <w:rFonts w:ascii="Times New Roman" w:hAnsi="Times New Roman" w:cs="Times New Roman"/>
          <w:b w:val="0"/>
          <w:sz w:val="28"/>
          <w:szCs w:val="28"/>
          <w:lang w:val="kk-KZ"/>
        </w:rPr>
        <w:t>56</w:t>
      </w:r>
      <w:r w:rsidRPr="001935D0">
        <w:rPr>
          <w:rStyle w:val="Strong"/>
          <w:rFonts w:ascii="Times New Roman" w:hAnsi="Times New Roman" w:cs="Times New Roman"/>
          <w:b w:val="0"/>
          <w:sz w:val="28"/>
          <w:szCs w:val="28"/>
        </w:rPr>
        <w:t>], «План дальнейших мер по правам человека и верховенству права» [16</w:t>
      </w:r>
      <w:r w:rsidR="005B2792">
        <w:rPr>
          <w:rStyle w:val="Strong"/>
          <w:rFonts w:ascii="Times New Roman" w:hAnsi="Times New Roman" w:cs="Times New Roman"/>
          <w:b w:val="0"/>
          <w:sz w:val="28"/>
          <w:szCs w:val="28"/>
          <w:lang w:val="kk-KZ"/>
        </w:rPr>
        <w:t>0</w:t>
      </w:r>
      <w:r w:rsidRPr="001935D0">
        <w:rPr>
          <w:rStyle w:val="Strong"/>
          <w:rFonts w:ascii="Times New Roman" w:hAnsi="Times New Roman" w:cs="Times New Roman"/>
          <w:b w:val="0"/>
          <w:sz w:val="28"/>
          <w:szCs w:val="28"/>
        </w:rPr>
        <w:t>] и «Третий план действий в области прав человека и верховенства права» [15</w:t>
      </w:r>
      <w:r w:rsidR="005B2792">
        <w:rPr>
          <w:rStyle w:val="Strong"/>
          <w:rFonts w:ascii="Times New Roman" w:hAnsi="Times New Roman" w:cs="Times New Roman"/>
          <w:b w:val="0"/>
          <w:sz w:val="28"/>
          <w:szCs w:val="28"/>
          <w:lang w:val="kk-KZ"/>
        </w:rPr>
        <w:t>1</w:t>
      </w:r>
      <w:r w:rsidRPr="001935D0">
        <w:rPr>
          <w:rStyle w:val="Strong"/>
          <w:rFonts w:ascii="Times New Roman" w:hAnsi="Times New Roman" w:cs="Times New Roman"/>
          <w:b w:val="0"/>
          <w:sz w:val="28"/>
          <w:szCs w:val="28"/>
        </w:rPr>
        <w:t>].</w:t>
      </w:r>
      <w:r w:rsidRPr="001935D0">
        <w:rPr>
          <w:rFonts w:ascii="Times New Roman" w:hAnsi="Times New Roman" w:cs="Times New Roman"/>
          <w:sz w:val="28"/>
          <w:szCs w:val="28"/>
        </w:rPr>
        <w:t xml:space="preserve"> Эти документы определяют приоритетные направления государственной политики, включая защиту женщин и детей от насилия, укрепление института Омбудсмена, расширение свободы собраний и совершенствование системы правосудия.</w:t>
      </w:r>
    </w:p>
    <w:p w14:paraId="729A1300" w14:textId="58687986" w:rsidR="00E94B29" w:rsidRPr="001935D0" w:rsidRDefault="00E94B29" w:rsidP="00643325">
      <w:pPr>
        <w:pStyle w:val="NoSpacing"/>
        <w:ind w:firstLine="709"/>
        <w:jc w:val="both"/>
        <w:rPr>
          <w:rFonts w:ascii="Times New Roman" w:hAnsi="Times New Roman" w:cs="Times New Roman"/>
          <w:b/>
          <w:sz w:val="28"/>
          <w:szCs w:val="28"/>
        </w:rPr>
      </w:pPr>
      <w:r w:rsidRPr="001935D0">
        <w:rPr>
          <w:rStyle w:val="Strong"/>
          <w:rFonts w:ascii="Times New Roman" w:hAnsi="Times New Roman" w:cs="Times New Roman"/>
          <w:b w:val="0"/>
          <w:sz w:val="28"/>
          <w:szCs w:val="28"/>
        </w:rPr>
        <w:t>В соответствии с Третьим планом действий реализуется механизм регулярного мониторинга исполнения международных обязательств Республики Казахстан, включая отчётность в рамках Универсального периодического обзора Совета Организации Объединённых Наций по правам человека и Международного пакта о гражданских и политических правах. Работа сопровождается консультациями с представителями гражданского общества и международными экспертами в сфере прав человека [15</w:t>
      </w:r>
      <w:r w:rsidR="005B2792">
        <w:rPr>
          <w:rStyle w:val="Strong"/>
          <w:rFonts w:ascii="Times New Roman" w:hAnsi="Times New Roman" w:cs="Times New Roman"/>
          <w:b w:val="0"/>
          <w:sz w:val="28"/>
          <w:szCs w:val="28"/>
          <w:lang w:val="kk-KZ"/>
        </w:rPr>
        <w:t>1</w:t>
      </w:r>
      <w:r w:rsidRPr="001935D0">
        <w:rPr>
          <w:rStyle w:val="Strong"/>
          <w:rFonts w:ascii="Times New Roman" w:hAnsi="Times New Roman" w:cs="Times New Roman"/>
          <w:b w:val="0"/>
          <w:sz w:val="28"/>
          <w:szCs w:val="28"/>
        </w:rPr>
        <w:t>].</w:t>
      </w:r>
    </w:p>
    <w:p w14:paraId="1BD7D838" w14:textId="43CE7596"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стране создана система широкого вовлечения граждан в процесс выработки и принятия политических решений, что соответствует приоритетам государственной концепции «Слышащее государство» [16</w:t>
      </w:r>
      <w:r w:rsidR="005B2792">
        <w:rPr>
          <w:rFonts w:ascii="Times New Roman" w:hAnsi="Times New Roman" w:cs="Times New Roman"/>
          <w:sz w:val="28"/>
          <w:szCs w:val="28"/>
          <w:lang w:val="kk-KZ"/>
        </w:rPr>
        <w:t>1</w:t>
      </w:r>
      <w:r w:rsidRPr="001935D0">
        <w:rPr>
          <w:rFonts w:ascii="Times New Roman" w:hAnsi="Times New Roman" w:cs="Times New Roman"/>
          <w:sz w:val="28"/>
          <w:szCs w:val="28"/>
        </w:rPr>
        <w:t>] и положениям Закона Республики Казахстан «Об общественном контроле» [16</w:t>
      </w:r>
      <w:r w:rsidR="005B2792">
        <w:rPr>
          <w:rFonts w:ascii="Times New Roman" w:hAnsi="Times New Roman" w:cs="Times New Roman"/>
          <w:sz w:val="28"/>
          <w:szCs w:val="28"/>
          <w:lang w:val="kk-KZ"/>
        </w:rPr>
        <w:t>2</w:t>
      </w:r>
      <w:r w:rsidRPr="001935D0">
        <w:rPr>
          <w:rFonts w:ascii="Times New Roman" w:hAnsi="Times New Roman" w:cs="Times New Roman"/>
          <w:sz w:val="28"/>
          <w:szCs w:val="28"/>
        </w:rPr>
        <w:t>]. Указанный закон закрепил формы участия граждан и неправительственных организаций в оценке деятельности государственных органов посредством общественных обсуждений, мониторинга и открытых отчётных сессий, что способствует формированию культуры общественного контроля и повышению прозрачности государственного управления.</w:t>
      </w:r>
    </w:p>
    <w:p w14:paraId="428EA181" w14:textId="282A2357" w:rsidR="00E94B29" w:rsidRPr="001935D0" w:rsidRDefault="000745A7"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lang w:val="uk-UA"/>
        </w:rPr>
        <w:t>Наличие</w:t>
      </w:r>
      <w:r w:rsidR="00E94B29" w:rsidRPr="001935D0">
        <w:rPr>
          <w:rFonts w:ascii="Times New Roman" w:hAnsi="Times New Roman" w:cs="Times New Roman"/>
          <w:sz w:val="28"/>
          <w:szCs w:val="28"/>
        </w:rPr>
        <w:t xml:space="preserve"> институтов гражданского общества имеет ключевое значение для демократизации и обеспечения прав человека. В 2023–2025 годах при поддержке Программы развития Организации Объединённых Наций (ПРООН) и ОБСЕ реализуются инициативы по расширению участия неправительственных организаций в мониторинге исполнения Третьего Плана действий в области прав человека и верховенства права [15</w:t>
      </w:r>
      <w:r w:rsidR="005B2792">
        <w:rPr>
          <w:rFonts w:ascii="Times New Roman" w:hAnsi="Times New Roman" w:cs="Times New Roman"/>
          <w:sz w:val="28"/>
          <w:szCs w:val="28"/>
          <w:lang w:val="kk-KZ"/>
        </w:rPr>
        <w:t>1</w:t>
      </w:r>
      <w:r w:rsidR="00E94B29" w:rsidRPr="001935D0">
        <w:rPr>
          <w:rFonts w:ascii="Times New Roman" w:hAnsi="Times New Roman" w:cs="Times New Roman"/>
          <w:sz w:val="28"/>
          <w:szCs w:val="28"/>
        </w:rPr>
        <w:t>]. Для повышения эффективности деятельности гражданского сектора требуется дальнейшее совершенствование законодательства, регулирующего работу политических партий, общественных и правозащитных объединений, а также формирование устойчивых механизмов взаимодействия между гражданским обществом и государственными структурами.</w:t>
      </w:r>
    </w:p>
    <w:p w14:paraId="74D69E70" w14:textId="09D3DF3E"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Национальный доклад, представленный Республикой Казахстан в соответствии с резолюциями Совета Организации Объединённых Наций по правам человека на заседаниях Генеральной Ассамблеи в период 20–31 января 2025 года [16</w:t>
      </w:r>
      <w:r w:rsidR="005B2792">
        <w:rPr>
          <w:rFonts w:ascii="Times New Roman" w:hAnsi="Times New Roman" w:cs="Times New Roman"/>
          <w:sz w:val="28"/>
          <w:szCs w:val="28"/>
          <w:lang w:val="kk-KZ"/>
        </w:rPr>
        <w:t>3</w:t>
      </w:r>
      <w:r w:rsidRPr="001935D0">
        <w:rPr>
          <w:rFonts w:ascii="Times New Roman" w:hAnsi="Times New Roman" w:cs="Times New Roman"/>
          <w:sz w:val="28"/>
          <w:szCs w:val="28"/>
        </w:rPr>
        <w:t>], включает следующие ключевые направления государственной политики:</w:t>
      </w:r>
    </w:p>
    <w:p w14:paraId="688920F3" w14:textId="77777777"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 проведены конституционные изменения, ликвидировавшие модель суперпрезидентской власти; полномочия главы государства были ограничены в отношении местных исполнительных органов, а также уменьшена президентская квота в Сенате;</w:t>
      </w:r>
    </w:p>
    <w:p w14:paraId="6FC20AA0" w14:textId="77777777"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 значительно укреплены позиции Мажилиса: </w:t>
      </w:r>
      <w:r w:rsidRPr="001935D0">
        <w:rPr>
          <w:rStyle w:val="Strong"/>
          <w:rFonts w:ascii="Times New Roman" w:hAnsi="Times New Roman" w:cs="Times New Roman"/>
          <w:b w:val="0"/>
          <w:sz w:val="28"/>
          <w:szCs w:val="28"/>
        </w:rPr>
        <w:t>введена смешанная избирательная система, предусматривающая избрание депутатов как по партийным спискам, так и в одномандатных округах;</w:t>
      </w:r>
    </w:p>
    <w:p w14:paraId="021EA21A" w14:textId="50F9833C"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 впервые в истории страны проведены </w:t>
      </w:r>
      <w:r w:rsidRPr="001935D0">
        <w:rPr>
          <w:rStyle w:val="Strong"/>
          <w:rFonts w:ascii="Times New Roman" w:hAnsi="Times New Roman" w:cs="Times New Roman"/>
          <w:b w:val="0"/>
          <w:sz w:val="28"/>
          <w:szCs w:val="28"/>
        </w:rPr>
        <w:t>прямые выборы акимов районного и городского уровня</w:t>
      </w:r>
      <w:r w:rsidRPr="001935D0">
        <w:rPr>
          <w:rFonts w:ascii="Times New Roman" w:hAnsi="Times New Roman" w:cs="Times New Roman"/>
          <w:sz w:val="28"/>
          <w:szCs w:val="28"/>
        </w:rPr>
        <w:t>, что позволило обновить почти 60% руководителей сельских округов;</w:t>
      </w:r>
    </w:p>
    <w:p w14:paraId="6C3D6A3A" w14:textId="77777777"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 Национальный совет общественного доверия </w:t>
      </w:r>
      <w:r w:rsidRPr="001935D0">
        <w:rPr>
          <w:rStyle w:val="Strong"/>
          <w:rFonts w:ascii="Times New Roman" w:hAnsi="Times New Roman" w:cs="Times New Roman"/>
          <w:b w:val="0"/>
          <w:sz w:val="28"/>
          <w:szCs w:val="28"/>
        </w:rPr>
        <w:t>трансформирован в Национальный курултай</w:t>
      </w:r>
      <w:r w:rsidRPr="001935D0">
        <w:rPr>
          <w:rFonts w:ascii="Times New Roman" w:hAnsi="Times New Roman" w:cs="Times New Roman"/>
          <w:sz w:val="28"/>
          <w:szCs w:val="28"/>
        </w:rPr>
        <w:t xml:space="preserve"> – консультативно-совещательный орган при Президенте, обеспечивающий общественный диалог и участие гражданского общества в принятии стратегических решений;</w:t>
      </w:r>
    </w:p>
    <w:p w14:paraId="0B21286A" w14:textId="37DE7FCE"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 принят новый Закон Республики Казахстан «О порядке организации и проведения мирных собраний» (2025 год), который </w:t>
      </w:r>
      <w:r w:rsidRPr="001935D0">
        <w:rPr>
          <w:rStyle w:val="Strong"/>
          <w:rFonts w:ascii="Times New Roman" w:hAnsi="Times New Roman" w:cs="Times New Roman"/>
          <w:b w:val="0"/>
          <w:sz w:val="28"/>
          <w:szCs w:val="28"/>
        </w:rPr>
        <w:t>заменил разрешительный порядок на уведомительный</w:t>
      </w:r>
      <w:r w:rsidRPr="001935D0">
        <w:rPr>
          <w:rFonts w:ascii="Times New Roman" w:hAnsi="Times New Roman" w:cs="Times New Roman"/>
          <w:b/>
          <w:sz w:val="28"/>
          <w:szCs w:val="28"/>
        </w:rPr>
        <w:t xml:space="preserve"> </w:t>
      </w:r>
      <w:r w:rsidRPr="001935D0">
        <w:rPr>
          <w:rFonts w:ascii="Times New Roman" w:hAnsi="Times New Roman" w:cs="Times New Roman"/>
          <w:sz w:val="28"/>
          <w:szCs w:val="28"/>
        </w:rPr>
        <w:t>и способствовал заметному росту числа мирных собраний [1</w:t>
      </w:r>
      <w:r w:rsidR="005B2792">
        <w:rPr>
          <w:rFonts w:ascii="Times New Roman" w:hAnsi="Times New Roman" w:cs="Times New Roman"/>
          <w:sz w:val="28"/>
          <w:szCs w:val="28"/>
          <w:lang w:val="kk-KZ"/>
        </w:rPr>
        <w:t>58</w:t>
      </w:r>
      <w:r w:rsidRPr="001935D0">
        <w:rPr>
          <w:rFonts w:ascii="Times New Roman" w:hAnsi="Times New Roman" w:cs="Times New Roman"/>
          <w:sz w:val="28"/>
          <w:szCs w:val="28"/>
        </w:rPr>
        <w:t>];</w:t>
      </w:r>
    </w:p>
    <w:p w14:paraId="12181FEF" w14:textId="5A5A272E"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 в сфере средств массовой информации реализованы реформы, </w:t>
      </w:r>
      <w:r w:rsidRPr="001935D0">
        <w:rPr>
          <w:rStyle w:val="Strong"/>
          <w:rFonts w:ascii="Times New Roman" w:hAnsi="Times New Roman" w:cs="Times New Roman"/>
          <w:b w:val="0"/>
          <w:sz w:val="28"/>
          <w:szCs w:val="28"/>
        </w:rPr>
        <w:t>включающие принятие Закона Республики Казахстан «О масс-медиа» [16</w:t>
      </w:r>
      <w:r w:rsidR="005B2792">
        <w:rPr>
          <w:rStyle w:val="Strong"/>
          <w:rFonts w:ascii="Times New Roman" w:hAnsi="Times New Roman" w:cs="Times New Roman"/>
          <w:b w:val="0"/>
          <w:sz w:val="28"/>
          <w:szCs w:val="28"/>
          <w:lang w:val="kk-KZ"/>
        </w:rPr>
        <w:t>4</w:t>
      </w:r>
      <w:r w:rsidRPr="001935D0">
        <w:rPr>
          <w:rStyle w:val="Strong"/>
          <w:rFonts w:ascii="Times New Roman" w:hAnsi="Times New Roman" w:cs="Times New Roman"/>
          <w:b w:val="0"/>
          <w:sz w:val="28"/>
          <w:szCs w:val="28"/>
        </w:rPr>
        <w:t>], направленного на формирование современной медиасферы, обеспечение цифровой безопасности и защиту журналистов;</w:t>
      </w:r>
    </w:p>
    <w:p w14:paraId="428DDADB" w14:textId="281EC73F"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государственные инициативы в области прав человека и верховенства права закреплены в трёх программных документах – «Плане первоочередных мер», «Плане дальнейших действий» и «Плане по укреплению верховенства права» [15</w:t>
      </w:r>
      <w:r w:rsidR="005B2792">
        <w:rPr>
          <w:rFonts w:ascii="Times New Roman" w:hAnsi="Times New Roman" w:cs="Times New Roman"/>
          <w:sz w:val="28"/>
          <w:szCs w:val="28"/>
          <w:lang w:val="kk-KZ"/>
        </w:rPr>
        <w:t xml:space="preserve">1; </w:t>
      </w:r>
      <w:r w:rsidRPr="001935D0">
        <w:rPr>
          <w:rFonts w:ascii="Times New Roman" w:hAnsi="Times New Roman" w:cs="Times New Roman"/>
          <w:sz w:val="28"/>
          <w:szCs w:val="28"/>
        </w:rPr>
        <w:t>1</w:t>
      </w:r>
      <w:r w:rsidR="005B2792">
        <w:rPr>
          <w:rFonts w:ascii="Times New Roman" w:hAnsi="Times New Roman" w:cs="Times New Roman"/>
          <w:sz w:val="28"/>
          <w:szCs w:val="28"/>
          <w:lang w:val="kk-KZ"/>
        </w:rPr>
        <w:t>5</w:t>
      </w:r>
      <w:r w:rsidRPr="001935D0">
        <w:rPr>
          <w:rFonts w:ascii="Times New Roman" w:hAnsi="Times New Roman" w:cs="Times New Roman"/>
          <w:sz w:val="28"/>
          <w:szCs w:val="28"/>
        </w:rPr>
        <w:t>6</w:t>
      </w:r>
      <w:r w:rsidR="005B2792">
        <w:rPr>
          <w:rFonts w:ascii="Times New Roman" w:hAnsi="Times New Roman" w:cs="Times New Roman"/>
          <w:sz w:val="28"/>
          <w:szCs w:val="28"/>
          <w:lang w:val="kk-KZ"/>
        </w:rPr>
        <w:t xml:space="preserve">; </w:t>
      </w:r>
      <w:r w:rsidRPr="001935D0">
        <w:rPr>
          <w:rFonts w:ascii="Times New Roman" w:hAnsi="Times New Roman" w:cs="Times New Roman"/>
          <w:sz w:val="28"/>
          <w:szCs w:val="28"/>
        </w:rPr>
        <w:t>16</w:t>
      </w:r>
      <w:r w:rsidR="005B2792">
        <w:rPr>
          <w:rFonts w:ascii="Times New Roman" w:hAnsi="Times New Roman" w:cs="Times New Roman"/>
          <w:sz w:val="28"/>
          <w:szCs w:val="28"/>
          <w:lang w:val="kk-KZ"/>
        </w:rPr>
        <w:t>0</w:t>
      </w:r>
      <w:r w:rsidRPr="001935D0">
        <w:rPr>
          <w:rFonts w:ascii="Times New Roman" w:hAnsi="Times New Roman" w:cs="Times New Roman"/>
          <w:sz w:val="28"/>
          <w:szCs w:val="28"/>
        </w:rPr>
        <w:t>];</w:t>
      </w:r>
    </w:p>
    <w:p w14:paraId="5711E4E4" w14:textId="061CC6D2" w:rsidR="00E94B29" w:rsidRPr="001935D0" w:rsidRDefault="00E94B29" w:rsidP="00643325">
      <w:pPr>
        <w:pStyle w:val="NoSpacing"/>
        <w:ind w:firstLine="709"/>
        <w:jc w:val="both"/>
        <w:rPr>
          <w:rFonts w:ascii="Times New Roman" w:hAnsi="Times New Roman" w:cs="Times New Roman"/>
          <w:b/>
          <w:sz w:val="28"/>
          <w:szCs w:val="28"/>
        </w:rPr>
      </w:pPr>
      <w:r w:rsidRPr="001935D0">
        <w:rPr>
          <w:rFonts w:ascii="Times New Roman" w:hAnsi="Times New Roman" w:cs="Times New Roman"/>
          <w:sz w:val="28"/>
          <w:szCs w:val="28"/>
        </w:rPr>
        <w:t xml:space="preserve">– </w:t>
      </w:r>
      <w:r w:rsidRPr="001935D0">
        <w:rPr>
          <w:rStyle w:val="Strong"/>
          <w:rFonts w:ascii="Times New Roman" w:hAnsi="Times New Roman" w:cs="Times New Roman"/>
          <w:b w:val="0"/>
          <w:sz w:val="28"/>
          <w:szCs w:val="28"/>
        </w:rPr>
        <w:t>утверждён Национальный план развития Республики Казахстан до 2029 года (Указ Президента Республики Казахстан №611) [1</w:t>
      </w:r>
      <w:r w:rsidR="005B2792">
        <w:rPr>
          <w:rStyle w:val="Strong"/>
          <w:rFonts w:ascii="Times New Roman" w:hAnsi="Times New Roman" w:cs="Times New Roman"/>
          <w:b w:val="0"/>
          <w:sz w:val="28"/>
          <w:szCs w:val="28"/>
          <w:lang w:val="kk-KZ"/>
        </w:rPr>
        <w:t>65</w:t>
      </w:r>
      <w:r w:rsidRPr="001935D0">
        <w:rPr>
          <w:rStyle w:val="Strong"/>
          <w:rFonts w:ascii="Times New Roman" w:hAnsi="Times New Roman" w:cs="Times New Roman"/>
          <w:b w:val="0"/>
          <w:sz w:val="28"/>
          <w:szCs w:val="28"/>
        </w:rPr>
        <w:t>], направленный на реализацию новой экономической стратегии, укрепление социальной справедливости и продвижение принципов устойчивого развития.</w:t>
      </w:r>
    </w:p>
    <w:p w14:paraId="6486D6CB" w14:textId="4C0FD4E0" w:rsidR="00E94B29" w:rsidRPr="001935D0" w:rsidRDefault="00E94B29" w:rsidP="00643325">
      <w:pPr>
        <w:pStyle w:val="NoSpacing"/>
        <w:ind w:firstLine="709"/>
        <w:jc w:val="both"/>
        <w:rPr>
          <w:rFonts w:ascii="Times New Roman" w:hAnsi="Times New Roman" w:cs="Times New Roman"/>
          <w:b/>
          <w:sz w:val="28"/>
          <w:szCs w:val="28"/>
        </w:rPr>
      </w:pPr>
      <w:r w:rsidRPr="001935D0">
        <w:rPr>
          <w:rStyle w:val="Strong"/>
          <w:rFonts w:ascii="Times New Roman" w:hAnsi="Times New Roman" w:cs="Times New Roman"/>
          <w:b w:val="0"/>
          <w:sz w:val="28"/>
          <w:szCs w:val="28"/>
        </w:rPr>
        <w:t>Согласно Национальному докладу Республики Казахстан, представленному в рамках Четвёртого Универсального периодического обзора Совета Организации Объединённых Наций по правам человека [15</w:t>
      </w:r>
      <w:r w:rsidR="005B2792">
        <w:rPr>
          <w:rStyle w:val="Strong"/>
          <w:rFonts w:ascii="Times New Roman" w:hAnsi="Times New Roman" w:cs="Times New Roman"/>
          <w:b w:val="0"/>
          <w:sz w:val="28"/>
          <w:szCs w:val="28"/>
          <w:lang w:val="kk-KZ"/>
        </w:rPr>
        <w:t>1</w:t>
      </w:r>
      <w:r w:rsidRPr="001935D0">
        <w:rPr>
          <w:rStyle w:val="Strong"/>
          <w:rFonts w:ascii="Times New Roman" w:hAnsi="Times New Roman" w:cs="Times New Roman"/>
          <w:b w:val="0"/>
          <w:sz w:val="28"/>
          <w:szCs w:val="28"/>
        </w:rPr>
        <w:t>], особое внимание уделено укреплению институциональной базы в сфере прав человека, расширению полномочий Уполномоченного по правам человека, повышению роли Конституционного суда и активному вовлечению гражданского общества в процесс реализации международных рекомендаций (таблица 3.1).</w:t>
      </w:r>
    </w:p>
    <w:p w14:paraId="23EB0D07" w14:textId="5B349A23" w:rsidR="00E94B29" w:rsidRDefault="00807861" w:rsidP="00807861">
      <w:pPr>
        <w:pStyle w:val="NoSpacing"/>
        <w:ind w:firstLine="709"/>
        <w:jc w:val="both"/>
        <w:rPr>
          <w:rFonts w:ascii="Times New Roman" w:hAnsi="Times New Roman" w:cs="Times New Roman"/>
          <w:sz w:val="28"/>
          <w:szCs w:val="28"/>
          <w:lang w:val="kk-KZ"/>
        </w:rPr>
      </w:pPr>
      <w:r w:rsidRPr="00DE045C">
        <w:rPr>
          <w:rFonts w:ascii="Times New Roman" w:hAnsi="Times New Roman" w:cs="Times New Roman"/>
          <w:sz w:val="28"/>
          <w:szCs w:val="28"/>
        </w:rPr>
        <w:t>Начиная с 2022 года, институционная база Республики Казахстан в сфере защиты прав человека демонстрирует поступательное укрепление. Восстановление деятельности Конституционного суда, расширение полномочий института Омбудсмена и создание специализированных правозащитных механизмов усилили системность и комплексность национальной архитектуры защиты прав и свобод граждан.</w:t>
      </w:r>
    </w:p>
    <w:p w14:paraId="0B5F92DF" w14:textId="65296273" w:rsidR="00E94B29" w:rsidRDefault="00E94B29" w:rsidP="00DE045C">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3.1 </w:t>
      </w:r>
      <w:r w:rsidR="00DE045C">
        <w:rPr>
          <w:rFonts w:ascii="Times New Roman" w:hAnsi="Times New Roman" w:cs="Times New Roman"/>
          <w:sz w:val="28"/>
          <w:szCs w:val="28"/>
        </w:rPr>
        <w:t>‒</w:t>
      </w:r>
      <w:r w:rsidR="00DE045C">
        <w:rPr>
          <w:rFonts w:ascii="Times New Roman" w:hAnsi="Times New Roman" w:cs="Times New Roman"/>
          <w:sz w:val="28"/>
          <w:szCs w:val="28"/>
          <w:lang w:val="kk-KZ"/>
        </w:rPr>
        <w:t xml:space="preserve"> </w:t>
      </w:r>
      <w:r w:rsidRPr="001935D0">
        <w:rPr>
          <w:rFonts w:ascii="Times New Roman" w:hAnsi="Times New Roman" w:cs="Times New Roman"/>
          <w:sz w:val="28"/>
          <w:szCs w:val="28"/>
        </w:rPr>
        <w:t>Институциональная база в области прав человека в Республике Казахстан</w:t>
      </w:r>
    </w:p>
    <w:p w14:paraId="7FB2CCE9" w14:textId="77777777" w:rsidR="00DE045C" w:rsidRPr="00DE045C" w:rsidRDefault="00DE045C" w:rsidP="00DE045C">
      <w:pPr>
        <w:pStyle w:val="NoSpacing"/>
        <w:jc w:val="both"/>
        <w:rPr>
          <w:rFonts w:ascii="Times New Roman" w:hAnsi="Times New Roman" w:cs="Times New Roman"/>
          <w:sz w:val="16"/>
          <w:szCs w:val="16"/>
          <w:lang w:val="kk-KZ"/>
        </w:rPr>
      </w:pPr>
    </w:p>
    <w:tbl>
      <w:tblPr>
        <w:tblStyle w:val="TableGrid"/>
        <w:tblW w:w="0" w:type="auto"/>
        <w:jc w:val="center"/>
        <w:tblLook w:val="04A0" w:firstRow="1" w:lastRow="0" w:firstColumn="1" w:lastColumn="0" w:noHBand="0" w:noVBand="1"/>
      </w:tblPr>
      <w:tblGrid>
        <w:gridCol w:w="2306"/>
        <w:gridCol w:w="3781"/>
        <w:gridCol w:w="3541"/>
      </w:tblGrid>
      <w:tr w:rsidR="00E94B29" w:rsidRPr="001935D0" w14:paraId="5CDF1CD3" w14:textId="77777777" w:rsidTr="00DE045C">
        <w:trPr>
          <w:jc w:val="center"/>
        </w:trPr>
        <w:tc>
          <w:tcPr>
            <w:tcW w:w="2306" w:type="dxa"/>
            <w:vAlign w:val="center"/>
          </w:tcPr>
          <w:p w14:paraId="6C9239DE" w14:textId="77777777" w:rsidR="00E94B29" w:rsidRPr="00DE045C" w:rsidRDefault="00E94B29" w:rsidP="00593711">
            <w:pPr>
              <w:jc w:val="center"/>
              <w:rPr>
                <w:rFonts w:ascii="Times New Roman" w:hAnsi="Times New Roman" w:cs="Times New Roman"/>
                <w:b/>
                <w:bCs/>
                <w:sz w:val="24"/>
                <w:szCs w:val="24"/>
              </w:rPr>
            </w:pPr>
            <w:r w:rsidRPr="00DE045C">
              <w:rPr>
                <w:rStyle w:val="Strong"/>
                <w:rFonts w:ascii="Times New Roman" w:hAnsi="Times New Roman" w:cs="Times New Roman"/>
                <w:b w:val="0"/>
                <w:sz w:val="24"/>
                <w:szCs w:val="24"/>
              </w:rPr>
              <w:t>Институт</w:t>
            </w:r>
          </w:p>
        </w:tc>
        <w:tc>
          <w:tcPr>
            <w:tcW w:w="3785" w:type="dxa"/>
            <w:vAlign w:val="center"/>
          </w:tcPr>
          <w:p w14:paraId="40C2F714" w14:textId="77777777" w:rsidR="00E94B29" w:rsidRPr="00DE045C" w:rsidRDefault="00E94B29" w:rsidP="00593711">
            <w:pPr>
              <w:jc w:val="center"/>
              <w:rPr>
                <w:rFonts w:ascii="Times New Roman" w:hAnsi="Times New Roman" w:cs="Times New Roman"/>
                <w:b/>
                <w:bCs/>
                <w:sz w:val="24"/>
                <w:szCs w:val="24"/>
              </w:rPr>
            </w:pPr>
            <w:r w:rsidRPr="00DE045C">
              <w:rPr>
                <w:rStyle w:val="Strong"/>
                <w:rFonts w:ascii="Times New Roman" w:hAnsi="Times New Roman" w:cs="Times New Roman"/>
                <w:b w:val="0"/>
                <w:sz w:val="24"/>
                <w:szCs w:val="24"/>
              </w:rPr>
              <w:t>Основные функции</w:t>
            </w:r>
          </w:p>
        </w:tc>
        <w:tc>
          <w:tcPr>
            <w:tcW w:w="3544" w:type="dxa"/>
            <w:vAlign w:val="center"/>
          </w:tcPr>
          <w:p w14:paraId="128D96CE" w14:textId="77777777" w:rsidR="00E94B29" w:rsidRPr="00DE045C" w:rsidRDefault="00E94B29" w:rsidP="00593711">
            <w:pPr>
              <w:jc w:val="center"/>
              <w:rPr>
                <w:rFonts w:ascii="Times New Roman" w:hAnsi="Times New Roman" w:cs="Times New Roman"/>
                <w:b/>
                <w:bCs/>
                <w:sz w:val="24"/>
                <w:szCs w:val="24"/>
              </w:rPr>
            </w:pPr>
            <w:r w:rsidRPr="00DE045C">
              <w:rPr>
                <w:rStyle w:val="Strong"/>
                <w:rFonts w:ascii="Times New Roman" w:hAnsi="Times New Roman" w:cs="Times New Roman"/>
                <w:b w:val="0"/>
                <w:sz w:val="24"/>
                <w:szCs w:val="24"/>
              </w:rPr>
              <w:t>Значение для реализации прав человека</w:t>
            </w:r>
          </w:p>
        </w:tc>
      </w:tr>
      <w:tr w:rsidR="00DE045C" w:rsidRPr="001935D0" w14:paraId="20B2DFA3" w14:textId="77777777" w:rsidTr="00DE045C">
        <w:trPr>
          <w:jc w:val="center"/>
        </w:trPr>
        <w:tc>
          <w:tcPr>
            <w:tcW w:w="2306" w:type="dxa"/>
            <w:vAlign w:val="center"/>
          </w:tcPr>
          <w:p w14:paraId="7B5EE26F" w14:textId="093A3AD9" w:rsidR="00DE045C" w:rsidRPr="00DE045C" w:rsidRDefault="00DE045C" w:rsidP="00593711">
            <w:pPr>
              <w:jc w:val="center"/>
              <w:rPr>
                <w:rStyle w:val="Strong"/>
                <w:rFonts w:ascii="Times New Roman" w:hAnsi="Times New Roman" w:cs="Times New Roman"/>
                <w:b w:val="0"/>
                <w:sz w:val="24"/>
                <w:szCs w:val="24"/>
                <w:lang w:val="kk-KZ"/>
              </w:rPr>
            </w:pPr>
            <w:r>
              <w:rPr>
                <w:rStyle w:val="Strong"/>
                <w:rFonts w:ascii="Times New Roman" w:hAnsi="Times New Roman" w:cs="Times New Roman"/>
                <w:b w:val="0"/>
                <w:sz w:val="24"/>
                <w:szCs w:val="24"/>
                <w:lang w:val="kk-KZ"/>
              </w:rPr>
              <w:t>1</w:t>
            </w:r>
          </w:p>
        </w:tc>
        <w:tc>
          <w:tcPr>
            <w:tcW w:w="3785" w:type="dxa"/>
            <w:vAlign w:val="center"/>
          </w:tcPr>
          <w:p w14:paraId="0221B736" w14:textId="19F04703" w:rsidR="00DE045C" w:rsidRPr="00DE045C" w:rsidRDefault="00DE045C" w:rsidP="00593711">
            <w:pPr>
              <w:jc w:val="center"/>
              <w:rPr>
                <w:rStyle w:val="Strong"/>
                <w:rFonts w:ascii="Times New Roman" w:hAnsi="Times New Roman" w:cs="Times New Roman"/>
                <w:b w:val="0"/>
                <w:sz w:val="24"/>
                <w:szCs w:val="24"/>
                <w:lang w:val="kk-KZ"/>
              </w:rPr>
            </w:pPr>
            <w:r>
              <w:rPr>
                <w:rStyle w:val="Strong"/>
                <w:rFonts w:ascii="Times New Roman" w:hAnsi="Times New Roman" w:cs="Times New Roman"/>
                <w:b w:val="0"/>
                <w:sz w:val="24"/>
                <w:szCs w:val="24"/>
                <w:lang w:val="kk-KZ"/>
              </w:rPr>
              <w:t>2</w:t>
            </w:r>
          </w:p>
        </w:tc>
        <w:tc>
          <w:tcPr>
            <w:tcW w:w="3544" w:type="dxa"/>
            <w:vAlign w:val="center"/>
          </w:tcPr>
          <w:p w14:paraId="627E41E5" w14:textId="31E11010" w:rsidR="00DE045C" w:rsidRPr="00DE045C" w:rsidRDefault="00DE045C" w:rsidP="00593711">
            <w:pPr>
              <w:jc w:val="center"/>
              <w:rPr>
                <w:rStyle w:val="Strong"/>
                <w:rFonts w:ascii="Times New Roman" w:hAnsi="Times New Roman" w:cs="Times New Roman"/>
                <w:b w:val="0"/>
                <w:sz w:val="24"/>
                <w:szCs w:val="24"/>
                <w:lang w:val="kk-KZ"/>
              </w:rPr>
            </w:pPr>
            <w:r>
              <w:rPr>
                <w:rStyle w:val="Strong"/>
                <w:rFonts w:ascii="Times New Roman" w:hAnsi="Times New Roman" w:cs="Times New Roman"/>
                <w:b w:val="0"/>
                <w:sz w:val="24"/>
                <w:szCs w:val="24"/>
                <w:lang w:val="kk-KZ"/>
              </w:rPr>
              <w:t>3</w:t>
            </w:r>
          </w:p>
        </w:tc>
      </w:tr>
      <w:tr w:rsidR="00E94B29" w:rsidRPr="001935D0" w14:paraId="36ED4EA2" w14:textId="77777777" w:rsidTr="00DE045C">
        <w:trPr>
          <w:jc w:val="center"/>
        </w:trPr>
        <w:tc>
          <w:tcPr>
            <w:tcW w:w="2306" w:type="dxa"/>
            <w:vAlign w:val="center"/>
          </w:tcPr>
          <w:p w14:paraId="7661A922" w14:textId="77777777" w:rsidR="00E94B29" w:rsidRPr="001935D0" w:rsidRDefault="00E94B29" w:rsidP="00593711">
            <w:pPr>
              <w:rPr>
                <w:rFonts w:ascii="Times New Roman" w:hAnsi="Times New Roman" w:cs="Times New Roman"/>
                <w:b/>
                <w:i/>
                <w:sz w:val="24"/>
                <w:szCs w:val="24"/>
              </w:rPr>
            </w:pPr>
            <w:r w:rsidRPr="001935D0">
              <w:rPr>
                <w:rStyle w:val="Strong"/>
                <w:rFonts w:ascii="Times New Roman" w:hAnsi="Times New Roman" w:cs="Times New Roman"/>
                <w:b w:val="0"/>
                <w:i/>
                <w:sz w:val="24"/>
                <w:szCs w:val="24"/>
              </w:rPr>
              <w:t>Конституционный суд</w:t>
            </w:r>
          </w:p>
        </w:tc>
        <w:tc>
          <w:tcPr>
            <w:tcW w:w="3785" w:type="dxa"/>
            <w:vAlign w:val="center"/>
          </w:tcPr>
          <w:p w14:paraId="1BA27F6E"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Рассмотрение обращений граждан, иностранцев и лиц без гражданства; проверка изменений в Конституцию; вынесение окончательных решений по вопросам конституционности актов и правоприменения.</w:t>
            </w:r>
          </w:p>
        </w:tc>
        <w:tc>
          <w:tcPr>
            <w:tcW w:w="3544" w:type="dxa"/>
            <w:vAlign w:val="center"/>
          </w:tcPr>
          <w:p w14:paraId="43FF5F06"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Гарантирует верховенство Конституции, обеспечивает доступ к правосудию для всех категорий населения, включая уязвимые группы.</w:t>
            </w:r>
          </w:p>
        </w:tc>
      </w:tr>
      <w:tr w:rsidR="00E94B29" w:rsidRPr="001935D0" w14:paraId="4C816F0C" w14:textId="77777777" w:rsidTr="00DE045C">
        <w:trPr>
          <w:jc w:val="center"/>
        </w:trPr>
        <w:tc>
          <w:tcPr>
            <w:tcW w:w="2306" w:type="dxa"/>
            <w:vAlign w:val="center"/>
          </w:tcPr>
          <w:p w14:paraId="48EE7471" w14:textId="77777777" w:rsidR="00E94B29" w:rsidRPr="001935D0" w:rsidRDefault="00E94B29" w:rsidP="00593711">
            <w:pPr>
              <w:rPr>
                <w:rFonts w:ascii="Times New Roman" w:hAnsi="Times New Roman" w:cs="Times New Roman"/>
                <w:b/>
                <w:i/>
                <w:sz w:val="24"/>
                <w:szCs w:val="24"/>
              </w:rPr>
            </w:pPr>
            <w:r w:rsidRPr="001935D0">
              <w:rPr>
                <w:rStyle w:val="Strong"/>
                <w:rFonts w:ascii="Times New Roman" w:hAnsi="Times New Roman" w:cs="Times New Roman"/>
                <w:b w:val="0"/>
                <w:i/>
                <w:sz w:val="24"/>
                <w:szCs w:val="24"/>
              </w:rPr>
              <w:t>Уполномоченный по правам человека (омбудсмен)</w:t>
            </w:r>
          </w:p>
        </w:tc>
        <w:tc>
          <w:tcPr>
            <w:tcW w:w="3785" w:type="dxa"/>
            <w:vAlign w:val="center"/>
          </w:tcPr>
          <w:p w14:paraId="7EF5F9D9" w14:textId="3B0ACA29"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Рассмотрение жалоб граждан; направление рекомендаций в гос</w:t>
            </w:r>
            <w:r w:rsidR="00DE045C">
              <w:rPr>
                <w:rFonts w:ascii="Times New Roman" w:hAnsi="Times New Roman" w:cs="Times New Roman"/>
                <w:sz w:val="24"/>
                <w:szCs w:val="24"/>
                <w:lang w:val="kk-KZ"/>
              </w:rPr>
              <w:t xml:space="preserve"> </w:t>
            </w:r>
            <w:r w:rsidRPr="001935D0">
              <w:rPr>
                <w:rFonts w:ascii="Times New Roman" w:hAnsi="Times New Roman" w:cs="Times New Roman"/>
                <w:sz w:val="24"/>
                <w:szCs w:val="24"/>
              </w:rPr>
              <w:t>органы; мониторинг мест несвобо</w:t>
            </w:r>
            <w:r w:rsidR="00DE045C">
              <w:rPr>
                <w:rFonts w:ascii="Times New Roman" w:hAnsi="Times New Roman" w:cs="Times New Roman"/>
                <w:sz w:val="24"/>
                <w:szCs w:val="24"/>
                <w:lang w:val="kk-KZ"/>
              </w:rPr>
              <w:t xml:space="preserve"> </w:t>
            </w:r>
            <w:r w:rsidRPr="001935D0">
              <w:rPr>
                <w:rFonts w:ascii="Times New Roman" w:hAnsi="Times New Roman" w:cs="Times New Roman"/>
                <w:sz w:val="24"/>
                <w:szCs w:val="24"/>
              </w:rPr>
              <w:t>ды; участие в международных процедурах ООН; организация региональных представительств.</w:t>
            </w:r>
          </w:p>
        </w:tc>
        <w:tc>
          <w:tcPr>
            <w:tcW w:w="3544" w:type="dxa"/>
            <w:vAlign w:val="center"/>
          </w:tcPr>
          <w:p w14:paraId="3D7F0221"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Повышает эффективность национальной системы защиты прав граждан, усиливает транспарентность и независимость правозащитных механизмов.</w:t>
            </w:r>
          </w:p>
        </w:tc>
      </w:tr>
      <w:tr w:rsidR="00E94B29" w:rsidRPr="001935D0" w14:paraId="586B1C9A" w14:textId="77777777" w:rsidTr="00DE045C">
        <w:trPr>
          <w:jc w:val="center"/>
        </w:trPr>
        <w:tc>
          <w:tcPr>
            <w:tcW w:w="2306" w:type="dxa"/>
            <w:vAlign w:val="center"/>
          </w:tcPr>
          <w:p w14:paraId="1C8E0F01" w14:textId="77777777" w:rsidR="00E94B29" w:rsidRPr="001935D0" w:rsidRDefault="00E94B29" w:rsidP="00593711">
            <w:pPr>
              <w:rPr>
                <w:rFonts w:ascii="Times New Roman" w:hAnsi="Times New Roman" w:cs="Times New Roman"/>
                <w:b/>
                <w:i/>
                <w:sz w:val="24"/>
                <w:szCs w:val="24"/>
              </w:rPr>
            </w:pPr>
            <w:r w:rsidRPr="001935D0">
              <w:rPr>
                <w:rStyle w:val="Strong"/>
                <w:rFonts w:ascii="Times New Roman" w:hAnsi="Times New Roman" w:cs="Times New Roman"/>
                <w:b w:val="0"/>
                <w:i/>
                <w:sz w:val="24"/>
                <w:szCs w:val="24"/>
              </w:rPr>
              <w:t>Уполномоченный по правам ребёнка</w:t>
            </w:r>
          </w:p>
        </w:tc>
        <w:tc>
          <w:tcPr>
            <w:tcW w:w="3785" w:type="dxa"/>
            <w:vAlign w:val="center"/>
          </w:tcPr>
          <w:p w14:paraId="10E26592"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Представление интересов детей; создание сети региональных детских омбудсменов; контроль за реализацией прав на образование, защиту и развитие.</w:t>
            </w:r>
          </w:p>
        </w:tc>
        <w:tc>
          <w:tcPr>
            <w:tcW w:w="3544" w:type="dxa"/>
            <w:vAlign w:val="center"/>
          </w:tcPr>
          <w:p w14:paraId="585F3B19" w14:textId="51E0B94A"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Усиливает защиту прав детей на местном уровне, обеспе</w:t>
            </w:r>
            <w:r w:rsidR="00DE045C">
              <w:rPr>
                <w:rFonts w:ascii="Times New Roman" w:hAnsi="Times New Roman" w:cs="Times New Roman"/>
                <w:sz w:val="24"/>
                <w:szCs w:val="24"/>
                <w:lang w:val="kk-KZ"/>
              </w:rPr>
              <w:t xml:space="preserve"> </w:t>
            </w:r>
            <w:r w:rsidRPr="001935D0">
              <w:rPr>
                <w:rFonts w:ascii="Times New Roman" w:hAnsi="Times New Roman" w:cs="Times New Roman"/>
                <w:sz w:val="24"/>
                <w:szCs w:val="24"/>
              </w:rPr>
              <w:t>чивает реализацию Конвенции ООН о правах ребёнка.</w:t>
            </w:r>
          </w:p>
        </w:tc>
      </w:tr>
      <w:tr w:rsidR="00E94B29" w:rsidRPr="001935D0" w14:paraId="18CDEC37" w14:textId="77777777" w:rsidTr="00DE045C">
        <w:trPr>
          <w:jc w:val="center"/>
        </w:trPr>
        <w:tc>
          <w:tcPr>
            <w:tcW w:w="2306" w:type="dxa"/>
            <w:vAlign w:val="center"/>
          </w:tcPr>
          <w:p w14:paraId="203516B7" w14:textId="77777777" w:rsidR="00E94B29" w:rsidRPr="001935D0" w:rsidRDefault="00E94B29" w:rsidP="00593711">
            <w:pPr>
              <w:rPr>
                <w:rFonts w:ascii="Times New Roman" w:hAnsi="Times New Roman" w:cs="Times New Roman"/>
                <w:b/>
                <w:i/>
                <w:sz w:val="24"/>
                <w:szCs w:val="24"/>
              </w:rPr>
            </w:pPr>
            <w:r w:rsidRPr="001935D0">
              <w:rPr>
                <w:rStyle w:val="Strong"/>
                <w:rFonts w:ascii="Times New Roman" w:hAnsi="Times New Roman" w:cs="Times New Roman"/>
                <w:b w:val="0"/>
                <w:i/>
                <w:sz w:val="24"/>
                <w:szCs w:val="24"/>
              </w:rPr>
              <w:t>Уполномоченный по правам социально уязвимых групп</w:t>
            </w:r>
          </w:p>
        </w:tc>
        <w:tc>
          <w:tcPr>
            <w:tcW w:w="3785" w:type="dxa"/>
            <w:vAlign w:val="center"/>
          </w:tcPr>
          <w:p w14:paraId="2FB52AFF" w14:textId="03F6255D" w:rsidR="00E94B29" w:rsidRPr="001935D0" w:rsidRDefault="00E94B29" w:rsidP="00DE045C">
            <w:pPr>
              <w:jc w:val="both"/>
              <w:rPr>
                <w:rFonts w:ascii="Times New Roman" w:hAnsi="Times New Roman" w:cs="Times New Roman"/>
                <w:sz w:val="24"/>
                <w:szCs w:val="24"/>
              </w:rPr>
            </w:pPr>
            <w:r w:rsidRPr="001935D0">
              <w:rPr>
                <w:rFonts w:ascii="Times New Roman" w:hAnsi="Times New Roman" w:cs="Times New Roman"/>
                <w:sz w:val="24"/>
                <w:szCs w:val="24"/>
              </w:rPr>
              <w:t>Защита лиц с инвалидностью, многодетных семей, сирот, пожилых граждан; содействие доступной среде и инклюзии; реализация национального превен</w:t>
            </w:r>
            <w:r w:rsidR="00DE045C">
              <w:rPr>
                <w:rFonts w:ascii="Times New Roman" w:hAnsi="Times New Roman" w:cs="Times New Roman"/>
                <w:sz w:val="24"/>
                <w:szCs w:val="24"/>
                <w:lang w:val="kk-KZ"/>
              </w:rPr>
              <w:t xml:space="preserve"> </w:t>
            </w:r>
            <w:r w:rsidRPr="001935D0">
              <w:rPr>
                <w:rFonts w:ascii="Times New Roman" w:hAnsi="Times New Roman" w:cs="Times New Roman"/>
                <w:sz w:val="24"/>
                <w:szCs w:val="24"/>
              </w:rPr>
              <w:t>тивного механизма против пыток.</w:t>
            </w:r>
          </w:p>
        </w:tc>
        <w:tc>
          <w:tcPr>
            <w:tcW w:w="3544" w:type="dxa"/>
            <w:vAlign w:val="center"/>
          </w:tcPr>
          <w:p w14:paraId="543F3B2C" w14:textId="580BA5B3" w:rsidR="00E94B29" w:rsidRPr="00DE045C" w:rsidRDefault="00E94B29" w:rsidP="00593711">
            <w:pPr>
              <w:jc w:val="both"/>
              <w:rPr>
                <w:rFonts w:ascii="Times New Roman" w:hAnsi="Times New Roman" w:cs="Times New Roman"/>
                <w:sz w:val="24"/>
                <w:szCs w:val="24"/>
                <w:lang w:val="kk-KZ"/>
              </w:rPr>
            </w:pPr>
            <w:r w:rsidRPr="001935D0">
              <w:rPr>
                <w:rFonts w:ascii="Times New Roman" w:hAnsi="Times New Roman" w:cs="Times New Roman"/>
                <w:sz w:val="24"/>
                <w:szCs w:val="24"/>
              </w:rPr>
              <w:t>Создаёт специализированный правозащитный институт, ориентированный на реали</w:t>
            </w:r>
            <w:r w:rsidR="00DE045C">
              <w:rPr>
                <w:rFonts w:ascii="Times New Roman" w:hAnsi="Times New Roman" w:cs="Times New Roman"/>
                <w:sz w:val="24"/>
                <w:szCs w:val="24"/>
                <w:lang w:val="kk-KZ"/>
              </w:rPr>
              <w:t xml:space="preserve"> </w:t>
            </w:r>
            <w:r w:rsidRPr="001935D0">
              <w:rPr>
                <w:rFonts w:ascii="Times New Roman" w:hAnsi="Times New Roman" w:cs="Times New Roman"/>
                <w:sz w:val="24"/>
                <w:szCs w:val="24"/>
              </w:rPr>
              <w:t>зацию Парижских принципов и рекомендаций Универсальный</w:t>
            </w:r>
            <w:r w:rsidR="00DE045C">
              <w:rPr>
                <w:rFonts w:ascii="Times New Roman" w:hAnsi="Times New Roman" w:cs="Times New Roman"/>
                <w:sz w:val="24"/>
                <w:szCs w:val="24"/>
              </w:rPr>
              <w:t xml:space="preserve"> периодический обзор (УПО) 2025</w:t>
            </w:r>
          </w:p>
        </w:tc>
      </w:tr>
      <w:tr w:rsidR="00E94B29" w:rsidRPr="001935D0" w14:paraId="713DA00B" w14:textId="77777777" w:rsidTr="00DE045C">
        <w:trPr>
          <w:trHeight w:val="1022"/>
          <w:jc w:val="center"/>
        </w:trPr>
        <w:tc>
          <w:tcPr>
            <w:tcW w:w="2306" w:type="dxa"/>
            <w:vAlign w:val="center"/>
          </w:tcPr>
          <w:p w14:paraId="2EEBBCAB" w14:textId="3121BDF6" w:rsidR="00E94B29" w:rsidRPr="001935D0" w:rsidRDefault="00E94B29" w:rsidP="00DE045C">
            <w:pPr>
              <w:ind w:right="-83"/>
              <w:rPr>
                <w:rFonts w:ascii="Times New Roman" w:hAnsi="Times New Roman" w:cs="Times New Roman"/>
                <w:b/>
                <w:i/>
                <w:sz w:val="24"/>
                <w:szCs w:val="24"/>
              </w:rPr>
            </w:pPr>
            <w:r w:rsidRPr="001935D0">
              <w:rPr>
                <w:rStyle w:val="Strong"/>
                <w:rFonts w:ascii="Times New Roman" w:hAnsi="Times New Roman" w:cs="Times New Roman"/>
                <w:b w:val="0"/>
                <w:i/>
                <w:sz w:val="24"/>
                <w:szCs w:val="24"/>
              </w:rPr>
              <w:t>Другие омбудсмены (по правам пред</w:t>
            </w:r>
            <w:r w:rsidR="00DE045C">
              <w:rPr>
                <w:rStyle w:val="Strong"/>
                <w:rFonts w:ascii="Times New Roman" w:hAnsi="Times New Roman" w:cs="Times New Roman"/>
                <w:b w:val="0"/>
                <w:i/>
                <w:sz w:val="24"/>
                <w:szCs w:val="24"/>
                <w:lang w:val="kk-KZ"/>
              </w:rPr>
              <w:t xml:space="preserve"> </w:t>
            </w:r>
            <w:r w:rsidRPr="001935D0">
              <w:rPr>
                <w:rStyle w:val="Strong"/>
                <w:rFonts w:ascii="Times New Roman" w:hAnsi="Times New Roman" w:cs="Times New Roman"/>
                <w:b w:val="0"/>
                <w:i/>
                <w:sz w:val="24"/>
                <w:szCs w:val="24"/>
              </w:rPr>
              <w:t>принимателей, сту</w:t>
            </w:r>
            <w:r w:rsidR="00DE045C">
              <w:rPr>
                <w:rStyle w:val="Strong"/>
                <w:rFonts w:ascii="Times New Roman" w:hAnsi="Times New Roman" w:cs="Times New Roman"/>
                <w:b w:val="0"/>
                <w:i/>
                <w:sz w:val="24"/>
                <w:szCs w:val="24"/>
                <w:lang w:val="kk-KZ"/>
              </w:rPr>
              <w:t xml:space="preserve"> </w:t>
            </w:r>
            <w:r w:rsidRPr="001935D0">
              <w:rPr>
                <w:rStyle w:val="Strong"/>
                <w:rFonts w:ascii="Times New Roman" w:hAnsi="Times New Roman" w:cs="Times New Roman"/>
                <w:b w:val="0"/>
                <w:i/>
                <w:sz w:val="24"/>
                <w:szCs w:val="24"/>
              </w:rPr>
              <w:t>дентов, инвесторов)</w:t>
            </w:r>
          </w:p>
        </w:tc>
        <w:tc>
          <w:tcPr>
            <w:tcW w:w="3785" w:type="dxa"/>
            <w:vAlign w:val="center"/>
          </w:tcPr>
          <w:p w14:paraId="24B1B8ED"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Рассмотрение жалоб и обращений в пределах своей компетенции; взаимодействие с органами власти и субъектами бизнеса.</w:t>
            </w:r>
          </w:p>
        </w:tc>
        <w:tc>
          <w:tcPr>
            <w:tcW w:w="3544" w:type="dxa"/>
            <w:vAlign w:val="center"/>
          </w:tcPr>
          <w:p w14:paraId="5110168A" w14:textId="223204B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Обеспечивают секторальную защиту прав человека в сфере экономики, предприниматель</w:t>
            </w:r>
            <w:r w:rsidR="00DE045C">
              <w:rPr>
                <w:rFonts w:ascii="Times New Roman" w:hAnsi="Times New Roman" w:cs="Times New Roman"/>
                <w:sz w:val="24"/>
                <w:szCs w:val="24"/>
                <w:lang w:val="kk-KZ"/>
              </w:rPr>
              <w:t xml:space="preserve"> </w:t>
            </w:r>
            <w:r w:rsidRPr="001935D0">
              <w:rPr>
                <w:rFonts w:ascii="Times New Roman" w:hAnsi="Times New Roman" w:cs="Times New Roman"/>
                <w:sz w:val="24"/>
                <w:szCs w:val="24"/>
              </w:rPr>
              <w:t>ства и образования.</w:t>
            </w:r>
          </w:p>
        </w:tc>
      </w:tr>
      <w:tr w:rsidR="00E94B29" w:rsidRPr="001935D0" w14:paraId="4747762D" w14:textId="77777777" w:rsidTr="00DE045C">
        <w:trPr>
          <w:jc w:val="center"/>
        </w:trPr>
        <w:tc>
          <w:tcPr>
            <w:tcW w:w="2306" w:type="dxa"/>
            <w:vAlign w:val="center"/>
          </w:tcPr>
          <w:p w14:paraId="6431C61F" w14:textId="77777777" w:rsidR="00E94B29" w:rsidRPr="001935D0" w:rsidRDefault="00E94B29" w:rsidP="00593711">
            <w:pPr>
              <w:rPr>
                <w:rFonts w:ascii="Times New Roman" w:hAnsi="Times New Roman" w:cs="Times New Roman"/>
                <w:b/>
                <w:i/>
                <w:sz w:val="24"/>
                <w:szCs w:val="24"/>
              </w:rPr>
            </w:pPr>
            <w:r w:rsidRPr="001935D0">
              <w:rPr>
                <w:rStyle w:val="Strong"/>
                <w:rFonts w:ascii="Times New Roman" w:hAnsi="Times New Roman" w:cs="Times New Roman"/>
                <w:b w:val="0"/>
                <w:i/>
                <w:sz w:val="24"/>
                <w:szCs w:val="24"/>
              </w:rPr>
              <w:t>Национальный центр по правам человека</w:t>
            </w:r>
          </w:p>
        </w:tc>
        <w:tc>
          <w:tcPr>
            <w:tcW w:w="3785" w:type="dxa"/>
            <w:vAlign w:val="center"/>
          </w:tcPr>
          <w:p w14:paraId="648A847A" w14:textId="36A7F935"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Информационно-аналитическая поддержка деятельности омбуд</w:t>
            </w:r>
            <w:r w:rsidR="00DE045C">
              <w:rPr>
                <w:rFonts w:ascii="Times New Roman" w:hAnsi="Times New Roman" w:cs="Times New Roman"/>
                <w:sz w:val="24"/>
                <w:szCs w:val="24"/>
                <w:lang w:val="kk-KZ"/>
              </w:rPr>
              <w:t xml:space="preserve"> </w:t>
            </w:r>
            <w:r w:rsidRPr="001935D0">
              <w:rPr>
                <w:rFonts w:ascii="Times New Roman" w:hAnsi="Times New Roman" w:cs="Times New Roman"/>
                <w:sz w:val="24"/>
                <w:szCs w:val="24"/>
              </w:rPr>
              <w:t>сменов; координация просвети</w:t>
            </w:r>
            <w:r w:rsidR="00DE045C">
              <w:rPr>
                <w:rFonts w:ascii="Times New Roman" w:hAnsi="Times New Roman" w:cs="Times New Roman"/>
                <w:sz w:val="24"/>
                <w:szCs w:val="24"/>
                <w:lang w:val="kk-KZ"/>
              </w:rPr>
              <w:t xml:space="preserve"> </w:t>
            </w:r>
            <w:r w:rsidRPr="001935D0">
              <w:rPr>
                <w:rFonts w:ascii="Times New Roman" w:hAnsi="Times New Roman" w:cs="Times New Roman"/>
                <w:sz w:val="24"/>
                <w:szCs w:val="24"/>
              </w:rPr>
              <w:t>тельских программ; подготовка отчётности по международным обязательствам.</w:t>
            </w:r>
          </w:p>
        </w:tc>
        <w:tc>
          <w:tcPr>
            <w:tcW w:w="3544" w:type="dxa"/>
            <w:vAlign w:val="center"/>
          </w:tcPr>
          <w:p w14:paraId="310927C5"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Повышает профессиональную и техническую состоятельность правозащитных институтов, укрепляет взаимодействие с ООН и Организация по безопасности и сотрудничеству в Европе (ОБСЕ).</w:t>
            </w:r>
          </w:p>
        </w:tc>
      </w:tr>
      <w:tr w:rsidR="00E94B29" w:rsidRPr="001935D0" w14:paraId="5DC8FFF9" w14:textId="77777777" w:rsidTr="00DE045C">
        <w:trPr>
          <w:jc w:val="center"/>
        </w:trPr>
        <w:tc>
          <w:tcPr>
            <w:tcW w:w="2306" w:type="dxa"/>
            <w:vAlign w:val="center"/>
          </w:tcPr>
          <w:p w14:paraId="1B8D6C60" w14:textId="77777777" w:rsidR="00E94B29" w:rsidRPr="001935D0" w:rsidRDefault="00E94B29" w:rsidP="00593711">
            <w:pPr>
              <w:rPr>
                <w:rFonts w:ascii="Times New Roman" w:hAnsi="Times New Roman" w:cs="Times New Roman"/>
                <w:b/>
                <w:i/>
                <w:sz w:val="24"/>
                <w:szCs w:val="24"/>
              </w:rPr>
            </w:pPr>
            <w:r w:rsidRPr="001935D0">
              <w:rPr>
                <w:rStyle w:val="Strong"/>
                <w:rFonts w:ascii="Times New Roman" w:hAnsi="Times New Roman" w:cs="Times New Roman"/>
                <w:b w:val="0"/>
                <w:i/>
                <w:sz w:val="24"/>
                <w:szCs w:val="24"/>
              </w:rPr>
              <w:t>Фонд компенсаций жертвам пыток</w:t>
            </w:r>
          </w:p>
        </w:tc>
        <w:tc>
          <w:tcPr>
            <w:tcW w:w="3785" w:type="dxa"/>
            <w:vAlign w:val="center"/>
          </w:tcPr>
          <w:p w14:paraId="1B83520E" w14:textId="58275309"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Выплата компенсаций лицам, пострадавшим от пыток и жестокого обращения; обеспече</w:t>
            </w:r>
            <w:r w:rsidR="00DE045C">
              <w:rPr>
                <w:rFonts w:ascii="Times New Roman" w:hAnsi="Times New Roman" w:cs="Times New Roman"/>
                <w:sz w:val="24"/>
                <w:szCs w:val="24"/>
                <w:lang w:val="kk-KZ"/>
              </w:rPr>
              <w:t xml:space="preserve"> </w:t>
            </w:r>
            <w:r w:rsidRPr="001935D0">
              <w:rPr>
                <w:rFonts w:ascii="Times New Roman" w:hAnsi="Times New Roman" w:cs="Times New Roman"/>
                <w:sz w:val="24"/>
                <w:szCs w:val="24"/>
              </w:rPr>
              <w:t>ние доступа к правовой и психологической помощи.</w:t>
            </w:r>
          </w:p>
        </w:tc>
        <w:tc>
          <w:tcPr>
            <w:tcW w:w="3544" w:type="dxa"/>
            <w:vAlign w:val="center"/>
          </w:tcPr>
          <w:p w14:paraId="17EF98E3"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 xml:space="preserve">Реализует международные обязательства Казахстана по Конвенции против пыток и Факультативному протоколу </w:t>
            </w:r>
          </w:p>
        </w:tc>
      </w:tr>
      <w:tr w:rsidR="00E94B29" w:rsidRPr="001935D0" w14:paraId="22FE496C" w14:textId="77777777" w:rsidTr="00DE045C">
        <w:trPr>
          <w:jc w:val="center"/>
        </w:trPr>
        <w:tc>
          <w:tcPr>
            <w:tcW w:w="2306" w:type="dxa"/>
            <w:tcBorders>
              <w:bottom w:val="nil"/>
            </w:tcBorders>
            <w:vAlign w:val="center"/>
          </w:tcPr>
          <w:p w14:paraId="0310E68D" w14:textId="77777777" w:rsidR="00E94B29" w:rsidRPr="001935D0" w:rsidRDefault="00E94B29" w:rsidP="00593711">
            <w:pPr>
              <w:rPr>
                <w:rFonts w:ascii="Times New Roman" w:hAnsi="Times New Roman" w:cs="Times New Roman"/>
                <w:b/>
                <w:i/>
                <w:sz w:val="24"/>
                <w:szCs w:val="24"/>
              </w:rPr>
            </w:pPr>
            <w:r w:rsidRPr="001935D0">
              <w:rPr>
                <w:rStyle w:val="Strong"/>
                <w:rFonts w:ascii="Times New Roman" w:hAnsi="Times New Roman" w:cs="Times New Roman"/>
                <w:b w:val="0"/>
                <w:i/>
                <w:sz w:val="24"/>
                <w:szCs w:val="24"/>
              </w:rPr>
              <w:t>Финансирование и региональные представительства</w:t>
            </w:r>
          </w:p>
        </w:tc>
        <w:tc>
          <w:tcPr>
            <w:tcW w:w="3785" w:type="dxa"/>
            <w:tcBorders>
              <w:bottom w:val="nil"/>
            </w:tcBorders>
            <w:vAlign w:val="center"/>
          </w:tcPr>
          <w:p w14:paraId="3A6962B3" w14:textId="7777777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Государственное финансирование деятельности омбудсменов; развитие сети офисов в регионах и повышение их автономности.</w:t>
            </w:r>
          </w:p>
        </w:tc>
        <w:tc>
          <w:tcPr>
            <w:tcW w:w="3544" w:type="dxa"/>
            <w:tcBorders>
              <w:bottom w:val="nil"/>
            </w:tcBorders>
            <w:vAlign w:val="center"/>
          </w:tcPr>
          <w:p w14:paraId="77FC3EB3" w14:textId="76814454"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Обеспечивает устойчивость и доступность институтов защи</w:t>
            </w:r>
            <w:r w:rsidR="00DE045C">
              <w:rPr>
                <w:rFonts w:ascii="Times New Roman" w:hAnsi="Times New Roman" w:cs="Times New Roman"/>
                <w:sz w:val="24"/>
                <w:szCs w:val="24"/>
                <w:lang w:val="kk-KZ"/>
              </w:rPr>
              <w:t xml:space="preserve"> </w:t>
            </w:r>
            <w:r w:rsidRPr="001935D0">
              <w:rPr>
                <w:rFonts w:ascii="Times New Roman" w:hAnsi="Times New Roman" w:cs="Times New Roman"/>
                <w:sz w:val="24"/>
                <w:szCs w:val="24"/>
              </w:rPr>
              <w:t>ты прав человека на местах, способствует децентрализации системы.</w:t>
            </w:r>
          </w:p>
        </w:tc>
      </w:tr>
      <w:tr w:rsidR="00DE045C" w:rsidRPr="001935D0" w14:paraId="67CF9013" w14:textId="77777777" w:rsidTr="00DE045C">
        <w:trPr>
          <w:jc w:val="center"/>
        </w:trPr>
        <w:tc>
          <w:tcPr>
            <w:tcW w:w="9635" w:type="dxa"/>
            <w:gridSpan w:val="3"/>
            <w:tcBorders>
              <w:top w:val="nil"/>
              <w:left w:val="nil"/>
              <w:right w:val="nil"/>
            </w:tcBorders>
            <w:vAlign w:val="center"/>
          </w:tcPr>
          <w:p w14:paraId="0CC3E12F" w14:textId="77777777" w:rsidR="00DE045C" w:rsidRPr="00DE045C" w:rsidRDefault="00DE045C" w:rsidP="00DE045C">
            <w:pPr>
              <w:ind w:hanging="109"/>
              <w:jc w:val="both"/>
              <w:rPr>
                <w:rFonts w:ascii="Times New Roman" w:eastAsia="Times New Roman" w:hAnsi="Times New Roman" w:cs="Times New Roman"/>
                <w:sz w:val="28"/>
                <w:szCs w:val="28"/>
                <w:lang w:val="kk-KZ" w:eastAsia="ru-RU"/>
              </w:rPr>
            </w:pPr>
            <w:r w:rsidRPr="00DE045C">
              <w:rPr>
                <w:rFonts w:ascii="Times New Roman" w:eastAsia="Times New Roman" w:hAnsi="Times New Roman" w:cs="Times New Roman"/>
                <w:sz w:val="28"/>
                <w:szCs w:val="28"/>
                <w:lang w:val="kk-KZ" w:eastAsia="ru-RU"/>
              </w:rPr>
              <w:t>Продолжение таблицы 3.1</w:t>
            </w:r>
          </w:p>
          <w:p w14:paraId="0A7FE70D" w14:textId="0D839A52" w:rsidR="00DE045C" w:rsidRPr="00DE045C" w:rsidRDefault="00DE045C" w:rsidP="00DE045C">
            <w:pPr>
              <w:ind w:hanging="109"/>
              <w:jc w:val="both"/>
              <w:rPr>
                <w:rFonts w:ascii="Times New Roman" w:eastAsia="Times New Roman" w:hAnsi="Times New Roman" w:cs="Times New Roman"/>
                <w:sz w:val="16"/>
                <w:szCs w:val="16"/>
                <w:lang w:val="kk-KZ" w:eastAsia="ru-RU"/>
              </w:rPr>
            </w:pPr>
          </w:p>
        </w:tc>
      </w:tr>
      <w:tr w:rsidR="00DE045C" w:rsidRPr="001935D0" w14:paraId="4DA701F2" w14:textId="77777777" w:rsidTr="00DE045C">
        <w:trPr>
          <w:jc w:val="center"/>
        </w:trPr>
        <w:tc>
          <w:tcPr>
            <w:tcW w:w="2306" w:type="dxa"/>
            <w:vAlign w:val="center"/>
          </w:tcPr>
          <w:p w14:paraId="08A8BFE1" w14:textId="1B027DE7" w:rsidR="00DE045C" w:rsidRPr="00DE045C" w:rsidRDefault="00DE045C" w:rsidP="00DE045C">
            <w:pPr>
              <w:jc w:val="center"/>
              <w:rPr>
                <w:rFonts w:ascii="Times New Roman" w:eastAsia="Times New Roman" w:hAnsi="Times New Roman" w:cs="Times New Roman"/>
                <w:bCs/>
                <w:sz w:val="24"/>
                <w:szCs w:val="24"/>
                <w:lang w:val="kk-KZ" w:eastAsia="ru-RU"/>
              </w:rPr>
            </w:pPr>
            <w:r w:rsidRPr="00DE045C">
              <w:rPr>
                <w:rFonts w:ascii="Times New Roman" w:eastAsia="Times New Roman" w:hAnsi="Times New Roman" w:cs="Times New Roman"/>
                <w:bCs/>
                <w:sz w:val="24"/>
                <w:szCs w:val="24"/>
                <w:lang w:val="kk-KZ" w:eastAsia="ru-RU"/>
              </w:rPr>
              <w:lastRenderedPageBreak/>
              <w:t>1</w:t>
            </w:r>
          </w:p>
        </w:tc>
        <w:tc>
          <w:tcPr>
            <w:tcW w:w="3785" w:type="dxa"/>
            <w:vAlign w:val="center"/>
          </w:tcPr>
          <w:p w14:paraId="4CD5C97E" w14:textId="77777777" w:rsidR="00DE045C" w:rsidRPr="001935D0" w:rsidRDefault="00DE045C" w:rsidP="00DE045C">
            <w:pPr>
              <w:jc w:val="center"/>
              <w:rPr>
                <w:rFonts w:ascii="Times New Roman" w:eastAsia="Times New Roman" w:hAnsi="Times New Roman" w:cs="Times New Roman"/>
                <w:sz w:val="24"/>
                <w:szCs w:val="24"/>
                <w:lang w:eastAsia="ru-RU"/>
              </w:rPr>
            </w:pPr>
          </w:p>
        </w:tc>
        <w:tc>
          <w:tcPr>
            <w:tcW w:w="3544" w:type="dxa"/>
            <w:vAlign w:val="center"/>
          </w:tcPr>
          <w:p w14:paraId="409FCDCD" w14:textId="49A4CA5A" w:rsidR="00DE045C" w:rsidRPr="00DE045C" w:rsidRDefault="00DE045C" w:rsidP="00DE045C">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r>
      <w:tr w:rsidR="00E94B29" w:rsidRPr="001935D0" w14:paraId="5E306215" w14:textId="77777777" w:rsidTr="00DE045C">
        <w:trPr>
          <w:jc w:val="center"/>
        </w:trPr>
        <w:tc>
          <w:tcPr>
            <w:tcW w:w="2306" w:type="dxa"/>
            <w:vAlign w:val="center"/>
          </w:tcPr>
          <w:p w14:paraId="10537965" w14:textId="10B891E4" w:rsidR="00E94B29" w:rsidRPr="001935D0" w:rsidRDefault="00E94B29" w:rsidP="00593711">
            <w:pPr>
              <w:rPr>
                <w:rStyle w:val="Strong"/>
                <w:rFonts w:ascii="Times New Roman" w:hAnsi="Times New Roman" w:cs="Times New Roman"/>
                <w:i/>
                <w:sz w:val="24"/>
                <w:szCs w:val="24"/>
              </w:rPr>
            </w:pPr>
            <w:r w:rsidRPr="001935D0">
              <w:rPr>
                <w:rFonts w:ascii="Times New Roman" w:eastAsia="Times New Roman" w:hAnsi="Times New Roman" w:cs="Times New Roman"/>
                <w:bCs/>
                <w:i/>
                <w:sz w:val="24"/>
                <w:szCs w:val="24"/>
                <w:lang w:eastAsia="ru-RU"/>
              </w:rPr>
              <w:t xml:space="preserve">Закон о защите женщин от насилия </w:t>
            </w:r>
          </w:p>
        </w:tc>
        <w:tc>
          <w:tcPr>
            <w:tcW w:w="3785" w:type="dxa"/>
            <w:vAlign w:val="center"/>
          </w:tcPr>
          <w:p w14:paraId="6D64E444" w14:textId="54D5F671" w:rsidR="00E94B29" w:rsidRPr="001935D0" w:rsidRDefault="00E94B29" w:rsidP="00593711">
            <w:pPr>
              <w:jc w:val="both"/>
              <w:rPr>
                <w:rFonts w:ascii="Times New Roman" w:hAnsi="Times New Roman" w:cs="Times New Roman"/>
                <w:sz w:val="24"/>
                <w:szCs w:val="24"/>
              </w:rPr>
            </w:pPr>
            <w:r w:rsidRPr="001935D0">
              <w:rPr>
                <w:rFonts w:ascii="Times New Roman" w:eastAsia="Times New Roman" w:hAnsi="Times New Roman" w:cs="Times New Roman"/>
                <w:sz w:val="24"/>
                <w:szCs w:val="24"/>
                <w:lang w:eastAsia="ru-RU"/>
              </w:rPr>
              <w:t>Введение новых мер по предупреждению домашнего насилия, улучшение доступа женщин к правовой и социальной помощи. Несмотря на прогресс, закон остаётся неполным и требует дальнейшей гармониза</w:t>
            </w:r>
            <w:r w:rsidR="00DE045C">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ции с европейскими и междуна</w:t>
            </w:r>
            <w:r w:rsidR="00DE045C">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родными стандартами </w:t>
            </w:r>
          </w:p>
        </w:tc>
        <w:tc>
          <w:tcPr>
            <w:tcW w:w="3544" w:type="dxa"/>
            <w:vAlign w:val="center"/>
          </w:tcPr>
          <w:p w14:paraId="5295F6F8" w14:textId="77777777" w:rsidR="00E94B29" w:rsidRPr="001935D0" w:rsidRDefault="00E94B29" w:rsidP="00593711">
            <w:pPr>
              <w:jc w:val="both"/>
              <w:rPr>
                <w:rFonts w:ascii="Times New Roman" w:hAnsi="Times New Roman" w:cs="Times New Roman"/>
                <w:sz w:val="24"/>
                <w:szCs w:val="24"/>
              </w:rPr>
            </w:pPr>
            <w:r w:rsidRPr="001935D0">
              <w:rPr>
                <w:rFonts w:ascii="Times New Roman" w:eastAsia="Times New Roman" w:hAnsi="Times New Roman" w:cs="Times New Roman"/>
                <w:sz w:val="24"/>
                <w:szCs w:val="24"/>
                <w:lang w:eastAsia="ru-RU"/>
              </w:rPr>
              <w:t xml:space="preserve">Укрепляет гендерное измерение правозащитной политики, повышает видимость женских прав в государственной повестке и создаёт основу для ратификации Стамбульской конвенции. </w:t>
            </w:r>
          </w:p>
        </w:tc>
      </w:tr>
      <w:tr w:rsidR="00DE045C" w:rsidRPr="001935D0" w14:paraId="662B7C88" w14:textId="77777777" w:rsidTr="00123D4E">
        <w:trPr>
          <w:jc w:val="center"/>
        </w:trPr>
        <w:tc>
          <w:tcPr>
            <w:tcW w:w="9635" w:type="dxa"/>
            <w:gridSpan w:val="3"/>
            <w:vAlign w:val="center"/>
          </w:tcPr>
          <w:p w14:paraId="77C89C92" w14:textId="5CB38FF3" w:rsidR="00DE045C" w:rsidRPr="00DE045C" w:rsidRDefault="00DE045C" w:rsidP="005B2792">
            <w:pPr>
              <w:ind w:firstLine="64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Примечание – Составлено автором по источникам </w:t>
            </w:r>
            <w:r w:rsidRPr="001935D0">
              <w:rPr>
                <w:rFonts w:ascii="Times New Roman" w:hAnsi="Times New Roman" w:cs="Times New Roman"/>
                <w:sz w:val="24"/>
                <w:szCs w:val="24"/>
              </w:rPr>
              <w:t>[</w:t>
            </w:r>
            <w:r w:rsidR="005B2792">
              <w:rPr>
                <w:rFonts w:ascii="Times New Roman" w:hAnsi="Times New Roman" w:cs="Times New Roman"/>
                <w:sz w:val="24"/>
                <w:szCs w:val="24"/>
                <w:lang w:val="kk-KZ"/>
              </w:rPr>
              <w:t>71; 151; 152; 153; 154; 155; 156; 157; 158; 159; 160; 161; 162; 163; 164; 165; 166</w:t>
            </w:r>
            <w:r w:rsidRPr="001935D0">
              <w:rPr>
                <w:rFonts w:ascii="Times New Roman" w:hAnsi="Times New Roman" w:cs="Times New Roman"/>
                <w:sz w:val="24"/>
                <w:szCs w:val="24"/>
              </w:rPr>
              <w:t>]</w:t>
            </w:r>
          </w:p>
        </w:tc>
      </w:tr>
    </w:tbl>
    <w:p w14:paraId="1AFCB84F" w14:textId="77777777" w:rsidR="00E94B29" w:rsidRPr="00DE045C" w:rsidRDefault="00E94B29" w:rsidP="00593711">
      <w:pPr>
        <w:pStyle w:val="NoSpacing"/>
        <w:jc w:val="both"/>
        <w:rPr>
          <w:rFonts w:ascii="Times New Roman" w:hAnsi="Times New Roman" w:cs="Times New Roman"/>
          <w:sz w:val="28"/>
          <w:szCs w:val="28"/>
        </w:rPr>
      </w:pPr>
    </w:p>
    <w:p w14:paraId="6C377DAC" w14:textId="022EDF2E"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Принятие нового закона о защите женщин от насилия рассматривается как важный шаг в развитии гендерного компонента национальной правозащитной политики, хотя, по данным Human Rights Watch за 2024 [1</w:t>
      </w:r>
      <w:r w:rsidR="005B2792">
        <w:rPr>
          <w:rFonts w:ascii="Times New Roman" w:hAnsi="Times New Roman" w:cs="Times New Roman"/>
          <w:sz w:val="28"/>
          <w:szCs w:val="28"/>
          <w:lang w:val="kk-KZ"/>
        </w:rPr>
        <w:t>66</w:t>
      </w:r>
      <w:r w:rsidRPr="00DE045C">
        <w:rPr>
          <w:rFonts w:ascii="Times New Roman" w:hAnsi="Times New Roman" w:cs="Times New Roman"/>
          <w:sz w:val="28"/>
          <w:szCs w:val="28"/>
        </w:rPr>
        <w:t>], закон остаётся частично неполным и требует дальнейшего сближения с европейскими стандартами противодействия гендерному насилию. Закрепление правовых основ бесплатной помощи уязвимым категориям и возможности судебного обращения для всех лиц независимо от гражданства подтверждает ориентацию государства на принципы равного доступа к правосудию. Тем не менее, эффективность данных механизмов по-прежнему зависит от уровня их независимости, ресурсного обеспечения и готовности госорганов учитывать международные рекомендации.</w:t>
      </w:r>
    </w:p>
    <w:p w14:paraId="27DD260F" w14:textId="09B63D7B"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bCs/>
          <w:sz w:val="28"/>
          <w:szCs w:val="28"/>
        </w:rPr>
        <w:t>С 2021 по 2025 годы в Республике Казахстан реализуются последовательные реформы, направленные на институциональное укрепление конституционной демократии и правового государства. Ключевым результатом стала конституционная реформа 2022 года, одобренная на всенародном референдуме, в ходе которой были перераспределены полномочия между ветвями власти, ограничены прерогативы Президента, усилены компетенции Парламента и органов местного самоуправления [1</w:t>
      </w:r>
      <w:r w:rsidR="005B2792">
        <w:rPr>
          <w:rFonts w:ascii="Times New Roman" w:hAnsi="Times New Roman" w:cs="Times New Roman"/>
          <w:bCs/>
          <w:sz w:val="28"/>
          <w:szCs w:val="28"/>
          <w:lang w:val="kk-KZ"/>
        </w:rPr>
        <w:t>6</w:t>
      </w:r>
      <w:r w:rsidRPr="00DE045C">
        <w:rPr>
          <w:rFonts w:ascii="Times New Roman" w:hAnsi="Times New Roman" w:cs="Times New Roman"/>
          <w:bCs/>
          <w:sz w:val="28"/>
          <w:szCs w:val="28"/>
        </w:rPr>
        <w:t>7].</w:t>
      </w:r>
    </w:p>
    <w:p w14:paraId="6A09E556" w14:textId="7CF443D4"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bCs/>
          <w:sz w:val="28"/>
          <w:szCs w:val="28"/>
        </w:rPr>
        <w:t>Особое внимание уделено совершенствованию судебной и прокурорской систем. В 2022 году также был принят новый Закон Республики Казахстан «О</w:t>
      </w:r>
      <w:r w:rsidR="005B2792">
        <w:rPr>
          <w:rFonts w:ascii="Times New Roman" w:hAnsi="Times New Roman" w:cs="Times New Roman"/>
          <w:bCs/>
          <w:sz w:val="28"/>
          <w:szCs w:val="28"/>
          <w:lang w:val="kk-KZ"/>
        </w:rPr>
        <w:t> </w:t>
      </w:r>
      <w:r w:rsidRPr="00DE045C">
        <w:rPr>
          <w:rFonts w:ascii="Times New Roman" w:hAnsi="Times New Roman" w:cs="Times New Roman"/>
          <w:bCs/>
          <w:sz w:val="28"/>
          <w:szCs w:val="28"/>
        </w:rPr>
        <w:t>прокуратуре» [1</w:t>
      </w:r>
      <w:r w:rsidR="006A4DE5">
        <w:rPr>
          <w:rFonts w:ascii="Times New Roman" w:hAnsi="Times New Roman" w:cs="Times New Roman"/>
          <w:bCs/>
          <w:sz w:val="28"/>
          <w:szCs w:val="28"/>
          <w:lang w:val="kk-KZ"/>
        </w:rPr>
        <w:t>59</w:t>
      </w:r>
      <w:r w:rsidRPr="00DE045C">
        <w:rPr>
          <w:rFonts w:ascii="Times New Roman" w:hAnsi="Times New Roman" w:cs="Times New Roman"/>
          <w:bCs/>
          <w:sz w:val="28"/>
          <w:szCs w:val="28"/>
        </w:rPr>
        <w:t>], который закрепил приоритет защиты личности, её прав и свобод как высших ценностей государства. В 2023 году учреждён Институт конституционной жалобы, предоставивший гражданам право прямого обращения в Конституционный Суд в случае нарушения их конституционных прав [1</w:t>
      </w:r>
      <w:r w:rsidR="006A4DE5">
        <w:rPr>
          <w:rFonts w:ascii="Times New Roman" w:hAnsi="Times New Roman" w:cs="Times New Roman"/>
          <w:bCs/>
          <w:sz w:val="28"/>
          <w:szCs w:val="28"/>
          <w:lang w:val="kk-KZ"/>
        </w:rPr>
        <w:t>68</w:t>
      </w:r>
      <w:r w:rsidRPr="00DE045C">
        <w:rPr>
          <w:rFonts w:ascii="Times New Roman" w:hAnsi="Times New Roman" w:cs="Times New Roman"/>
          <w:bCs/>
          <w:sz w:val="28"/>
          <w:szCs w:val="28"/>
        </w:rPr>
        <w:t>].</w:t>
      </w:r>
    </w:p>
    <w:p w14:paraId="18B016EB" w14:textId="77777777"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Таким образом, политические права формируют основу демократизации, однако степень их реализации остаётся более регулируемой по сравнению с гражданскими. В условиях современной модели развития социально-экономические права приобретают ключевое значение как инструмент обеспечения общественного благополучия. Право на труд и достойные условия труда, социальное обеспечение, доступ к образованию и здравоохранению, а также защита семьи, материнства и детства закреплены на международном уровне и имплементируются в национальную правовую систему.</w:t>
      </w:r>
    </w:p>
    <w:p w14:paraId="366C06D2" w14:textId="1C195883"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bCs/>
          <w:sz w:val="28"/>
          <w:szCs w:val="28"/>
        </w:rPr>
        <w:lastRenderedPageBreak/>
        <w:t>В рамках Национального плана развития Республики Казахстан до 2029 года акцент сделан на развитии человеческого капитала, социальной справедливости, расширении инклюзивных институтов и усилении прозрачности государственного управления. Национальные стратегические приоритеты напрямую связаны с целями устойчивого развития ООН – в частности, обеспечением гендерного равенства, снижением бедности, расширением доступа к образованию и здравоохранению, а также формированием правовой культуры в обществе [1</w:t>
      </w:r>
      <w:r w:rsidR="006A4DE5">
        <w:rPr>
          <w:rFonts w:ascii="Times New Roman" w:hAnsi="Times New Roman" w:cs="Times New Roman"/>
          <w:bCs/>
          <w:sz w:val="28"/>
          <w:szCs w:val="28"/>
          <w:lang w:val="kk-KZ"/>
        </w:rPr>
        <w:t>65</w:t>
      </w:r>
      <w:r w:rsidRPr="00DE045C">
        <w:rPr>
          <w:rFonts w:ascii="Times New Roman" w:hAnsi="Times New Roman" w:cs="Times New Roman"/>
          <w:bCs/>
          <w:sz w:val="28"/>
          <w:szCs w:val="28"/>
        </w:rPr>
        <w:t>].</w:t>
      </w:r>
    </w:p>
    <w:p w14:paraId="694E6AC5" w14:textId="77777777"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На современном этапе сформированы три основных блока прав, обеспечивающих целостность системы защиты личности:</w:t>
      </w:r>
    </w:p>
    <w:p w14:paraId="00630886" w14:textId="11DAFEAE" w:rsidR="00E94B29" w:rsidRPr="00DE045C" w:rsidRDefault="00DE045C" w:rsidP="00DE045C">
      <w:pPr>
        <w:pStyle w:val="NoSpacing"/>
        <w:ind w:firstLine="709"/>
        <w:jc w:val="both"/>
        <w:rPr>
          <w:rFonts w:ascii="Times New Roman" w:hAnsi="Times New Roman" w:cs="Times New Roman"/>
          <w:sz w:val="28"/>
          <w:szCs w:val="28"/>
        </w:rPr>
      </w:pPr>
      <w:r>
        <w:rPr>
          <w:rFonts w:ascii="Times New Roman" w:hAnsi="Times New Roman" w:cs="Times New Roman"/>
          <w:sz w:val="28"/>
          <w:szCs w:val="28"/>
        </w:rPr>
        <w:t>‒</w:t>
      </w:r>
      <w:r w:rsidR="00E94B29" w:rsidRPr="00DE045C">
        <w:rPr>
          <w:rFonts w:ascii="Times New Roman" w:hAnsi="Times New Roman" w:cs="Times New Roman"/>
          <w:sz w:val="28"/>
          <w:szCs w:val="28"/>
        </w:rPr>
        <w:t xml:space="preserve"> гражданские права, составляющие фундамент правовой системы;</w:t>
      </w:r>
    </w:p>
    <w:p w14:paraId="724AA0F1" w14:textId="70D8CDEC" w:rsidR="00E94B29" w:rsidRPr="00DE045C" w:rsidRDefault="00DE045C" w:rsidP="00DE045C">
      <w:pPr>
        <w:pStyle w:val="NoSpacing"/>
        <w:ind w:firstLine="709"/>
        <w:jc w:val="both"/>
        <w:rPr>
          <w:rFonts w:ascii="Times New Roman" w:hAnsi="Times New Roman" w:cs="Times New Roman"/>
          <w:sz w:val="28"/>
          <w:szCs w:val="28"/>
        </w:rPr>
      </w:pPr>
      <w:r>
        <w:rPr>
          <w:rFonts w:ascii="Times New Roman" w:hAnsi="Times New Roman" w:cs="Times New Roman"/>
          <w:sz w:val="28"/>
          <w:szCs w:val="28"/>
        </w:rPr>
        <w:t>‒</w:t>
      </w:r>
      <w:r w:rsidR="00E94B29" w:rsidRPr="00DE045C">
        <w:rPr>
          <w:rFonts w:ascii="Times New Roman" w:hAnsi="Times New Roman" w:cs="Times New Roman"/>
          <w:sz w:val="28"/>
          <w:szCs w:val="28"/>
        </w:rPr>
        <w:t xml:space="preserve"> политические права, являющиеся инструментом участия граждан в принятии решений;</w:t>
      </w:r>
    </w:p>
    <w:p w14:paraId="340D3A75" w14:textId="443CBCB7" w:rsidR="00E94B29" w:rsidRPr="00DE045C" w:rsidRDefault="00DE045C" w:rsidP="00DE045C">
      <w:pPr>
        <w:pStyle w:val="NoSpacing"/>
        <w:ind w:firstLine="709"/>
        <w:jc w:val="both"/>
        <w:rPr>
          <w:rFonts w:ascii="Times New Roman" w:hAnsi="Times New Roman" w:cs="Times New Roman"/>
          <w:sz w:val="28"/>
          <w:szCs w:val="28"/>
        </w:rPr>
      </w:pPr>
      <w:r>
        <w:rPr>
          <w:rFonts w:ascii="Times New Roman" w:hAnsi="Times New Roman" w:cs="Times New Roman"/>
          <w:sz w:val="28"/>
          <w:szCs w:val="28"/>
        </w:rPr>
        <w:t>‒</w:t>
      </w:r>
      <w:r w:rsidR="00E94B29" w:rsidRPr="00DE045C">
        <w:rPr>
          <w:rFonts w:ascii="Times New Roman" w:hAnsi="Times New Roman" w:cs="Times New Roman"/>
          <w:sz w:val="28"/>
          <w:szCs w:val="28"/>
        </w:rPr>
        <w:t xml:space="preserve"> социально-экономические права, обеспечивающие реальное вовлечение населения в общественную жизнь.</w:t>
      </w:r>
    </w:p>
    <w:p w14:paraId="7A887AEF" w14:textId="4A0F898B"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bCs/>
          <w:sz w:val="28"/>
          <w:szCs w:val="28"/>
        </w:rPr>
        <w:t>Период 2022–2025 годов характеризуется значительными институциональными и законодательными изменениями: восстановлением деятельности Конституционного Суда, созданием механизма общественного контроля, усилением мер по противодействию домашнему насилию, отменой смертной казни и внедрением новых инструментов парламентского и гражданского надзора. Вместе с тем сохраняются системные ограничения в сфере свободы выражения мнений, собраний и объединений. Ответственность за нарушения, допущенные в ходе событий января 2022 года, остаётся минимальной; наблюдается сужение медиапространства и интернет-свобод под влиянием новых нормативных актов, включая Зак</w:t>
      </w:r>
      <w:r w:rsidR="006A4DE5">
        <w:rPr>
          <w:rFonts w:ascii="Times New Roman" w:hAnsi="Times New Roman" w:cs="Times New Roman"/>
          <w:bCs/>
          <w:sz w:val="28"/>
          <w:szCs w:val="28"/>
        </w:rPr>
        <w:t>он «О масс-медиа» 2024 года [16</w:t>
      </w:r>
      <w:r w:rsidR="006A4DE5">
        <w:rPr>
          <w:rFonts w:ascii="Times New Roman" w:hAnsi="Times New Roman" w:cs="Times New Roman"/>
          <w:bCs/>
          <w:sz w:val="28"/>
          <w:szCs w:val="28"/>
          <w:lang w:val="kk-KZ"/>
        </w:rPr>
        <w:t>4</w:t>
      </w:r>
      <w:r w:rsidRPr="00DE045C">
        <w:rPr>
          <w:rFonts w:ascii="Times New Roman" w:hAnsi="Times New Roman" w:cs="Times New Roman"/>
          <w:bCs/>
          <w:sz w:val="28"/>
          <w:szCs w:val="28"/>
        </w:rPr>
        <w:t>].</w:t>
      </w:r>
    </w:p>
    <w:p w14:paraId="60E11A42" w14:textId="0078900B"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 xml:space="preserve">Международные рейтинги фиксируют ограниченный уровень свободы прессы и гражданских прав в Казахстане. </w:t>
      </w:r>
      <w:r w:rsidRPr="00DE045C">
        <w:rPr>
          <w:rStyle w:val="Strong"/>
          <w:rFonts w:ascii="Times New Roman" w:hAnsi="Times New Roman" w:cs="Times New Roman"/>
          <w:b w:val="0"/>
          <w:sz w:val="28"/>
          <w:szCs w:val="28"/>
        </w:rPr>
        <w:t>Согласно Индексу свободы прессы 2025 года организации Reporters Without Borders (RSF), Казахстан занимает 142-е место из 180, что отражает сохраняющиеся ограничения доступа журналистов к официальной информации и высокий уровень административного регулирования медиасферы [1</w:t>
      </w:r>
      <w:r w:rsidR="006A4DE5">
        <w:rPr>
          <w:rStyle w:val="Strong"/>
          <w:rFonts w:ascii="Times New Roman" w:hAnsi="Times New Roman" w:cs="Times New Roman"/>
          <w:b w:val="0"/>
          <w:sz w:val="28"/>
          <w:szCs w:val="28"/>
          <w:lang w:val="kk-KZ"/>
        </w:rPr>
        <w:t>69</w:t>
      </w:r>
      <w:r w:rsidRPr="00DE045C">
        <w:rPr>
          <w:rStyle w:val="Strong"/>
          <w:rFonts w:ascii="Times New Roman" w:hAnsi="Times New Roman" w:cs="Times New Roman"/>
          <w:b w:val="0"/>
          <w:sz w:val="28"/>
          <w:szCs w:val="28"/>
        </w:rPr>
        <w:t>].</w:t>
      </w:r>
      <w:r w:rsidRPr="00DE045C">
        <w:rPr>
          <w:rFonts w:ascii="Times New Roman" w:hAnsi="Times New Roman" w:cs="Times New Roman"/>
          <w:sz w:val="28"/>
          <w:szCs w:val="28"/>
        </w:rPr>
        <w:t xml:space="preserve"> Закон Республики Казахстан «О масс-медиа» вызвал обеспокоенность экспертного сообщества, поскольку предусматривает расширенные механизмы административного контроля, усложнённые процедуры аккредитации и неопределённые критерии «соответствия ценностям» [16</w:t>
      </w:r>
      <w:r w:rsidR="006A4DE5">
        <w:rPr>
          <w:rFonts w:ascii="Times New Roman" w:hAnsi="Times New Roman" w:cs="Times New Roman"/>
          <w:sz w:val="28"/>
          <w:szCs w:val="28"/>
          <w:lang w:val="kk-KZ"/>
        </w:rPr>
        <w:t>4</w:t>
      </w:r>
      <w:r w:rsidRPr="00DE045C">
        <w:rPr>
          <w:rFonts w:ascii="Times New Roman" w:hAnsi="Times New Roman" w:cs="Times New Roman"/>
          <w:sz w:val="28"/>
          <w:szCs w:val="28"/>
        </w:rPr>
        <w:t>]. По данным RSF, медиасфера страны характеризуется как «сложная», с преобладанием проправительственных нарративов и ограниченным плюрализмом мнений. Свобода собраний и объединений также остаётся ограниченной из-за территориальных и правовых барьеров, препятствующих проведению протестных акций и регистрации общественных объединений.</w:t>
      </w:r>
    </w:p>
    <w:p w14:paraId="36B9447F" w14:textId="5F50F1FA" w:rsidR="00E94B29" w:rsidRPr="00DE045C" w:rsidRDefault="00E94B29" w:rsidP="00DE045C">
      <w:pPr>
        <w:pStyle w:val="NoSpacing"/>
        <w:ind w:firstLine="709"/>
        <w:jc w:val="both"/>
        <w:rPr>
          <w:rFonts w:ascii="Times New Roman" w:hAnsi="Times New Roman" w:cs="Times New Roman"/>
          <w:sz w:val="28"/>
          <w:szCs w:val="28"/>
        </w:rPr>
      </w:pPr>
      <w:r w:rsidRPr="00DE045C">
        <w:rPr>
          <w:rStyle w:val="Strong"/>
          <w:rFonts w:ascii="Times New Roman" w:hAnsi="Times New Roman" w:cs="Times New Roman"/>
          <w:b w:val="0"/>
          <w:sz w:val="28"/>
          <w:szCs w:val="28"/>
        </w:rPr>
        <w:t>Дальнейшее укрепление правовой системы предполагает повышение ответственности государства за практическую реализацию прав и свобод, развитие независимой оценки влияния политических решений на права человека и внедрение системного мониторинга качества правозащитных услуг.</w:t>
      </w:r>
      <w:r w:rsidRPr="00DE045C">
        <w:rPr>
          <w:rFonts w:ascii="Times New Roman" w:hAnsi="Times New Roman" w:cs="Times New Roman"/>
          <w:sz w:val="28"/>
          <w:szCs w:val="28"/>
        </w:rPr>
        <w:t xml:space="preserve"> Рост общественного осознания ценностей свободы, равенства и участия способствует </w:t>
      </w:r>
      <w:r w:rsidRPr="00DE045C">
        <w:rPr>
          <w:rFonts w:ascii="Times New Roman" w:hAnsi="Times New Roman" w:cs="Times New Roman"/>
          <w:sz w:val="28"/>
          <w:szCs w:val="28"/>
        </w:rPr>
        <w:lastRenderedPageBreak/>
        <w:t>преодолению институциональных барьеров и формированию демократической культуры [17</w:t>
      </w:r>
      <w:r w:rsidR="006A4DE5">
        <w:rPr>
          <w:rFonts w:ascii="Times New Roman" w:hAnsi="Times New Roman" w:cs="Times New Roman"/>
          <w:sz w:val="28"/>
          <w:szCs w:val="28"/>
          <w:lang w:val="kk-KZ"/>
        </w:rPr>
        <w:t>0</w:t>
      </w:r>
      <w:r w:rsidRPr="00DE045C">
        <w:rPr>
          <w:rFonts w:ascii="Times New Roman" w:hAnsi="Times New Roman" w:cs="Times New Roman"/>
          <w:sz w:val="28"/>
          <w:szCs w:val="28"/>
        </w:rPr>
        <w:t>].</w:t>
      </w:r>
    </w:p>
    <w:p w14:paraId="7C8592E6" w14:textId="1A02DA50"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 xml:space="preserve">В последние годы Республика Казахстан выстроила концептуальные основы государственной политики в сфере прав человека, ориентированные на баланс гражданских, политических и социально-экономических прав. Среди значимых реформ – </w:t>
      </w:r>
      <w:r w:rsidRPr="00DE045C">
        <w:rPr>
          <w:rStyle w:val="Strong"/>
          <w:rFonts w:ascii="Times New Roman" w:hAnsi="Times New Roman" w:cs="Times New Roman"/>
          <w:b w:val="0"/>
          <w:sz w:val="28"/>
          <w:szCs w:val="28"/>
        </w:rPr>
        <w:t>отмена смертной казни</w:t>
      </w:r>
      <w:r w:rsidRPr="00DE045C">
        <w:rPr>
          <w:rFonts w:ascii="Times New Roman" w:hAnsi="Times New Roman" w:cs="Times New Roman"/>
          <w:sz w:val="28"/>
          <w:szCs w:val="28"/>
        </w:rPr>
        <w:t xml:space="preserve">, усиление института Омбудсмена, </w:t>
      </w:r>
      <w:r w:rsidRPr="00DE045C">
        <w:rPr>
          <w:rStyle w:val="Strong"/>
          <w:rFonts w:ascii="Times New Roman" w:hAnsi="Times New Roman" w:cs="Times New Roman"/>
          <w:b w:val="0"/>
          <w:sz w:val="28"/>
          <w:szCs w:val="28"/>
        </w:rPr>
        <w:t xml:space="preserve">создание Фонда компенсаций жертвам пыток </w:t>
      </w:r>
      <w:r w:rsidRPr="00DE045C">
        <w:rPr>
          <w:rFonts w:ascii="Times New Roman" w:hAnsi="Times New Roman" w:cs="Times New Roman"/>
          <w:sz w:val="28"/>
          <w:szCs w:val="28"/>
        </w:rPr>
        <w:t xml:space="preserve">и </w:t>
      </w:r>
      <w:r w:rsidRPr="00DE045C">
        <w:rPr>
          <w:rStyle w:val="Strong"/>
          <w:rFonts w:ascii="Times New Roman" w:hAnsi="Times New Roman" w:cs="Times New Roman"/>
          <w:b w:val="0"/>
          <w:sz w:val="28"/>
          <w:szCs w:val="28"/>
        </w:rPr>
        <w:t>принятие Закона Республики Казахстан «О противодействии торговле людьми»</w:t>
      </w:r>
      <w:r w:rsidRPr="00DE045C">
        <w:rPr>
          <w:rFonts w:ascii="Times New Roman" w:hAnsi="Times New Roman" w:cs="Times New Roman"/>
          <w:sz w:val="28"/>
          <w:szCs w:val="28"/>
        </w:rPr>
        <w:t>, обеспечивающего защиту пострадавших независимо от их правового статуса [17</w:t>
      </w:r>
      <w:r w:rsidR="006A4DE5">
        <w:rPr>
          <w:rFonts w:ascii="Times New Roman" w:hAnsi="Times New Roman" w:cs="Times New Roman"/>
          <w:sz w:val="28"/>
          <w:szCs w:val="28"/>
          <w:lang w:val="kk-KZ"/>
        </w:rPr>
        <w:t xml:space="preserve">1; </w:t>
      </w:r>
      <w:r w:rsidRPr="00DE045C">
        <w:rPr>
          <w:rFonts w:ascii="Times New Roman" w:hAnsi="Times New Roman" w:cs="Times New Roman"/>
          <w:sz w:val="28"/>
          <w:szCs w:val="28"/>
        </w:rPr>
        <w:t>17</w:t>
      </w:r>
      <w:r w:rsidR="006A4DE5">
        <w:rPr>
          <w:rFonts w:ascii="Times New Roman" w:hAnsi="Times New Roman" w:cs="Times New Roman"/>
          <w:sz w:val="28"/>
          <w:szCs w:val="28"/>
          <w:lang w:val="kk-KZ"/>
        </w:rPr>
        <w:t>2</w:t>
      </w:r>
      <w:r w:rsidRPr="00DE045C">
        <w:rPr>
          <w:rFonts w:ascii="Times New Roman" w:hAnsi="Times New Roman" w:cs="Times New Roman"/>
          <w:sz w:val="28"/>
          <w:szCs w:val="28"/>
        </w:rPr>
        <w:t>].</w:t>
      </w:r>
    </w:p>
    <w:p w14:paraId="2B618ECC" w14:textId="4C5423B1" w:rsidR="00E94B29" w:rsidRPr="00DE045C" w:rsidRDefault="00E94B29" w:rsidP="00DE045C">
      <w:pPr>
        <w:pStyle w:val="NoSpacing"/>
        <w:ind w:firstLine="709"/>
        <w:jc w:val="both"/>
        <w:rPr>
          <w:rFonts w:ascii="Times New Roman" w:hAnsi="Times New Roman" w:cs="Times New Roman"/>
          <w:sz w:val="28"/>
          <w:szCs w:val="28"/>
        </w:rPr>
      </w:pPr>
      <w:r w:rsidRPr="00DE045C">
        <w:rPr>
          <w:rStyle w:val="Strong"/>
          <w:rFonts w:ascii="Times New Roman" w:hAnsi="Times New Roman" w:cs="Times New Roman"/>
          <w:b w:val="0"/>
          <w:sz w:val="28"/>
          <w:szCs w:val="28"/>
        </w:rPr>
        <w:t>Отчёты Бюро по демократическим институтам и правам человека ОБСЕ (2024</w:t>
      </w:r>
      <w:r w:rsidR="00DE045C">
        <w:rPr>
          <w:rStyle w:val="Strong"/>
          <w:rFonts w:ascii="Times New Roman" w:hAnsi="Times New Roman" w:cs="Times New Roman"/>
          <w:b w:val="0"/>
          <w:sz w:val="28"/>
          <w:szCs w:val="28"/>
          <w:lang w:val="kk-KZ"/>
        </w:rPr>
        <w:t>-</w:t>
      </w:r>
      <w:r w:rsidRPr="00DE045C">
        <w:rPr>
          <w:rStyle w:val="Strong"/>
          <w:rFonts w:ascii="Times New Roman" w:hAnsi="Times New Roman" w:cs="Times New Roman"/>
          <w:b w:val="0"/>
          <w:sz w:val="28"/>
          <w:szCs w:val="28"/>
        </w:rPr>
        <w:t xml:space="preserve">2025) указывают на необходимость продолжения реформ в области судебной независимости и соблюдения международных стандартов справедливого суда при рассмотрении дел, связанных с протестами января 2022 года. Совет Европы в рамках Совместной программы с Европейским </w:t>
      </w:r>
      <w:r w:rsidR="007C324F" w:rsidRPr="00DE045C">
        <w:rPr>
          <w:rStyle w:val="Strong"/>
          <w:rFonts w:ascii="Times New Roman" w:hAnsi="Times New Roman" w:cs="Times New Roman"/>
          <w:b w:val="0"/>
          <w:sz w:val="28"/>
          <w:szCs w:val="28"/>
          <w:lang w:val="uk-UA"/>
        </w:rPr>
        <w:t>С</w:t>
      </w:r>
      <w:r w:rsidRPr="00DE045C">
        <w:rPr>
          <w:rStyle w:val="Strong"/>
          <w:rFonts w:ascii="Times New Roman" w:hAnsi="Times New Roman" w:cs="Times New Roman"/>
          <w:b w:val="0"/>
          <w:sz w:val="28"/>
          <w:szCs w:val="28"/>
        </w:rPr>
        <w:t>оюзом «Central Asia Rule of Law 2025» [17</w:t>
      </w:r>
      <w:r w:rsidR="006A4DE5">
        <w:rPr>
          <w:rStyle w:val="Strong"/>
          <w:rFonts w:ascii="Times New Roman" w:hAnsi="Times New Roman" w:cs="Times New Roman"/>
          <w:b w:val="0"/>
          <w:sz w:val="28"/>
          <w:szCs w:val="28"/>
          <w:lang w:val="kk-KZ"/>
        </w:rPr>
        <w:t>3</w:t>
      </w:r>
      <w:r w:rsidRPr="00DE045C">
        <w:rPr>
          <w:rStyle w:val="Strong"/>
          <w:rFonts w:ascii="Times New Roman" w:hAnsi="Times New Roman" w:cs="Times New Roman"/>
          <w:b w:val="0"/>
          <w:sz w:val="28"/>
          <w:szCs w:val="28"/>
        </w:rPr>
        <w:t>] также отмечает важность усиления механизмов защиты прав женщин, развития превентивных институтов и расширения пространства для деятельности гражданского общества.</w:t>
      </w:r>
    </w:p>
    <w:p w14:paraId="58AFEAB8" w14:textId="5438CD2E"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В 2025 году форум «Civil Society at the Crossroads» в Алматы объединил представителей общественных организаций, экспертов и международных партнёров для обсуждения вызовов и инноваций в развитии гражданского общества [17</w:t>
      </w:r>
      <w:r w:rsidR="006A4DE5">
        <w:rPr>
          <w:rFonts w:ascii="Times New Roman" w:hAnsi="Times New Roman" w:cs="Times New Roman"/>
          <w:sz w:val="28"/>
          <w:szCs w:val="28"/>
          <w:lang w:val="kk-KZ"/>
        </w:rPr>
        <w:t>4</w:t>
      </w:r>
      <w:r w:rsidRPr="00DE045C">
        <w:rPr>
          <w:rFonts w:ascii="Times New Roman" w:hAnsi="Times New Roman" w:cs="Times New Roman"/>
          <w:sz w:val="28"/>
          <w:szCs w:val="28"/>
        </w:rPr>
        <w:t>]. Однако международные правозащитные организации продолжают выражать обеспокоенность по поводу ограничений свободы мирных собраний, преследования независимых медиа и давления на активистов [1</w:t>
      </w:r>
      <w:r w:rsidR="006A4DE5">
        <w:rPr>
          <w:rFonts w:ascii="Times New Roman" w:hAnsi="Times New Roman" w:cs="Times New Roman"/>
          <w:sz w:val="28"/>
          <w:szCs w:val="28"/>
          <w:lang w:val="kk-KZ"/>
        </w:rPr>
        <w:t>75</w:t>
      </w:r>
      <w:r w:rsidRPr="00DE045C">
        <w:rPr>
          <w:rFonts w:ascii="Times New Roman" w:hAnsi="Times New Roman" w:cs="Times New Roman"/>
          <w:sz w:val="28"/>
          <w:szCs w:val="28"/>
        </w:rPr>
        <w:t xml:space="preserve">]. </w:t>
      </w:r>
      <w:r w:rsidRPr="00DE045C">
        <w:rPr>
          <w:rStyle w:val="Strong"/>
          <w:rFonts w:ascii="Times New Roman" w:hAnsi="Times New Roman" w:cs="Times New Roman"/>
          <w:b w:val="0"/>
          <w:sz w:val="28"/>
          <w:szCs w:val="28"/>
        </w:rPr>
        <w:t>Кроме того, в 2025 году вступил в силу Закон Республики Казахстан «О</w:t>
      </w:r>
      <w:r w:rsidR="006A4DE5">
        <w:rPr>
          <w:rStyle w:val="Strong"/>
          <w:rFonts w:ascii="Times New Roman" w:hAnsi="Times New Roman" w:cs="Times New Roman"/>
          <w:b w:val="0"/>
          <w:sz w:val="28"/>
          <w:szCs w:val="28"/>
          <w:lang w:val="kk-KZ"/>
        </w:rPr>
        <w:t> </w:t>
      </w:r>
      <w:r w:rsidRPr="00DE045C">
        <w:rPr>
          <w:rStyle w:val="Strong"/>
          <w:rFonts w:ascii="Times New Roman" w:hAnsi="Times New Roman" w:cs="Times New Roman"/>
          <w:b w:val="0"/>
          <w:sz w:val="28"/>
          <w:szCs w:val="28"/>
        </w:rPr>
        <w:t>недопустимости ношения предметов, закрывающих лицо, в общественных местах», который запрещает скрытое покрытие лица (например, никабы) с исключениями для медицинских причин, суровых погодных условий и определённых культурных или спортивных мероприятий [1</w:t>
      </w:r>
      <w:r w:rsidR="006A4DE5">
        <w:rPr>
          <w:rStyle w:val="Strong"/>
          <w:rFonts w:ascii="Times New Roman" w:hAnsi="Times New Roman" w:cs="Times New Roman"/>
          <w:b w:val="0"/>
          <w:sz w:val="28"/>
          <w:szCs w:val="28"/>
          <w:lang w:val="kk-KZ"/>
        </w:rPr>
        <w:t>76</w:t>
      </w:r>
      <w:r w:rsidRPr="00DE045C">
        <w:rPr>
          <w:rStyle w:val="Strong"/>
          <w:rFonts w:ascii="Times New Roman" w:hAnsi="Times New Roman" w:cs="Times New Roman"/>
          <w:b w:val="0"/>
          <w:sz w:val="28"/>
          <w:szCs w:val="28"/>
        </w:rPr>
        <w:t>].</w:t>
      </w:r>
    </w:p>
    <w:p w14:paraId="6FCC810A" w14:textId="77777777"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В этом контексте государственная политика в области прав человека направлена на:</w:t>
      </w:r>
    </w:p>
    <w:p w14:paraId="137F4190" w14:textId="77777777"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 дальнейшую разработку и принятие нормативных актов, отвечающих международным стандартам и способствующих демократизации правовой сферы;</w:t>
      </w:r>
    </w:p>
    <w:p w14:paraId="1402FE91" w14:textId="77777777"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 создание условий – политических, социально-экономических и культурных – для полноценной реализации всех групп конституционных прав и свобод;</w:t>
      </w:r>
    </w:p>
    <w:p w14:paraId="51ECBE91" w14:textId="77777777"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 усиление государственной правозащитной системы с механизмами контроля и участия граждан и публичных организаций;</w:t>
      </w:r>
    </w:p>
    <w:p w14:paraId="02579BDE" w14:textId="77777777"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 обеспечение согласованности темпов политических и идеологических реформ с социально-экономическими изменениями, поскольку все группы прав – гражданские, политические, социальные, экономические и культурные</w:t>
      </w:r>
    </w:p>
    <w:p w14:paraId="7603494B" w14:textId="77777777" w:rsidR="00E94B29" w:rsidRPr="00DE045C" w:rsidRDefault="00E94B29" w:rsidP="00DE045C">
      <w:pPr>
        <w:pStyle w:val="NoSpacing"/>
        <w:ind w:firstLine="709"/>
        <w:jc w:val="both"/>
        <w:rPr>
          <w:rFonts w:ascii="Times New Roman" w:hAnsi="Times New Roman" w:cs="Times New Roman"/>
          <w:sz w:val="28"/>
          <w:szCs w:val="28"/>
        </w:rPr>
      </w:pPr>
      <w:r w:rsidRPr="00DE045C">
        <w:rPr>
          <w:rFonts w:ascii="Times New Roman" w:hAnsi="Times New Roman" w:cs="Times New Roman"/>
          <w:sz w:val="28"/>
          <w:szCs w:val="28"/>
        </w:rPr>
        <w:t>– взаимозависимы.</w:t>
      </w:r>
    </w:p>
    <w:p w14:paraId="771FC48C" w14:textId="77777777" w:rsidR="00E94B29" w:rsidRPr="00DE045C" w:rsidRDefault="00E94B29" w:rsidP="00DE045C">
      <w:pPr>
        <w:pStyle w:val="NoSpacing"/>
        <w:ind w:firstLine="709"/>
        <w:jc w:val="both"/>
        <w:rPr>
          <w:rFonts w:ascii="Times New Roman" w:eastAsia="Times New Roman" w:hAnsi="Times New Roman" w:cs="Times New Roman"/>
          <w:sz w:val="28"/>
          <w:szCs w:val="28"/>
          <w:lang w:eastAsia="ru-RU"/>
        </w:rPr>
      </w:pPr>
      <w:r w:rsidRPr="00DE045C">
        <w:rPr>
          <w:rFonts w:ascii="Times New Roman" w:eastAsia="Times New Roman" w:hAnsi="Times New Roman" w:cs="Times New Roman"/>
          <w:sz w:val="28"/>
          <w:szCs w:val="28"/>
          <w:lang w:eastAsia="ru-RU"/>
        </w:rPr>
        <w:t xml:space="preserve">Как государство, несущее ответственность перед своими гражданами и мировым сообществом, Казахстан за годы независимости </w:t>
      </w:r>
      <w:r w:rsidRPr="00DE045C">
        <w:rPr>
          <w:rFonts w:ascii="Times New Roman" w:eastAsia="Times New Roman" w:hAnsi="Times New Roman" w:cs="Times New Roman"/>
          <w:bCs/>
          <w:sz w:val="28"/>
          <w:szCs w:val="28"/>
          <w:lang w:eastAsia="ru-RU"/>
        </w:rPr>
        <w:t>постепенно выработал основы государственной политики в области прав человека</w:t>
      </w:r>
      <w:r w:rsidRPr="00DE045C">
        <w:rPr>
          <w:rFonts w:ascii="Times New Roman" w:eastAsia="Times New Roman" w:hAnsi="Times New Roman" w:cs="Times New Roman"/>
          <w:sz w:val="28"/>
          <w:szCs w:val="28"/>
          <w:lang w:eastAsia="ru-RU"/>
        </w:rPr>
        <w:t xml:space="preserve">, направленные на </w:t>
      </w:r>
      <w:r w:rsidRPr="00DE045C">
        <w:rPr>
          <w:rFonts w:ascii="Times New Roman" w:eastAsia="Times New Roman" w:hAnsi="Times New Roman" w:cs="Times New Roman"/>
          <w:bCs/>
          <w:sz w:val="28"/>
          <w:szCs w:val="28"/>
          <w:lang w:eastAsia="ru-RU"/>
        </w:rPr>
        <w:lastRenderedPageBreak/>
        <w:t>практическое воплощение гражданских, политических и социально-экономических прав и свобод</w:t>
      </w:r>
      <w:r w:rsidRPr="00DE045C">
        <w:rPr>
          <w:rFonts w:ascii="Times New Roman" w:eastAsia="Times New Roman" w:hAnsi="Times New Roman" w:cs="Times New Roman"/>
          <w:sz w:val="28"/>
          <w:szCs w:val="28"/>
          <w:lang w:eastAsia="ru-RU"/>
        </w:rPr>
        <w:t xml:space="preserve">. Хотя </w:t>
      </w:r>
      <w:r w:rsidRPr="00DE045C">
        <w:rPr>
          <w:rFonts w:ascii="Times New Roman" w:eastAsia="Times New Roman" w:hAnsi="Times New Roman" w:cs="Times New Roman"/>
          <w:bCs/>
          <w:sz w:val="28"/>
          <w:szCs w:val="28"/>
          <w:lang w:eastAsia="ru-RU"/>
        </w:rPr>
        <w:t>единая Государственная концепция прав человека</w:t>
      </w:r>
      <w:r w:rsidRPr="00DE045C">
        <w:rPr>
          <w:rFonts w:ascii="Times New Roman" w:eastAsia="Times New Roman" w:hAnsi="Times New Roman" w:cs="Times New Roman"/>
          <w:sz w:val="28"/>
          <w:szCs w:val="28"/>
          <w:lang w:eastAsia="ru-RU"/>
        </w:rPr>
        <w:t xml:space="preserve"> пока официально не утверждена, её ключевые положения последовательно реализуются через </w:t>
      </w:r>
      <w:r w:rsidRPr="00DE045C">
        <w:rPr>
          <w:rFonts w:ascii="Times New Roman" w:eastAsia="Times New Roman" w:hAnsi="Times New Roman" w:cs="Times New Roman"/>
          <w:bCs/>
          <w:sz w:val="28"/>
          <w:szCs w:val="28"/>
          <w:lang w:eastAsia="ru-RU"/>
        </w:rPr>
        <w:t>План действий в области прав человека и верховенства права</w:t>
      </w:r>
      <w:r w:rsidRPr="00DE045C">
        <w:rPr>
          <w:rFonts w:ascii="Times New Roman" w:eastAsia="Times New Roman" w:hAnsi="Times New Roman" w:cs="Times New Roman"/>
          <w:sz w:val="28"/>
          <w:szCs w:val="28"/>
          <w:lang w:eastAsia="ru-RU"/>
        </w:rPr>
        <w:t xml:space="preserve">, </w:t>
      </w:r>
      <w:r w:rsidRPr="00DE045C">
        <w:rPr>
          <w:rFonts w:ascii="Times New Roman" w:eastAsia="Times New Roman" w:hAnsi="Times New Roman" w:cs="Times New Roman"/>
          <w:bCs/>
          <w:sz w:val="28"/>
          <w:szCs w:val="28"/>
          <w:lang w:eastAsia="ru-RU"/>
        </w:rPr>
        <w:t>Национальный план развития до 2029 года</w:t>
      </w:r>
      <w:r w:rsidRPr="00DE045C">
        <w:rPr>
          <w:rFonts w:ascii="Times New Roman" w:eastAsia="Times New Roman" w:hAnsi="Times New Roman" w:cs="Times New Roman"/>
          <w:sz w:val="28"/>
          <w:szCs w:val="28"/>
          <w:lang w:eastAsia="ru-RU"/>
        </w:rPr>
        <w:t xml:space="preserve"> и </w:t>
      </w:r>
      <w:r w:rsidRPr="00DE045C">
        <w:rPr>
          <w:rFonts w:ascii="Times New Roman" w:eastAsia="Times New Roman" w:hAnsi="Times New Roman" w:cs="Times New Roman"/>
          <w:bCs/>
          <w:sz w:val="28"/>
          <w:szCs w:val="28"/>
          <w:lang w:eastAsia="ru-RU"/>
        </w:rPr>
        <w:t>Конституционные реформы 2022 года</w:t>
      </w:r>
      <w:r w:rsidRPr="00DE045C">
        <w:rPr>
          <w:rFonts w:ascii="Times New Roman" w:eastAsia="Times New Roman" w:hAnsi="Times New Roman" w:cs="Times New Roman"/>
          <w:sz w:val="28"/>
          <w:szCs w:val="28"/>
          <w:lang w:eastAsia="ru-RU"/>
        </w:rPr>
        <w:t>, которые закрепили принципы справедливости, транспарентности и подотчётности органов власти.</w:t>
      </w:r>
    </w:p>
    <w:p w14:paraId="18C41AD5" w14:textId="18A56308" w:rsidR="00E94B29" w:rsidRPr="00DE045C" w:rsidRDefault="00E94B29" w:rsidP="00DE045C">
      <w:pPr>
        <w:pStyle w:val="NoSpacing"/>
        <w:ind w:firstLine="709"/>
        <w:jc w:val="both"/>
        <w:rPr>
          <w:rFonts w:ascii="Times New Roman" w:eastAsia="Times New Roman" w:hAnsi="Times New Roman" w:cs="Times New Roman"/>
          <w:sz w:val="28"/>
          <w:szCs w:val="28"/>
          <w:lang w:eastAsia="ru-RU"/>
        </w:rPr>
      </w:pPr>
      <w:r w:rsidRPr="00DE045C">
        <w:rPr>
          <w:rFonts w:ascii="Times New Roman" w:eastAsia="Times New Roman" w:hAnsi="Times New Roman" w:cs="Times New Roman"/>
          <w:bCs/>
          <w:sz w:val="28"/>
          <w:szCs w:val="28"/>
          <w:lang w:eastAsia="ru-RU"/>
        </w:rPr>
        <w:t>Государственная политика в этой сфере опирается на интеграцию международных стандартов ООН, ОБСЕ и Совета Европы, а также на внутренние приоритеты, определённые Президентом К.-Ж. Токаевым в рамках концепции «Слышащее государство».</w:t>
      </w:r>
      <w:r w:rsidRPr="00DE045C">
        <w:rPr>
          <w:rFonts w:ascii="Times New Roman" w:eastAsia="Times New Roman" w:hAnsi="Times New Roman" w:cs="Times New Roman"/>
          <w:sz w:val="28"/>
          <w:szCs w:val="28"/>
          <w:lang w:eastAsia="ru-RU"/>
        </w:rPr>
        <w:t xml:space="preserve"> Сочетание этих направлений обеспечивает развитие институциональной системы защиты прав человека как неотъемлемой части национальной стратегии модернизации [1</w:t>
      </w:r>
      <w:r w:rsidR="006A4DE5">
        <w:rPr>
          <w:rFonts w:ascii="Times New Roman" w:eastAsia="Times New Roman" w:hAnsi="Times New Roman" w:cs="Times New Roman"/>
          <w:sz w:val="28"/>
          <w:szCs w:val="28"/>
          <w:lang w:val="kk-KZ" w:eastAsia="ru-RU"/>
        </w:rPr>
        <w:t>77</w:t>
      </w:r>
      <w:r w:rsidRPr="00DE045C">
        <w:rPr>
          <w:rFonts w:ascii="Times New Roman" w:eastAsia="Times New Roman" w:hAnsi="Times New Roman" w:cs="Times New Roman"/>
          <w:sz w:val="28"/>
          <w:szCs w:val="28"/>
          <w:lang w:eastAsia="ru-RU"/>
        </w:rPr>
        <w:t xml:space="preserve">]. </w:t>
      </w:r>
    </w:p>
    <w:p w14:paraId="36462D7A" w14:textId="77777777" w:rsidR="00E94B29" w:rsidRPr="00DE045C" w:rsidRDefault="00E94B29" w:rsidP="00DE045C">
      <w:pPr>
        <w:pStyle w:val="NoSpacing"/>
        <w:ind w:firstLine="709"/>
        <w:jc w:val="both"/>
        <w:rPr>
          <w:rFonts w:ascii="Times New Roman" w:eastAsia="Times New Roman" w:hAnsi="Times New Roman" w:cs="Times New Roman"/>
          <w:sz w:val="28"/>
          <w:szCs w:val="28"/>
          <w:lang w:eastAsia="ru-RU"/>
        </w:rPr>
      </w:pPr>
      <w:r w:rsidRPr="00DE045C">
        <w:rPr>
          <w:rFonts w:ascii="Times New Roman" w:eastAsia="Times New Roman" w:hAnsi="Times New Roman" w:cs="Times New Roman"/>
          <w:sz w:val="28"/>
          <w:szCs w:val="28"/>
          <w:lang w:eastAsia="ru-RU"/>
        </w:rPr>
        <w:t xml:space="preserve">Начиная с 2000-х годов, страна вступила в новый этап развития, ориентированный на политическую стабильность, гражданское согласие, экономический рост и социальные реформы. </w:t>
      </w:r>
      <w:r w:rsidRPr="00DE045C">
        <w:rPr>
          <w:rFonts w:ascii="Times New Roman" w:eastAsia="Times New Roman" w:hAnsi="Times New Roman" w:cs="Times New Roman"/>
          <w:bCs/>
          <w:sz w:val="28"/>
          <w:szCs w:val="28"/>
          <w:lang w:eastAsia="ru-RU"/>
        </w:rPr>
        <w:t>В рамках Конституционного референдума 2022 года были перераспределены полномочия между ветвями власти, создана система сдержек и противовесов, а в 2023 году закреплена конституционная роль Уполномоченного по правам человека.</w:t>
      </w:r>
      <w:r w:rsidRPr="00DE045C">
        <w:rPr>
          <w:rFonts w:ascii="Times New Roman" w:eastAsia="Times New Roman" w:hAnsi="Times New Roman" w:cs="Times New Roman"/>
          <w:sz w:val="28"/>
          <w:szCs w:val="28"/>
          <w:lang w:eastAsia="ru-RU"/>
        </w:rPr>
        <w:t xml:space="preserve"> Эти изменения создают институциональные предпосылки для формирования правового государства, основанного на участии граждан и прозрачности принятия решений. По оценкам международных организаций – Всемирного банка, ПРООН и Совета Европы – Казахстан демонстрирует устойчивый социально-экономический прогресс и повышение уровня человеческого развития, </w:t>
      </w:r>
      <w:r w:rsidRPr="00DE045C">
        <w:rPr>
          <w:rFonts w:ascii="Times New Roman" w:eastAsia="Times New Roman" w:hAnsi="Times New Roman" w:cs="Times New Roman"/>
          <w:bCs/>
          <w:sz w:val="28"/>
          <w:szCs w:val="28"/>
          <w:lang w:eastAsia="ru-RU"/>
        </w:rPr>
        <w:t>но одновременно сохраняется необходимость в дальнейшем укреплении демократических институтов и правовых гарантий.</w:t>
      </w:r>
    </w:p>
    <w:p w14:paraId="3D4B81D4" w14:textId="77777777" w:rsidR="00E94B29" w:rsidRPr="00DE045C" w:rsidRDefault="00E94B29" w:rsidP="00DE045C">
      <w:pPr>
        <w:pStyle w:val="NoSpacing"/>
        <w:ind w:firstLine="709"/>
        <w:jc w:val="both"/>
        <w:rPr>
          <w:rFonts w:ascii="Times New Roman" w:eastAsia="Times New Roman" w:hAnsi="Times New Roman" w:cs="Times New Roman"/>
          <w:sz w:val="28"/>
          <w:szCs w:val="28"/>
          <w:lang w:eastAsia="ru-RU"/>
        </w:rPr>
      </w:pPr>
      <w:r w:rsidRPr="00DE045C">
        <w:rPr>
          <w:rFonts w:ascii="Times New Roman" w:eastAsia="Times New Roman" w:hAnsi="Times New Roman" w:cs="Times New Roman"/>
          <w:sz w:val="28"/>
          <w:szCs w:val="28"/>
          <w:lang w:eastAsia="ru-RU"/>
        </w:rPr>
        <w:t xml:space="preserve">Особое значение имеет </w:t>
      </w:r>
      <w:r w:rsidRPr="00DE045C">
        <w:rPr>
          <w:rFonts w:ascii="Times New Roman" w:eastAsia="Times New Roman" w:hAnsi="Times New Roman" w:cs="Times New Roman"/>
          <w:bCs/>
          <w:sz w:val="28"/>
          <w:szCs w:val="28"/>
          <w:lang w:eastAsia="ru-RU"/>
        </w:rPr>
        <w:t>обеспечение свободы слова, права на объединение и участие граждан в управлении государственными делами</w:t>
      </w:r>
      <w:r w:rsidRPr="00DE045C">
        <w:rPr>
          <w:rFonts w:ascii="Times New Roman" w:eastAsia="Times New Roman" w:hAnsi="Times New Roman" w:cs="Times New Roman"/>
          <w:sz w:val="28"/>
          <w:szCs w:val="28"/>
          <w:lang w:eastAsia="ru-RU"/>
        </w:rPr>
        <w:t>, в частности через институт местного самоуправления, общественные советы и цифровые платформы обратной связи. Дальнейшее развитие демократических процессов возможно лишь при синхронном расширении политических и социально-экономических прав.</w:t>
      </w:r>
    </w:p>
    <w:p w14:paraId="14C07A0F" w14:textId="77777777" w:rsidR="00E94B29" w:rsidRPr="00DE045C" w:rsidRDefault="00E94B29" w:rsidP="00DE045C">
      <w:pPr>
        <w:pStyle w:val="NoSpacing"/>
        <w:ind w:firstLine="709"/>
        <w:jc w:val="both"/>
        <w:rPr>
          <w:rFonts w:ascii="Times New Roman" w:eastAsia="Times New Roman" w:hAnsi="Times New Roman" w:cs="Times New Roman"/>
          <w:sz w:val="28"/>
          <w:szCs w:val="28"/>
          <w:lang w:eastAsia="ru-RU"/>
        </w:rPr>
      </w:pPr>
      <w:r w:rsidRPr="00DE045C">
        <w:rPr>
          <w:rFonts w:ascii="Times New Roman" w:eastAsia="Times New Roman" w:hAnsi="Times New Roman" w:cs="Times New Roman"/>
          <w:bCs/>
          <w:sz w:val="28"/>
          <w:szCs w:val="28"/>
          <w:lang w:eastAsia="ru-RU"/>
        </w:rPr>
        <w:t>Политические и идеологические изменения должны быть согласованы по срокам и темпам с реформами в социально-экономической сфере, поскольку все группы прав – гражданские, политические, социальные, экономические и культурные – находятся во взаимозависимости.</w:t>
      </w:r>
      <w:r w:rsidRPr="00DE045C">
        <w:rPr>
          <w:rFonts w:ascii="Times New Roman" w:eastAsia="Times New Roman" w:hAnsi="Times New Roman" w:cs="Times New Roman"/>
          <w:sz w:val="28"/>
          <w:szCs w:val="28"/>
          <w:lang w:eastAsia="ru-RU"/>
        </w:rPr>
        <w:t xml:space="preserve"> В рамках проводимых политических и социальных реформ в Казахстане утверждается подход, согласно которому самореализация личности через расширение её прав и свобод рассматривается как основа национального прогресса, а государственные и общественные институты – как инструменты их реализации.</w:t>
      </w:r>
    </w:p>
    <w:p w14:paraId="15318D73" w14:textId="77777777" w:rsidR="00E94B29" w:rsidRPr="001935D0" w:rsidRDefault="00E94B29" w:rsidP="00593711">
      <w:pPr>
        <w:pStyle w:val="NoSpacing"/>
        <w:ind w:firstLine="567"/>
        <w:jc w:val="both"/>
        <w:rPr>
          <w:rFonts w:ascii="Times New Roman" w:eastAsia="Times New Roman" w:hAnsi="Times New Roman" w:cs="Times New Roman"/>
          <w:sz w:val="28"/>
          <w:szCs w:val="28"/>
          <w:lang w:eastAsia="ru-RU"/>
        </w:rPr>
      </w:pPr>
    </w:p>
    <w:p w14:paraId="290C3A03" w14:textId="393BCB85" w:rsidR="00E94B29" w:rsidRDefault="00E94B29" w:rsidP="00DE045C">
      <w:pPr>
        <w:spacing w:after="0" w:line="240" w:lineRule="auto"/>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3.2 </w:t>
      </w:r>
      <w:r w:rsidR="00DE045C">
        <w:rPr>
          <w:rFonts w:ascii="Times New Roman" w:hAnsi="Times New Roman" w:cs="Times New Roman"/>
          <w:sz w:val="28"/>
          <w:szCs w:val="28"/>
        </w:rPr>
        <w:t>‒</w:t>
      </w:r>
      <w:r w:rsidR="00DE045C">
        <w:rPr>
          <w:rFonts w:ascii="Times New Roman" w:hAnsi="Times New Roman" w:cs="Times New Roman"/>
          <w:sz w:val="28"/>
          <w:szCs w:val="28"/>
          <w:lang w:val="kk-KZ"/>
        </w:rPr>
        <w:t xml:space="preserve"> </w:t>
      </w:r>
      <w:r w:rsidRPr="001935D0">
        <w:rPr>
          <w:rFonts w:ascii="Times New Roman" w:hAnsi="Times New Roman" w:cs="Times New Roman"/>
          <w:sz w:val="28"/>
          <w:szCs w:val="28"/>
        </w:rPr>
        <w:t>Основные направления развития институциональной среды в сфере прав человека</w:t>
      </w:r>
    </w:p>
    <w:p w14:paraId="45FB813C" w14:textId="77777777" w:rsidR="00DE045C" w:rsidRPr="00DE045C" w:rsidRDefault="00DE045C" w:rsidP="00DE045C">
      <w:pPr>
        <w:spacing w:after="0" w:line="240" w:lineRule="auto"/>
        <w:jc w:val="both"/>
        <w:rPr>
          <w:rFonts w:ascii="Times New Roman" w:hAnsi="Times New Roman" w:cs="Times New Roman"/>
          <w:sz w:val="16"/>
          <w:szCs w:val="16"/>
          <w:lang w:val="kk-KZ"/>
        </w:rPr>
      </w:pPr>
    </w:p>
    <w:tbl>
      <w:tblPr>
        <w:tblStyle w:val="TableGrid"/>
        <w:tblW w:w="9634" w:type="dxa"/>
        <w:jc w:val="center"/>
        <w:tblLayout w:type="fixed"/>
        <w:tblLook w:val="04A0" w:firstRow="1" w:lastRow="0" w:firstColumn="1" w:lastColumn="0" w:noHBand="0" w:noVBand="1"/>
      </w:tblPr>
      <w:tblGrid>
        <w:gridCol w:w="2122"/>
        <w:gridCol w:w="4108"/>
        <w:gridCol w:w="3404"/>
      </w:tblGrid>
      <w:tr w:rsidR="00E94B29" w:rsidRPr="00DE045C" w14:paraId="6AFAB54A" w14:textId="77777777" w:rsidTr="00807861">
        <w:trPr>
          <w:trHeight w:val="724"/>
          <w:jc w:val="center"/>
        </w:trPr>
        <w:tc>
          <w:tcPr>
            <w:tcW w:w="2122" w:type="dxa"/>
            <w:vAlign w:val="center"/>
          </w:tcPr>
          <w:p w14:paraId="551A58A2" w14:textId="77777777" w:rsidR="00E94B29" w:rsidRPr="00DE045C" w:rsidRDefault="00E94B29" w:rsidP="003F29AB">
            <w:pPr>
              <w:spacing w:line="228" w:lineRule="auto"/>
              <w:jc w:val="center"/>
              <w:rPr>
                <w:rFonts w:ascii="Times New Roman" w:eastAsia="Times New Roman" w:hAnsi="Times New Roman" w:cs="Times New Roman"/>
                <w:bCs/>
                <w:sz w:val="24"/>
                <w:szCs w:val="24"/>
                <w:lang w:eastAsia="ru-RU"/>
              </w:rPr>
            </w:pPr>
            <w:r w:rsidRPr="00DE045C">
              <w:rPr>
                <w:rFonts w:ascii="Times New Roman" w:eastAsia="Times New Roman" w:hAnsi="Times New Roman" w:cs="Times New Roman"/>
                <w:bCs/>
                <w:sz w:val="24"/>
                <w:szCs w:val="24"/>
                <w:lang w:eastAsia="ru-RU"/>
              </w:rPr>
              <w:lastRenderedPageBreak/>
              <w:t>Проблема</w:t>
            </w:r>
          </w:p>
        </w:tc>
        <w:tc>
          <w:tcPr>
            <w:tcW w:w="4108" w:type="dxa"/>
            <w:vAlign w:val="center"/>
          </w:tcPr>
          <w:p w14:paraId="6EC72CFE" w14:textId="77777777" w:rsidR="00E94B29" w:rsidRPr="00DE045C" w:rsidRDefault="00E94B29" w:rsidP="003F29AB">
            <w:pPr>
              <w:spacing w:line="228" w:lineRule="auto"/>
              <w:jc w:val="center"/>
              <w:rPr>
                <w:rFonts w:ascii="Times New Roman" w:eastAsia="Times New Roman" w:hAnsi="Times New Roman" w:cs="Times New Roman"/>
                <w:bCs/>
                <w:sz w:val="24"/>
                <w:szCs w:val="24"/>
                <w:lang w:eastAsia="ru-RU"/>
              </w:rPr>
            </w:pPr>
            <w:r w:rsidRPr="00DE045C">
              <w:rPr>
                <w:rFonts w:ascii="Times New Roman" w:eastAsia="Times New Roman" w:hAnsi="Times New Roman" w:cs="Times New Roman"/>
                <w:bCs/>
                <w:sz w:val="24"/>
                <w:szCs w:val="24"/>
                <w:lang w:eastAsia="ru-RU"/>
              </w:rPr>
              <w:t>Направления развития</w:t>
            </w:r>
          </w:p>
        </w:tc>
        <w:tc>
          <w:tcPr>
            <w:tcW w:w="3404" w:type="dxa"/>
            <w:vAlign w:val="center"/>
          </w:tcPr>
          <w:p w14:paraId="6A160CEC" w14:textId="77777777" w:rsidR="00E94B29" w:rsidRPr="00DE045C" w:rsidRDefault="00E94B29" w:rsidP="003F29AB">
            <w:pPr>
              <w:spacing w:line="228" w:lineRule="auto"/>
              <w:jc w:val="center"/>
              <w:rPr>
                <w:rFonts w:ascii="Times New Roman" w:eastAsia="Times New Roman" w:hAnsi="Times New Roman" w:cs="Times New Roman"/>
                <w:bCs/>
                <w:sz w:val="24"/>
                <w:szCs w:val="24"/>
                <w:lang w:eastAsia="ru-RU"/>
              </w:rPr>
            </w:pPr>
            <w:r w:rsidRPr="00DE045C">
              <w:rPr>
                <w:rFonts w:ascii="Times New Roman" w:eastAsia="Times New Roman" w:hAnsi="Times New Roman" w:cs="Times New Roman"/>
                <w:bCs/>
                <w:sz w:val="24"/>
                <w:szCs w:val="24"/>
                <w:lang w:eastAsia="ru-RU"/>
              </w:rPr>
              <w:t>Ожидаемый результат</w:t>
            </w:r>
          </w:p>
        </w:tc>
      </w:tr>
      <w:tr w:rsidR="00E94B29" w:rsidRPr="001935D0" w14:paraId="72E182C1" w14:textId="77777777" w:rsidTr="00DE045C">
        <w:trPr>
          <w:jc w:val="center"/>
        </w:trPr>
        <w:tc>
          <w:tcPr>
            <w:tcW w:w="2122" w:type="dxa"/>
            <w:vAlign w:val="center"/>
          </w:tcPr>
          <w:p w14:paraId="2F09C5E1" w14:textId="77777777" w:rsidR="00E94B29" w:rsidRPr="001935D0" w:rsidRDefault="00E94B29" w:rsidP="003F29AB">
            <w:pPr>
              <w:spacing w:line="228" w:lineRule="auto"/>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Ограничение свободы слова и преследование журналистов</w:t>
            </w:r>
          </w:p>
        </w:tc>
        <w:tc>
          <w:tcPr>
            <w:tcW w:w="4108" w:type="dxa"/>
            <w:vAlign w:val="center"/>
          </w:tcPr>
          <w:p w14:paraId="24F91518" w14:textId="42B3DE26" w:rsidR="00E94B29" w:rsidRPr="003F29AB" w:rsidRDefault="00E94B29" w:rsidP="003F29AB">
            <w:pPr>
              <w:spacing w:line="228"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Реформа медиазаконодательства на основе Закона «О масс-медиа»; под</w:t>
            </w:r>
            <w:r w:rsidR="003F29A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держка независимых СМИ и обще</w:t>
            </w:r>
            <w:r w:rsidR="003F29A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ственных интернет-платформ; разви</w:t>
            </w:r>
            <w:r w:rsidR="003F29A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тие м</w:t>
            </w:r>
            <w:r w:rsidR="003F29AB">
              <w:rPr>
                <w:rFonts w:ascii="Times New Roman" w:eastAsia="Times New Roman" w:hAnsi="Times New Roman" w:cs="Times New Roman"/>
                <w:sz w:val="24"/>
                <w:szCs w:val="24"/>
                <w:lang w:eastAsia="ru-RU"/>
              </w:rPr>
              <w:t>едиаграмотности и цифровых прав</w:t>
            </w:r>
          </w:p>
        </w:tc>
        <w:tc>
          <w:tcPr>
            <w:tcW w:w="3404" w:type="dxa"/>
            <w:vAlign w:val="center"/>
          </w:tcPr>
          <w:p w14:paraId="02AAF0B8" w14:textId="77777777" w:rsidR="00E94B29" w:rsidRPr="001935D0" w:rsidRDefault="00E94B29" w:rsidP="003F29AB">
            <w:pPr>
              <w:spacing w:line="228"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Обеспечение свободы печати и цифровых медиа; сокращение случаев давления на журналистов; повышение доверия к СМИ.</w:t>
            </w:r>
          </w:p>
        </w:tc>
      </w:tr>
      <w:tr w:rsidR="00E94B29" w:rsidRPr="001935D0" w14:paraId="3D43F339" w14:textId="77777777" w:rsidTr="00DE045C">
        <w:trPr>
          <w:jc w:val="center"/>
        </w:trPr>
        <w:tc>
          <w:tcPr>
            <w:tcW w:w="2122" w:type="dxa"/>
            <w:vAlign w:val="center"/>
          </w:tcPr>
          <w:p w14:paraId="506223FF" w14:textId="77777777" w:rsidR="00E94B29" w:rsidRPr="001935D0" w:rsidRDefault="00E94B29" w:rsidP="003F29AB">
            <w:pPr>
              <w:spacing w:line="228" w:lineRule="auto"/>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Ограничение свободы собраний и объединений</w:t>
            </w:r>
          </w:p>
        </w:tc>
        <w:tc>
          <w:tcPr>
            <w:tcW w:w="4108" w:type="dxa"/>
            <w:vAlign w:val="center"/>
          </w:tcPr>
          <w:p w14:paraId="600BBE2F" w14:textId="7D5FBBD6" w:rsidR="00E94B29" w:rsidRPr="001935D0" w:rsidRDefault="00E94B29" w:rsidP="003F29AB">
            <w:pPr>
              <w:spacing w:line="228"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Либерализация законодательства о мирных собраниях; упрощение про</w:t>
            </w:r>
            <w:r w:rsidR="003F29A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цедур регистрации НПО и полити</w:t>
            </w:r>
            <w:r w:rsidR="003F29A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ческих партий; реализация положе</w:t>
            </w:r>
            <w:r w:rsidR="003F29A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ний Закона «Об общественном контроле»</w:t>
            </w:r>
          </w:p>
        </w:tc>
        <w:tc>
          <w:tcPr>
            <w:tcW w:w="3404" w:type="dxa"/>
            <w:vAlign w:val="center"/>
          </w:tcPr>
          <w:p w14:paraId="3D8BF507" w14:textId="77777777" w:rsidR="00E94B29" w:rsidRPr="001935D0" w:rsidRDefault="00E94B29" w:rsidP="003F29AB">
            <w:pPr>
              <w:spacing w:line="228"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Расширение участия граждан в принятии решений; развитие культуры общественного контроля; укрепление пространства для гражданского общества.</w:t>
            </w:r>
          </w:p>
        </w:tc>
      </w:tr>
      <w:tr w:rsidR="00E94B29" w:rsidRPr="001935D0" w14:paraId="5B646FE0" w14:textId="77777777" w:rsidTr="00DE045C">
        <w:trPr>
          <w:jc w:val="center"/>
        </w:trPr>
        <w:tc>
          <w:tcPr>
            <w:tcW w:w="2122" w:type="dxa"/>
            <w:vAlign w:val="center"/>
          </w:tcPr>
          <w:p w14:paraId="72D697D6" w14:textId="77777777" w:rsidR="00E94B29" w:rsidRPr="001935D0" w:rsidRDefault="00E94B29" w:rsidP="003F29AB">
            <w:pPr>
              <w:spacing w:line="228" w:lineRule="auto"/>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Безнаказанность за нарушение прав во время протестов</w:t>
            </w:r>
          </w:p>
        </w:tc>
        <w:tc>
          <w:tcPr>
            <w:tcW w:w="4108" w:type="dxa"/>
            <w:vAlign w:val="center"/>
          </w:tcPr>
          <w:p w14:paraId="2D8BED8C" w14:textId="19AB5DC6" w:rsidR="00E94B29" w:rsidRPr="001935D0" w:rsidRDefault="00E94B29" w:rsidP="003F29AB">
            <w:pPr>
              <w:spacing w:line="228"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Создание независимых и транспа</w:t>
            </w:r>
            <w:r w:rsidR="003F29A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рентных механизмов расследования; внедрение института парламентского и общественного мониторинга действий силовых структур.</w:t>
            </w:r>
          </w:p>
        </w:tc>
        <w:tc>
          <w:tcPr>
            <w:tcW w:w="3404" w:type="dxa"/>
            <w:vAlign w:val="center"/>
          </w:tcPr>
          <w:p w14:paraId="6C24D0A0" w14:textId="77777777" w:rsidR="00E94B29" w:rsidRPr="001935D0" w:rsidRDefault="00E94B29" w:rsidP="003F29AB">
            <w:pPr>
              <w:spacing w:line="228"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Повышение доверия к правосудию; снижение случаев произвола и злоупотреблений силовиков.</w:t>
            </w:r>
          </w:p>
        </w:tc>
      </w:tr>
      <w:tr w:rsidR="00E94B29" w:rsidRPr="001935D0" w14:paraId="6860B06D" w14:textId="77777777" w:rsidTr="00DE045C">
        <w:trPr>
          <w:jc w:val="center"/>
        </w:trPr>
        <w:tc>
          <w:tcPr>
            <w:tcW w:w="2122" w:type="dxa"/>
            <w:vAlign w:val="center"/>
          </w:tcPr>
          <w:p w14:paraId="3724D7FD" w14:textId="77777777" w:rsidR="00E94B29" w:rsidRPr="001935D0" w:rsidRDefault="00E94B29" w:rsidP="003F29AB">
            <w:pPr>
              <w:spacing w:line="228" w:lineRule="auto"/>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Высокий уровень домашнего насилия</w:t>
            </w:r>
          </w:p>
        </w:tc>
        <w:tc>
          <w:tcPr>
            <w:tcW w:w="4108" w:type="dxa"/>
            <w:vAlign w:val="center"/>
          </w:tcPr>
          <w:p w14:paraId="1B7EE92B" w14:textId="02A5D65A" w:rsidR="00E94B29" w:rsidRPr="001935D0" w:rsidRDefault="00E94B29" w:rsidP="003F29AB">
            <w:pPr>
              <w:spacing w:line="228"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Введение комплексной межведом</w:t>
            </w:r>
            <w:r w:rsidR="00DE045C">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ственной программы противодейст</w:t>
            </w:r>
            <w:r w:rsidR="00DE045C">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вия гендерно обусловленному насилию; создание Национального центра по профилактике насилия; развитие сети кризисных центров.</w:t>
            </w:r>
          </w:p>
        </w:tc>
        <w:tc>
          <w:tcPr>
            <w:tcW w:w="3404" w:type="dxa"/>
            <w:vAlign w:val="center"/>
          </w:tcPr>
          <w:p w14:paraId="6EC3CB71" w14:textId="77777777" w:rsidR="00E94B29" w:rsidRPr="001935D0" w:rsidRDefault="00E94B29" w:rsidP="003F29AB">
            <w:pPr>
              <w:spacing w:line="228"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Снижение уровня смертности от домашнего насилия; защита прав женщин и детей; реализация принципа гендерного равенства.</w:t>
            </w:r>
          </w:p>
        </w:tc>
      </w:tr>
      <w:tr w:rsidR="00E94B29" w:rsidRPr="001935D0" w14:paraId="7E371E89" w14:textId="77777777" w:rsidTr="00DE045C">
        <w:trPr>
          <w:jc w:val="center"/>
        </w:trPr>
        <w:tc>
          <w:tcPr>
            <w:tcW w:w="2122" w:type="dxa"/>
            <w:vAlign w:val="center"/>
          </w:tcPr>
          <w:p w14:paraId="605D2188"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Дискриминация гендерных и иных уязвимых групп</w:t>
            </w:r>
          </w:p>
        </w:tc>
        <w:tc>
          <w:tcPr>
            <w:tcW w:w="4108" w:type="dxa"/>
            <w:vAlign w:val="center"/>
          </w:tcPr>
          <w:p w14:paraId="6FDC59BC" w14:textId="769506AC" w:rsidR="00E94B29" w:rsidRPr="00807861" w:rsidRDefault="00E94B29" w:rsidP="00593711">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Принятие антидискриминационного законодательства; реализация мер по Плану действий в области прав чело</w:t>
            </w:r>
            <w:r w:rsidR="0080786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века;</w:t>
            </w:r>
            <w:r w:rsidR="00807861">
              <w:rPr>
                <w:rFonts w:ascii="Times New Roman" w:eastAsia="Times New Roman" w:hAnsi="Times New Roman" w:cs="Times New Roman"/>
                <w:sz w:val="24"/>
                <w:szCs w:val="24"/>
                <w:lang w:eastAsia="ru-RU"/>
              </w:rPr>
              <w:t xml:space="preserve"> поддержка инклюзивных программ</w:t>
            </w:r>
          </w:p>
        </w:tc>
        <w:tc>
          <w:tcPr>
            <w:tcW w:w="3404" w:type="dxa"/>
            <w:vAlign w:val="center"/>
          </w:tcPr>
          <w:p w14:paraId="736B80BF" w14:textId="265DC681"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Гарантированная защита прав всех категорий граждан; снижение случаев стигматиза</w:t>
            </w:r>
            <w:r w:rsidR="0080786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ции и социальной изоляции.</w:t>
            </w:r>
          </w:p>
        </w:tc>
      </w:tr>
      <w:tr w:rsidR="00E94B29" w:rsidRPr="001935D0" w14:paraId="5431CCE7" w14:textId="77777777" w:rsidTr="00DE045C">
        <w:trPr>
          <w:jc w:val="center"/>
        </w:trPr>
        <w:tc>
          <w:tcPr>
            <w:tcW w:w="2122" w:type="dxa"/>
            <w:vAlign w:val="center"/>
          </w:tcPr>
          <w:p w14:paraId="239B776A"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Давление на правозащитников и активистов</w:t>
            </w:r>
          </w:p>
        </w:tc>
        <w:tc>
          <w:tcPr>
            <w:tcW w:w="4108" w:type="dxa"/>
            <w:vAlign w:val="center"/>
          </w:tcPr>
          <w:p w14:paraId="1E40EAE9" w14:textId="7F46A4A5"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Расширение мандата Омбудсмена и механизмов независимости право</w:t>
            </w:r>
            <w:r w:rsidR="00DE045C">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защитных организаций; внедрение института общественного контроля (Закон 2023 г.); государственные меры защиты активистов.</w:t>
            </w:r>
          </w:p>
        </w:tc>
        <w:tc>
          <w:tcPr>
            <w:tcW w:w="3404" w:type="dxa"/>
            <w:vAlign w:val="center"/>
          </w:tcPr>
          <w:p w14:paraId="3B80B879" w14:textId="2E9EB5A6"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Повышение эффективности работы гражданского общест</w:t>
            </w:r>
            <w:r w:rsidR="003F29A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ва; защита правозащитников; укрепление доверия к правовой системе.</w:t>
            </w:r>
          </w:p>
        </w:tc>
      </w:tr>
      <w:tr w:rsidR="00E94B29" w:rsidRPr="001935D0" w14:paraId="06EBE64D" w14:textId="77777777" w:rsidTr="00DE045C">
        <w:trPr>
          <w:jc w:val="center"/>
        </w:trPr>
        <w:tc>
          <w:tcPr>
            <w:tcW w:w="2122" w:type="dxa"/>
            <w:vAlign w:val="center"/>
          </w:tcPr>
          <w:p w14:paraId="158E96AF"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Угроза принудительного возвращения беженцев и мигрантов</w:t>
            </w:r>
          </w:p>
        </w:tc>
        <w:tc>
          <w:tcPr>
            <w:tcW w:w="4108" w:type="dxa"/>
            <w:vAlign w:val="center"/>
          </w:tcPr>
          <w:p w14:paraId="1A37661B"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Соблюдение международных стандартов статуса беженцев; предотвращение экстрадиций в страны с риском пыток; развитие механизмов временной защиты.</w:t>
            </w:r>
          </w:p>
        </w:tc>
        <w:tc>
          <w:tcPr>
            <w:tcW w:w="3404" w:type="dxa"/>
            <w:vAlign w:val="center"/>
          </w:tcPr>
          <w:p w14:paraId="5A54EBEE"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Реальная защита мигрантов и беженцев; повышение международного авторитета Казахстана как партнёра ООН.</w:t>
            </w:r>
          </w:p>
        </w:tc>
      </w:tr>
      <w:tr w:rsidR="00E94B29" w:rsidRPr="001935D0" w14:paraId="009E8253" w14:textId="77777777" w:rsidTr="00DE045C">
        <w:trPr>
          <w:jc w:val="center"/>
        </w:trPr>
        <w:tc>
          <w:tcPr>
            <w:tcW w:w="2122" w:type="dxa"/>
            <w:vAlign w:val="center"/>
          </w:tcPr>
          <w:p w14:paraId="22EECD79"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Слабая климатическая политика и экологические риски</w:t>
            </w:r>
          </w:p>
        </w:tc>
        <w:tc>
          <w:tcPr>
            <w:tcW w:w="4108" w:type="dxa"/>
            <w:vAlign w:val="center"/>
          </w:tcPr>
          <w:p w14:paraId="3E4D68F5" w14:textId="08713EC4" w:rsidR="00E94B29" w:rsidRPr="00DE045C" w:rsidRDefault="00E94B29" w:rsidP="00593711">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Реализация Национального проекта «Зелёный Казахстан»; внедрение систем мониторинга выбросов и программ адаптации к изменению кли</w:t>
            </w:r>
            <w:r w:rsidR="00DE045C">
              <w:rPr>
                <w:rFonts w:ascii="Times New Roman" w:eastAsia="Times New Roman" w:hAnsi="Times New Roman" w:cs="Times New Roman"/>
                <w:sz w:val="24"/>
                <w:szCs w:val="24"/>
                <w:lang w:eastAsia="ru-RU"/>
              </w:rPr>
              <w:t>мата (Национальный план – 2029)</w:t>
            </w:r>
          </w:p>
        </w:tc>
        <w:tc>
          <w:tcPr>
            <w:tcW w:w="3404" w:type="dxa"/>
            <w:vAlign w:val="center"/>
          </w:tcPr>
          <w:p w14:paraId="3AC05C37" w14:textId="70C0C6FC" w:rsidR="00E94B29" w:rsidRPr="00DE045C" w:rsidRDefault="00E94B29" w:rsidP="00593711">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Реализация права граждан на безопасную и устойчивую окружающую среду; повыше</w:t>
            </w:r>
            <w:r w:rsidR="003F29A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ние климатической устойчи</w:t>
            </w:r>
            <w:r w:rsidR="003F29AB">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вос</w:t>
            </w:r>
            <w:r w:rsidR="00DE045C">
              <w:rPr>
                <w:rFonts w:ascii="Times New Roman" w:eastAsia="Times New Roman" w:hAnsi="Times New Roman" w:cs="Times New Roman"/>
                <w:sz w:val="24"/>
                <w:szCs w:val="24"/>
                <w:lang w:eastAsia="ru-RU"/>
              </w:rPr>
              <w:t>ти и экологической безопасности</w:t>
            </w:r>
          </w:p>
        </w:tc>
      </w:tr>
      <w:tr w:rsidR="003F29AB" w:rsidRPr="001935D0" w14:paraId="241B155C" w14:textId="77777777" w:rsidTr="00123D4E">
        <w:trPr>
          <w:jc w:val="center"/>
        </w:trPr>
        <w:tc>
          <w:tcPr>
            <w:tcW w:w="9634" w:type="dxa"/>
            <w:gridSpan w:val="3"/>
            <w:vAlign w:val="center"/>
          </w:tcPr>
          <w:p w14:paraId="63147D62" w14:textId="559DF623" w:rsidR="003F29AB" w:rsidRPr="001935D0" w:rsidRDefault="009D7580" w:rsidP="006A4DE5">
            <w:pPr>
              <w:ind w:firstLine="59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Pr>
                <w:rFonts w:ascii="Times New Roman" w:hAnsi="Times New Roman" w:cs="Times New Roman"/>
                <w:sz w:val="24"/>
                <w:szCs w:val="24"/>
                <w:lang w:val="kk-KZ"/>
              </w:rPr>
              <w:t>178; 179; 180; 181</w:t>
            </w:r>
            <w:r w:rsidRPr="001935D0">
              <w:rPr>
                <w:rFonts w:ascii="Times New Roman" w:hAnsi="Times New Roman" w:cs="Times New Roman"/>
                <w:sz w:val="24"/>
                <w:szCs w:val="24"/>
              </w:rPr>
              <w:t>]</w:t>
            </w:r>
          </w:p>
        </w:tc>
      </w:tr>
    </w:tbl>
    <w:p w14:paraId="0C1ACF6E" w14:textId="098F621F" w:rsidR="00DE045C" w:rsidRPr="00DE045C" w:rsidRDefault="003F29AB" w:rsidP="003F29AB">
      <w:pPr>
        <w:pStyle w:val="NoSpacing"/>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kk-KZ" w:eastAsia="ru-RU"/>
        </w:rPr>
        <w:t xml:space="preserve">В соответствии с таблицей 3.2, </w:t>
      </w:r>
      <w:r w:rsidRPr="00DE045C">
        <w:rPr>
          <w:rFonts w:ascii="Times New Roman" w:eastAsia="Times New Roman" w:hAnsi="Times New Roman" w:cs="Times New Roman"/>
          <w:bCs/>
          <w:sz w:val="28"/>
          <w:szCs w:val="28"/>
          <w:lang w:eastAsia="ru-RU"/>
        </w:rPr>
        <w:t xml:space="preserve">учитывая </w:t>
      </w:r>
      <w:r w:rsidR="00DE045C" w:rsidRPr="00DE045C">
        <w:rPr>
          <w:rFonts w:ascii="Times New Roman" w:eastAsia="Times New Roman" w:hAnsi="Times New Roman" w:cs="Times New Roman"/>
          <w:bCs/>
          <w:sz w:val="28"/>
          <w:szCs w:val="28"/>
          <w:lang w:eastAsia="ru-RU"/>
        </w:rPr>
        <w:t>вышеизложенные тенденции, можно выделить ключевые направления развития институциональной среды в сфере прав человека и ожидаемые результаты их имплементации в законодательство Республики Казахстан.</w:t>
      </w:r>
    </w:p>
    <w:p w14:paraId="792E63F9" w14:textId="77777777"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 xml:space="preserve">В последние годы реформ 2021-2024 годов Казахстан сформировал разветвлённую систему защиты прав человека, включающую Конституцию, международные договоры и специализированные институты – </w:t>
      </w:r>
      <w:r w:rsidRPr="001935D0">
        <w:rPr>
          <w:rStyle w:val="Strong"/>
          <w:rFonts w:ascii="Times New Roman" w:hAnsi="Times New Roman" w:cs="Times New Roman"/>
          <w:b w:val="0"/>
          <w:sz w:val="28"/>
          <w:szCs w:val="28"/>
        </w:rPr>
        <w:t>Конституционный суд, Уполномоченного по правам человека, Уполномоченных по правам ребёнка и социально уязвимых групп, Фонд компенсаций жертвам пыток, а также Национальный центр по правам человека.</w:t>
      </w:r>
      <w:r w:rsidRPr="001935D0">
        <w:rPr>
          <w:rFonts w:ascii="Times New Roman" w:hAnsi="Times New Roman" w:cs="Times New Roman"/>
          <w:sz w:val="28"/>
          <w:szCs w:val="28"/>
        </w:rPr>
        <w:t xml:space="preserve"> Эти структуры играют ключевую роль в укреплении демократических основ и обеспечении доступности правосудия для всех категорий граждан.</w:t>
      </w:r>
    </w:p>
    <w:p w14:paraId="03BE4591" w14:textId="3D5B8C39"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Позитивные изменения проявляются в </w:t>
      </w:r>
      <w:r w:rsidRPr="001935D0">
        <w:rPr>
          <w:rStyle w:val="Strong"/>
          <w:rFonts w:ascii="Times New Roman" w:hAnsi="Times New Roman" w:cs="Times New Roman"/>
          <w:b w:val="0"/>
          <w:sz w:val="28"/>
          <w:szCs w:val="28"/>
        </w:rPr>
        <w:t>восстановлении деятельности Конституционного суда (2023), расширении полномочий института Омбудсмена, усилении его регионального присутствия</w:t>
      </w:r>
      <w:r w:rsidRPr="001935D0">
        <w:rPr>
          <w:rFonts w:ascii="Times New Roman" w:hAnsi="Times New Roman" w:cs="Times New Roman"/>
          <w:sz w:val="28"/>
          <w:szCs w:val="28"/>
        </w:rPr>
        <w:t xml:space="preserve">, а также в создании новых механизмов общественного участия – </w:t>
      </w:r>
      <w:r w:rsidRPr="001935D0">
        <w:rPr>
          <w:rStyle w:val="Strong"/>
          <w:rFonts w:ascii="Times New Roman" w:hAnsi="Times New Roman" w:cs="Times New Roman"/>
          <w:b w:val="0"/>
          <w:sz w:val="28"/>
          <w:szCs w:val="28"/>
        </w:rPr>
        <w:t>Национального курултая, системы электронных петиций и портала «Открытое правительство» как элемент концепции «Слышащего государства»</w:t>
      </w:r>
      <w:r w:rsidRPr="001935D0">
        <w:rPr>
          <w:rFonts w:ascii="Times New Roman" w:hAnsi="Times New Roman" w:cs="Times New Roman"/>
          <w:sz w:val="28"/>
          <w:szCs w:val="28"/>
        </w:rPr>
        <w:t>. Существенно повышается внимание к вопросам социальной защиты, доступу к образованию и здравоохранению. Комплексная схема внедрения приоритетных направлений институционального развития представлена на рисунке 3.1.</w:t>
      </w:r>
    </w:p>
    <w:p w14:paraId="357F73C3" w14:textId="77777777" w:rsidR="00E94B29" w:rsidRPr="001935D0" w:rsidRDefault="00E94B29" w:rsidP="00593711">
      <w:pPr>
        <w:pStyle w:val="NoSpacing"/>
        <w:ind w:firstLine="567"/>
        <w:jc w:val="both"/>
        <w:rPr>
          <w:rFonts w:ascii="Times New Roman" w:hAnsi="Times New Roman" w:cs="Times New Roman"/>
          <w:sz w:val="28"/>
          <w:szCs w:val="28"/>
        </w:rPr>
      </w:pPr>
    </w:p>
    <w:p w14:paraId="7588E07F" w14:textId="77777777" w:rsidR="00E94B29" w:rsidRPr="001935D0" w:rsidRDefault="00E94B29" w:rsidP="00593711">
      <w:pPr>
        <w:spacing w:after="0" w:line="240" w:lineRule="auto"/>
        <w:ind w:firstLine="142"/>
        <w:jc w:val="both"/>
        <w:rPr>
          <w:rFonts w:ascii="Times New Roman" w:eastAsia="Times New Roman" w:hAnsi="Times New Roman" w:cs="Times New Roman"/>
          <w:noProof/>
          <w:sz w:val="28"/>
          <w:szCs w:val="28"/>
          <w:lang w:eastAsia="ru-RU"/>
        </w:rPr>
      </w:pPr>
      <w:r w:rsidRPr="001935D0">
        <w:rPr>
          <w:rFonts w:ascii="Times New Roman" w:eastAsia="Times New Roman" w:hAnsi="Times New Roman" w:cs="Times New Roman"/>
          <w:noProof/>
          <w:sz w:val="28"/>
          <w:szCs w:val="28"/>
          <w:lang w:eastAsia="ru-RU"/>
        </w:rPr>
        <w:drawing>
          <wp:inline distT="0" distB="0" distL="0" distR="0" wp14:anchorId="0A470A23" wp14:editId="625C84FA">
            <wp:extent cx="7522590" cy="3317875"/>
            <wp:effectExtent l="0" t="57150" r="0" b="53975"/>
            <wp:docPr id="38" name="Схема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9" r:lo="rId110" r:qs="rId111" r:cs="rId112"/>
              </a:graphicData>
            </a:graphic>
          </wp:inline>
        </w:drawing>
      </w:r>
    </w:p>
    <w:p w14:paraId="28D6909E" w14:textId="77777777" w:rsidR="00E94B29" w:rsidRPr="003F29AB" w:rsidRDefault="00E94B29" w:rsidP="00593711">
      <w:pPr>
        <w:spacing w:after="0" w:line="240" w:lineRule="auto"/>
        <w:ind w:firstLine="284"/>
        <w:jc w:val="both"/>
        <w:rPr>
          <w:rFonts w:ascii="Times New Roman" w:eastAsia="Times New Roman" w:hAnsi="Times New Roman" w:cs="Times New Roman"/>
          <w:sz w:val="16"/>
          <w:szCs w:val="16"/>
          <w:lang w:eastAsia="uk-UA"/>
        </w:rPr>
      </w:pPr>
    </w:p>
    <w:p w14:paraId="4A76CE52" w14:textId="7A351CE5" w:rsidR="00E94B29" w:rsidRPr="001935D0" w:rsidRDefault="00E94B29" w:rsidP="003F29AB">
      <w:pPr>
        <w:pStyle w:val="NoSpacing"/>
        <w:jc w:val="center"/>
        <w:rPr>
          <w:rFonts w:ascii="Times New Roman" w:hAnsi="Times New Roman" w:cs="Times New Roman"/>
          <w:sz w:val="28"/>
          <w:szCs w:val="28"/>
        </w:rPr>
      </w:pPr>
      <w:r w:rsidRPr="001935D0">
        <w:rPr>
          <w:rStyle w:val="Strong"/>
          <w:rFonts w:ascii="Times New Roman" w:hAnsi="Times New Roman" w:cs="Times New Roman"/>
          <w:b w:val="0"/>
          <w:sz w:val="28"/>
          <w:szCs w:val="28"/>
        </w:rPr>
        <w:t>Рис</w:t>
      </w:r>
      <w:r w:rsidR="003F29AB">
        <w:rPr>
          <w:rStyle w:val="Strong"/>
          <w:rFonts w:ascii="Times New Roman" w:hAnsi="Times New Roman" w:cs="Times New Roman"/>
          <w:b w:val="0"/>
          <w:sz w:val="28"/>
          <w:szCs w:val="28"/>
          <w:lang w:val="kk-KZ"/>
        </w:rPr>
        <w:t>унок</w:t>
      </w:r>
      <w:r w:rsidRPr="001935D0">
        <w:rPr>
          <w:rStyle w:val="Strong"/>
          <w:rFonts w:ascii="Times New Roman" w:hAnsi="Times New Roman" w:cs="Times New Roman"/>
          <w:b w:val="0"/>
          <w:sz w:val="28"/>
          <w:szCs w:val="28"/>
        </w:rPr>
        <w:t xml:space="preserve"> 3.1 </w:t>
      </w:r>
      <w:r w:rsidR="003F29AB">
        <w:rPr>
          <w:rStyle w:val="Strong"/>
          <w:rFonts w:ascii="Times New Roman" w:hAnsi="Times New Roman" w:cs="Times New Roman"/>
          <w:b w:val="0"/>
          <w:sz w:val="28"/>
          <w:szCs w:val="28"/>
          <w:lang w:val="kk-KZ"/>
        </w:rPr>
        <w:t xml:space="preserve">– </w:t>
      </w:r>
      <w:r w:rsidRPr="001935D0">
        <w:rPr>
          <w:rStyle w:val="Strong"/>
          <w:rFonts w:ascii="Times New Roman" w:hAnsi="Times New Roman" w:cs="Times New Roman"/>
          <w:b w:val="0"/>
          <w:sz w:val="28"/>
          <w:szCs w:val="28"/>
        </w:rPr>
        <w:t>Структурно-уровневая модель реализации национальной системы защиты прав человека</w:t>
      </w:r>
    </w:p>
    <w:p w14:paraId="35558FC6" w14:textId="77777777" w:rsidR="003F29AB" w:rsidRPr="003F29AB" w:rsidRDefault="003F29AB" w:rsidP="00593711">
      <w:pPr>
        <w:pStyle w:val="NoSpacing"/>
        <w:ind w:firstLine="567"/>
        <w:jc w:val="both"/>
        <w:rPr>
          <w:rFonts w:ascii="Times New Roman" w:hAnsi="Times New Roman" w:cs="Times New Roman"/>
          <w:sz w:val="16"/>
          <w:szCs w:val="16"/>
          <w:lang w:val="kk-KZ"/>
        </w:rPr>
      </w:pPr>
    </w:p>
    <w:p w14:paraId="4AD60039" w14:textId="32865D47" w:rsidR="00E94B29" w:rsidRPr="001935D0" w:rsidRDefault="003F29AB" w:rsidP="00593711">
      <w:pPr>
        <w:pStyle w:val="NoSpacing"/>
        <w:ind w:firstLine="567"/>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w:t>
      </w:r>
      <w:r w:rsidR="00E94B29" w:rsidRPr="001935D0">
        <w:rPr>
          <w:rFonts w:ascii="Times New Roman" w:hAnsi="Times New Roman" w:cs="Times New Roman"/>
          <w:sz w:val="24"/>
          <w:szCs w:val="24"/>
        </w:rPr>
        <w:t>оставлено автором</w:t>
      </w:r>
    </w:p>
    <w:p w14:paraId="0ED35BC8" w14:textId="77777777" w:rsidR="00E94B29" w:rsidRPr="001935D0" w:rsidRDefault="00E94B29" w:rsidP="00593711">
      <w:pPr>
        <w:pStyle w:val="NoSpacing"/>
        <w:ind w:firstLine="567"/>
        <w:jc w:val="both"/>
        <w:rPr>
          <w:rFonts w:ascii="Times New Roman" w:hAnsi="Times New Roman" w:cs="Times New Roman"/>
          <w:sz w:val="28"/>
          <w:szCs w:val="28"/>
        </w:rPr>
      </w:pPr>
    </w:p>
    <w:p w14:paraId="5D74CFA9" w14:textId="77777777"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то же время эффективность реализуемых реформ </w:t>
      </w:r>
      <w:r w:rsidRPr="001935D0">
        <w:rPr>
          <w:rStyle w:val="Strong"/>
          <w:rFonts w:ascii="Times New Roman" w:hAnsi="Times New Roman" w:cs="Times New Roman"/>
          <w:b w:val="0"/>
          <w:sz w:val="28"/>
          <w:szCs w:val="28"/>
        </w:rPr>
        <w:t>сдерживается рядом структурных факторов</w:t>
      </w:r>
      <w:r w:rsidRPr="001935D0">
        <w:rPr>
          <w:rFonts w:ascii="Times New Roman" w:hAnsi="Times New Roman" w:cs="Times New Roman"/>
          <w:sz w:val="28"/>
          <w:szCs w:val="28"/>
        </w:rPr>
        <w:t>, включая сохраняющиеся ограничения свободы слова и собраний, недостаточную прозрачность расследований нарушений прав во время протестов, давление на правозащитников и активистов, высокий уровень домашнего насилия и слабую защиту уязвимых групп.</w:t>
      </w:r>
    </w:p>
    <w:p w14:paraId="654F7596" w14:textId="77777777"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 xml:space="preserve">Для повышения результативности институциональных изменений необходимо </w:t>
      </w:r>
      <w:r w:rsidRPr="001935D0">
        <w:rPr>
          <w:rStyle w:val="Strong"/>
          <w:rFonts w:ascii="Times New Roman" w:hAnsi="Times New Roman" w:cs="Times New Roman"/>
          <w:b w:val="0"/>
          <w:sz w:val="28"/>
          <w:szCs w:val="28"/>
        </w:rPr>
        <w:t>дальнейшее совершенствование законодательства о средствах массовой информации (Закон «О масс-медиа»), о свободе собраний, а также принятие антидискриминационного акта, реализующего рекомендации Совета ООН по правам человека.</w:t>
      </w:r>
      <w:r w:rsidRPr="001935D0">
        <w:rPr>
          <w:rFonts w:ascii="Times New Roman" w:hAnsi="Times New Roman" w:cs="Times New Roman"/>
          <w:sz w:val="28"/>
          <w:szCs w:val="28"/>
        </w:rPr>
        <w:t xml:space="preserve"> Кроме того, требуется </w:t>
      </w:r>
      <w:r w:rsidRPr="001935D0">
        <w:rPr>
          <w:rStyle w:val="Strong"/>
          <w:rFonts w:ascii="Times New Roman" w:hAnsi="Times New Roman" w:cs="Times New Roman"/>
          <w:b w:val="0"/>
          <w:sz w:val="28"/>
          <w:szCs w:val="28"/>
        </w:rPr>
        <w:t>укрепление независимых механизмов мониторинга деятельности правоохранительных органов, поддержка женских и инклюзивных инициатив, и расширение партнёрства государства с экологическими и правозащитными организациями.</w:t>
      </w:r>
    </w:p>
    <w:p w14:paraId="345EEA9D" w14:textId="77777777"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Выполнение этих задач позволит укрепить демократические институты, повысить доверие общества к судебной и правозащитной системам и приблизить Казахстан к международным стандартам защиты прав человека. </w:t>
      </w:r>
      <w:r w:rsidRPr="001935D0">
        <w:rPr>
          <w:rStyle w:val="Strong"/>
          <w:rFonts w:ascii="Times New Roman" w:hAnsi="Times New Roman" w:cs="Times New Roman"/>
          <w:b w:val="0"/>
          <w:sz w:val="28"/>
          <w:szCs w:val="28"/>
        </w:rPr>
        <w:t>Особое внимание должно быть уделено реализации 294 рекомендаций, выдвинутых Советом ООН по правам человека по итогам Универсального периодического обзора 2025 года</w:t>
      </w:r>
      <w:r w:rsidRPr="001935D0">
        <w:rPr>
          <w:rFonts w:ascii="Times New Roman" w:hAnsi="Times New Roman" w:cs="Times New Roman"/>
          <w:sz w:val="28"/>
          <w:szCs w:val="28"/>
        </w:rPr>
        <w:t>, включая развитие механизмов общественного контроля, борьбу с дискриминацией и повышение транспарентности правоприменения.</w:t>
      </w:r>
    </w:p>
    <w:p w14:paraId="385B4AD3" w14:textId="77777777" w:rsidR="00E94B29" w:rsidRPr="001935D0" w:rsidRDefault="00E94B29" w:rsidP="003F29AB">
      <w:pPr>
        <w:shd w:val="clear" w:color="auto" w:fill="FFFFFF"/>
        <w:spacing w:after="0" w:line="240" w:lineRule="auto"/>
        <w:ind w:firstLine="709"/>
        <w:jc w:val="both"/>
        <w:rPr>
          <w:rFonts w:ascii="Times New Roman" w:eastAsia="Times New Roman" w:hAnsi="Times New Roman" w:cs="Times New Roman"/>
          <w:b/>
          <w:bCs/>
          <w:sz w:val="28"/>
          <w:szCs w:val="28"/>
          <w:lang w:eastAsia="uk-UA"/>
        </w:rPr>
      </w:pPr>
    </w:p>
    <w:p w14:paraId="21524690" w14:textId="6D5188A5" w:rsidR="00E94B29" w:rsidRPr="001935D0" w:rsidRDefault="00E94B29" w:rsidP="003F29AB">
      <w:pPr>
        <w:shd w:val="clear" w:color="auto" w:fill="FFFFFF"/>
        <w:spacing w:after="0" w:line="240" w:lineRule="auto"/>
        <w:ind w:firstLine="709"/>
        <w:jc w:val="both"/>
        <w:rPr>
          <w:rFonts w:ascii="Times New Roman" w:eastAsia="Times New Roman" w:hAnsi="Times New Roman" w:cs="Times New Roman"/>
          <w:b/>
          <w:bCs/>
          <w:sz w:val="28"/>
          <w:szCs w:val="28"/>
          <w:lang w:eastAsia="uk-UA"/>
        </w:rPr>
      </w:pPr>
      <w:r w:rsidRPr="001935D0">
        <w:rPr>
          <w:rFonts w:ascii="Times New Roman" w:eastAsia="Times New Roman" w:hAnsi="Times New Roman" w:cs="Times New Roman"/>
          <w:b/>
          <w:bCs/>
          <w:sz w:val="28"/>
          <w:szCs w:val="28"/>
          <w:lang w:eastAsia="uk-UA"/>
        </w:rPr>
        <w:t xml:space="preserve">3.2 </w:t>
      </w:r>
      <w:r w:rsidR="00391CB4" w:rsidRPr="001935D0">
        <w:rPr>
          <w:rFonts w:ascii="Times New Roman" w:eastAsia="Times New Roman" w:hAnsi="Times New Roman" w:cs="Times New Roman"/>
          <w:b/>
          <w:bCs/>
          <w:sz w:val="28"/>
          <w:szCs w:val="28"/>
          <w:lang w:val="kk-KZ" w:eastAsia="uk-UA"/>
        </w:rPr>
        <w:t xml:space="preserve">Анализ </w:t>
      </w:r>
      <w:r w:rsidRPr="001935D0">
        <w:rPr>
          <w:rFonts w:ascii="Times New Roman" w:eastAsia="Times New Roman" w:hAnsi="Times New Roman" w:cs="Times New Roman"/>
          <w:b/>
          <w:bCs/>
          <w:sz w:val="28"/>
          <w:szCs w:val="28"/>
          <w:lang w:eastAsia="uk-UA"/>
        </w:rPr>
        <w:t>моделей ЕС и Казахстана: применимость европейских стандартов в национальном контексте</w:t>
      </w:r>
    </w:p>
    <w:p w14:paraId="6C69C7D8" w14:textId="3A386D98"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С 1 марта 2020 года вступило в силу </w:t>
      </w:r>
      <w:r w:rsidRPr="001935D0">
        <w:rPr>
          <w:rStyle w:val="Strong"/>
          <w:rFonts w:ascii="Times New Roman" w:hAnsi="Times New Roman" w:cs="Times New Roman"/>
          <w:b w:val="0"/>
          <w:sz w:val="28"/>
          <w:szCs w:val="28"/>
        </w:rPr>
        <w:t xml:space="preserve">Соглашение о расширенном партнёрстве и сотрудничестве между Республикой Казахстан и Европейским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оюзом</w:t>
      </w:r>
      <w:r w:rsidRPr="001935D0">
        <w:rPr>
          <w:rFonts w:ascii="Times New Roman" w:hAnsi="Times New Roman" w:cs="Times New Roman"/>
          <w:b/>
          <w:sz w:val="28"/>
          <w:szCs w:val="28"/>
        </w:rPr>
        <w:t xml:space="preserve"> </w:t>
      </w:r>
      <w:r w:rsidRPr="001935D0">
        <w:rPr>
          <w:rFonts w:ascii="Times New Roman" w:hAnsi="Times New Roman" w:cs="Times New Roman"/>
          <w:sz w:val="28"/>
          <w:szCs w:val="28"/>
        </w:rPr>
        <w:t>– первый подобный документ ЕС с государством Центральной Азии. Он создал комплексную правовую основу двустороннего взаимодействия, охватывающую 29 сфер политики, включая правосудие, энергетику, транспорт, охрану окружающей среды, социальную политику, занятость, культуру, образование и науку. Соглашение вывело отношения на новый уровень, усилив политический диалог, торгово-инвестиционное партнёрство и координацию реформ в направлении устойчивого развития и «зелёной экономики» [8</w:t>
      </w:r>
      <w:r w:rsidR="006A4DE5">
        <w:rPr>
          <w:rFonts w:ascii="Times New Roman" w:hAnsi="Times New Roman" w:cs="Times New Roman"/>
          <w:sz w:val="28"/>
          <w:szCs w:val="28"/>
          <w:lang w:val="kk-KZ"/>
        </w:rPr>
        <w:t>6</w:t>
      </w:r>
      <w:r w:rsidRPr="001935D0">
        <w:rPr>
          <w:rFonts w:ascii="Times New Roman" w:hAnsi="Times New Roman" w:cs="Times New Roman"/>
          <w:sz w:val="28"/>
          <w:szCs w:val="28"/>
        </w:rPr>
        <w:t>].</w:t>
      </w:r>
    </w:p>
    <w:p w14:paraId="312498E3" w14:textId="77777777" w:rsidR="00E94B29" w:rsidRPr="001935D0" w:rsidRDefault="00E94B29" w:rsidP="003F29AB">
      <w:pPr>
        <w:pStyle w:val="NoSpacing"/>
        <w:ind w:firstLine="709"/>
        <w:jc w:val="both"/>
        <w:rPr>
          <w:rFonts w:ascii="Times New Roman" w:hAnsi="Times New Roman" w:cs="Times New Roman"/>
          <w:b/>
          <w:sz w:val="28"/>
          <w:szCs w:val="28"/>
        </w:rPr>
      </w:pPr>
      <w:r w:rsidRPr="001935D0">
        <w:rPr>
          <w:rStyle w:val="Strong"/>
          <w:rFonts w:ascii="Times New Roman" w:hAnsi="Times New Roman" w:cs="Times New Roman"/>
          <w:b w:val="0"/>
          <w:sz w:val="28"/>
          <w:szCs w:val="28"/>
        </w:rPr>
        <w:t>Развитие партнёрства с ЕС получило институциональное продолжение в рамках национальных реформ, направленных на укрепление верховенства права и демократических институтов. В частности, в Плане дальнейших мер по правам человека и верховенству права и Плане действий закреплены приоритеты по обеспечению прозрачности государственного управления, защите уязвимых групп и повышению роли гражданского общества в контроле за исполнением законодательства. Эти меры усиливают взаимосвязь правозащитной политики Казахстана с европейскими подходами к оценке верховенства права и демократии.</w:t>
      </w:r>
    </w:p>
    <w:p w14:paraId="640A1A33" w14:textId="6FD5E3D7"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Ключевым ориентиром для оценки готовности государств к интеграции в европейское пространство остаются </w:t>
      </w:r>
      <w:r w:rsidRPr="001935D0">
        <w:rPr>
          <w:rStyle w:val="Strong"/>
          <w:rFonts w:ascii="Times New Roman" w:hAnsi="Times New Roman" w:cs="Times New Roman"/>
          <w:b w:val="0"/>
          <w:sz w:val="28"/>
          <w:szCs w:val="28"/>
        </w:rPr>
        <w:t>Копенгагенские критерии</w:t>
      </w:r>
      <w:r w:rsidRPr="001935D0">
        <w:rPr>
          <w:rFonts w:ascii="Times New Roman" w:hAnsi="Times New Roman" w:cs="Times New Roman"/>
          <w:sz w:val="28"/>
          <w:szCs w:val="28"/>
        </w:rPr>
        <w:t xml:space="preserve">, принятые Европейским советом в 1993 году. Они включают четыре базовых требования: наличие стабильных демократических институтов, гарантию верховенства права и прав человека, функционирование конкурентоспособной рыночной экономики и готовность принять обязательства, вытекающие из членства. Кроме того, учитывается географическая принадлежность к европейскому региону и институциональная готовность самого </w:t>
      </w:r>
      <w:r w:rsidR="007C324F" w:rsidRPr="001935D0">
        <w:rPr>
          <w:rFonts w:ascii="Times New Roman" w:hAnsi="Times New Roman" w:cs="Times New Roman"/>
          <w:sz w:val="28"/>
          <w:szCs w:val="28"/>
        </w:rPr>
        <w:t>Европейского Союза</w:t>
      </w:r>
      <w:r w:rsidRPr="001935D0">
        <w:rPr>
          <w:rFonts w:ascii="Times New Roman" w:hAnsi="Times New Roman" w:cs="Times New Roman"/>
          <w:sz w:val="28"/>
          <w:szCs w:val="28"/>
        </w:rPr>
        <w:t xml:space="preserve"> к расширению [18</w:t>
      </w:r>
      <w:r w:rsidR="006A4DE5">
        <w:rPr>
          <w:rFonts w:ascii="Times New Roman" w:hAnsi="Times New Roman" w:cs="Times New Roman"/>
          <w:sz w:val="28"/>
          <w:szCs w:val="28"/>
          <w:lang w:val="kk-KZ"/>
        </w:rPr>
        <w:t>3</w:t>
      </w:r>
      <w:r w:rsidRPr="001935D0">
        <w:rPr>
          <w:rFonts w:ascii="Times New Roman" w:hAnsi="Times New Roman" w:cs="Times New Roman"/>
          <w:sz w:val="28"/>
          <w:szCs w:val="28"/>
        </w:rPr>
        <w:t>].</w:t>
      </w:r>
    </w:p>
    <w:p w14:paraId="729BF948" w14:textId="31334C99"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 xml:space="preserve">Несмотря на кажущуюся простоту, критерии имеют политико-правовой характер и не содержат чётких индикаторов оценки прогресса. Термины вроде «стабильные институты» или «конкурентоспособная экономика» оставляют пространство для интерпретаций, что делает процесс соответствия зависимым от экспертных оценок и политических переговоров. Таким образом, Копенгагенские критерии выступают не инструментом измерения, а рамкой политико-институционального приближения страны к стандартам </w:t>
      </w:r>
      <w:r w:rsidR="007C324F" w:rsidRPr="001935D0">
        <w:rPr>
          <w:rFonts w:ascii="Times New Roman" w:hAnsi="Times New Roman" w:cs="Times New Roman"/>
          <w:sz w:val="28"/>
          <w:szCs w:val="28"/>
        </w:rPr>
        <w:t>Европейского Союза</w:t>
      </w:r>
      <w:r w:rsidRPr="001935D0">
        <w:rPr>
          <w:rFonts w:ascii="Times New Roman" w:hAnsi="Times New Roman" w:cs="Times New Roman"/>
          <w:sz w:val="28"/>
          <w:szCs w:val="28"/>
        </w:rPr>
        <w:t>.</w:t>
      </w:r>
    </w:p>
    <w:p w14:paraId="64B7286E" w14:textId="0EEBE5AB" w:rsidR="00E94B29" w:rsidRPr="001935D0" w:rsidRDefault="00E94B29" w:rsidP="003F29AB">
      <w:pPr>
        <w:pStyle w:val="NoSpacing"/>
        <w:ind w:firstLine="709"/>
        <w:jc w:val="both"/>
        <w:rPr>
          <w:rFonts w:ascii="Times New Roman" w:hAnsi="Times New Roman" w:cs="Times New Roman"/>
          <w:b/>
          <w:sz w:val="28"/>
          <w:szCs w:val="28"/>
        </w:rPr>
      </w:pPr>
      <w:r w:rsidRPr="001935D0">
        <w:rPr>
          <w:rStyle w:val="Strong"/>
          <w:rFonts w:ascii="Times New Roman" w:hAnsi="Times New Roman" w:cs="Times New Roman"/>
          <w:b w:val="0"/>
          <w:sz w:val="28"/>
          <w:szCs w:val="28"/>
        </w:rPr>
        <w:t>В Национальном плане развития Республики Казахстан до 2029 года отдельное внимание уделено целям, перекликающимся с Копенгагенскими критериями: развитию институтов парламентаризма, повышению эффективности судебной системы, обеспечению равных возможностей и поддержке частного предпринимательства. Таким образом, внутренние реформы страны выстраиваются в русле общеевропейских принципов устойчивого и инклюзивного развития [1</w:t>
      </w:r>
      <w:r w:rsidR="006A4DE5">
        <w:rPr>
          <w:rStyle w:val="Strong"/>
          <w:rFonts w:ascii="Times New Roman" w:hAnsi="Times New Roman" w:cs="Times New Roman"/>
          <w:b w:val="0"/>
          <w:sz w:val="28"/>
          <w:szCs w:val="28"/>
          <w:lang w:val="kk-KZ"/>
        </w:rPr>
        <w:t>65</w:t>
      </w:r>
      <w:r w:rsidRPr="001935D0">
        <w:rPr>
          <w:rStyle w:val="Strong"/>
          <w:rFonts w:ascii="Times New Roman" w:hAnsi="Times New Roman" w:cs="Times New Roman"/>
          <w:b w:val="0"/>
          <w:sz w:val="28"/>
          <w:szCs w:val="28"/>
        </w:rPr>
        <w:t>].</w:t>
      </w:r>
    </w:p>
    <w:p w14:paraId="6196E5BE" w14:textId="77777777"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Практическое значение Копенгагенских критериев проявляется через взаимосвязанность политических и экономических требований. Демократические стандарты рассматриваются как условие функционирования устойчивой рыночной экономики, а экономическая либерализация – как предпосылка защиты прав человека. В рекомендациях Еврокомиссии особое внимание уделяется борьбе с коррупцией, укреплению гарантий прав собственности, повышению независимости судебной системы и развитию гибкости рынка труда.</w:t>
      </w:r>
    </w:p>
    <w:p w14:paraId="74F8856F" w14:textId="77777777"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Для объективной оценки результатов этих процессов в международной практике используются комплексные показатели, отражающие качество государственного управления, уровень свободы и верховенства права. Среди таких индикаторов можно выделить:</w:t>
      </w:r>
    </w:p>
    <w:p w14:paraId="7D23E43D" w14:textId="60FD6686"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индекс восприятия коррупции (</w:t>
      </w:r>
      <w:r w:rsidRPr="001935D0">
        <w:rPr>
          <w:rStyle w:val="Emphasis"/>
          <w:rFonts w:ascii="Times New Roman" w:hAnsi="Times New Roman" w:cs="Times New Roman"/>
          <w:sz w:val="28"/>
          <w:szCs w:val="28"/>
        </w:rPr>
        <w:t>Corruption Perceptions Index</w:t>
      </w:r>
      <w:r w:rsidRPr="001935D0">
        <w:rPr>
          <w:rFonts w:ascii="Times New Roman" w:hAnsi="Times New Roman" w:cs="Times New Roman"/>
          <w:sz w:val="28"/>
          <w:szCs w:val="28"/>
        </w:rPr>
        <w:t>), показывающий уровень доверия общества и бизнеса к антикоррупционной политике [18</w:t>
      </w:r>
      <w:r w:rsidR="006A4DE5">
        <w:rPr>
          <w:rFonts w:ascii="Times New Roman" w:hAnsi="Times New Roman" w:cs="Times New Roman"/>
          <w:sz w:val="28"/>
          <w:szCs w:val="28"/>
          <w:lang w:val="kk-KZ"/>
        </w:rPr>
        <w:t>4</w:t>
      </w:r>
      <w:r w:rsidRPr="001935D0">
        <w:rPr>
          <w:rFonts w:ascii="Times New Roman" w:hAnsi="Times New Roman" w:cs="Times New Roman"/>
          <w:sz w:val="28"/>
          <w:szCs w:val="28"/>
        </w:rPr>
        <w:t>];</w:t>
      </w:r>
    </w:p>
    <w:p w14:paraId="64F7EE2C" w14:textId="2131DE11"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индекс верховенства права (</w:t>
      </w:r>
      <w:r w:rsidRPr="001935D0">
        <w:rPr>
          <w:rStyle w:val="Emphasis"/>
          <w:rFonts w:ascii="Times New Roman" w:hAnsi="Times New Roman" w:cs="Times New Roman"/>
          <w:sz w:val="28"/>
          <w:szCs w:val="28"/>
        </w:rPr>
        <w:t>Rule of Law Index</w:t>
      </w:r>
      <w:r w:rsidRPr="001935D0">
        <w:rPr>
          <w:rFonts w:ascii="Times New Roman" w:hAnsi="Times New Roman" w:cs="Times New Roman"/>
          <w:sz w:val="28"/>
          <w:szCs w:val="28"/>
        </w:rPr>
        <w:t>), отражающий независимость судов, эффективность правовой системы и соблюдение закона</w:t>
      </w:r>
      <w:r w:rsidR="006A4DE5">
        <w:rPr>
          <w:rFonts w:ascii="Times New Roman" w:hAnsi="Times New Roman" w:cs="Times New Roman"/>
          <w:sz w:val="28"/>
          <w:szCs w:val="28"/>
          <w:lang w:val="kk-KZ"/>
        </w:rPr>
        <w:t> </w:t>
      </w:r>
      <w:r w:rsidRPr="001935D0">
        <w:rPr>
          <w:rFonts w:ascii="Times New Roman" w:hAnsi="Times New Roman" w:cs="Times New Roman"/>
          <w:sz w:val="28"/>
          <w:szCs w:val="28"/>
        </w:rPr>
        <w:t>[1</w:t>
      </w:r>
      <w:r w:rsidR="006A4DE5">
        <w:rPr>
          <w:rFonts w:ascii="Times New Roman" w:hAnsi="Times New Roman" w:cs="Times New Roman"/>
          <w:sz w:val="28"/>
          <w:szCs w:val="28"/>
          <w:lang w:val="kk-KZ"/>
        </w:rPr>
        <w:t>85</w:t>
      </w:r>
      <w:r w:rsidRPr="001935D0">
        <w:rPr>
          <w:rFonts w:ascii="Times New Roman" w:hAnsi="Times New Roman" w:cs="Times New Roman"/>
          <w:sz w:val="28"/>
          <w:szCs w:val="28"/>
        </w:rPr>
        <w:t>];</w:t>
      </w:r>
    </w:p>
    <w:p w14:paraId="1678EB20" w14:textId="77632B73"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мировой индекс свободы (</w:t>
      </w:r>
      <w:r w:rsidRPr="001935D0">
        <w:rPr>
          <w:rStyle w:val="Emphasis"/>
          <w:rFonts w:ascii="Times New Roman" w:hAnsi="Times New Roman" w:cs="Times New Roman"/>
          <w:sz w:val="28"/>
          <w:szCs w:val="28"/>
        </w:rPr>
        <w:t>Freedom in the World</w:t>
      </w:r>
      <w:r w:rsidRPr="001935D0">
        <w:rPr>
          <w:rFonts w:ascii="Times New Roman" w:hAnsi="Times New Roman" w:cs="Times New Roman"/>
          <w:sz w:val="28"/>
          <w:szCs w:val="28"/>
        </w:rPr>
        <w:t>), оценивающий состояние политических и гражданских свобод [1</w:t>
      </w:r>
      <w:r w:rsidR="006A4DE5">
        <w:rPr>
          <w:rFonts w:ascii="Times New Roman" w:hAnsi="Times New Roman" w:cs="Times New Roman"/>
          <w:sz w:val="28"/>
          <w:szCs w:val="28"/>
          <w:lang w:val="kk-KZ"/>
        </w:rPr>
        <w:t>87</w:t>
      </w:r>
      <w:r w:rsidRPr="001935D0">
        <w:rPr>
          <w:rFonts w:ascii="Times New Roman" w:hAnsi="Times New Roman" w:cs="Times New Roman"/>
          <w:sz w:val="28"/>
          <w:szCs w:val="28"/>
        </w:rPr>
        <w:t>];</w:t>
      </w:r>
    </w:p>
    <w:p w14:paraId="37E0D5A2" w14:textId="7D1CD709"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индекс экономической свободы (</w:t>
      </w:r>
      <w:r w:rsidRPr="001935D0">
        <w:rPr>
          <w:rStyle w:val="Emphasis"/>
          <w:rFonts w:ascii="Times New Roman" w:hAnsi="Times New Roman" w:cs="Times New Roman"/>
          <w:sz w:val="28"/>
          <w:szCs w:val="28"/>
        </w:rPr>
        <w:t>Index of Economic Freedom</w:t>
      </w:r>
      <w:r w:rsidRPr="001935D0">
        <w:rPr>
          <w:rFonts w:ascii="Times New Roman" w:hAnsi="Times New Roman" w:cs="Times New Roman"/>
          <w:sz w:val="28"/>
          <w:szCs w:val="28"/>
        </w:rPr>
        <w:t>), анализирующий открытость рынка, уровень регулирования и условия для бизнеса [1</w:t>
      </w:r>
      <w:r w:rsidR="006A4DE5">
        <w:rPr>
          <w:rFonts w:ascii="Times New Roman" w:hAnsi="Times New Roman" w:cs="Times New Roman"/>
          <w:sz w:val="28"/>
          <w:szCs w:val="28"/>
          <w:lang w:val="kk-KZ"/>
        </w:rPr>
        <w:t>86</w:t>
      </w:r>
      <w:r w:rsidRPr="001935D0">
        <w:rPr>
          <w:rFonts w:ascii="Times New Roman" w:hAnsi="Times New Roman" w:cs="Times New Roman"/>
          <w:sz w:val="28"/>
          <w:szCs w:val="28"/>
        </w:rPr>
        <w:t>].</w:t>
      </w:r>
    </w:p>
    <w:p w14:paraId="47708BBB" w14:textId="347634CE" w:rsidR="00E94B29" w:rsidRPr="001935D0" w:rsidRDefault="00E94B29" w:rsidP="003F29AB">
      <w:pPr>
        <w:pStyle w:val="NoSpacing"/>
        <w:ind w:firstLine="709"/>
        <w:jc w:val="both"/>
        <w:rPr>
          <w:rFonts w:ascii="Times New Roman" w:hAnsi="Times New Roman" w:cs="Times New Roman"/>
          <w:b/>
          <w:sz w:val="28"/>
          <w:szCs w:val="28"/>
        </w:rPr>
      </w:pPr>
      <w:r w:rsidRPr="001935D0">
        <w:rPr>
          <w:rStyle w:val="Strong"/>
          <w:rFonts w:ascii="Times New Roman" w:hAnsi="Times New Roman" w:cs="Times New Roman"/>
          <w:b w:val="0"/>
          <w:sz w:val="28"/>
          <w:szCs w:val="28"/>
        </w:rPr>
        <w:t>Кроме того, Национальный центр по правам человека в своих ежегодных отчётах с 2024 года использует адаптированные показатели международных индексов для мониторинга исполнения национальных планов в области прав человека, что усиливает сопоставимость казахстанской статистики с европейскими и глобальными стандартами [1</w:t>
      </w:r>
      <w:r w:rsidR="006A4DE5">
        <w:rPr>
          <w:rStyle w:val="Strong"/>
          <w:rFonts w:ascii="Times New Roman" w:hAnsi="Times New Roman" w:cs="Times New Roman"/>
          <w:b w:val="0"/>
          <w:sz w:val="28"/>
          <w:szCs w:val="28"/>
          <w:lang w:val="kk-KZ"/>
        </w:rPr>
        <w:t>88</w:t>
      </w:r>
      <w:r w:rsidRPr="001935D0">
        <w:rPr>
          <w:rStyle w:val="Strong"/>
          <w:rFonts w:ascii="Times New Roman" w:hAnsi="Times New Roman" w:cs="Times New Roman"/>
          <w:b w:val="0"/>
          <w:sz w:val="28"/>
          <w:szCs w:val="28"/>
        </w:rPr>
        <w:t>].</w:t>
      </w:r>
    </w:p>
    <w:p w14:paraId="43AD63A5" w14:textId="24D7FCFA"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Кроме институциональных и правовых показателей, важное значение имеют макроэкономические параметры, свидетельствующие о стабильности </w:t>
      </w:r>
      <w:r w:rsidRPr="001935D0">
        <w:rPr>
          <w:rFonts w:ascii="Times New Roman" w:hAnsi="Times New Roman" w:cs="Times New Roman"/>
          <w:sz w:val="28"/>
          <w:szCs w:val="28"/>
        </w:rPr>
        <w:lastRenderedPageBreak/>
        <w:t xml:space="preserve">экономики: темпы роста ВВП, динамика инфляции, уровень безработицы, состояние платёжного баланса и устойчивость финансовой системы. Так, опыт стран, являющихся сегодня членами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показывает, что на этапе кандидатства они также сталкивались с аналогичными вызовами при выполнении Копенгагенских критериев. В частности, Хорватия (присоединилась в 2013 году), а также Болгария и Румыния (члены ЕС с 2007 года) демонстрировали схожие тенденции институциональной и экономической трансформации [1</w:t>
      </w:r>
      <w:r w:rsidR="006A4DE5">
        <w:rPr>
          <w:rFonts w:ascii="Times New Roman" w:hAnsi="Times New Roman" w:cs="Times New Roman"/>
          <w:sz w:val="28"/>
          <w:szCs w:val="28"/>
          <w:lang w:val="kk-KZ"/>
        </w:rPr>
        <w:t>89</w:t>
      </w:r>
      <w:r w:rsidRPr="001935D0">
        <w:rPr>
          <w:rFonts w:ascii="Times New Roman" w:hAnsi="Times New Roman" w:cs="Times New Roman"/>
          <w:sz w:val="28"/>
          <w:szCs w:val="28"/>
        </w:rPr>
        <w:t xml:space="preserve">]. </w:t>
      </w:r>
    </w:p>
    <w:p w14:paraId="67B54E59" w14:textId="77777777" w:rsidR="003F29AB" w:rsidRPr="003F29AB" w:rsidRDefault="003F29AB" w:rsidP="003F29AB">
      <w:pPr>
        <w:pStyle w:val="NoSpacing"/>
        <w:ind w:firstLine="709"/>
        <w:jc w:val="both"/>
        <w:rPr>
          <w:rFonts w:ascii="Times New Roman" w:hAnsi="Times New Roman" w:cs="Times New Roman"/>
          <w:sz w:val="28"/>
          <w:szCs w:val="28"/>
          <w:lang w:val="kk-KZ"/>
        </w:rPr>
      </w:pPr>
    </w:p>
    <w:p w14:paraId="0B87073B" w14:textId="77777777" w:rsidR="00E94B29" w:rsidRPr="001935D0" w:rsidRDefault="00E94B29" w:rsidP="00593711">
      <w:pPr>
        <w:pStyle w:val="NormalWeb"/>
        <w:spacing w:before="0" w:beforeAutospacing="0" w:after="0" w:afterAutospacing="0"/>
        <w:jc w:val="center"/>
        <w:rPr>
          <w:sz w:val="28"/>
          <w:szCs w:val="28"/>
        </w:rPr>
      </w:pPr>
      <w:r w:rsidRPr="001935D0">
        <w:rPr>
          <w:noProof/>
        </w:rPr>
        <mc:AlternateContent>
          <mc:Choice Requires="wps">
            <w:drawing>
              <wp:inline distT="0" distB="0" distL="0" distR="0" wp14:anchorId="126667BB" wp14:editId="7DA61C8A">
                <wp:extent cx="304800" cy="304800"/>
                <wp:effectExtent l="0" t="0" r="0" b="0"/>
                <wp:docPr id="37" name="AutoShape 3" descr="Выходное 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40352C76" id="AutoShape 3" o:spid="_x0000_s1026" alt="Выходное 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1935D0">
        <w:rPr>
          <w:noProof/>
          <w:sz w:val="28"/>
          <w:szCs w:val="28"/>
        </w:rPr>
        <w:drawing>
          <wp:inline distT="0" distB="0" distL="0" distR="0" wp14:anchorId="68A1CF65" wp14:editId="63C7B5A9">
            <wp:extent cx="5127955" cy="3364992"/>
            <wp:effectExtent l="0" t="0" r="0" b="6985"/>
            <wp:docPr id="39"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562D22CC" w14:textId="77777777" w:rsidR="00E94B29" w:rsidRPr="003F29AB" w:rsidRDefault="00E94B29" w:rsidP="00593711">
      <w:pPr>
        <w:pStyle w:val="NormalWeb"/>
        <w:spacing w:before="0" w:beforeAutospacing="0" w:after="0" w:afterAutospacing="0"/>
        <w:ind w:firstLine="709"/>
        <w:jc w:val="center"/>
        <w:rPr>
          <w:sz w:val="16"/>
          <w:szCs w:val="16"/>
        </w:rPr>
      </w:pPr>
    </w:p>
    <w:p w14:paraId="1C9CC713" w14:textId="18502577" w:rsidR="00E94B29" w:rsidRPr="001935D0" w:rsidRDefault="00E94B29" w:rsidP="003F29AB">
      <w:pPr>
        <w:pStyle w:val="NormalWeb"/>
        <w:spacing w:before="0" w:beforeAutospacing="0" w:after="0" w:afterAutospacing="0"/>
        <w:jc w:val="center"/>
        <w:rPr>
          <w:sz w:val="28"/>
          <w:szCs w:val="28"/>
        </w:rPr>
      </w:pPr>
      <w:r w:rsidRPr="001935D0">
        <w:rPr>
          <w:sz w:val="28"/>
          <w:szCs w:val="28"/>
        </w:rPr>
        <w:t>Рис</w:t>
      </w:r>
      <w:r w:rsidR="003F29AB">
        <w:rPr>
          <w:sz w:val="28"/>
          <w:szCs w:val="28"/>
          <w:lang w:val="kk-KZ"/>
        </w:rPr>
        <w:t>унок</w:t>
      </w:r>
      <w:r w:rsidRPr="001935D0">
        <w:rPr>
          <w:sz w:val="28"/>
          <w:szCs w:val="28"/>
        </w:rPr>
        <w:t xml:space="preserve"> 3.2 </w:t>
      </w:r>
      <w:r w:rsidR="003F29AB">
        <w:rPr>
          <w:sz w:val="28"/>
          <w:szCs w:val="28"/>
          <w:lang w:val="kk-KZ"/>
        </w:rPr>
        <w:t xml:space="preserve">– </w:t>
      </w:r>
      <w:r w:rsidRPr="001935D0">
        <w:rPr>
          <w:sz w:val="28"/>
          <w:szCs w:val="28"/>
        </w:rPr>
        <w:t xml:space="preserve">Сравнительная динамика индекса восприятия коррупции (CPI) и индекса верховенства права (Rule of Law Index) в странах-кандидатах ЕС и Казахстане </w:t>
      </w:r>
    </w:p>
    <w:p w14:paraId="55BA02C6" w14:textId="77777777" w:rsidR="003F29AB" w:rsidRPr="003F29AB" w:rsidRDefault="003F29AB" w:rsidP="00593711">
      <w:pPr>
        <w:pStyle w:val="NoSpacing"/>
        <w:jc w:val="both"/>
        <w:rPr>
          <w:rFonts w:ascii="Times New Roman" w:hAnsi="Times New Roman" w:cs="Times New Roman"/>
          <w:sz w:val="16"/>
          <w:szCs w:val="16"/>
          <w:lang w:val="kk-KZ"/>
        </w:rPr>
      </w:pPr>
    </w:p>
    <w:p w14:paraId="458DEB02" w14:textId="604F8B0B" w:rsidR="00E94B29" w:rsidRPr="001935D0" w:rsidRDefault="003F29AB" w:rsidP="003F29AB">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w:t>
      </w:r>
      <w:r w:rsidR="00E94B29" w:rsidRPr="001935D0">
        <w:rPr>
          <w:rFonts w:ascii="Times New Roman" w:hAnsi="Times New Roman" w:cs="Times New Roman"/>
          <w:sz w:val="24"/>
          <w:szCs w:val="24"/>
        </w:rPr>
        <w:t xml:space="preserve">оставлено автором по данным </w:t>
      </w:r>
      <w:r>
        <w:rPr>
          <w:rFonts w:ascii="Times New Roman" w:hAnsi="Times New Roman" w:cs="Times New Roman"/>
          <w:sz w:val="24"/>
          <w:szCs w:val="24"/>
          <w:lang w:val="kk-KZ"/>
        </w:rPr>
        <w:t xml:space="preserve">источников </w:t>
      </w:r>
      <w:r w:rsidR="00E94B29" w:rsidRPr="001935D0">
        <w:rPr>
          <w:rFonts w:ascii="Times New Roman" w:hAnsi="Times New Roman" w:cs="Times New Roman"/>
          <w:sz w:val="24"/>
          <w:szCs w:val="24"/>
        </w:rPr>
        <w:t>[1</w:t>
      </w:r>
      <w:r w:rsidR="006A4DE5">
        <w:rPr>
          <w:rFonts w:ascii="Times New Roman" w:hAnsi="Times New Roman" w:cs="Times New Roman"/>
          <w:sz w:val="24"/>
          <w:szCs w:val="24"/>
          <w:lang w:val="kk-KZ"/>
        </w:rPr>
        <w:t>85;</w:t>
      </w:r>
      <w:r w:rsidR="00E94B29" w:rsidRPr="001935D0">
        <w:rPr>
          <w:rFonts w:ascii="Times New Roman" w:hAnsi="Times New Roman" w:cs="Times New Roman"/>
          <w:sz w:val="24"/>
          <w:szCs w:val="24"/>
        </w:rPr>
        <w:t xml:space="preserve"> 1</w:t>
      </w:r>
      <w:r w:rsidR="006A4DE5">
        <w:rPr>
          <w:rFonts w:ascii="Times New Roman" w:hAnsi="Times New Roman" w:cs="Times New Roman"/>
          <w:sz w:val="24"/>
          <w:szCs w:val="24"/>
          <w:lang w:val="kk-KZ"/>
        </w:rPr>
        <w:t>8</w:t>
      </w:r>
      <w:r w:rsidR="00E94B29" w:rsidRPr="001935D0">
        <w:rPr>
          <w:rFonts w:ascii="Times New Roman" w:hAnsi="Times New Roman" w:cs="Times New Roman"/>
          <w:sz w:val="24"/>
          <w:szCs w:val="24"/>
        </w:rPr>
        <w:t>9]</w:t>
      </w:r>
    </w:p>
    <w:p w14:paraId="707D9406" w14:textId="77777777" w:rsidR="00E94B29" w:rsidRPr="001935D0" w:rsidRDefault="00E94B29" w:rsidP="00593711">
      <w:pPr>
        <w:pStyle w:val="NoSpacing"/>
        <w:ind w:firstLine="567"/>
        <w:jc w:val="both"/>
        <w:rPr>
          <w:rFonts w:ascii="Times New Roman" w:hAnsi="Times New Roman" w:cs="Times New Roman"/>
          <w:sz w:val="28"/>
          <w:szCs w:val="28"/>
          <w:lang w:eastAsia="ru-RU"/>
        </w:rPr>
      </w:pPr>
    </w:p>
    <w:p w14:paraId="456DA22D" w14:textId="63CD269D" w:rsidR="003F29AB" w:rsidRDefault="003F29AB" w:rsidP="003F29AB">
      <w:pPr>
        <w:pStyle w:val="NoSpacing"/>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соответствии с рисунком 3.2, </w:t>
      </w:r>
      <w:r w:rsidRPr="001935D0">
        <w:rPr>
          <w:rFonts w:ascii="Times New Roman" w:hAnsi="Times New Roman" w:cs="Times New Roman"/>
          <w:sz w:val="28"/>
          <w:szCs w:val="28"/>
        </w:rPr>
        <w:t>анализ динамики по индексу восприятия коррупции (CPI) показывает, что на момент получения статуса кандидата в члены ЕС показатели оставались относительно низкими: в 2004 году Хорватия имела 35 баллов, Болгария – 35, а Румыния – 29 баллов. Однако в последующие годы страны продемонстрировали поступательное продвижение: к 2021 году Хорватия достигла 47 баллов, Болгария – 42, Румыния – 45. Таким образом, по сравнению с начальными позициями до вступления в ЕС, эти государства смогли существенно улучшить свои результаты: Хорватия – на 37%, Болгария – на 17%, Румыния – на 2% [1</w:t>
      </w:r>
      <w:r w:rsidR="006A4DE5">
        <w:rPr>
          <w:rFonts w:ascii="Times New Roman" w:hAnsi="Times New Roman" w:cs="Times New Roman"/>
          <w:sz w:val="28"/>
          <w:szCs w:val="28"/>
          <w:lang w:val="kk-KZ"/>
        </w:rPr>
        <w:t>89</w:t>
      </w:r>
      <w:r w:rsidRPr="001935D0">
        <w:rPr>
          <w:rFonts w:ascii="Times New Roman" w:hAnsi="Times New Roman" w:cs="Times New Roman"/>
          <w:sz w:val="28"/>
          <w:szCs w:val="28"/>
        </w:rPr>
        <w:t>].</w:t>
      </w:r>
    </w:p>
    <w:p w14:paraId="1CA4A464" w14:textId="0C862DDB"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Необходимо отметить, что страны с довольно сложными стартовыми условиями смогли пройти значительный путь реформ и добиться ощутимого прогресса. Каждая из стран провела ряд преобразований в соответствии с </w:t>
      </w:r>
      <w:r w:rsidRPr="001935D0">
        <w:rPr>
          <w:rStyle w:val="Strong"/>
          <w:rFonts w:ascii="Times New Roman" w:hAnsi="Times New Roman" w:cs="Times New Roman"/>
          <w:b w:val="0"/>
          <w:sz w:val="28"/>
          <w:szCs w:val="28"/>
        </w:rPr>
        <w:t>Копенгагенскими критериями</w:t>
      </w:r>
      <w:r w:rsidRPr="001935D0">
        <w:rPr>
          <w:rFonts w:ascii="Times New Roman" w:hAnsi="Times New Roman" w:cs="Times New Roman"/>
          <w:sz w:val="28"/>
          <w:szCs w:val="28"/>
        </w:rPr>
        <w:t xml:space="preserve">, направленных на укрепление правосудия, </w:t>
      </w:r>
      <w:r w:rsidRPr="001935D0">
        <w:rPr>
          <w:rFonts w:ascii="Times New Roman" w:hAnsi="Times New Roman" w:cs="Times New Roman"/>
          <w:sz w:val="28"/>
          <w:szCs w:val="28"/>
        </w:rPr>
        <w:lastRenderedPageBreak/>
        <w:t>развитие гражданского общества и повышение прозрачности государственного управления [18</w:t>
      </w:r>
      <w:r w:rsidR="006A4DE5">
        <w:rPr>
          <w:rFonts w:ascii="Times New Roman" w:hAnsi="Times New Roman" w:cs="Times New Roman"/>
          <w:sz w:val="28"/>
          <w:szCs w:val="28"/>
          <w:lang w:val="kk-KZ"/>
        </w:rPr>
        <w:t>3</w:t>
      </w:r>
      <w:r w:rsidRPr="001935D0">
        <w:rPr>
          <w:rFonts w:ascii="Times New Roman" w:hAnsi="Times New Roman" w:cs="Times New Roman"/>
          <w:sz w:val="28"/>
          <w:szCs w:val="28"/>
        </w:rPr>
        <w:t>].</w:t>
      </w:r>
    </w:p>
    <w:p w14:paraId="73434DB1" w14:textId="77777777" w:rsidR="00E94B29" w:rsidRPr="001935D0" w:rsidRDefault="00E94B29" w:rsidP="003F29AB">
      <w:pPr>
        <w:pStyle w:val="NoSpacing"/>
        <w:ind w:firstLine="709"/>
        <w:jc w:val="both"/>
        <w:rPr>
          <w:rFonts w:ascii="Times New Roman" w:hAnsi="Times New Roman" w:cs="Times New Roman"/>
          <w:sz w:val="28"/>
          <w:szCs w:val="28"/>
        </w:rPr>
      </w:pPr>
      <w:r w:rsidRPr="001935D0">
        <w:rPr>
          <w:rStyle w:val="Strong"/>
          <w:rFonts w:ascii="Times New Roman" w:hAnsi="Times New Roman" w:cs="Times New Roman"/>
          <w:b w:val="0"/>
          <w:sz w:val="28"/>
          <w:szCs w:val="28"/>
        </w:rPr>
        <w:t>Хорватия</w:t>
      </w:r>
      <w:r w:rsidRPr="001935D0">
        <w:rPr>
          <w:rFonts w:ascii="Times New Roman" w:hAnsi="Times New Roman" w:cs="Times New Roman"/>
          <w:b/>
          <w:sz w:val="28"/>
          <w:szCs w:val="28"/>
        </w:rPr>
        <w:t xml:space="preserve"> </w:t>
      </w:r>
      <w:r w:rsidRPr="001935D0">
        <w:rPr>
          <w:rFonts w:ascii="Times New Roman" w:hAnsi="Times New Roman" w:cs="Times New Roman"/>
          <w:sz w:val="28"/>
          <w:szCs w:val="28"/>
        </w:rPr>
        <w:t xml:space="preserve">реализовала масштабные реформы в судебной системе, направленные на укрепление независимости судов и антикоррупционных органов. Одним из ключевых шагов стало внедрение антикоррупционной стратегии, включая создание специализированных институций для расследования коррупционных дел, таких как </w:t>
      </w:r>
      <w:r w:rsidRPr="001935D0">
        <w:rPr>
          <w:rStyle w:val="Emphasis"/>
          <w:rFonts w:ascii="Times New Roman" w:hAnsi="Times New Roman" w:cs="Times New Roman"/>
          <w:sz w:val="28"/>
          <w:szCs w:val="28"/>
        </w:rPr>
        <w:t>Бюро по борьбе с коррупцией и организованной преступностью (USKOK)</w:t>
      </w:r>
      <w:r w:rsidRPr="001935D0">
        <w:rPr>
          <w:rFonts w:ascii="Times New Roman" w:hAnsi="Times New Roman" w:cs="Times New Roman"/>
          <w:i/>
          <w:sz w:val="28"/>
          <w:szCs w:val="28"/>
        </w:rPr>
        <w:t xml:space="preserve">. </w:t>
      </w:r>
      <w:r w:rsidRPr="001935D0">
        <w:rPr>
          <w:rFonts w:ascii="Times New Roman" w:hAnsi="Times New Roman" w:cs="Times New Roman"/>
          <w:sz w:val="28"/>
          <w:szCs w:val="28"/>
        </w:rPr>
        <w:t>Важным элементом реформ стало активное привлечение независимых СМИ и неправительственных организаций к мониторингу государственных инициатив.</w:t>
      </w:r>
    </w:p>
    <w:p w14:paraId="7808766F" w14:textId="77777777" w:rsidR="00E94B29" w:rsidRPr="001935D0" w:rsidRDefault="00E94B29" w:rsidP="003F29AB">
      <w:pPr>
        <w:pStyle w:val="NoSpacing"/>
        <w:ind w:firstLine="709"/>
        <w:jc w:val="both"/>
        <w:rPr>
          <w:rFonts w:ascii="Times New Roman" w:hAnsi="Times New Roman" w:cs="Times New Roman"/>
          <w:sz w:val="28"/>
          <w:szCs w:val="28"/>
        </w:rPr>
      </w:pPr>
      <w:r w:rsidRPr="001935D0">
        <w:rPr>
          <w:rStyle w:val="Strong"/>
          <w:rFonts w:ascii="Times New Roman" w:hAnsi="Times New Roman" w:cs="Times New Roman"/>
          <w:b w:val="0"/>
          <w:sz w:val="28"/>
          <w:szCs w:val="28"/>
        </w:rPr>
        <w:t>Румыния</w:t>
      </w:r>
      <w:r w:rsidRPr="001935D0">
        <w:rPr>
          <w:rFonts w:ascii="Times New Roman" w:hAnsi="Times New Roman" w:cs="Times New Roman"/>
          <w:sz w:val="28"/>
          <w:szCs w:val="28"/>
        </w:rPr>
        <w:t xml:space="preserve"> создала </w:t>
      </w:r>
      <w:r w:rsidRPr="001935D0">
        <w:rPr>
          <w:rStyle w:val="Emphasis"/>
          <w:rFonts w:ascii="Times New Roman" w:hAnsi="Times New Roman" w:cs="Times New Roman"/>
          <w:sz w:val="28"/>
          <w:szCs w:val="28"/>
        </w:rPr>
        <w:t>Национальный антикоррупционный директорат (DNA)</w:t>
      </w:r>
      <w:r w:rsidRPr="001935D0">
        <w:rPr>
          <w:rFonts w:ascii="Times New Roman" w:hAnsi="Times New Roman" w:cs="Times New Roman"/>
          <w:sz w:val="28"/>
          <w:szCs w:val="28"/>
        </w:rPr>
        <w:t xml:space="preserve"> – специализированный орган, обеспечивающий эффективное расследование дел, включая коррупцию на высших уровнях власти. Параллельно проведена реформа прокуратуры, направленная на повышение прозрачности и подотчётности, а также цифровизация судебных процессов – внедрение электронного документооборота и открытых реестров судебных решений.</w:t>
      </w:r>
    </w:p>
    <w:p w14:paraId="77B47955" w14:textId="56DFA9E8" w:rsidR="00E94B29" w:rsidRPr="001935D0" w:rsidRDefault="00E94B29" w:rsidP="003F29AB">
      <w:pPr>
        <w:pStyle w:val="NoSpacing"/>
        <w:ind w:firstLine="709"/>
        <w:jc w:val="both"/>
        <w:rPr>
          <w:rFonts w:ascii="Times New Roman" w:hAnsi="Times New Roman" w:cs="Times New Roman"/>
          <w:sz w:val="28"/>
          <w:szCs w:val="28"/>
        </w:rPr>
      </w:pPr>
      <w:r w:rsidRPr="001935D0">
        <w:rPr>
          <w:rStyle w:val="Strong"/>
          <w:rFonts w:ascii="Times New Roman" w:hAnsi="Times New Roman" w:cs="Times New Roman"/>
          <w:b w:val="0"/>
          <w:sz w:val="28"/>
          <w:szCs w:val="28"/>
        </w:rPr>
        <w:t>Болгария</w:t>
      </w:r>
      <w:r w:rsidRPr="001935D0">
        <w:rPr>
          <w:rFonts w:ascii="Times New Roman" w:hAnsi="Times New Roman" w:cs="Times New Roman"/>
          <w:b/>
          <w:sz w:val="28"/>
          <w:szCs w:val="28"/>
        </w:rPr>
        <w:t>,</w:t>
      </w:r>
      <w:r w:rsidRPr="001935D0">
        <w:rPr>
          <w:rFonts w:ascii="Times New Roman" w:hAnsi="Times New Roman" w:cs="Times New Roman"/>
          <w:sz w:val="28"/>
          <w:szCs w:val="28"/>
        </w:rPr>
        <w:t xml:space="preserve"> в свою очередь, развивала сотрудничество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в рамках </w:t>
      </w:r>
      <w:r w:rsidRPr="001935D0">
        <w:rPr>
          <w:rStyle w:val="Emphasis"/>
          <w:rFonts w:ascii="Times New Roman" w:hAnsi="Times New Roman" w:cs="Times New Roman"/>
          <w:sz w:val="28"/>
          <w:szCs w:val="28"/>
        </w:rPr>
        <w:t>Механизма сотрудничества и проверки (CVM)</w:t>
      </w:r>
      <w:r w:rsidRPr="001935D0">
        <w:rPr>
          <w:rFonts w:ascii="Times New Roman" w:hAnsi="Times New Roman" w:cs="Times New Roman"/>
          <w:sz w:val="28"/>
          <w:szCs w:val="28"/>
        </w:rPr>
        <w:t>, который обеспечивал регулярный мониторинг выполнения обязательств по верховенству права. Были приняты законы о предотвращении конфликта интересов и незаконного обогащения, а также внедрены инструменты электронного управления, направленные на повышение прозрачности деятельности государственного сектора.</w:t>
      </w:r>
    </w:p>
    <w:p w14:paraId="619F9934" w14:textId="7EAEB0D0" w:rsidR="00E94B29" w:rsidRPr="001935D0" w:rsidRDefault="00E94B29" w:rsidP="003F29AB">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Как свидетельствует опыт вышеуказанных стран, с момента обретения статуса кандидата до вступления в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проходит значительный промежуток времени: для Хорватии этот период составил девять лет, а для Румынии и Болгарии – около семи лет, что в среднем отражает процесс институциональной интеграции продолжительностью более восьми лет [1</w:t>
      </w:r>
      <w:r w:rsidR="006A4DE5">
        <w:rPr>
          <w:rFonts w:ascii="Times New Roman" w:hAnsi="Times New Roman" w:cs="Times New Roman"/>
          <w:sz w:val="28"/>
          <w:szCs w:val="28"/>
          <w:lang w:val="kk-KZ"/>
        </w:rPr>
        <w:t>89</w:t>
      </w:r>
      <w:r w:rsidRPr="001935D0">
        <w:rPr>
          <w:rFonts w:ascii="Times New Roman" w:hAnsi="Times New Roman" w:cs="Times New Roman"/>
          <w:sz w:val="28"/>
          <w:szCs w:val="28"/>
        </w:rPr>
        <w:t>].</w:t>
      </w:r>
    </w:p>
    <w:p w14:paraId="42C54C50" w14:textId="1E59C21A" w:rsidR="00E94B29" w:rsidRPr="001935D0" w:rsidRDefault="00E94B29" w:rsidP="003F29AB">
      <w:pPr>
        <w:pStyle w:val="NoSpacing"/>
        <w:ind w:firstLine="709"/>
        <w:jc w:val="both"/>
        <w:rPr>
          <w:rFonts w:ascii="Times New Roman" w:hAnsi="Times New Roman" w:cs="Times New Roman"/>
          <w:b/>
          <w:sz w:val="28"/>
          <w:szCs w:val="28"/>
        </w:rPr>
      </w:pPr>
      <w:r w:rsidRPr="001935D0">
        <w:rPr>
          <w:rStyle w:val="Strong"/>
          <w:rFonts w:ascii="Times New Roman" w:hAnsi="Times New Roman" w:cs="Times New Roman"/>
          <w:b w:val="0"/>
          <w:sz w:val="28"/>
          <w:szCs w:val="28"/>
        </w:rPr>
        <w:t>Для Казахстана данная траектория адаптации имеет особое значение. В рамках реализации Плана действий в области прав человека и верховенства закона и Национального плана развития до 2029 года приоритетными направлениями стали борьба с коррупцией, цифровизация госуслуг, развитие независимости судебной системы и вовлечение гражданского общества в контроль за исполнением законодательства. Эти меры отражают постепенное внедрение европейских подходов к обеспечению транспарентности и подотчётности институтов власти [1</w:t>
      </w:r>
      <w:r w:rsidR="006A4DE5">
        <w:rPr>
          <w:rStyle w:val="Strong"/>
          <w:rFonts w:ascii="Times New Roman" w:hAnsi="Times New Roman" w:cs="Times New Roman"/>
          <w:b w:val="0"/>
          <w:sz w:val="28"/>
          <w:szCs w:val="28"/>
          <w:lang w:val="kk-KZ"/>
        </w:rPr>
        <w:t>65</w:t>
      </w:r>
      <w:r w:rsidRPr="001935D0">
        <w:rPr>
          <w:rStyle w:val="Strong"/>
          <w:rFonts w:ascii="Times New Roman" w:hAnsi="Times New Roman" w:cs="Times New Roman"/>
          <w:b w:val="0"/>
          <w:sz w:val="28"/>
          <w:szCs w:val="28"/>
        </w:rPr>
        <w:t>].</w:t>
      </w:r>
    </w:p>
    <w:p w14:paraId="260D6C89" w14:textId="77777777" w:rsidR="00E94B29" w:rsidRDefault="00E94B29" w:rsidP="003F29AB">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В контексте анализа Копенгагенских критериев и текущего уровня институциональной адаптации Казахстана можно выделить направления, которые могут служить ориентирами для дальнейшего сближения с европейскими стандартами. Эти направления охватывают ключевые сферы демократического и правового развития – </w:t>
      </w:r>
      <w:r w:rsidRPr="001935D0">
        <w:rPr>
          <w:rStyle w:val="Strong"/>
          <w:rFonts w:ascii="Times New Roman" w:hAnsi="Times New Roman" w:cs="Times New Roman"/>
          <w:b w:val="0"/>
          <w:sz w:val="28"/>
          <w:szCs w:val="28"/>
        </w:rPr>
        <w:t>укрепление антикоррупционных институтов, судебную реформу, повышение экономической прозрачности, расширение политических и гражданских свобод, а также углубление международной интеграции</w:t>
      </w:r>
      <w:r w:rsidRPr="001935D0">
        <w:rPr>
          <w:rFonts w:ascii="Times New Roman" w:hAnsi="Times New Roman" w:cs="Times New Roman"/>
          <w:sz w:val="28"/>
          <w:szCs w:val="28"/>
        </w:rPr>
        <w:t xml:space="preserve"> (рисунок 3.3).</w:t>
      </w:r>
    </w:p>
    <w:p w14:paraId="65E4DD2B" w14:textId="77777777" w:rsidR="003F29AB" w:rsidRPr="003F29AB" w:rsidRDefault="003F29AB" w:rsidP="003F29AB">
      <w:pPr>
        <w:pStyle w:val="NoSpacing"/>
        <w:ind w:firstLine="709"/>
        <w:jc w:val="both"/>
        <w:rPr>
          <w:rFonts w:ascii="Times New Roman" w:hAnsi="Times New Roman" w:cs="Times New Roman"/>
          <w:sz w:val="28"/>
          <w:szCs w:val="28"/>
          <w:lang w:val="kk-KZ"/>
        </w:rPr>
      </w:pPr>
    </w:p>
    <w:p w14:paraId="6C098495" w14:textId="77777777" w:rsidR="00E94B29" w:rsidRPr="001935D0" w:rsidRDefault="00E94B29" w:rsidP="00807861">
      <w:pPr>
        <w:spacing w:after="0" w:line="240" w:lineRule="auto"/>
        <w:ind w:left="284"/>
        <w:jc w:val="both"/>
        <w:rPr>
          <w:rFonts w:ascii="Times New Roman" w:hAnsi="Times New Roman" w:cs="Times New Roman"/>
          <w:sz w:val="28"/>
          <w:szCs w:val="28"/>
        </w:rPr>
      </w:pPr>
      <w:r w:rsidRPr="001935D0">
        <w:rPr>
          <w:rFonts w:ascii="Times New Roman" w:hAnsi="Times New Roman" w:cs="Times New Roman"/>
          <w:noProof/>
          <w:sz w:val="28"/>
          <w:szCs w:val="28"/>
          <w:lang w:eastAsia="ru-RU"/>
        </w:rPr>
        <w:lastRenderedPageBreak/>
        <w:drawing>
          <wp:inline distT="0" distB="0" distL="0" distR="0" wp14:anchorId="2B1EF43C" wp14:editId="54008C3A">
            <wp:extent cx="5875020" cy="5750351"/>
            <wp:effectExtent l="19050" t="38100" r="0" b="0"/>
            <wp:docPr id="40" name="Схема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5" r:lo="rId116" r:qs="rId117" r:cs="rId118"/>
              </a:graphicData>
            </a:graphic>
          </wp:inline>
        </w:drawing>
      </w:r>
    </w:p>
    <w:p w14:paraId="341066B0" w14:textId="77777777" w:rsidR="003F29AB" w:rsidRPr="003F29AB" w:rsidRDefault="003F29AB" w:rsidP="00593711">
      <w:pPr>
        <w:spacing w:after="0" w:line="240" w:lineRule="auto"/>
        <w:jc w:val="center"/>
        <w:rPr>
          <w:rFonts w:ascii="Times New Roman" w:hAnsi="Times New Roman" w:cs="Times New Roman"/>
          <w:sz w:val="16"/>
          <w:szCs w:val="16"/>
          <w:lang w:val="kk-KZ"/>
        </w:rPr>
      </w:pPr>
    </w:p>
    <w:p w14:paraId="4430268A" w14:textId="7CCAA062" w:rsidR="00E94B29" w:rsidRPr="001935D0" w:rsidRDefault="00E94B29" w:rsidP="00593711">
      <w:pPr>
        <w:spacing w:after="0" w:line="240" w:lineRule="auto"/>
        <w:jc w:val="center"/>
        <w:rPr>
          <w:rFonts w:ascii="Times New Roman" w:hAnsi="Times New Roman" w:cs="Times New Roman"/>
          <w:sz w:val="28"/>
          <w:szCs w:val="28"/>
        </w:rPr>
      </w:pPr>
      <w:r w:rsidRPr="001935D0">
        <w:rPr>
          <w:rFonts w:ascii="Times New Roman" w:hAnsi="Times New Roman" w:cs="Times New Roman"/>
          <w:sz w:val="28"/>
          <w:szCs w:val="28"/>
        </w:rPr>
        <w:t>Рис</w:t>
      </w:r>
      <w:r w:rsidR="003F29AB">
        <w:rPr>
          <w:rFonts w:ascii="Times New Roman" w:hAnsi="Times New Roman" w:cs="Times New Roman"/>
          <w:sz w:val="28"/>
          <w:szCs w:val="28"/>
          <w:lang w:val="kk-KZ"/>
        </w:rPr>
        <w:t>унок</w:t>
      </w:r>
      <w:r w:rsidRPr="001935D0">
        <w:rPr>
          <w:rFonts w:ascii="Times New Roman" w:hAnsi="Times New Roman" w:cs="Times New Roman"/>
          <w:sz w:val="28"/>
          <w:szCs w:val="28"/>
        </w:rPr>
        <w:t xml:space="preserve"> 3.3 </w:t>
      </w:r>
      <w:r w:rsidR="003F29AB">
        <w:rPr>
          <w:rFonts w:ascii="Times New Roman" w:hAnsi="Times New Roman" w:cs="Times New Roman"/>
          <w:sz w:val="28"/>
          <w:szCs w:val="28"/>
          <w:lang w:val="kk-KZ"/>
        </w:rPr>
        <w:t xml:space="preserve">– </w:t>
      </w:r>
      <w:r w:rsidRPr="001935D0">
        <w:rPr>
          <w:rFonts w:ascii="Times New Roman" w:hAnsi="Times New Roman" w:cs="Times New Roman"/>
          <w:sz w:val="28"/>
          <w:szCs w:val="28"/>
        </w:rPr>
        <w:t xml:space="preserve">Приоритетные направления институциональных реформ Республики Казахстан в контексте Копенгагенских критериев ЕС </w:t>
      </w:r>
    </w:p>
    <w:p w14:paraId="0477BA14" w14:textId="77777777" w:rsidR="003F29AB" w:rsidRPr="003F29AB" w:rsidRDefault="003F29AB" w:rsidP="00593711">
      <w:pPr>
        <w:pStyle w:val="NoSpacing"/>
        <w:jc w:val="both"/>
        <w:rPr>
          <w:rFonts w:ascii="Times New Roman" w:hAnsi="Times New Roman" w:cs="Times New Roman"/>
          <w:sz w:val="16"/>
          <w:szCs w:val="16"/>
          <w:lang w:val="kk-KZ"/>
        </w:rPr>
      </w:pPr>
    </w:p>
    <w:p w14:paraId="064350E1" w14:textId="745B18A2" w:rsidR="00E94B29" w:rsidRPr="001935D0" w:rsidRDefault="003F29AB" w:rsidP="003F29AB">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w:t>
      </w:r>
      <w:r w:rsidR="00E94B29" w:rsidRPr="001935D0">
        <w:rPr>
          <w:rFonts w:ascii="Times New Roman" w:hAnsi="Times New Roman" w:cs="Times New Roman"/>
          <w:sz w:val="24"/>
          <w:szCs w:val="24"/>
        </w:rPr>
        <w:t>автором</w:t>
      </w:r>
    </w:p>
    <w:p w14:paraId="5F828BEC" w14:textId="77777777" w:rsidR="00E94B29" w:rsidRPr="001935D0" w:rsidRDefault="00E94B29" w:rsidP="00593711">
      <w:pPr>
        <w:pStyle w:val="NormalWeb"/>
        <w:spacing w:before="0" w:beforeAutospacing="0" w:after="0" w:afterAutospacing="0"/>
        <w:ind w:firstLine="709"/>
        <w:jc w:val="both"/>
        <w:rPr>
          <w:sz w:val="28"/>
          <w:szCs w:val="28"/>
        </w:rPr>
      </w:pPr>
    </w:p>
    <w:p w14:paraId="2E3EC1D0" w14:textId="5DE55202" w:rsidR="00E94B29" w:rsidRPr="001935D0" w:rsidRDefault="00E94B29" w:rsidP="003F29AB">
      <w:pPr>
        <w:spacing w:after="0" w:line="240" w:lineRule="auto"/>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Таким образом, дальнейший прогресс Казахстана в процессе институционального сближения с Европейским </w:t>
      </w:r>
      <w:r w:rsidR="007C324F"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оюзом возможен только при сочетании последовательных реформ, реального обеспечения независимости институтов и наличия политической воли к их имплементации. Опыт стран Центральной и Восточной Европы, таких как Хорватия, Болгария и Румыния, демонстрирует, что успешная адаптация к европейским стандартам требует комплексного подхода – от конституционных преобразований до интеграции норм acquis communautaire. С учётом анализа политических, экономических и правовых аспектов представляется целесообразным обобщить степень соответствия Казахстана основным Копенгагенским критериям (таблица 3.3).</w:t>
      </w:r>
    </w:p>
    <w:p w14:paraId="389E23AD" w14:textId="77777777" w:rsidR="00E94B29" w:rsidRPr="001935D0" w:rsidRDefault="00E94B29" w:rsidP="003F29AB">
      <w:pPr>
        <w:spacing w:after="0" w:line="240" w:lineRule="auto"/>
        <w:ind w:firstLine="709"/>
        <w:jc w:val="center"/>
        <w:rPr>
          <w:rFonts w:ascii="Times New Roman" w:eastAsia="Times New Roman" w:hAnsi="Times New Roman" w:cs="Times New Roman"/>
          <w:sz w:val="28"/>
          <w:szCs w:val="28"/>
          <w:lang w:eastAsia="uk-UA"/>
        </w:rPr>
      </w:pPr>
    </w:p>
    <w:p w14:paraId="25CB78E5" w14:textId="00D256C2" w:rsidR="00E94B29" w:rsidRDefault="00E94B29" w:rsidP="003F29AB">
      <w:pPr>
        <w:spacing w:after="0" w:line="240" w:lineRule="auto"/>
        <w:jc w:val="both"/>
        <w:rPr>
          <w:rFonts w:ascii="Times New Roman" w:eastAsia="Times New Roman" w:hAnsi="Times New Roman" w:cs="Times New Roman"/>
          <w:sz w:val="28"/>
          <w:szCs w:val="28"/>
          <w:lang w:val="kk-KZ" w:eastAsia="uk-UA"/>
        </w:rPr>
      </w:pPr>
      <w:r w:rsidRPr="001935D0">
        <w:rPr>
          <w:rFonts w:ascii="Times New Roman" w:eastAsia="Times New Roman" w:hAnsi="Times New Roman" w:cs="Times New Roman"/>
          <w:sz w:val="28"/>
          <w:szCs w:val="28"/>
          <w:lang w:eastAsia="uk-UA"/>
        </w:rPr>
        <w:lastRenderedPageBreak/>
        <w:t xml:space="preserve">Таблица 3.3 </w:t>
      </w:r>
      <w:r w:rsidR="003F29AB">
        <w:rPr>
          <w:rFonts w:ascii="Times New Roman" w:eastAsia="Times New Roman" w:hAnsi="Times New Roman" w:cs="Times New Roman"/>
          <w:sz w:val="28"/>
          <w:szCs w:val="28"/>
          <w:lang w:eastAsia="uk-UA"/>
        </w:rPr>
        <w:t>‒</w:t>
      </w:r>
      <w:r w:rsidR="003F29AB">
        <w:rPr>
          <w:rFonts w:ascii="Times New Roman" w:eastAsia="Times New Roman" w:hAnsi="Times New Roman" w:cs="Times New Roman"/>
          <w:sz w:val="28"/>
          <w:szCs w:val="28"/>
          <w:lang w:val="kk-KZ" w:eastAsia="uk-UA"/>
        </w:rPr>
        <w:t xml:space="preserve"> </w:t>
      </w:r>
      <w:r w:rsidRPr="001935D0">
        <w:rPr>
          <w:rFonts w:ascii="Times New Roman" w:eastAsia="Times New Roman" w:hAnsi="Times New Roman" w:cs="Times New Roman"/>
          <w:sz w:val="28"/>
          <w:szCs w:val="28"/>
          <w:lang w:eastAsia="uk-UA"/>
        </w:rPr>
        <w:t xml:space="preserve">Сравнительная оценка соответствия Казахстана Копенгагенским критериям Европейского </w:t>
      </w:r>
      <w:r w:rsidR="007C324F" w:rsidRPr="001935D0">
        <w:rPr>
          <w:rFonts w:ascii="Times New Roman" w:eastAsia="Times New Roman" w:hAnsi="Times New Roman" w:cs="Times New Roman"/>
          <w:sz w:val="28"/>
          <w:szCs w:val="28"/>
          <w:lang w:val="uk-UA" w:eastAsia="uk-UA"/>
        </w:rPr>
        <w:t>С</w:t>
      </w:r>
      <w:r w:rsidRPr="001935D0">
        <w:rPr>
          <w:rFonts w:ascii="Times New Roman" w:eastAsia="Times New Roman" w:hAnsi="Times New Roman" w:cs="Times New Roman"/>
          <w:sz w:val="28"/>
          <w:szCs w:val="28"/>
          <w:lang w:eastAsia="uk-UA"/>
        </w:rPr>
        <w:t xml:space="preserve">оюза </w:t>
      </w:r>
    </w:p>
    <w:p w14:paraId="20570587" w14:textId="77777777" w:rsidR="003F29AB" w:rsidRPr="003F29AB" w:rsidRDefault="003F29AB" w:rsidP="003F29AB">
      <w:pPr>
        <w:spacing w:after="0" w:line="240" w:lineRule="auto"/>
        <w:jc w:val="both"/>
        <w:rPr>
          <w:rFonts w:ascii="Times New Roman" w:eastAsia="Times New Roman" w:hAnsi="Times New Roman" w:cs="Times New Roman"/>
          <w:sz w:val="16"/>
          <w:szCs w:val="16"/>
          <w:lang w:val="kk-KZ" w:eastAsia="uk-UA"/>
        </w:rPr>
      </w:pPr>
    </w:p>
    <w:tbl>
      <w:tblPr>
        <w:tblStyle w:val="TableGrid"/>
        <w:tblW w:w="9640" w:type="dxa"/>
        <w:jc w:val="center"/>
        <w:tblLayout w:type="fixed"/>
        <w:tblLook w:val="04A0" w:firstRow="1" w:lastRow="0" w:firstColumn="1" w:lastColumn="0" w:noHBand="0" w:noVBand="1"/>
      </w:tblPr>
      <w:tblGrid>
        <w:gridCol w:w="2127"/>
        <w:gridCol w:w="1843"/>
        <w:gridCol w:w="5670"/>
      </w:tblGrid>
      <w:tr w:rsidR="00E94B29" w:rsidRPr="003F29AB" w14:paraId="40D1E3C5" w14:textId="77777777" w:rsidTr="003F29AB">
        <w:trPr>
          <w:jc w:val="center"/>
        </w:trPr>
        <w:tc>
          <w:tcPr>
            <w:tcW w:w="2127" w:type="dxa"/>
            <w:vAlign w:val="center"/>
          </w:tcPr>
          <w:p w14:paraId="09E9A2E4" w14:textId="77777777" w:rsidR="00E94B29" w:rsidRPr="003F29AB" w:rsidRDefault="00E94B29" w:rsidP="00593711">
            <w:pPr>
              <w:jc w:val="center"/>
              <w:rPr>
                <w:rFonts w:ascii="Times New Roman" w:eastAsia="Times New Roman" w:hAnsi="Times New Roman" w:cs="Times New Roman"/>
                <w:bCs/>
                <w:sz w:val="24"/>
                <w:szCs w:val="24"/>
                <w:lang w:eastAsia="ru-RU"/>
              </w:rPr>
            </w:pPr>
            <w:r w:rsidRPr="003F29AB">
              <w:rPr>
                <w:rFonts w:ascii="Times New Roman" w:eastAsia="Times New Roman" w:hAnsi="Times New Roman" w:cs="Times New Roman"/>
                <w:bCs/>
                <w:sz w:val="24"/>
                <w:szCs w:val="24"/>
                <w:lang w:eastAsia="ru-RU"/>
              </w:rPr>
              <w:t>Критерий ЕС</w:t>
            </w:r>
          </w:p>
        </w:tc>
        <w:tc>
          <w:tcPr>
            <w:tcW w:w="1843" w:type="dxa"/>
            <w:vAlign w:val="center"/>
          </w:tcPr>
          <w:p w14:paraId="631AB30F" w14:textId="77777777" w:rsidR="00E94B29" w:rsidRPr="003F29AB" w:rsidRDefault="00E94B29" w:rsidP="00593711">
            <w:pPr>
              <w:jc w:val="center"/>
              <w:rPr>
                <w:rFonts w:ascii="Times New Roman" w:eastAsia="Times New Roman" w:hAnsi="Times New Roman" w:cs="Times New Roman"/>
                <w:bCs/>
                <w:sz w:val="24"/>
                <w:szCs w:val="24"/>
                <w:lang w:eastAsia="ru-RU"/>
              </w:rPr>
            </w:pPr>
            <w:r w:rsidRPr="003F29AB">
              <w:rPr>
                <w:rFonts w:ascii="Times New Roman" w:eastAsia="Times New Roman" w:hAnsi="Times New Roman" w:cs="Times New Roman"/>
                <w:bCs/>
                <w:sz w:val="24"/>
                <w:szCs w:val="24"/>
                <w:lang w:eastAsia="ru-RU"/>
              </w:rPr>
              <w:t>Требования ЕС</w:t>
            </w:r>
          </w:p>
        </w:tc>
        <w:tc>
          <w:tcPr>
            <w:tcW w:w="5670" w:type="dxa"/>
            <w:vAlign w:val="center"/>
          </w:tcPr>
          <w:p w14:paraId="12542310" w14:textId="77777777" w:rsidR="00E94B29" w:rsidRPr="003F29AB" w:rsidRDefault="00E94B29" w:rsidP="00593711">
            <w:pPr>
              <w:jc w:val="center"/>
              <w:rPr>
                <w:rFonts w:ascii="Times New Roman" w:eastAsia="Times New Roman" w:hAnsi="Times New Roman" w:cs="Times New Roman"/>
                <w:bCs/>
                <w:sz w:val="24"/>
                <w:szCs w:val="24"/>
                <w:lang w:eastAsia="ru-RU"/>
              </w:rPr>
            </w:pPr>
            <w:r w:rsidRPr="003F29AB">
              <w:rPr>
                <w:rFonts w:ascii="Times New Roman" w:eastAsia="Times New Roman" w:hAnsi="Times New Roman" w:cs="Times New Roman"/>
                <w:bCs/>
                <w:sz w:val="24"/>
                <w:szCs w:val="24"/>
                <w:lang w:eastAsia="ru-RU"/>
              </w:rPr>
              <w:t>Реализация в Казахстане</w:t>
            </w:r>
          </w:p>
        </w:tc>
      </w:tr>
      <w:tr w:rsidR="00E94B29" w:rsidRPr="001935D0" w14:paraId="5007DD0D" w14:textId="77777777" w:rsidTr="003F29AB">
        <w:trPr>
          <w:jc w:val="center"/>
        </w:trPr>
        <w:tc>
          <w:tcPr>
            <w:tcW w:w="2127" w:type="dxa"/>
            <w:vAlign w:val="center"/>
          </w:tcPr>
          <w:p w14:paraId="4F1BD6EE"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Политические</w:t>
            </w:r>
          </w:p>
        </w:tc>
        <w:tc>
          <w:tcPr>
            <w:tcW w:w="1843" w:type="dxa"/>
            <w:vAlign w:val="center"/>
          </w:tcPr>
          <w:p w14:paraId="7A11448B"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Демократия, верховенство права, права человека, защита меньшинств</w:t>
            </w:r>
          </w:p>
        </w:tc>
        <w:tc>
          <w:tcPr>
            <w:tcW w:w="5670" w:type="dxa"/>
            <w:vAlign w:val="center"/>
          </w:tcPr>
          <w:p w14:paraId="037F91C5" w14:textId="09E87894" w:rsidR="00E94B29" w:rsidRPr="001935D0" w:rsidRDefault="00E94B29" w:rsidP="003F29AB">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Конституция закрепляет права; реформы 2022–2023 гг. ограничили власть президента, усилен парламент, повышен статус Омбудсмена; принят Закон «Об общественном контроле» (2023), направленный на участие граждан в контроле за деятельностью власти. Однако сохраняются ограничения свободы СМИ и собраний.</w:t>
            </w:r>
          </w:p>
        </w:tc>
      </w:tr>
      <w:tr w:rsidR="00E94B29" w:rsidRPr="001935D0" w14:paraId="57D09666" w14:textId="77777777" w:rsidTr="003F29AB">
        <w:trPr>
          <w:jc w:val="center"/>
        </w:trPr>
        <w:tc>
          <w:tcPr>
            <w:tcW w:w="2127" w:type="dxa"/>
            <w:vAlign w:val="center"/>
          </w:tcPr>
          <w:p w14:paraId="58B81530"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Экономические</w:t>
            </w:r>
          </w:p>
        </w:tc>
        <w:tc>
          <w:tcPr>
            <w:tcW w:w="1843" w:type="dxa"/>
            <w:vAlign w:val="center"/>
          </w:tcPr>
          <w:p w14:paraId="2911A7A2"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Рыночная экономика, конкурентоспособность</w:t>
            </w:r>
          </w:p>
        </w:tc>
        <w:tc>
          <w:tcPr>
            <w:tcW w:w="5670" w:type="dxa"/>
            <w:vAlign w:val="center"/>
          </w:tcPr>
          <w:p w14:paraId="2558B97C"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Казахстан реализует рыночные реформы и стратегию диверсификации (Национальный план до 2029 г.), но сохраняется зависимость от сырьевого сектора и ограниченная конкуренция.</w:t>
            </w:r>
          </w:p>
        </w:tc>
      </w:tr>
      <w:tr w:rsidR="00E94B29" w:rsidRPr="001935D0" w14:paraId="5065E18C" w14:textId="77777777" w:rsidTr="003F29AB">
        <w:trPr>
          <w:jc w:val="center"/>
        </w:trPr>
        <w:tc>
          <w:tcPr>
            <w:tcW w:w="2127" w:type="dxa"/>
            <w:vAlign w:val="center"/>
          </w:tcPr>
          <w:p w14:paraId="7826A46A"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Принятие acquis</w:t>
            </w:r>
          </w:p>
        </w:tc>
        <w:tc>
          <w:tcPr>
            <w:tcW w:w="1843" w:type="dxa"/>
            <w:vAlign w:val="center"/>
          </w:tcPr>
          <w:p w14:paraId="7D7E5CC8"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Способность внедрять европейское законодательство</w:t>
            </w:r>
          </w:p>
        </w:tc>
        <w:tc>
          <w:tcPr>
            <w:tcW w:w="5670" w:type="dxa"/>
            <w:vAlign w:val="center"/>
          </w:tcPr>
          <w:p w14:paraId="73BA629C" w14:textId="33E0AAF9" w:rsidR="00E94B29" w:rsidRPr="001935D0" w:rsidRDefault="00E94B29" w:rsidP="003F29AB">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Казахстан ратифицировал ключевые международные договоры и гармонизирует законодательство в рамках Соглашения о расширенном партнёрстве с ЕС (2020), но не имеет формальных обязательств внедрять acquis ЕС.</w:t>
            </w:r>
          </w:p>
        </w:tc>
      </w:tr>
      <w:tr w:rsidR="00E94B29" w:rsidRPr="001935D0" w14:paraId="5A76350E" w14:textId="77777777" w:rsidTr="003F29AB">
        <w:trPr>
          <w:jc w:val="center"/>
        </w:trPr>
        <w:tc>
          <w:tcPr>
            <w:tcW w:w="2127" w:type="dxa"/>
            <w:vAlign w:val="center"/>
          </w:tcPr>
          <w:p w14:paraId="6F8AA0D5" w14:textId="544DD36B"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Институциональ</w:t>
            </w:r>
            <w:r w:rsidR="00C30B7D">
              <w:rPr>
                <w:rFonts w:ascii="Times New Roman" w:eastAsia="Times New Roman" w:hAnsi="Times New Roman" w:cs="Times New Roman"/>
                <w:bCs/>
                <w:i/>
                <w:sz w:val="24"/>
                <w:szCs w:val="24"/>
                <w:lang w:val="kk-KZ" w:eastAsia="ru-RU"/>
              </w:rPr>
              <w:t xml:space="preserve"> </w:t>
            </w:r>
            <w:r w:rsidRPr="001935D0">
              <w:rPr>
                <w:rFonts w:ascii="Times New Roman" w:eastAsia="Times New Roman" w:hAnsi="Times New Roman" w:cs="Times New Roman"/>
                <w:bCs/>
                <w:i/>
                <w:sz w:val="24"/>
                <w:szCs w:val="24"/>
                <w:lang w:eastAsia="ru-RU"/>
              </w:rPr>
              <w:t>ная способность</w:t>
            </w:r>
          </w:p>
        </w:tc>
        <w:tc>
          <w:tcPr>
            <w:tcW w:w="1843" w:type="dxa"/>
            <w:vAlign w:val="center"/>
          </w:tcPr>
          <w:p w14:paraId="3448F794"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Эффективное исполнение правовых норм, независимые институты</w:t>
            </w:r>
          </w:p>
        </w:tc>
        <w:tc>
          <w:tcPr>
            <w:tcW w:w="5670" w:type="dxa"/>
            <w:vAlign w:val="center"/>
          </w:tcPr>
          <w:p w14:paraId="6E4EA754" w14:textId="48FB8A76" w:rsidR="00E94B29" w:rsidRPr="003F29AB" w:rsidRDefault="00E94B29" w:rsidP="00C30B7D">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Восстановлен Конституционный суд, расширены полномочия Омбудсмена, действуют специализи</w:t>
            </w:r>
            <w:r w:rsidR="00C30B7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рованные уполномоченные (по правам ребёнка, социально уязвимых групп). Приняты Законы «О</w:t>
            </w:r>
            <w:r w:rsidR="00C30B7D">
              <w:rPr>
                <w:rFonts w:ascii="Times New Roman" w:eastAsia="Times New Roman" w:hAnsi="Times New Roman" w:cs="Times New Roman"/>
                <w:sz w:val="24"/>
                <w:szCs w:val="24"/>
                <w:lang w:val="kk-KZ" w:eastAsia="ru-RU"/>
              </w:rPr>
              <w:t> </w:t>
            </w:r>
            <w:r w:rsidRPr="001935D0">
              <w:rPr>
                <w:rFonts w:ascii="Times New Roman" w:eastAsia="Times New Roman" w:hAnsi="Times New Roman" w:cs="Times New Roman"/>
                <w:sz w:val="24"/>
                <w:szCs w:val="24"/>
                <w:lang w:eastAsia="ru-RU"/>
              </w:rPr>
              <w:t>масс-медиа» (2024) и «Об общественном контроле» (2023), но независимость и</w:t>
            </w:r>
            <w:r w:rsidR="003F29AB">
              <w:rPr>
                <w:rFonts w:ascii="Times New Roman" w:eastAsia="Times New Roman" w:hAnsi="Times New Roman" w:cs="Times New Roman"/>
                <w:sz w:val="24"/>
                <w:szCs w:val="24"/>
                <w:lang w:eastAsia="ru-RU"/>
              </w:rPr>
              <w:t>нститутов остаётся ограниченной</w:t>
            </w:r>
          </w:p>
        </w:tc>
      </w:tr>
      <w:tr w:rsidR="00C30B7D" w:rsidRPr="006A4DE5" w14:paraId="6669749C" w14:textId="77777777" w:rsidTr="00123D4E">
        <w:trPr>
          <w:jc w:val="center"/>
        </w:trPr>
        <w:tc>
          <w:tcPr>
            <w:tcW w:w="9640" w:type="dxa"/>
            <w:gridSpan w:val="3"/>
            <w:vAlign w:val="center"/>
          </w:tcPr>
          <w:p w14:paraId="647B39E8" w14:textId="0A2945A9" w:rsidR="00C30B7D" w:rsidRPr="006A4DE5" w:rsidRDefault="009D7580" w:rsidP="006A4DE5">
            <w:pPr>
              <w:pStyle w:val="NoSpacing"/>
              <w:ind w:firstLine="567"/>
              <w:jc w:val="both"/>
              <w:rPr>
                <w:rFonts w:ascii="Times New Roman" w:hAnsi="Times New Roman" w:cs="Times New Roman"/>
                <w:sz w:val="24"/>
                <w:szCs w:val="24"/>
                <w:lang w:val="kk-KZ"/>
              </w:rPr>
            </w:pPr>
            <w:r w:rsidRPr="006A4DE5">
              <w:rPr>
                <w:rFonts w:ascii="Times New Roman" w:hAnsi="Times New Roman" w:cs="Times New Roman"/>
                <w:sz w:val="24"/>
                <w:szCs w:val="24"/>
                <w:lang w:val="kk-KZ"/>
              </w:rPr>
              <w:t xml:space="preserve">Примечание – </w:t>
            </w:r>
            <w:r w:rsidRPr="006A4DE5">
              <w:rPr>
                <w:rFonts w:ascii="Times New Roman" w:hAnsi="Times New Roman" w:cs="Times New Roman"/>
                <w:sz w:val="24"/>
                <w:szCs w:val="24"/>
              </w:rPr>
              <w:t xml:space="preserve">Составлено автором по данным </w:t>
            </w:r>
            <w:r w:rsidRPr="006A4DE5">
              <w:rPr>
                <w:rFonts w:ascii="Times New Roman" w:hAnsi="Times New Roman" w:cs="Times New Roman"/>
                <w:sz w:val="24"/>
                <w:szCs w:val="24"/>
                <w:lang w:val="kk-KZ"/>
              </w:rPr>
              <w:t xml:space="preserve">источников </w:t>
            </w:r>
            <w:r w:rsidRPr="006A4DE5">
              <w:rPr>
                <w:rFonts w:ascii="Times New Roman" w:hAnsi="Times New Roman" w:cs="Times New Roman"/>
                <w:sz w:val="24"/>
                <w:szCs w:val="24"/>
              </w:rPr>
              <w:t>[</w:t>
            </w:r>
            <w:r w:rsidRPr="006A4DE5">
              <w:rPr>
                <w:rFonts w:ascii="Times New Roman" w:hAnsi="Times New Roman" w:cs="Times New Roman"/>
                <w:sz w:val="24"/>
                <w:szCs w:val="24"/>
                <w:lang w:val="kk-KZ"/>
              </w:rPr>
              <w:t>183; 184; 185; 186; 187; 188</w:t>
            </w:r>
            <w:r w:rsidRPr="006A4DE5">
              <w:rPr>
                <w:rFonts w:ascii="Times New Roman" w:hAnsi="Times New Roman" w:cs="Times New Roman"/>
                <w:sz w:val="24"/>
                <w:szCs w:val="24"/>
              </w:rPr>
              <w:t>]</w:t>
            </w:r>
          </w:p>
        </w:tc>
      </w:tr>
    </w:tbl>
    <w:p w14:paraId="63155FDF" w14:textId="77777777" w:rsidR="006A4DE5" w:rsidRDefault="006A4DE5" w:rsidP="00C30B7D">
      <w:pPr>
        <w:pStyle w:val="NoSpacing"/>
        <w:ind w:firstLine="709"/>
        <w:jc w:val="both"/>
        <w:rPr>
          <w:rFonts w:ascii="Times New Roman" w:hAnsi="Times New Roman" w:cs="Times New Roman"/>
          <w:sz w:val="28"/>
          <w:szCs w:val="28"/>
          <w:lang w:val="kk-KZ"/>
        </w:rPr>
      </w:pPr>
    </w:p>
    <w:p w14:paraId="77A825B4" w14:textId="0E9267EE" w:rsidR="00E94B29" w:rsidRPr="001935D0" w:rsidRDefault="00E94B29" w:rsidP="00C30B7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Дальнейшее продвижение Казахстана на пути институционального сближения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зависит от способности государства не только формально соответствовать Копенгагенским критериям, но и эффективно внедрять их принципы в национальную правовую и управленческую практику. Эти задачи нашли отражение в Третьем плане действий в области прав человека и верховенства закона, а также в Национальном плане развития до 2029 года. При этом само членство в ЕС не является конечной целью, а представляет собой результат комплексной трансформации, основанной на демократических ценностях, верховенстве права и устойчивом экономическом развитии.</w:t>
      </w:r>
    </w:p>
    <w:p w14:paraId="08BB710A" w14:textId="30CC7C23" w:rsidR="00E94B29" w:rsidRPr="001935D0" w:rsidRDefault="00E94B29" w:rsidP="00C30B7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Следует учитывать, что Копенгагенские критерии имеют рамочный характер и допускают различия в политической интерпретации. В отдельных случаях государство может быть признано готовым к членству при неполном выполнении требований, если это решение получает политическую поддержку на уровне институтов ЕС. Однако опыт предыдущих расширений показывает, что ускоренная интеграция без глубинных реформ приводит к ослаблению стандартов демократии и верховенства права уже после вступления [18</w:t>
      </w:r>
      <w:r w:rsidR="006A4DE5">
        <w:rPr>
          <w:rFonts w:ascii="Times New Roman" w:hAnsi="Times New Roman" w:cs="Times New Roman"/>
          <w:sz w:val="28"/>
          <w:szCs w:val="28"/>
          <w:lang w:val="kk-KZ"/>
        </w:rPr>
        <w:t>3</w:t>
      </w:r>
      <w:r w:rsidRPr="001935D0">
        <w:rPr>
          <w:rFonts w:ascii="Times New Roman" w:hAnsi="Times New Roman" w:cs="Times New Roman"/>
          <w:sz w:val="28"/>
          <w:szCs w:val="28"/>
        </w:rPr>
        <w:t>].</w:t>
      </w:r>
    </w:p>
    <w:p w14:paraId="19EC4FD9" w14:textId="77777777" w:rsidR="00E94B29" w:rsidRPr="001935D0" w:rsidRDefault="00E94B29" w:rsidP="00C30B7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то же время практика подтверждает: большинство стран-кандидатов в процессе переговоров и в первые годы членства демонстрируют заметный рост по ключевым индикаторам – экономической стабильности, эффективности государственного управления, защите прав человека. Это результат применения </w:t>
      </w:r>
      <w:r w:rsidRPr="001935D0">
        <w:rPr>
          <w:rFonts w:ascii="Times New Roman" w:hAnsi="Times New Roman" w:cs="Times New Roman"/>
          <w:sz w:val="28"/>
          <w:szCs w:val="28"/>
        </w:rPr>
        <w:lastRenderedPageBreak/>
        <w:t>принципа conditionality, предусматривающего предоставление поддержки со стороны ЕС при условии внедрения конкретных реформ. Таким образом, процесс интеграции служит стимулом внутренней модернизации и повышает институциональную устойчивость государства.</w:t>
      </w:r>
    </w:p>
    <w:p w14:paraId="19BFE8B0" w14:textId="77777777" w:rsidR="00E94B29" w:rsidRPr="001935D0" w:rsidRDefault="00E94B29" w:rsidP="00C30B7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Следовательно, для Казахстана стратегическая цель состоит не столько в формальном выполнении требований ЕС, сколько в построении функциональной системы управления, способной обеспечивать долгосрочное развитие и повышение качества жизни населения. На основании анализа открытых международных источников в таблице представлены ключевые показатели, отражающие степень соответствия Казахстана критериям правопорядка, антикоррупционной политики и демократических свобод (таблица 3.4).</w:t>
      </w:r>
    </w:p>
    <w:p w14:paraId="724E6BE5" w14:textId="77777777" w:rsidR="00E94B29" w:rsidRPr="001935D0" w:rsidRDefault="00E94B29" w:rsidP="00593711">
      <w:pPr>
        <w:pStyle w:val="NoSpacing"/>
        <w:ind w:firstLine="567"/>
        <w:jc w:val="both"/>
        <w:rPr>
          <w:rFonts w:ascii="Times New Roman" w:hAnsi="Times New Roman" w:cs="Times New Roman"/>
          <w:sz w:val="28"/>
          <w:szCs w:val="28"/>
        </w:rPr>
      </w:pPr>
    </w:p>
    <w:p w14:paraId="458E26BA" w14:textId="58F63F1D" w:rsidR="00E94B29" w:rsidRDefault="00E94B29" w:rsidP="00C30B7D">
      <w:pPr>
        <w:pStyle w:val="NormalWeb"/>
        <w:spacing w:before="0" w:beforeAutospacing="0" w:after="0" w:afterAutospacing="0"/>
        <w:jc w:val="both"/>
        <w:rPr>
          <w:sz w:val="28"/>
          <w:szCs w:val="28"/>
          <w:lang w:val="kk-KZ"/>
        </w:rPr>
      </w:pPr>
      <w:r w:rsidRPr="001935D0">
        <w:rPr>
          <w:sz w:val="28"/>
          <w:szCs w:val="28"/>
        </w:rPr>
        <w:t xml:space="preserve">Таблица 3.4 </w:t>
      </w:r>
      <w:r w:rsidR="00C30B7D">
        <w:rPr>
          <w:sz w:val="28"/>
          <w:szCs w:val="28"/>
        </w:rPr>
        <w:t>‒</w:t>
      </w:r>
      <w:r w:rsidR="00C30B7D">
        <w:rPr>
          <w:sz w:val="28"/>
          <w:szCs w:val="28"/>
          <w:lang w:val="kk-KZ"/>
        </w:rPr>
        <w:t xml:space="preserve"> </w:t>
      </w:r>
      <w:r w:rsidRPr="001935D0">
        <w:rPr>
          <w:sz w:val="28"/>
          <w:szCs w:val="28"/>
        </w:rPr>
        <w:t xml:space="preserve">Показатели выполнения Казахстаном Копенгагенских критериев Европейского </w:t>
      </w:r>
      <w:r w:rsidR="007C324F" w:rsidRPr="001935D0">
        <w:rPr>
          <w:sz w:val="28"/>
          <w:szCs w:val="28"/>
          <w:lang w:val="uk-UA"/>
        </w:rPr>
        <w:t>С</w:t>
      </w:r>
      <w:r w:rsidRPr="001935D0">
        <w:rPr>
          <w:sz w:val="28"/>
          <w:szCs w:val="28"/>
        </w:rPr>
        <w:t xml:space="preserve">оюза </w:t>
      </w:r>
    </w:p>
    <w:p w14:paraId="79E01BE4" w14:textId="77777777" w:rsidR="00C30B7D" w:rsidRPr="00C30B7D" w:rsidRDefault="00C30B7D" w:rsidP="00C30B7D">
      <w:pPr>
        <w:pStyle w:val="NormalWeb"/>
        <w:spacing w:before="0" w:beforeAutospacing="0" w:after="0" w:afterAutospacing="0"/>
        <w:jc w:val="both"/>
        <w:rPr>
          <w:sz w:val="16"/>
          <w:szCs w:val="16"/>
          <w:lang w:val="kk-KZ"/>
        </w:rPr>
      </w:pPr>
    </w:p>
    <w:tbl>
      <w:tblPr>
        <w:tblStyle w:val="TableGrid"/>
        <w:tblW w:w="0" w:type="auto"/>
        <w:jc w:val="center"/>
        <w:tblLook w:val="04A0" w:firstRow="1" w:lastRow="0" w:firstColumn="1" w:lastColumn="0" w:noHBand="0" w:noVBand="1"/>
      </w:tblPr>
      <w:tblGrid>
        <w:gridCol w:w="2801"/>
        <w:gridCol w:w="2551"/>
        <w:gridCol w:w="4247"/>
      </w:tblGrid>
      <w:tr w:rsidR="00E94B29" w:rsidRPr="00C30B7D" w14:paraId="05944DC8" w14:textId="77777777" w:rsidTr="00C30B7D">
        <w:trPr>
          <w:jc w:val="center"/>
        </w:trPr>
        <w:tc>
          <w:tcPr>
            <w:tcW w:w="2801" w:type="dxa"/>
            <w:vAlign w:val="center"/>
          </w:tcPr>
          <w:p w14:paraId="79709531" w14:textId="77777777" w:rsidR="00E94B29" w:rsidRPr="00C30B7D" w:rsidRDefault="00E94B29" w:rsidP="00593711">
            <w:pPr>
              <w:jc w:val="center"/>
              <w:rPr>
                <w:rFonts w:ascii="Times New Roman" w:eastAsia="Times New Roman" w:hAnsi="Times New Roman" w:cs="Times New Roman"/>
                <w:bCs/>
                <w:sz w:val="24"/>
                <w:szCs w:val="24"/>
                <w:lang w:eastAsia="ru-RU"/>
              </w:rPr>
            </w:pPr>
            <w:r w:rsidRPr="00C30B7D">
              <w:rPr>
                <w:rFonts w:ascii="Times New Roman" w:eastAsia="Times New Roman" w:hAnsi="Times New Roman" w:cs="Times New Roman"/>
                <w:bCs/>
                <w:sz w:val="24"/>
                <w:szCs w:val="24"/>
                <w:lang w:eastAsia="ru-RU"/>
              </w:rPr>
              <w:t>Показатель</w:t>
            </w:r>
          </w:p>
        </w:tc>
        <w:tc>
          <w:tcPr>
            <w:tcW w:w="2551" w:type="dxa"/>
            <w:vAlign w:val="center"/>
          </w:tcPr>
          <w:p w14:paraId="6F188105" w14:textId="77777777" w:rsidR="00E94B29" w:rsidRPr="00C30B7D" w:rsidRDefault="00E94B29" w:rsidP="00593711">
            <w:pPr>
              <w:jc w:val="center"/>
              <w:rPr>
                <w:rFonts w:ascii="Times New Roman" w:eastAsia="Times New Roman" w:hAnsi="Times New Roman" w:cs="Times New Roman"/>
                <w:bCs/>
                <w:sz w:val="24"/>
                <w:szCs w:val="24"/>
                <w:lang w:eastAsia="ru-RU"/>
              </w:rPr>
            </w:pPr>
            <w:r w:rsidRPr="00C30B7D">
              <w:rPr>
                <w:rFonts w:ascii="Times New Roman" w:eastAsia="Times New Roman" w:hAnsi="Times New Roman" w:cs="Times New Roman"/>
                <w:bCs/>
                <w:sz w:val="24"/>
                <w:szCs w:val="24"/>
                <w:lang w:eastAsia="ru-RU"/>
              </w:rPr>
              <w:t>Значение</w:t>
            </w:r>
          </w:p>
        </w:tc>
        <w:tc>
          <w:tcPr>
            <w:tcW w:w="4247" w:type="dxa"/>
            <w:vAlign w:val="center"/>
          </w:tcPr>
          <w:p w14:paraId="1A1A7F5A" w14:textId="77777777" w:rsidR="00E94B29" w:rsidRPr="00C30B7D" w:rsidRDefault="00E94B29" w:rsidP="00593711">
            <w:pPr>
              <w:jc w:val="center"/>
              <w:rPr>
                <w:rFonts w:ascii="Times New Roman" w:eastAsia="Times New Roman" w:hAnsi="Times New Roman" w:cs="Times New Roman"/>
                <w:bCs/>
                <w:sz w:val="24"/>
                <w:szCs w:val="24"/>
                <w:lang w:eastAsia="ru-RU"/>
              </w:rPr>
            </w:pPr>
            <w:r w:rsidRPr="00C30B7D">
              <w:rPr>
                <w:rFonts w:ascii="Times New Roman" w:eastAsia="Times New Roman" w:hAnsi="Times New Roman" w:cs="Times New Roman"/>
                <w:bCs/>
                <w:sz w:val="24"/>
                <w:szCs w:val="24"/>
                <w:lang w:eastAsia="ru-RU"/>
              </w:rPr>
              <w:t>Комментарий</w:t>
            </w:r>
          </w:p>
        </w:tc>
      </w:tr>
      <w:tr w:rsidR="00E94B29" w:rsidRPr="001935D0" w14:paraId="1A26570E" w14:textId="77777777" w:rsidTr="00C30B7D">
        <w:trPr>
          <w:jc w:val="center"/>
        </w:trPr>
        <w:tc>
          <w:tcPr>
            <w:tcW w:w="2801" w:type="dxa"/>
            <w:vAlign w:val="center"/>
          </w:tcPr>
          <w:p w14:paraId="257899F8" w14:textId="77777777" w:rsidR="00E94B29" w:rsidRPr="001935D0" w:rsidRDefault="00E94B29" w:rsidP="00593711">
            <w:pPr>
              <w:jc w:val="both"/>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Индекс восприятия коррупции (CPI), 2024</w:t>
            </w:r>
          </w:p>
        </w:tc>
        <w:tc>
          <w:tcPr>
            <w:tcW w:w="2551" w:type="dxa"/>
            <w:vAlign w:val="center"/>
          </w:tcPr>
          <w:p w14:paraId="1EB78E4C"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40 из 100, 88-е место среди 180 стран</w:t>
            </w:r>
          </w:p>
        </w:tc>
        <w:tc>
          <w:tcPr>
            <w:tcW w:w="4247" w:type="dxa"/>
            <w:vAlign w:val="center"/>
          </w:tcPr>
          <w:p w14:paraId="02DAACDD"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Казахстан улучшил позицию на 5 пунктов по сравнению с 2023 годом, однако индекс остаётся ниже среднего уровня стран ОЭСР</w:t>
            </w:r>
          </w:p>
        </w:tc>
      </w:tr>
      <w:tr w:rsidR="00E94B29" w:rsidRPr="001935D0" w14:paraId="391C8E16" w14:textId="77777777" w:rsidTr="00C30B7D">
        <w:trPr>
          <w:jc w:val="center"/>
        </w:trPr>
        <w:tc>
          <w:tcPr>
            <w:tcW w:w="2801" w:type="dxa"/>
            <w:vAlign w:val="center"/>
          </w:tcPr>
          <w:p w14:paraId="4BE6737A" w14:textId="77777777" w:rsidR="00E94B29" w:rsidRPr="001935D0" w:rsidRDefault="00E94B29" w:rsidP="00593711">
            <w:pPr>
              <w:jc w:val="both"/>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Rule of Law (WJP), 2024</w:t>
            </w:r>
          </w:p>
        </w:tc>
        <w:tc>
          <w:tcPr>
            <w:tcW w:w="2551" w:type="dxa"/>
            <w:vAlign w:val="center"/>
          </w:tcPr>
          <w:p w14:paraId="62E8F36C"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0,54 балла, 65-е место среди 142 стран</w:t>
            </w:r>
          </w:p>
        </w:tc>
        <w:tc>
          <w:tcPr>
            <w:tcW w:w="4247" w:type="dxa"/>
            <w:vAlign w:val="center"/>
          </w:tcPr>
          <w:p w14:paraId="1DCF69DA"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Уровень верховенства права постепенно растёт, но остаётся ниже среднего мирового</w:t>
            </w:r>
          </w:p>
        </w:tc>
      </w:tr>
      <w:tr w:rsidR="00E94B29" w:rsidRPr="001935D0" w14:paraId="3E6AF269" w14:textId="77777777" w:rsidTr="00C30B7D">
        <w:trPr>
          <w:jc w:val="center"/>
        </w:trPr>
        <w:tc>
          <w:tcPr>
            <w:tcW w:w="2801" w:type="dxa"/>
            <w:vAlign w:val="center"/>
          </w:tcPr>
          <w:p w14:paraId="1783BD2F" w14:textId="3D2D3503" w:rsidR="00E94B29" w:rsidRPr="001935D0" w:rsidRDefault="00E94B29" w:rsidP="00593711">
            <w:pPr>
              <w:jc w:val="both"/>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Индекс Всемирного банка (TheGlobal</w:t>
            </w:r>
            <w:r w:rsidR="00C30B7D">
              <w:rPr>
                <w:rFonts w:ascii="Times New Roman" w:eastAsia="Times New Roman" w:hAnsi="Times New Roman" w:cs="Times New Roman"/>
                <w:bCs/>
                <w:i/>
                <w:sz w:val="24"/>
                <w:szCs w:val="24"/>
                <w:lang w:val="kk-KZ" w:eastAsia="ru-RU"/>
              </w:rPr>
              <w:t xml:space="preserve"> </w:t>
            </w:r>
            <w:r w:rsidRPr="001935D0">
              <w:rPr>
                <w:rFonts w:ascii="Times New Roman" w:eastAsia="Times New Roman" w:hAnsi="Times New Roman" w:cs="Times New Roman"/>
                <w:bCs/>
                <w:i/>
                <w:sz w:val="24"/>
                <w:szCs w:val="24"/>
                <w:lang w:eastAsia="ru-RU"/>
              </w:rPr>
              <w:t>Economy), 2023</w:t>
            </w:r>
          </w:p>
        </w:tc>
        <w:tc>
          <w:tcPr>
            <w:tcW w:w="2551" w:type="dxa"/>
            <w:vAlign w:val="center"/>
          </w:tcPr>
          <w:p w14:paraId="33FD69B9"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–0,45 (в шкале от –2,5 до +2,5)</w:t>
            </w:r>
          </w:p>
        </w:tc>
        <w:tc>
          <w:tcPr>
            <w:tcW w:w="4247" w:type="dxa"/>
            <w:vAlign w:val="center"/>
          </w:tcPr>
          <w:p w14:paraId="1BCDBA26" w14:textId="63F15A9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Показатель слабее глобального сред</w:t>
            </w:r>
            <w:r w:rsidR="00C30B7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него (около –0,04), отражает ограни</w:t>
            </w:r>
            <w:r w:rsidR="00C30B7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ченную эффективность институтов</w:t>
            </w:r>
          </w:p>
        </w:tc>
      </w:tr>
      <w:tr w:rsidR="00E94B29" w:rsidRPr="001935D0" w14:paraId="3D4F797F" w14:textId="77777777" w:rsidTr="00C30B7D">
        <w:trPr>
          <w:jc w:val="center"/>
        </w:trPr>
        <w:tc>
          <w:tcPr>
            <w:tcW w:w="2801" w:type="dxa"/>
            <w:vAlign w:val="center"/>
          </w:tcPr>
          <w:p w14:paraId="27E27F3C" w14:textId="77777777" w:rsidR="00E94B29" w:rsidRPr="001935D0" w:rsidRDefault="00E94B29" w:rsidP="00593711">
            <w:pPr>
              <w:jc w:val="both"/>
              <w:rPr>
                <w:rFonts w:ascii="Times New Roman" w:eastAsia="Times New Roman" w:hAnsi="Times New Roman" w:cs="Times New Roman"/>
                <w:i/>
                <w:sz w:val="24"/>
                <w:szCs w:val="24"/>
                <w:lang w:val="en-US" w:eastAsia="ru-RU"/>
              </w:rPr>
            </w:pPr>
            <w:r w:rsidRPr="001935D0">
              <w:rPr>
                <w:rFonts w:ascii="Times New Roman" w:eastAsia="Times New Roman" w:hAnsi="Times New Roman" w:cs="Times New Roman"/>
                <w:bCs/>
                <w:i/>
                <w:sz w:val="24"/>
                <w:szCs w:val="24"/>
                <w:lang w:val="en-US" w:eastAsia="ru-RU"/>
              </w:rPr>
              <w:t>Human Rights &amp; Rule of Law Index, 2024</w:t>
            </w:r>
          </w:p>
        </w:tc>
        <w:tc>
          <w:tcPr>
            <w:tcW w:w="2551" w:type="dxa"/>
            <w:vAlign w:val="center"/>
          </w:tcPr>
          <w:p w14:paraId="3737F983"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6,8 (в шкале 0 = лучше, 10 = хуже)</w:t>
            </w:r>
          </w:p>
        </w:tc>
        <w:tc>
          <w:tcPr>
            <w:tcW w:w="4247" w:type="dxa"/>
            <w:vAlign w:val="center"/>
          </w:tcPr>
          <w:p w14:paraId="796BF2D3"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Сохраняется стабильность показателя, улучшения не зафиксированы</w:t>
            </w:r>
          </w:p>
        </w:tc>
      </w:tr>
      <w:tr w:rsidR="00E94B29" w:rsidRPr="001935D0" w14:paraId="76FF5040" w14:textId="77777777" w:rsidTr="00C30B7D">
        <w:trPr>
          <w:jc w:val="center"/>
        </w:trPr>
        <w:tc>
          <w:tcPr>
            <w:tcW w:w="2801" w:type="dxa"/>
            <w:vAlign w:val="center"/>
          </w:tcPr>
          <w:p w14:paraId="2CF4C5E5" w14:textId="77777777" w:rsidR="00E94B29" w:rsidRPr="001935D0" w:rsidRDefault="00E94B29" w:rsidP="00593711">
            <w:pPr>
              <w:jc w:val="both"/>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Freedom in the World, 2025</w:t>
            </w:r>
          </w:p>
        </w:tc>
        <w:tc>
          <w:tcPr>
            <w:tcW w:w="2551" w:type="dxa"/>
            <w:vAlign w:val="center"/>
          </w:tcPr>
          <w:p w14:paraId="4558A3FA"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Статус «Not Free»</w:t>
            </w:r>
          </w:p>
        </w:tc>
        <w:tc>
          <w:tcPr>
            <w:tcW w:w="4247" w:type="dxa"/>
            <w:vAlign w:val="center"/>
          </w:tcPr>
          <w:p w14:paraId="74979A17"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Freedom House классифицирует Казахстан как страну с существенно ограниченными гражданскими и политическими правами</w:t>
            </w:r>
          </w:p>
        </w:tc>
      </w:tr>
      <w:tr w:rsidR="00E94B29" w:rsidRPr="001935D0" w14:paraId="33AD5D56" w14:textId="77777777" w:rsidTr="00C30B7D">
        <w:trPr>
          <w:jc w:val="center"/>
        </w:trPr>
        <w:tc>
          <w:tcPr>
            <w:tcW w:w="2801" w:type="dxa"/>
            <w:vAlign w:val="center"/>
          </w:tcPr>
          <w:p w14:paraId="3BB696AB" w14:textId="3648EC5A" w:rsidR="00E94B29" w:rsidRPr="001935D0" w:rsidRDefault="00E94B29" w:rsidP="00593711">
            <w:pPr>
              <w:jc w:val="both"/>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Количество зарегистри</w:t>
            </w:r>
            <w:r w:rsidR="00C30B7D">
              <w:rPr>
                <w:rFonts w:ascii="Times New Roman" w:eastAsia="Times New Roman" w:hAnsi="Times New Roman" w:cs="Times New Roman"/>
                <w:bCs/>
                <w:i/>
                <w:sz w:val="24"/>
                <w:szCs w:val="24"/>
                <w:lang w:val="kk-KZ" w:eastAsia="ru-RU"/>
              </w:rPr>
              <w:t xml:space="preserve"> </w:t>
            </w:r>
            <w:r w:rsidRPr="001935D0">
              <w:rPr>
                <w:rFonts w:ascii="Times New Roman" w:eastAsia="Times New Roman" w:hAnsi="Times New Roman" w:cs="Times New Roman"/>
                <w:bCs/>
                <w:i/>
                <w:sz w:val="24"/>
                <w:szCs w:val="24"/>
                <w:lang w:eastAsia="ru-RU"/>
              </w:rPr>
              <w:t>рованных коррупцион</w:t>
            </w:r>
            <w:r w:rsidR="00C30B7D">
              <w:rPr>
                <w:rFonts w:ascii="Times New Roman" w:eastAsia="Times New Roman" w:hAnsi="Times New Roman" w:cs="Times New Roman"/>
                <w:bCs/>
                <w:i/>
                <w:sz w:val="24"/>
                <w:szCs w:val="24"/>
                <w:lang w:val="kk-KZ" w:eastAsia="ru-RU"/>
              </w:rPr>
              <w:t xml:space="preserve"> </w:t>
            </w:r>
            <w:r w:rsidRPr="001935D0">
              <w:rPr>
                <w:rFonts w:ascii="Times New Roman" w:eastAsia="Times New Roman" w:hAnsi="Times New Roman" w:cs="Times New Roman"/>
                <w:bCs/>
                <w:i/>
                <w:sz w:val="24"/>
                <w:szCs w:val="24"/>
                <w:lang w:eastAsia="ru-RU"/>
              </w:rPr>
              <w:t>ных преступлений, 2024</w:t>
            </w:r>
          </w:p>
        </w:tc>
        <w:tc>
          <w:tcPr>
            <w:tcW w:w="2551" w:type="dxa"/>
            <w:vAlign w:val="center"/>
          </w:tcPr>
          <w:p w14:paraId="66BEFBDB"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1 500 случаев</w:t>
            </w:r>
          </w:p>
        </w:tc>
        <w:tc>
          <w:tcPr>
            <w:tcW w:w="4247" w:type="dxa"/>
            <w:vAlign w:val="center"/>
          </w:tcPr>
          <w:p w14:paraId="47D0E350"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BTI отмечает, что коррупция остаётся системной проблемой, несмотря на рост выявляемости нарушений</w:t>
            </w:r>
          </w:p>
        </w:tc>
      </w:tr>
      <w:tr w:rsidR="00C30B7D" w:rsidRPr="001935D0" w14:paraId="0B1BEED7" w14:textId="77777777" w:rsidTr="00C30B7D">
        <w:trPr>
          <w:jc w:val="center"/>
        </w:trPr>
        <w:tc>
          <w:tcPr>
            <w:tcW w:w="9599" w:type="dxa"/>
            <w:gridSpan w:val="3"/>
            <w:vAlign w:val="center"/>
          </w:tcPr>
          <w:p w14:paraId="77080E5D" w14:textId="723AA5F0" w:rsidR="00C30B7D" w:rsidRPr="001935D0" w:rsidRDefault="009D7580" w:rsidP="00C30B7D">
            <w:pPr>
              <w:ind w:firstLine="61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uk-UA"/>
              </w:rPr>
              <w:t xml:space="preserve">Примечание – </w:t>
            </w:r>
            <w:r w:rsidRPr="001935D0">
              <w:rPr>
                <w:rFonts w:ascii="Times New Roman" w:eastAsia="Times New Roman" w:hAnsi="Times New Roman" w:cs="Times New Roman"/>
                <w:sz w:val="24"/>
                <w:szCs w:val="24"/>
                <w:lang w:eastAsia="uk-UA"/>
              </w:rPr>
              <w:t xml:space="preserve">Составлено автором по данным </w:t>
            </w:r>
            <w:r>
              <w:rPr>
                <w:rFonts w:ascii="Times New Roman" w:eastAsia="Times New Roman" w:hAnsi="Times New Roman" w:cs="Times New Roman"/>
                <w:sz w:val="24"/>
                <w:szCs w:val="24"/>
                <w:lang w:val="kk-KZ" w:eastAsia="uk-UA"/>
              </w:rPr>
              <w:t xml:space="preserve">источников </w:t>
            </w:r>
            <w:r w:rsidRPr="001935D0">
              <w:rPr>
                <w:rFonts w:ascii="Times New Roman" w:eastAsia="Times New Roman" w:hAnsi="Times New Roman" w:cs="Times New Roman"/>
                <w:sz w:val="24"/>
                <w:szCs w:val="24"/>
                <w:lang w:eastAsia="uk-UA"/>
              </w:rPr>
              <w:t>[</w:t>
            </w:r>
            <w:r w:rsidRPr="006A4DE5">
              <w:rPr>
                <w:rFonts w:ascii="Times New Roman" w:hAnsi="Times New Roman" w:cs="Times New Roman"/>
                <w:sz w:val="24"/>
                <w:szCs w:val="24"/>
                <w:lang w:val="kk-KZ"/>
              </w:rPr>
              <w:t>183; 184; 185; 186; 187; 188</w:t>
            </w:r>
            <w:r w:rsidRPr="001935D0">
              <w:rPr>
                <w:rFonts w:ascii="Times New Roman" w:eastAsia="Times New Roman" w:hAnsi="Times New Roman" w:cs="Times New Roman"/>
                <w:sz w:val="24"/>
                <w:szCs w:val="24"/>
                <w:lang w:eastAsia="uk-UA"/>
              </w:rPr>
              <w:t>]</w:t>
            </w:r>
          </w:p>
        </w:tc>
      </w:tr>
    </w:tbl>
    <w:p w14:paraId="1CE28DF3" w14:textId="6B112BC8" w:rsidR="00E94B29" w:rsidRPr="001935D0" w:rsidRDefault="00E94B29" w:rsidP="00593711">
      <w:pPr>
        <w:spacing w:after="0" w:line="240" w:lineRule="auto"/>
        <w:rPr>
          <w:rFonts w:ascii="Times New Roman" w:eastAsia="Times New Roman" w:hAnsi="Times New Roman" w:cs="Times New Roman"/>
          <w:sz w:val="24"/>
          <w:szCs w:val="24"/>
          <w:lang w:eastAsia="uk-UA"/>
        </w:rPr>
      </w:pPr>
    </w:p>
    <w:p w14:paraId="3A6C77B9" w14:textId="478CEE82" w:rsidR="00E94B29" w:rsidRPr="001935D0" w:rsidRDefault="00E94B29" w:rsidP="00C30B7D">
      <w:pPr>
        <w:pStyle w:val="NoSpacing"/>
        <w:ind w:firstLine="709"/>
        <w:jc w:val="both"/>
        <w:rPr>
          <w:rFonts w:ascii="Times New Roman" w:hAnsi="Times New Roman" w:cs="Times New Roman"/>
          <w:sz w:val="28"/>
          <w:szCs w:val="28"/>
          <w:lang w:eastAsia="uk-UA"/>
        </w:rPr>
      </w:pPr>
      <w:r w:rsidRPr="001935D0">
        <w:rPr>
          <w:rFonts w:ascii="Times New Roman" w:hAnsi="Times New Roman" w:cs="Times New Roman"/>
          <w:sz w:val="28"/>
          <w:szCs w:val="28"/>
          <w:lang w:eastAsia="uk-UA"/>
        </w:rPr>
        <w:t>Индекс восприятия коррупции (CPI), составляющий 40 пунктов, свидетельствует о сохранении системных проблем в сфере публичного управления. Несмотря на постепенное повышение значения индекса верховенства права (World Justice Project), уровень институциональной устойчивости правовой системы остаётся недостаточным для соответствия европейским стандартам. Негативные показатели компонента Rule of Law в международных базах данных указывают на сохраняющиеся ограничения независимости судебной власти и эффективности правоприменительных механизмов [1</w:t>
      </w:r>
      <w:r w:rsidR="006A4DE5">
        <w:rPr>
          <w:rFonts w:ascii="Times New Roman" w:hAnsi="Times New Roman" w:cs="Times New Roman"/>
          <w:sz w:val="28"/>
          <w:szCs w:val="28"/>
          <w:lang w:val="kk-KZ" w:eastAsia="uk-UA"/>
        </w:rPr>
        <w:t>86</w:t>
      </w:r>
      <w:r w:rsidRPr="001935D0">
        <w:rPr>
          <w:rFonts w:ascii="Times New Roman" w:hAnsi="Times New Roman" w:cs="Times New Roman"/>
          <w:sz w:val="28"/>
          <w:szCs w:val="28"/>
          <w:lang w:eastAsia="uk-UA"/>
        </w:rPr>
        <w:t>].</w:t>
      </w:r>
    </w:p>
    <w:p w14:paraId="6E39C2E1" w14:textId="11362504" w:rsidR="00E94B29" w:rsidRPr="001935D0" w:rsidRDefault="00E94B29" w:rsidP="00C30B7D">
      <w:pPr>
        <w:pStyle w:val="NoSpacing"/>
        <w:ind w:firstLine="709"/>
        <w:jc w:val="both"/>
        <w:rPr>
          <w:rFonts w:ascii="Times New Roman" w:hAnsi="Times New Roman" w:cs="Times New Roman"/>
          <w:sz w:val="28"/>
          <w:szCs w:val="28"/>
          <w:lang w:eastAsia="uk-UA"/>
        </w:rPr>
      </w:pPr>
      <w:r w:rsidRPr="001935D0">
        <w:rPr>
          <w:rFonts w:ascii="Times New Roman" w:hAnsi="Times New Roman" w:cs="Times New Roman"/>
          <w:sz w:val="28"/>
          <w:szCs w:val="28"/>
          <w:lang w:eastAsia="uk-UA"/>
        </w:rPr>
        <w:lastRenderedPageBreak/>
        <w:t>Статус Not Free, присвоенный Казахстану организацией Freedom House, отражает сохраняющееся сужение пространства политических прав и гражданских свобод. При этом высокая регистрация коррупционных преступлений демонстрирует двойственную тенденцию: с одной стороны, указывает на масштаб распространения коррупционных практик, с другой – подтверждает активизацию мер по их выявлению и фиксации со стороны правоохранительных органов [1</w:t>
      </w:r>
      <w:r w:rsidR="006A4DE5">
        <w:rPr>
          <w:rFonts w:ascii="Times New Roman" w:hAnsi="Times New Roman" w:cs="Times New Roman"/>
          <w:sz w:val="28"/>
          <w:szCs w:val="28"/>
          <w:lang w:val="kk-KZ" w:eastAsia="uk-UA"/>
        </w:rPr>
        <w:t>89</w:t>
      </w:r>
      <w:r w:rsidRPr="001935D0">
        <w:rPr>
          <w:rFonts w:ascii="Times New Roman" w:hAnsi="Times New Roman" w:cs="Times New Roman"/>
          <w:sz w:val="28"/>
          <w:szCs w:val="28"/>
          <w:lang w:eastAsia="uk-UA"/>
        </w:rPr>
        <w:t>].</w:t>
      </w:r>
    </w:p>
    <w:p w14:paraId="38F6274D" w14:textId="2D53B3EE" w:rsidR="00E94B29" w:rsidRPr="001935D0" w:rsidRDefault="00E94B29" w:rsidP="00C30B7D">
      <w:pPr>
        <w:pStyle w:val="NoSpacing"/>
        <w:ind w:firstLine="709"/>
        <w:jc w:val="both"/>
        <w:rPr>
          <w:rFonts w:ascii="Times New Roman" w:hAnsi="Times New Roman" w:cs="Times New Roman"/>
          <w:sz w:val="28"/>
          <w:szCs w:val="28"/>
          <w:lang w:eastAsia="uk-UA"/>
        </w:rPr>
      </w:pPr>
      <w:r w:rsidRPr="001935D0">
        <w:rPr>
          <w:rFonts w:ascii="Times New Roman" w:hAnsi="Times New Roman" w:cs="Times New Roman"/>
          <w:sz w:val="28"/>
          <w:szCs w:val="28"/>
          <w:lang w:eastAsia="uk-UA"/>
        </w:rPr>
        <w:t>Динамика международных индексов за 2021–2025 годы, представлена на рисунках 3.4</w:t>
      </w:r>
      <w:r w:rsidR="00C30B7D">
        <w:rPr>
          <w:rFonts w:ascii="Times New Roman" w:hAnsi="Times New Roman" w:cs="Times New Roman"/>
          <w:sz w:val="28"/>
          <w:szCs w:val="28"/>
          <w:lang w:val="kk-KZ" w:eastAsia="uk-UA"/>
        </w:rPr>
        <w:t xml:space="preserve">, 3.5, 3.6, </w:t>
      </w:r>
      <w:r w:rsidRPr="001935D0">
        <w:rPr>
          <w:rFonts w:ascii="Times New Roman" w:hAnsi="Times New Roman" w:cs="Times New Roman"/>
          <w:sz w:val="28"/>
          <w:szCs w:val="28"/>
          <w:lang w:eastAsia="uk-UA"/>
        </w:rPr>
        <w:t>3.7, позволяет проследить эволюцию Казахстана в контексте сближения с Копенгагенскими критериями и оценить устойчивость прогресса по направлениям верховенства права, транспарентности и защиты прав человека.</w:t>
      </w:r>
    </w:p>
    <w:p w14:paraId="564E8EA9" w14:textId="77777777" w:rsidR="00E94B29" w:rsidRPr="001935D0" w:rsidRDefault="00E94B29" w:rsidP="00593711">
      <w:pPr>
        <w:pStyle w:val="NoSpacing"/>
        <w:rPr>
          <w:rFonts w:ascii="Times New Roman" w:hAnsi="Times New Roman" w:cs="Times New Roman"/>
          <w:lang w:eastAsia="uk-UA"/>
        </w:rPr>
      </w:pPr>
    </w:p>
    <w:p w14:paraId="1EC3D37F" w14:textId="77777777" w:rsidR="00E94B29" w:rsidRPr="001935D0" w:rsidRDefault="00E94B29" w:rsidP="00C30B7D">
      <w:pPr>
        <w:pStyle w:val="NoSpacing"/>
        <w:jc w:val="center"/>
        <w:rPr>
          <w:rFonts w:ascii="Times New Roman" w:hAnsi="Times New Roman" w:cs="Times New Roman"/>
          <w:lang w:eastAsia="uk-UA"/>
        </w:rPr>
      </w:pPr>
      <w:r w:rsidRPr="001935D0">
        <w:rPr>
          <w:rFonts w:ascii="Times New Roman" w:hAnsi="Times New Roman" w:cs="Times New Roman"/>
          <w:noProof/>
          <w:sz w:val="24"/>
          <w:szCs w:val="24"/>
          <w:lang w:eastAsia="ru-RU"/>
        </w:rPr>
        <w:drawing>
          <wp:inline distT="0" distB="0" distL="0" distR="0" wp14:anchorId="6CA1A53C" wp14:editId="7F2A805B">
            <wp:extent cx="5974080" cy="2567614"/>
            <wp:effectExtent l="0" t="0" r="7620" b="4445"/>
            <wp:docPr id="4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1C8B2D87" w14:textId="77777777" w:rsidR="00C30B7D" w:rsidRPr="00C30B7D" w:rsidRDefault="00C30B7D" w:rsidP="00593711">
      <w:pPr>
        <w:spacing w:after="0" w:line="240" w:lineRule="auto"/>
        <w:ind w:left="720"/>
        <w:jc w:val="center"/>
        <w:rPr>
          <w:rFonts w:ascii="Times New Roman" w:eastAsia="Times New Roman" w:hAnsi="Times New Roman" w:cs="Times New Roman"/>
          <w:sz w:val="16"/>
          <w:szCs w:val="16"/>
          <w:lang w:val="kk-KZ" w:eastAsia="uk-UA"/>
        </w:rPr>
      </w:pPr>
    </w:p>
    <w:p w14:paraId="59956A67" w14:textId="3DF63F25" w:rsidR="00E94B29" w:rsidRPr="001935D0" w:rsidRDefault="00CE1D94" w:rsidP="00C30B7D">
      <w:pPr>
        <w:spacing w:after="0" w:line="240" w:lineRule="auto"/>
        <w:jc w:val="center"/>
        <w:rPr>
          <w:rFonts w:ascii="Times New Roman" w:eastAsia="Times New Roman" w:hAnsi="Times New Roman" w:cs="Times New Roman"/>
          <w:sz w:val="28"/>
          <w:szCs w:val="28"/>
          <w:lang w:eastAsia="uk-UA"/>
        </w:rPr>
      </w:pPr>
      <w:r w:rsidRPr="001935D0">
        <w:rPr>
          <w:rFonts w:ascii="Times New Roman" w:eastAsia="Times New Roman" w:hAnsi="Times New Roman" w:cs="Times New Roman"/>
          <w:sz w:val="28"/>
          <w:szCs w:val="28"/>
          <w:lang w:eastAsia="uk-UA"/>
        </w:rPr>
        <w:t>Рис</w:t>
      </w:r>
      <w:r w:rsidR="00C30B7D">
        <w:rPr>
          <w:rFonts w:ascii="Times New Roman" w:eastAsia="Times New Roman" w:hAnsi="Times New Roman" w:cs="Times New Roman"/>
          <w:sz w:val="28"/>
          <w:szCs w:val="28"/>
          <w:lang w:val="kk-KZ" w:eastAsia="uk-UA"/>
        </w:rPr>
        <w:t>унок</w:t>
      </w:r>
      <w:r w:rsidR="00E94B29" w:rsidRPr="001935D0">
        <w:rPr>
          <w:rFonts w:ascii="Times New Roman" w:eastAsia="Times New Roman" w:hAnsi="Times New Roman" w:cs="Times New Roman"/>
          <w:sz w:val="28"/>
          <w:szCs w:val="28"/>
          <w:lang w:eastAsia="uk-UA"/>
        </w:rPr>
        <w:t xml:space="preserve"> 3.4 </w:t>
      </w:r>
      <w:r w:rsidR="00C30B7D">
        <w:rPr>
          <w:rFonts w:ascii="Times New Roman" w:eastAsia="Times New Roman" w:hAnsi="Times New Roman" w:cs="Times New Roman"/>
          <w:sz w:val="28"/>
          <w:szCs w:val="28"/>
          <w:lang w:val="kk-KZ" w:eastAsia="uk-UA"/>
        </w:rPr>
        <w:t xml:space="preserve">– </w:t>
      </w:r>
      <w:r w:rsidR="00E94B29" w:rsidRPr="001935D0">
        <w:rPr>
          <w:rFonts w:ascii="Times New Roman" w:eastAsia="Times New Roman" w:hAnsi="Times New Roman" w:cs="Times New Roman"/>
          <w:sz w:val="28"/>
          <w:szCs w:val="28"/>
          <w:lang w:eastAsia="uk-UA"/>
        </w:rPr>
        <w:t xml:space="preserve">Индекс восприятия коррупции (CPI) за 2019-2024 год </w:t>
      </w:r>
    </w:p>
    <w:p w14:paraId="10812FB1" w14:textId="77777777" w:rsidR="00C30B7D" w:rsidRPr="00C30B7D" w:rsidRDefault="00C30B7D" w:rsidP="00593711">
      <w:pPr>
        <w:pStyle w:val="NoSpacing"/>
        <w:jc w:val="both"/>
        <w:rPr>
          <w:rFonts w:ascii="Times New Roman" w:hAnsi="Times New Roman" w:cs="Times New Roman"/>
          <w:sz w:val="16"/>
          <w:szCs w:val="16"/>
          <w:lang w:val="kk-KZ"/>
        </w:rPr>
      </w:pPr>
    </w:p>
    <w:p w14:paraId="541FE542" w14:textId="279F23CD" w:rsidR="00E94B29" w:rsidRPr="001935D0" w:rsidRDefault="00C30B7D" w:rsidP="00C30B7D">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w:t>
      </w:r>
      <w:r w:rsidR="00E94B29" w:rsidRPr="001935D0">
        <w:rPr>
          <w:rFonts w:ascii="Times New Roman" w:hAnsi="Times New Roman" w:cs="Times New Roman"/>
          <w:sz w:val="24"/>
          <w:szCs w:val="24"/>
        </w:rPr>
        <w:t xml:space="preserve">автором по данным </w:t>
      </w:r>
      <w:r>
        <w:rPr>
          <w:rFonts w:ascii="Times New Roman" w:hAnsi="Times New Roman" w:cs="Times New Roman"/>
          <w:sz w:val="24"/>
          <w:szCs w:val="24"/>
          <w:lang w:val="kk-KZ"/>
        </w:rPr>
        <w:t xml:space="preserve">источников </w:t>
      </w:r>
      <w:r w:rsidR="00E94B29" w:rsidRPr="001935D0">
        <w:rPr>
          <w:rFonts w:ascii="Times New Roman" w:hAnsi="Times New Roman" w:cs="Times New Roman"/>
          <w:sz w:val="24"/>
          <w:szCs w:val="24"/>
        </w:rPr>
        <w:t>[</w:t>
      </w:r>
      <w:r>
        <w:rPr>
          <w:rFonts w:ascii="Times New Roman" w:hAnsi="Times New Roman" w:cs="Times New Roman"/>
          <w:sz w:val="24"/>
          <w:szCs w:val="24"/>
          <w:lang w:val="kk-KZ"/>
        </w:rPr>
        <w:t>1</w:t>
      </w:r>
      <w:r w:rsidR="006A4DE5">
        <w:rPr>
          <w:rFonts w:ascii="Times New Roman" w:hAnsi="Times New Roman" w:cs="Times New Roman"/>
          <w:sz w:val="24"/>
          <w:szCs w:val="24"/>
          <w:lang w:val="kk-KZ"/>
        </w:rPr>
        <w:t>68;</w:t>
      </w:r>
      <w:r>
        <w:rPr>
          <w:rFonts w:ascii="Times New Roman" w:hAnsi="Times New Roman" w:cs="Times New Roman"/>
          <w:sz w:val="24"/>
          <w:szCs w:val="24"/>
          <w:lang w:val="kk-KZ"/>
        </w:rPr>
        <w:t xml:space="preserve"> </w:t>
      </w:r>
      <w:r w:rsidR="00E94B29" w:rsidRPr="001935D0">
        <w:rPr>
          <w:rFonts w:ascii="Times New Roman" w:hAnsi="Times New Roman" w:cs="Times New Roman"/>
          <w:sz w:val="24"/>
          <w:szCs w:val="24"/>
        </w:rPr>
        <w:t>18</w:t>
      </w:r>
      <w:r w:rsidR="006A4DE5">
        <w:rPr>
          <w:rFonts w:ascii="Times New Roman" w:hAnsi="Times New Roman" w:cs="Times New Roman"/>
          <w:sz w:val="24"/>
          <w:szCs w:val="24"/>
          <w:lang w:val="kk-KZ"/>
        </w:rPr>
        <w:t>4</w:t>
      </w:r>
      <w:r w:rsidR="00E94B29" w:rsidRPr="001935D0">
        <w:rPr>
          <w:rFonts w:ascii="Times New Roman" w:hAnsi="Times New Roman" w:cs="Times New Roman"/>
          <w:sz w:val="24"/>
          <w:szCs w:val="24"/>
        </w:rPr>
        <w:t>]</w:t>
      </w:r>
    </w:p>
    <w:p w14:paraId="66AAE7C5" w14:textId="77777777" w:rsidR="00E94B29" w:rsidRPr="001935D0" w:rsidRDefault="00E94B29" w:rsidP="00593711">
      <w:pPr>
        <w:pStyle w:val="NoSpacing"/>
        <w:ind w:firstLine="567"/>
        <w:jc w:val="both"/>
        <w:rPr>
          <w:rFonts w:ascii="Times New Roman" w:hAnsi="Times New Roman" w:cs="Times New Roman"/>
          <w:sz w:val="28"/>
          <w:szCs w:val="28"/>
          <w:lang w:eastAsia="ru-RU"/>
        </w:rPr>
      </w:pPr>
    </w:p>
    <w:p w14:paraId="458A65C1" w14:textId="77777777" w:rsidR="00E94B29" w:rsidRPr="001935D0" w:rsidRDefault="00E94B29" w:rsidP="00C30B7D">
      <w:pPr>
        <w:spacing w:after="0" w:line="240" w:lineRule="auto"/>
        <w:jc w:val="center"/>
        <w:rPr>
          <w:rFonts w:ascii="Times New Roman" w:eastAsia="Times New Roman" w:hAnsi="Times New Roman" w:cs="Times New Roman"/>
          <w:sz w:val="24"/>
          <w:szCs w:val="24"/>
          <w:lang w:eastAsia="uk-UA"/>
        </w:rPr>
      </w:pPr>
      <w:r w:rsidRPr="001935D0">
        <w:rPr>
          <w:rFonts w:ascii="Times New Roman" w:eastAsia="Times New Roman" w:hAnsi="Times New Roman" w:cs="Times New Roman"/>
          <w:noProof/>
          <w:sz w:val="24"/>
          <w:szCs w:val="24"/>
          <w:lang w:eastAsia="ru-RU"/>
        </w:rPr>
        <w:drawing>
          <wp:inline distT="0" distB="0" distL="0" distR="0" wp14:anchorId="7245E712" wp14:editId="1F8AA4BC">
            <wp:extent cx="5575300" cy="2765337"/>
            <wp:effectExtent l="0" t="0" r="6350" b="0"/>
            <wp:docPr id="4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24DE902C" w14:textId="77777777" w:rsidR="00C30B7D" w:rsidRPr="00C30B7D" w:rsidRDefault="00C30B7D" w:rsidP="00593711">
      <w:pPr>
        <w:spacing w:after="0" w:line="240" w:lineRule="auto"/>
        <w:ind w:left="720"/>
        <w:jc w:val="center"/>
        <w:rPr>
          <w:rFonts w:ascii="Times New Roman" w:eastAsia="Times New Roman" w:hAnsi="Times New Roman" w:cs="Times New Roman"/>
          <w:sz w:val="16"/>
          <w:szCs w:val="16"/>
          <w:lang w:val="kk-KZ" w:eastAsia="uk-UA"/>
        </w:rPr>
      </w:pPr>
    </w:p>
    <w:p w14:paraId="696E7A3F" w14:textId="069C020C" w:rsidR="00E94B29" w:rsidRPr="00C30B7D" w:rsidRDefault="00E94B29" w:rsidP="00C30B7D">
      <w:pPr>
        <w:spacing w:after="0" w:line="240" w:lineRule="auto"/>
        <w:jc w:val="center"/>
        <w:rPr>
          <w:rFonts w:ascii="Times New Roman" w:eastAsia="Times New Roman" w:hAnsi="Times New Roman" w:cs="Times New Roman"/>
          <w:sz w:val="28"/>
          <w:szCs w:val="28"/>
          <w:lang w:val="kk-KZ" w:eastAsia="uk-UA"/>
        </w:rPr>
      </w:pPr>
      <w:r w:rsidRPr="001935D0">
        <w:rPr>
          <w:rFonts w:ascii="Times New Roman" w:eastAsia="Times New Roman" w:hAnsi="Times New Roman" w:cs="Times New Roman"/>
          <w:sz w:val="28"/>
          <w:szCs w:val="28"/>
          <w:lang w:eastAsia="uk-UA"/>
        </w:rPr>
        <w:t>Рис</w:t>
      </w:r>
      <w:r w:rsidR="00C30B7D">
        <w:rPr>
          <w:rFonts w:ascii="Times New Roman" w:eastAsia="Times New Roman" w:hAnsi="Times New Roman" w:cs="Times New Roman"/>
          <w:sz w:val="28"/>
          <w:szCs w:val="28"/>
          <w:lang w:val="kk-KZ" w:eastAsia="uk-UA"/>
        </w:rPr>
        <w:t>унок</w:t>
      </w:r>
      <w:r w:rsidRPr="001935D0">
        <w:rPr>
          <w:rFonts w:ascii="Times New Roman" w:eastAsia="Times New Roman" w:hAnsi="Times New Roman" w:cs="Times New Roman"/>
          <w:sz w:val="28"/>
          <w:szCs w:val="28"/>
          <w:lang w:val="en-US" w:eastAsia="uk-UA"/>
        </w:rPr>
        <w:t xml:space="preserve"> 3.5 </w:t>
      </w:r>
      <w:r w:rsidR="00C30B7D">
        <w:rPr>
          <w:rFonts w:ascii="Times New Roman" w:eastAsia="Times New Roman" w:hAnsi="Times New Roman" w:cs="Times New Roman"/>
          <w:sz w:val="28"/>
          <w:szCs w:val="28"/>
          <w:lang w:val="kk-KZ" w:eastAsia="uk-UA"/>
        </w:rPr>
        <w:t xml:space="preserve">– </w:t>
      </w:r>
      <w:r w:rsidRPr="001935D0">
        <w:rPr>
          <w:rFonts w:ascii="Times New Roman" w:eastAsia="Times New Roman" w:hAnsi="Times New Roman" w:cs="Times New Roman"/>
          <w:sz w:val="28"/>
          <w:szCs w:val="28"/>
          <w:lang w:val="en-US" w:eastAsia="uk-UA"/>
        </w:rPr>
        <w:t xml:space="preserve">Rule of Law Index (WJP) 2021-2024 </w:t>
      </w:r>
      <w:r w:rsidRPr="001935D0">
        <w:rPr>
          <w:rFonts w:ascii="Times New Roman" w:eastAsia="Times New Roman" w:hAnsi="Times New Roman" w:cs="Times New Roman"/>
          <w:sz w:val="28"/>
          <w:szCs w:val="28"/>
          <w:lang w:eastAsia="uk-UA"/>
        </w:rPr>
        <w:t>год</w:t>
      </w:r>
      <w:r w:rsidR="00C30B7D">
        <w:rPr>
          <w:rFonts w:ascii="Times New Roman" w:eastAsia="Times New Roman" w:hAnsi="Times New Roman" w:cs="Times New Roman"/>
          <w:sz w:val="28"/>
          <w:szCs w:val="28"/>
          <w:lang w:val="en-US" w:eastAsia="uk-UA"/>
        </w:rPr>
        <w:t xml:space="preserve"> </w:t>
      </w:r>
    </w:p>
    <w:p w14:paraId="094DB397" w14:textId="77777777" w:rsidR="00C30B7D" w:rsidRPr="00C30B7D" w:rsidRDefault="00C30B7D" w:rsidP="00593711">
      <w:pPr>
        <w:pStyle w:val="NoSpacing"/>
        <w:jc w:val="both"/>
        <w:rPr>
          <w:rFonts w:ascii="Times New Roman" w:hAnsi="Times New Roman" w:cs="Times New Roman"/>
          <w:sz w:val="16"/>
          <w:szCs w:val="16"/>
          <w:lang w:val="en-US"/>
        </w:rPr>
      </w:pPr>
    </w:p>
    <w:p w14:paraId="7237D4CD" w14:textId="77777777" w:rsidR="009D7580" w:rsidRPr="001935D0" w:rsidRDefault="009D7580" w:rsidP="009D7580">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lastRenderedPageBreak/>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Pr>
          <w:rFonts w:ascii="Times New Roman" w:hAnsi="Times New Roman" w:cs="Times New Roman"/>
          <w:sz w:val="24"/>
          <w:szCs w:val="24"/>
          <w:lang w:val="kk-KZ"/>
        </w:rPr>
        <w:t xml:space="preserve">170; </w:t>
      </w:r>
      <w:r w:rsidRPr="001935D0">
        <w:rPr>
          <w:rFonts w:ascii="Times New Roman" w:hAnsi="Times New Roman" w:cs="Times New Roman"/>
          <w:sz w:val="24"/>
          <w:szCs w:val="24"/>
        </w:rPr>
        <w:t>1</w:t>
      </w:r>
      <w:r>
        <w:rPr>
          <w:rFonts w:ascii="Times New Roman" w:hAnsi="Times New Roman" w:cs="Times New Roman"/>
          <w:sz w:val="24"/>
          <w:szCs w:val="24"/>
          <w:lang w:val="kk-KZ"/>
        </w:rPr>
        <w:t xml:space="preserve">85; </w:t>
      </w:r>
      <w:r w:rsidRPr="001935D0">
        <w:rPr>
          <w:rFonts w:ascii="Times New Roman" w:hAnsi="Times New Roman" w:cs="Times New Roman"/>
          <w:sz w:val="24"/>
          <w:szCs w:val="24"/>
        </w:rPr>
        <w:t>1</w:t>
      </w:r>
      <w:r>
        <w:rPr>
          <w:rFonts w:ascii="Times New Roman" w:hAnsi="Times New Roman" w:cs="Times New Roman"/>
          <w:sz w:val="24"/>
          <w:szCs w:val="24"/>
          <w:lang w:val="kk-KZ"/>
        </w:rPr>
        <w:t>86</w:t>
      </w:r>
      <w:r w:rsidRPr="001935D0">
        <w:rPr>
          <w:rFonts w:ascii="Times New Roman" w:hAnsi="Times New Roman" w:cs="Times New Roman"/>
          <w:sz w:val="24"/>
          <w:szCs w:val="24"/>
        </w:rPr>
        <w:t>]</w:t>
      </w:r>
    </w:p>
    <w:p w14:paraId="238849A5" w14:textId="77777777" w:rsidR="00E94B29" w:rsidRPr="001935D0" w:rsidRDefault="00E94B29" w:rsidP="00593711">
      <w:pPr>
        <w:pStyle w:val="NoSpacing"/>
        <w:ind w:firstLine="567"/>
        <w:jc w:val="both"/>
        <w:rPr>
          <w:rFonts w:ascii="Times New Roman" w:hAnsi="Times New Roman" w:cs="Times New Roman"/>
          <w:sz w:val="28"/>
          <w:szCs w:val="28"/>
          <w:lang w:eastAsia="ru-RU"/>
        </w:rPr>
      </w:pPr>
    </w:p>
    <w:p w14:paraId="3E7DF74A" w14:textId="77777777" w:rsidR="00E94B29" w:rsidRPr="001935D0" w:rsidRDefault="00E94B29" w:rsidP="00C30B7D">
      <w:pPr>
        <w:spacing w:after="0" w:line="240" w:lineRule="auto"/>
        <w:jc w:val="center"/>
        <w:rPr>
          <w:rFonts w:ascii="Times New Roman" w:eastAsia="Times New Roman" w:hAnsi="Times New Roman" w:cs="Times New Roman"/>
          <w:sz w:val="24"/>
          <w:szCs w:val="24"/>
          <w:lang w:eastAsia="uk-UA"/>
        </w:rPr>
      </w:pPr>
      <w:r w:rsidRPr="001935D0">
        <w:rPr>
          <w:rFonts w:ascii="Times New Roman" w:eastAsia="Times New Roman" w:hAnsi="Times New Roman" w:cs="Times New Roman"/>
          <w:noProof/>
          <w:sz w:val="24"/>
          <w:szCs w:val="24"/>
          <w:lang w:eastAsia="ru-RU"/>
        </w:rPr>
        <w:drawing>
          <wp:inline distT="0" distB="0" distL="0" distR="0" wp14:anchorId="724EACD7" wp14:editId="25003055">
            <wp:extent cx="5524500" cy="3041650"/>
            <wp:effectExtent l="0" t="0" r="0" b="6350"/>
            <wp:docPr id="43" name="Діагра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134AFF27" w14:textId="77777777" w:rsidR="00C30B7D" w:rsidRPr="00C30B7D" w:rsidRDefault="00C30B7D" w:rsidP="00593711">
      <w:pPr>
        <w:spacing w:after="0" w:line="240" w:lineRule="auto"/>
        <w:ind w:left="720"/>
        <w:jc w:val="center"/>
        <w:rPr>
          <w:rFonts w:ascii="Times New Roman" w:eastAsia="Times New Roman" w:hAnsi="Times New Roman" w:cs="Times New Roman"/>
          <w:sz w:val="16"/>
          <w:szCs w:val="16"/>
          <w:lang w:val="kk-KZ" w:eastAsia="uk-UA"/>
        </w:rPr>
      </w:pPr>
    </w:p>
    <w:p w14:paraId="01849C24" w14:textId="44695F8A" w:rsidR="00E94B29" w:rsidRPr="00C30B7D" w:rsidRDefault="00E94B29" w:rsidP="00593711">
      <w:pPr>
        <w:spacing w:after="0" w:line="240" w:lineRule="auto"/>
        <w:ind w:left="720"/>
        <w:jc w:val="center"/>
        <w:rPr>
          <w:rFonts w:ascii="Times New Roman" w:hAnsi="Times New Roman" w:cs="Times New Roman"/>
          <w:sz w:val="28"/>
          <w:szCs w:val="28"/>
          <w:lang w:val="kk-KZ"/>
        </w:rPr>
      </w:pPr>
      <w:r w:rsidRPr="001935D0">
        <w:rPr>
          <w:rFonts w:ascii="Times New Roman" w:eastAsia="Times New Roman" w:hAnsi="Times New Roman" w:cs="Times New Roman"/>
          <w:sz w:val="28"/>
          <w:szCs w:val="28"/>
          <w:lang w:eastAsia="uk-UA"/>
        </w:rPr>
        <w:t>Рис</w:t>
      </w:r>
      <w:r w:rsidR="00C30B7D">
        <w:rPr>
          <w:rFonts w:ascii="Times New Roman" w:eastAsia="Times New Roman" w:hAnsi="Times New Roman" w:cs="Times New Roman"/>
          <w:sz w:val="28"/>
          <w:szCs w:val="28"/>
          <w:lang w:val="kk-KZ" w:eastAsia="uk-UA"/>
        </w:rPr>
        <w:t>унок</w:t>
      </w:r>
      <w:r w:rsidRPr="001935D0">
        <w:rPr>
          <w:rFonts w:ascii="Times New Roman" w:eastAsia="Times New Roman" w:hAnsi="Times New Roman" w:cs="Times New Roman"/>
          <w:sz w:val="28"/>
          <w:szCs w:val="28"/>
          <w:lang w:val="en-US" w:eastAsia="uk-UA"/>
        </w:rPr>
        <w:t xml:space="preserve"> 3.6</w:t>
      </w:r>
      <w:r w:rsidRPr="001935D0">
        <w:rPr>
          <w:rFonts w:ascii="Times New Roman" w:eastAsia="Times New Roman" w:hAnsi="Times New Roman" w:cs="Times New Roman"/>
          <w:sz w:val="24"/>
          <w:szCs w:val="24"/>
          <w:lang w:val="en-US" w:eastAsia="uk-UA"/>
        </w:rPr>
        <w:t xml:space="preserve"> </w:t>
      </w:r>
      <w:r w:rsidR="00C30B7D">
        <w:rPr>
          <w:rFonts w:ascii="Times New Roman" w:eastAsia="Times New Roman" w:hAnsi="Times New Roman" w:cs="Times New Roman"/>
          <w:sz w:val="24"/>
          <w:szCs w:val="24"/>
          <w:lang w:val="kk-KZ" w:eastAsia="uk-UA"/>
        </w:rPr>
        <w:t xml:space="preserve">– </w:t>
      </w:r>
      <w:r w:rsidRPr="001935D0">
        <w:rPr>
          <w:rFonts w:ascii="Times New Roman" w:hAnsi="Times New Roman" w:cs="Times New Roman"/>
          <w:sz w:val="28"/>
          <w:szCs w:val="28"/>
          <w:lang w:val="en-US"/>
        </w:rPr>
        <w:t xml:space="preserve">Freedom in the World </w:t>
      </w:r>
      <w:r w:rsidRPr="001935D0">
        <w:rPr>
          <w:rFonts w:ascii="Times New Roman" w:hAnsi="Times New Roman" w:cs="Times New Roman"/>
          <w:sz w:val="28"/>
          <w:szCs w:val="28"/>
        </w:rPr>
        <w:t>за</w:t>
      </w:r>
      <w:r w:rsidRPr="001935D0">
        <w:rPr>
          <w:rFonts w:ascii="Times New Roman" w:hAnsi="Times New Roman" w:cs="Times New Roman"/>
          <w:sz w:val="28"/>
          <w:szCs w:val="28"/>
          <w:lang w:val="en-US"/>
        </w:rPr>
        <w:t xml:space="preserve"> 2021-2025 </w:t>
      </w:r>
      <w:r w:rsidRPr="001935D0">
        <w:rPr>
          <w:rFonts w:ascii="Times New Roman" w:hAnsi="Times New Roman" w:cs="Times New Roman"/>
          <w:sz w:val="28"/>
          <w:szCs w:val="28"/>
        </w:rPr>
        <w:t>г</w:t>
      </w:r>
      <w:r w:rsidR="00C30B7D">
        <w:rPr>
          <w:rFonts w:ascii="Times New Roman" w:hAnsi="Times New Roman" w:cs="Times New Roman"/>
          <w:sz w:val="28"/>
          <w:szCs w:val="28"/>
          <w:lang w:val="kk-KZ"/>
        </w:rPr>
        <w:t>оды</w:t>
      </w:r>
    </w:p>
    <w:p w14:paraId="3F2B3F94" w14:textId="77777777" w:rsidR="00C30B7D" w:rsidRPr="00C30B7D" w:rsidRDefault="00C30B7D" w:rsidP="00593711">
      <w:pPr>
        <w:pStyle w:val="NoSpacing"/>
        <w:jc w:val="both"/>
        <w:rPr>
          <w:rFonts w:ascii="Times New Roman" w:hAnsi="Times New Roman" w:cs="Times New Roman"/>
          <w:sz w:val="16"/>
          <w:szCs w:val="16"/>
          <w:lang w:val="kk-KZ"/>
        </w:rPr>
      </w:pPr>
    </w:p>
    <w:p w14:paraId="26F03F7A" w14:textId="77777777" w:rsidR="009D7580" w:rsidRPr="001935D0" w:rsidRDefault="009D7580" w:rsidP="009D7580">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Pr>
          <w:rFonts w:ascii="Times New Roman" w:hAnsi="Times New Roman" w:cs="Times New Roman"/>
          <w:sz w:val="24"/>
          <w:szCs w:val="24"/>
          <w:lang w:val="kk-KZ"/>
        </w:rPr>
        <w:t xml:space="preserve">171; </w:t>
      </w:r>
      <w:r w:rsidRPr="001935D0">
        <w:rPr>
          <w:rFonts w:ascii="Times New Roman" w:hAnsi="Times New Roman" w:cs="Times New Roman"/>
          <w:sz w:val="24"/>
          <w:szCs w:val="24"/>
        </w:rPr>
        <w:t>1</w:t>
      </w:r>
      <w:r>
        <w:rPr>
          <w:rFonts w:ascii="Times New Roman" w:hAnsi="Times New Roman" w:cs="Times New Roman"/>
          <w:sz w:val="24"/>
          <w:szCs w:val="24"/>
          <w:lang w:val="kk-KZ"/>
        </w:rPr>
        <w:t>87</w:t>
      </w:r>
      <w:r w:rsidRPr="001935D0">
        <w:rPr>
          <w:rFonts w:ascii="Times New Roman" w:hAnsi="Times New Roman" w:cs="Times New Roman"/>
          <w:sz w:val="24"/>
          <w:szCs w:val="24"/>
        </w:rPr>
        <w:t>]</w:t>
      </w:r>
    </w:p>
    <w:p w14:paraId="1C97ECE0" w14:textId="77777777" w:rsidR="00E94B29" w:rsidRPr="001935D0" w:rsidRDefault="00E94B29" w:rsidP="007916E1">
      <w:pPr>
        <w:spacing w:after="0" w:line="240" w:lineRule="auto"/>
        <w:ind w:left="426"/>
        <w:jc w:val="center"/>
        <w:rPr>
          <w:rFonts w:ascii="Times New Roman" w:hAnsi="Times New Roman" w:cs="Times New Roman"/>
          <w:sz w:val="28"/>
          <w:szCs w:val="28"/>
        </w:rPr>
      </w:pPr>
      <w:r w:rsidRPr="001935D0">
        <w:rPr>
          <w:rFonts w:ascii="Times New Roman" w:hAnsi="Times New Roman" w:cs="Times New Roman"/>
          <w:noProof/>
          <w:sz w:val="28"/>
          <w:szCs w:val="28"/>
          <w:lang w:eastAsia="ru-RU"/>
        </w:rPr>
        <w:drawing>
          <wp:inline distT="0" distB="0" distL="0" distR="0" wp14:anchorId="558C3B01" wp14:editId="6476C6AA">
            <wp:extent cx="5486400" cy="3200400"/>
            <wp:effectExtent l="0" t="0" r="0" b="0"/>
            <wp:docPr id="44"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5570AB4C" w14:textId="77777777" w:rsidR="00C30B7D" w:rsidRPr="007916E1" w:rsidRDefault="00C30B7D" w:rsidP="00593711">
      <w:pPr>
        <w:spacing w:after="0" w:line="240" w:lineRule="auto"/>
        <w:ind w:left="720"/>
        <w:jc w:val="center"/>
        <w:rPr>
          <w:rFonts w:ascii="Times New Roman" w:eastAsia="Times New Roman" w:hAnsi="Times New Roman" w:cs="Times New Roman"/>
          <w:sz w:val="16"/>
          <w:szCs w:val="16"/>
          <w:lang w:val="kk-KZ" w:eastAsia="uk-UA"/>
        </w:rPr>
      </w:pPr>
    </w:p>
    <w:p w14:paraId="0B66FF81" w14:textId="06E042FE" w:rsidR="00E94B29" w:rsidRPr="007916E1" w:rsidRDefault="00E94B29" w:rsidP="007916E1">
      <w:pPr>
        <w:spacing w:after="0" w:line="240" w:lineRule="auto"/>
        <w:jc w:val="center"/>
        <w:rPr>
          <w:rFonts w:ascii="Times New Roman" w:eastAsia="Times New Roman" w:hAnsi="Times New Roman" w:cs="Times New Roman"/>
          <w:sz w:val="28"/>
          <w:szCs w:val="28"/>
          <w:lang w:val="kk-KZ" w:eastAsia="uk-UA"/>
        </w:rPr>
      </w:pPr>
      <w:r w:rsidRPr="001935D0">
        <w:rPr>
          <w:rFonts w:ascii="Times New Roman" w:eastAsia="Times New Roman" w:hAnsi="Times New Roman" w:cs="Times New Roman"/>
          <w:sz w:val="28"/>
          <w:szCs w:val="28"/>
          <w:lang w:eastAsia="uk-UA"/>
        </w:rPr>
        <w:t>Рис</w:t>
      </w:r>
      <w:r w:rsidR="007916E1">
        <w:rPr>
          <w:rFonts w:ascii="Times New Roman" w:eastAsia="Times New Roman" w:hAnsi="Times New Roman" w:cs="Times New Roman"/>
          <w:sz w:val="28"/>
          <w:szCs w:val="28"/>
          <w:lang w:val="kk-KZ" w:eastAsia="uk-UA"/>
        </w:rPr>
        <w:t>унок</w:t>
      </w:r>
      <w:r w:rsidRPr="001935D0">
        <w:rPr>
          <w:rFonts w:ascii="Times New Roman" w:eastAsia="Times New Roman" w:hAnsi="Times New Roman" w:cs="Times New Roman"/>
          <w:sz w:val="28"/>
          <w:szCs w:val="28"/>
          <w:lang w:eastAsia="uk-UA"/>
        </w:rPr>
        <w:t xml:space="preserve"> 3.7 </w:t>
      </w:r>
      <w:r w:rsidR="007916E1">
        <w:rPr>
          <w:rFonts w:ascii="Times New Roman" w:eastAsia="Times New Roman" w:hAnsi="Times New Roman" w:cs="Times New Roman"/>
          <w:sz w:val="28"/>
          <w:szCs w:val="28"/>
          <w:lang w:val="kk-KZ" w:eastAsia="uk-UA"/>
        </w:rPr>
        <w:t xml:space="preserve">– </w:t>
      </w:r>
      <w:r w:rsidRPr="001935D0">
        <w:rPr>
          <w:rFonts w:ascii="Times New Roman" w:eastAsia="Times New Roman" w:hAnsi="Times New Roman" w:cs="Times New Roman"/>
          <w:sz w:val="28"/>
          <w:szCs w:val="28"/>
          <w:lang w:eastAsia="uk-UA"/>
        </w:rPr>
        <w:t>Индекс эк</w:t>
      </w:r>
      <w:r w:rsidR="007916E1">
        <w:rPr>
          <w:rFonts w:ascii="Times New Roman" w:eastAsia="Times New Roman" w:hAnsi="Times New Roman" w:cs="Times New Roman"/>
          <w:sz w:val="28"/>
          <w:szCs w:val="28"/>
          <w:lang w:eastAsia="uk-UA"/>
        </w:rPr>
        <w:t>ономической свободы 2021-2025 г</w:t>
      </w:r>
      <w:r w:rsidR="007916E1">
        <w:rPr>
          <w:rFonts w:ascii="Times New Roman" w:eastAsia="Times New Roman" w:hAnsi="Times New Roman" w:cs="Times New Roman"/>
          <w:sz w:val="28"/>
          <w:szCs w:val="28"/>
          <w:lang w:val="kk-KZ" w:eastAsia="uk-UA"/>
        </w:rPr>
        <w:t>оды</w:t>
      </w:r>
    </w:p>
    <w:p w14:paraId="18619570" w14:textId="77777777" w:rsidR="007916E1" w:rsidRPr="00C30B7D" w:rsidRDefault="007916E1" w:rsidP="007916E1">
      <w:pPr>
        <w:pStyle w:val="NoSpacing"/>
        <w:jc w:val="both"/>
        <w:rPr>
          <w:rFonts w:ascii="Times New Roman" w:hAnsi="Times New Roman" w:cs="Times New Roman"/>
          <w:sz w:val="16"/>
          <w:szCs w:val="16"/>
          <w:lang w:val="kk-KZ"/>
        </w:rPr>
      </w:pPr>
    </w:p>
    <w:p w14:paraId="3B0B1C2E" w14:textId="77777777" w:rsidR="009D7580" w:rsidRPr="001935D0" w:rsidRDefault="009D7580" w:rsidP="009D7580">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Pr>
          <w:rFonts w:ascii="Times New Roman" w:hAnsi="Times New Roman" w:cs="Times New Roman"/>
          <w:sz w:val="24"/>
          <w:szCs w:val="24"/>
          <w:lang w:val="kk-KZ"/>
        </w:rPr>
        <w:t xml:space="preserve">173; </w:t>
      </w:r>
      <w:r w:rsidRPr="001935D0">
        <w:rPr>
          <w:rFonts w:ascii="Times New Roman" w:hAnsi="Times New Roman" w:cs="Times New Roman"/>
          <w:sz w:val="24"/>
          <w:szCs w:val="24"/>
        </w:rPr>
        <w:t>19</w:t>
      </w:r>
      <w:r>
        <w:rPr>
          <w:rFonts w:ascii="Times New Roman" w:hAnsi="Times New Roman" w:cs="Times New Roman"/>
          <w:sz w:val="24"/>
          <w:szCs w:val="24"/>
          <w:lang w:val="kk-KZ"/>
        </w:rPr>
        <w:t>0</w:t>
      </w:r>
      <w:r w:rsidRPr="001935D0">
        <w:rPr>
          <w:rFonts w:ascii="Times New Roman" w:hAnsi="Times New Roman" w:cs="Times New Roman"/>
          <w:sz w:val="24"/>
          <w:szCs w:val="24"/>
        </w:rPr>
        <w:t>]</w:t>
      </w:r>
    </w:p>
    <w:p w14:paraId="7907B801" w14:textId="77777777" w:rsidR="00E94B29" w:rsidRPr="001935D0" w:rsidRDefault="00E94B29" w:rsidP="00593711">
      <w:pPr>
        <w:pStyle w:val="NoSpacing"/>
        <w:rPr>
          <w:rFonts w:ascii="Times New Roman" w:hAnsi="Times New Roman" w:cs="Times New Roman"/>
          <w:lang w:eastAsia="uk-UA"/>
        </w:rPr>
      </w:pPr>
    </w:p>
    <w:p w14:paraId="382AEC35" w14:textId="2CA53DEA" w:rsidR="00E94B29" w:rsidRPr="001935D0" w:rsidRDefault="00E94B29" w:rsidP="007916E1">
      <w:pPr>
        <w:pStyle w:val="NoSpacing"/>
        <w:ind w:firstLine="709"/>
        <w:jc w:val="both"/>
        <w:rPr>
          <w:rFonts w:ascii="Times New Roman" w:hAnsi="Times New Roman" w:cs="Times New Roman"/>
          <w:sz w:val="28"/>
          <w:szCs w:val="28"/>
          <w:lang w:eastAsia="uk-UA"/>
        </w:rPr>
      </w:pPr>
      <w:r w:rsidRPr="001935D0">
        <w:rPr>
          <w:rFonts w:ascii="Times New Roman" w:hAnsi="Times New Roman" w:cs="Times New Roman"/>
          <w:sz w:val="28"/>
          <w:szCs w:val="28"/>
          <w:lang w:eastAsia="uk-UA"/>
        </w:rPr>
        <w:t>Анализ динамики международных индексов (рис</w:t>
      </w:r>
      <w:r w:rsidR="007916E1">
        <w:rPr>
          <w:rFonts w:ascii="Times New Roman" w:hAnsi="Times New Roman" w:cs="Times New Roman"/>
          <w:sz w:val="28"/>
          <w:szCs w:val="28"/>
          <w:lang w:val="kk-KZ" w:eastAsia="uk-UA"/>
        </w:rPr>
        <w:t>унки</w:t>
      </w:r>
      <w:r w:rsidRPr="001935D0">
        <w:rPr>
          <w:rFonts w:ascii="Times New Roman" w:hAnsi="Times New Roman" w:cs="Times New Roman"/>
          <w:sz w:val="28"/>
          <w:szCs w:val="28"/>
          <w:lang w:eastAsia="uk-UA"/>
        </w:rPr>
        <w:t xml:space="preserve"> 3.4</w:t>
      </w:r>
      <w:r w:rsidR="007916E1">
        <w:rPr>
          <w:rFonts w:ascii="Times New Roman" w:hAnsi="Times New Roman" w:cs="Times New Roman"/>
          <w:sz w:val="28"/>
          <w:szCs w:val="28"/>
          <w:lang w:val="kk-KZ" w:eastAsia="uk-UA"/>
        </w:rPr>
        <w:t xml:space="preserve">, 3,5, 3,6, </w:t>
      </w:r>
      <w:r w:rsidRPr="001935D0">
        <w:rPr>
          <w:rFonts w:ascii="Times New Roman" w:hAnsi="Times New Roman" w:cs="Times New Roman"/>
          <w:sz w:val="28"/>
          <w:szCs w:val="28"/>
          <w:lang w:eastAsia="uk-UA"/>
        </w:rPr>
        <w:t xml:space="preserve">3.7) позволяет выявить неоднородный и частично асимметричный характер прогресса Казахстана по направлениям, отражающим Копенгагенские критерии. Несмотря на заметное улучшение позиций в индексе восприятия коррупции (CPI) и постепенное укрепление показателей верховенства права (Rule of Law Index), сохраняется существенный разрыв с уровнем государств – членов </w:t>
      </w:r>
      <w:r w:rsidRPr="001935D0">
        <w:rPr>
          <w:rFonts w:ascii="Times New Roman" w:hAnsi="Times New Roman" w:cs="Times New Roman"/>
          <w:sz w:val="28"/>
          <w:szCs w:val="28"/>
          <w:lang w:eastAsia="uk-UA"/>
        </w:rPr>
        <w:lastRenderedPageBreak/>
        <w:t xml:space="preserve">Европейского </w:t>
      </w:r>
      <w:r w:rsidR="007C324F" w:rsidRPr="001935D0">
        <w:rPr>
          <w:rFonts w:ascii="Times New Roman" w:hAnsi="Times New Roman" w:cs="Times New Roman"/>
          <w:sz w:val="28"/>
          <w:szCs w:val="28"/>
          <w:lang w:val="uk-UA" w:eastAsia="uk-UA"/>
        </w:rPr>
        <w:t>С</w:t>
      </w:r>
      <w:r w:rsidRPr="001935D0">
        <w:rPr>
          <w:rFonts w:ascii="Times New Roman" w:hAnsi="Times New Roman" w:cs="Times New Roman"/>
          <w:sz w:val="28"/>
          <w:szCs w:val="28"/>
          <w:lang w:eastAsia="uk-UA"/>
        </w:rPr>
        <w:t>оюза. Эти результаты свидетельствуют о частичной эффективности институциональных реформ, реализуемых в рамках Плана действий и Национального плана развития до 2029 года, направленных на повышение транспарентности и правовой предсказуемости [</w:t>
      </w:r>
      <w:r w:rsidR="003042D0">
        <w:rPr>
          <w:rFonts w:ascii="Times New Roman" w:hAnsi="Times New Roman" w:cs="Times New Roman"/>
          <w:sz w:val="28"/>
          <w:szCs w:val="28"/>
          <w:lang w:val="kk-KZ" w:eastAsia="uk-UA"/>
        </w:rPr>
        <w:t>184; 185; 186; 187</w:t>
      </w:r>
      <w:r w:rsidRPr="001935D0">
        <w:rPr>
          <w:rFonts w:ascii="Times New Roman" w:hAnsi="Times New Roman" w:cs="Times New Roman"/>
          <w:sz w:val="28"/>
          <w:szCs w:val="28"/>
          <w:lang w:eastAsia="uk-UA"/>
        </w:rPr>
        <w:t>].</w:t>
      </w:r>
    </w:p>
    <w:p w14:paraId="61B4922E" w14:textId="224BD4BA" w:rsidR="00E94B29" w:rsidRPr="001935D0" w:rsidRDefault="00E94B29" w:rsidP="007916E1">
      <w:pPr>
        <w:pStyle w:val="NoSpacing"/>
        <w:ind w:firstLine="709"/>
        <w:jc w:val="both"/>
        <w:rPr>
          <w:rFonts w:ascii="Times New Roman" w:hAnsi="Times New Roman" w:cs="Times New Roman"/>
          <w:sz w:val="28"/>
          <w:szCs w:val="28"/>
          <w:lang w:eastAsia="uk-UA"/>
        </w:rPr>
      </w:pPr>
      <w:r w:rsidRPr="001935D0">
        <w:rPr>
          <w:rFonts w:ascii="Times New Roman" w:hAnsi="Times New Roman" w:cs="Times New Roman"/>
          <w:sz w:val="28"/>
          <w:szCs w:val="28"/>
          <w:lang w:eastAsia="uk-UA"/>
        </w:rPr>
        <w:t>В то же время показатели Freedom in the World указывают на стагнацию в области политических и гражданских свобод, что отражает ограниченность участия гражданского общества и недостаточную независимость медиа. Аналогично, снижение значений индекса экономической свободы демонстрирует структурные проблемы рыночной экономики, связанные с высокой ролью государства и влиянием олигополий [19</w:t>
      </w:r>
      <w:r w:rsidR="003042D0">
        <w:rPr>
          <w:rFonts w:ascii="Times New Roman" w:hAnsi="Times New Roman" w:cs="Times New Roman"/>
          <w:sz w:val="28"/>
          <w:szCs w:val="28"/>
          <w:lang w:val="kk-KZ" w:eastAsia="uk-UA"/>
        </w:rPr>
        <w:t>0</w:t>
      </w:r>
      <w:r w:rsidRPr="001935D0">
        <w:rPr>
          <w:rFonts w:ascii="Times New Roman" w:hAnsi="Times New Roman" w:cs="Times New Roman"/>
          <w:sz w:val="28"/>
          <w:szCs w:val="28"/>
          <w:lang w:eastAsia="uk-UA"/>
        </w:rPr>
        <w:t>].</w:t>
      </w:r>
    </w:p>
    <w:p w14:paraId="6758E240" w14:textId="77777777" w:rsidR="00E94B29" w:rsidRPr="001935D0" w:rsidRDefault="00E94B29" w:rsidP="007916E1">
      <w:pPr>
        <w:pStyle w:val="NoSpacing"/>
        <w:ind w:firstLine="709"/>
        <w:jc w:val="both"/>
        <w:rPr>
          <w:rFonts w:ascii="Times New Roman" w:hAnsi="Times New Roman" w:cs="Times New Roman"/>
          <w:lang w:eastAsia="uk-UA"/>
        </w:rPr>
      </w:pPr>
      <w:r w:rsidRPr="001935D0">
        <w:rPr>
          <w:rFonts w:ascii="Times New Roman" w:hAnsi="Times New Roman" w:cs="Times New Roman"/>
          <w:sz w:val="28"/>
          <w:szCs w:val="28"/>
          <w:lang w:eastAsia="uk-UA"/>
        </w:rPr>
        <w:t>Таким образом, комплексная оценка международных индикаторов показывает, что Казахстан демонстрирует прогресс в институциональном укреплении и борьбе с коррупцией, но сохраняет значительные риски несоответствия европейским стандартам демократии, верховенства права и свободы предпринимательства. Для наглядного сопоставления представлены сводные характеристики ключевых индикаторов в контексте Копенгагенских критериев (таблица 3.5).</w:t>
      </w:r>
      <w:r w:rsidRPr="001935D0">
        <w:rPr>
          <w:rFonts w:ascii="Times New Roman" w:hAnsi="Times New Roman" w:cs="Times New Roman"/>
          <w:lang w:eastAsia="uk-UA"/>
        </w:rPr>
        <w:t xml:space="preserve"> </w:t>
      </w:r>
    </w:p>
    <w:p w14:paraId="57EC8E89" w14:textId="77777777" w:rsidR="00E94B29" w:rsidRPr="001935D0" w:rsidRDefault="00E94B29" w:rsidP="00593711">
      <w:pPr>
        <w:pStyle w:val="NoSpacing"/>
        <w:rPr>
          <w:rFonts w:ascii="Times New Roman" w:hAnsi="Times New Roman" w:cs="Times New Roman"/>
          <w:lang w:eastAsia="uk-UA"/>
        </w:rPr>
      </w:pPr>
    </w:p>
    <w:p w14:paraId="2924FD14" w14:textId="77777777" w:rsidR="00E94B29" w:rsidRPr="001935D0" w:rsidRDefault="00E94B29" w:rsidP="00593711">
      <w:pPr>
        <w:pStyle w:val="NoSpacing"/>
        <w:jc w:val="center"/>
        <w:rPr>
          <w:rFonts w:ascii="Times New Roman" w:hAnsi="Times New Roman" w:cs="Times New Roman"/>
          <w:sz w:val="28"/>
          <w:szCs w:val="28"/>
          <w:lang w:eastAsia="uk-UA"/>
        </w:rPr>
      </w:pPr>
    </w:p>
    <w:p w14:paraId="0B0DC3E8" w14:textId="498079EF" w:rsidR="00E94B29" w:rsidRDefault="00E94B29" w:rsidP="007916E1">
      <w:pPr>
        <w:pStyle w:val="NoSpacing"/>
        <w:jc w:val="both"/>
        <w:rPr>
          <w:rFonts w:ascii="Times New Roman" w:hAnsi="Times New Roman" w:cs="Times New Roman"/>
          <w:sz w:val="28"/>
          <w:szCs w:val="28"/>
          <w:lang w:val="kk-KZ" w:eastAsia="uk-UA"/>
        </w:rPr>
      </w:pPr>
      <w:r w:rsidRPr="001935D0">
        <w:rPr>
          <w:rFonts w:ascii="Times New Roman" w:hAnsi="Times New Roman" w:cs="Times New Roman"/>
          <w:sz w:val="28"/>
          <w:szCs w:val="28"/>
          <w:lang w:eastAsia="uk-UA"/>
        </w:rPr>
        <w:t xml:space="preserve">Таблица 3.5 </w:t>
      </w:r>
      <w:r w:rsidR="007916E1">
        <w:rPr>
          <w:rFonts w:ascii="Times New Roman" w:hAnsi="Times New Roman" w:cs="Times New Roman"/>
          <w:sz w:val="28"/>
          <w:szCs w:val="28"/>
          <w:lang w:eastAsia="uk-UA"/>
        </w:rPr>
        <w:t>‒</w:t>
      </w:r>
      <w:r w:rsidR="007916E1">
        <w:rPr>
          <w:rFonts w:ascii="Times New Roman" w:hAnsi="Times New Roman" w:cs="Times New Roman"/>
          <w:sz w:val="28"/>
          <w:szCs w:val="28"/>
          <w:lang w:val="kk-KZ" w:eastAsia="uk-UA"/>
        </w:rPr>
        <w:t xml:space="preserve"> </w:t>
      </w:r>
      <w:r w:rsidRPr="001935D0">
        <w:rPr>
          <w:rFonts w:ascii="Times New Roman" w:hAnsi="Times New Roman" w:cs="Times New Roman"/>
          <w:sz w:val="28"/>
          <w:szCs w:val="28"/>
          <w:lang w:eastAsia="uk-UA"/>
        </w:rPr>
        <w:t xml:space="preserve">Комплексная оценка международных индикаторов соответствия Казахстана Копенгагенским критериям Европейского </w:t>
      </w:r>
      <w:r w:rsidR="007C324F" w:rsidRPr="001935D0">
        <w:rPr>
          <w:rFonts w:ascii="Times New Roman" w:hAnsi="Times New Roman" w:cs="Times New Roman"/>
          <w:sz w:val="28"/>
          <w:szCs w:val="28"/>
          <w:lang w:val="uk-UA" w:eastAsia="uk-UA"/>
        </w:rPr>
        <w:t>С</w:t>
      </w:r>
      <w:r w:rsidRPr="001935D0">
        <w:rPr>
          <w:rFonts w:ascii="Times New Roman" w:hAnsi="Times New Roman" w:cs="Times New Roman"/>
          <w:sz w:val="28"/>
          <w:szCs w:val="28"/>
          <w:lang w:eastAsia="uk-UA"/>
        </w:rPr>
        <w:t xml:space="preserve">оюза </w:t>
      </w:r>
    </w:p>
    <w:p w14:paraId="60D29B8A" w14:textId="77777777" w:rsidR="007916E1" w:rsidRPr="007916E1" w:rsidRDefault="007916E1" w:rsidP="007916E1">
      <w:pPr>
        <w:pStyle w:val="NoSpacing"/>
        <w:jc w:val="both"/>
        <w:rPr>
          <w:rFonts w:ascii="Times New Roman" w:hAnsi="Times New Roman" w:cs="Times New Roman"/>
          <w:sz w:val="16"/>
          <w:szCs w:val="16"/>
          <w:lang w:val="kk-KZ" w:eastAsia="uk-UA"/>
        </w:rPr>
      </w:pPr>
    </w:p>
    <w:tbl>
      <w:tblPr>
        <w:tblStyle w:val="TableGrid"/>
        <w:tblW w:w="0" w:type="auto"/>
        <w:jc w:val="center"/>
        <w:tblLook w:val="04A0" w:firstRow="1" w:lastRow="0" w:firstColumn="1" w:lastColumn="0" w:noHBand="0" w:noVBand="1"/>
      </w:tblPr>
      <w:tblGrid>
        <w:gridCol w:w="1883"/>
        <w:gridCol w:w="1514"/>
        <w:gridCol w:w="1985"/>
        <w:gridCol w:w="4111"/>
      </w:tblGrid>
      <w:tr w:rsidR="00E94B29" w:rsidRPr="007916E1" w14:paraId="4694C1C1" w14:textId="77777777" w:rsidTr="007916E1">
        <w:trPr>
          <w:jc w:val="center"/>
        </w:trPr>
        <w:tc>
          <w:tcPr>
            <w:tcW w:w="1883" w:type="dxa"/>
            <w:vAlign w:val="center"/>
          </w:tcPr>
          <w:p w14:paraId="2A215461" w14:textId="77777777" w:rsidR="00E94B29" w:rsidRPr="007916E1" w:rsidRDefault="00E94B29" w:rsidP="00593711">
            <w:pPr>
              <w:jc w:val="center"/>
              <w:rPr>
                <w:rFonts w:ascii="Times New Roman" w:eastAsia="Times New Roman" w:hAnsi="Times New Roman" w:cs="Times New Roman"/>
                <w:bCs/>
                <w:sz w:val="24"/>
                <w:szCs w:val="24"/>
                <w:lang w:eastAsia="ru-RU"/>
              </w:rPr>
            </w:pPr>
            <w:r w:rsidRPr="007916E1">
              <w:rPr>
                <w:rFonts w:ascii="Times New Roman" w:eastAsia="Times New Roman" w:hAnsi="Times New Roman" w:cs="Times New Roman"/>
                <w:bCs/>
                <w:sz w:val="24"/>
                <w:szCs w:val="24"/>
                <w:lang w:eastAsia="ru-RU"/>
              </w:rPr>
              <w:t>Индикатор</w:t>
            </w:r>
          </w:p>
        </w:tc>
        <w:tc>
          <w:tcPr>
            <w:tcW w:w="1514" w:type="dxa"/>
            <w:vAlign w:val="center"/>
          </w:tcPr>
          <w:p w14:paraId="5BAED073" w14:textId="77777777" w:rsidR="00E94B29" w:rsidRPr="007916E1" w:rsidRDefault="00E94B29" w:rsidP="00593711">
            <w:pPr>
              <w:jc w:val="center"/>
              <w:rPr>
                <w:rFonts w:ascii="Times New Roman" w:eastAsia="Times New Roman" w:hAnsi="Times New Roman" w:cs="Times New Roman"/>
                <w:bCs/>
                <w:sz w:val="24"/>
                <w:szCs w:val="24"/>
                <w:lang w:eastAsia="ru-RU"/>
              </w:rPr>
            </w:pPr>
            <w:r w:rsidRPr="007916E1">
              <w:rPr>
                <w:rFonts w:ascii="Times New Roman" w:eastAsia="Times New Roman" w:hAnsi="Times New Roman" w:cs="Times New Roman"/>
                <w:bCs/>
                <w:sz w:val="24"/>
                <w:szCs w:val="24"/>
                <w:lang w:eastAsia="ru-RU"/>
              </w:rPr>
              <w:t>Значения</w:t>
            </w:r>
          </w:p>
        </w:tc>
        <w:tc>
          <w:tcPr>
            <w:tcW w:w="1985" w:type="dxa"/>
            <w:vAlign w:val="center"/>
          </w:tcPr>
          <w:p w14:paraId="5C7FA2FE" w14:textId="77777777" w:rsidR="00E94B29" w:rsidRPr="007916E1" w:rsidRDefault="00E94B29" w:rsidP="00593711">
            <w:pPr>
              <w:jc w:val="center"/>
              <w:rPr>
                <w:rFonts w:ascii="Times New Roman" w:eastAsia="Times New Roman" w:hAnsi="Times New Roman" w:cs="Times New Roman"/>
                <w:bCs/>
                <w:sz w:val="24"/>
                <w:szCs w:val="24"/>
                <w:lang w:eastAsia="ru-RU"/>
              </w:rPr>
            </w:pPr>
            <w:r w:rsidRPr="007916E1">
              <w:rPr>
                <w:rFonts w:ascii="Times New Roman" w:eastAsia="Times New Roman" w:hAnsi="Times New Roman" w:cs="Times New Roman"/>
                <w:bCs/>
                <w:sz w:val="24"/>
                <w:szCs w:val="24"/>
                <w:lang w:eastAsia="ru-RU"/>
              </w:rPr>
              <w:t>Тенденция</w:t>
            </w:r>
          </w:p>
        </w:tc>
        <w:tc>
          <w:tcPr>
            <w:tcW w:w="4111" w:type="dxa"/>
            <w:vAlign w:val="center"/>
          </w:tcPr>
          <w:p w14:paraId="279CD499" w14:textId="77777777" w:rsidR="00E94B29" w:rsidRPr="007916E1" w:rsidRDefault="00E94B29" w:rsidP="00593711">
            <w:pPr>
              <w:jc w:val="center"/>
              <w:rPr>
                <w:rFonts w:ascii="Times New Roman" w:eastAsia="Times New Roman" w:hAnsi="Times New Roman" w:cs="Times New Roman"/>
                <w:bCs/>
                <w:sz w:val="24"/>
                <w:szCs w:val="24"/>
                <w:lang w:eastAsia="ru-RU"/>
              </w:rPr>
            </w:pPr>
            <w:r w:rsidRPr="007916E1">
              <w:rPr>
                <w:rFonts w:ascii="Times New Roman" w:eastAsia="Times New Roman" w:hAnsi="Times New Roman" w:cs="Times New Roman"/>
                <w:bCs/>
                <w:sz w:val="24"/>
                <w:szCs w:val="24"/>
                <w:lang w:eastAsia="ru-RU"/>
              </w:rPr>
              <w:t>Соответствие Копенгагенским критериям</w:t>
            </w:r>
          </w:p>
        </w:tc>
      </w:tr>
      <w:tr w:rsidR="00E94B29" w:rsidRPr="001935D0" w14:paraId="2E62C0EE" w14:textId="77777777" w:rsidTr="007916E1">
        <w:trPr>
          <w:jc w:val="center"/>
        </w:trPr>
        <w:tc>
          <w:tcPr>
            <w:tcW w:w="1883" w:type="dxa"/>
            <w:vAlign w:val="center"/>
          </w:tcPr>
          <w:p w14:paraId="53D9F097" w14:textId="77777777" w:rsidR="00E94B29" w:rsidRPr="001935D0" w:rsidRDefault="00E94B29" w:rsidP="00593711">
            <w:pPr>
              <w:jc w:val="both"/>
              <w:rPr>
                <w:rFonts w:ascii="Times New Roman" w:eastAsia="Times New Roman" w:hAnsi="Times New Roman" w:cs="Times New Roman"/>
                <w:i/>
                <w:sz w:val="24"/>
                <w:szCs w:val="24"/>
                <w:lang w:val="en-US" w:eastAsia="ru-RU"/>
              </w:rPr>
            </w:pPr>
            <w:r w:rsidRPr="001935D0">
              <w:rPr>
                <w:rFonts w:ascii="Times New Roman" w:eastAsia="Times New Roman" w:hAnsi="Times New Roman" w:cs="Times New Roman"/>
                <w:bCs/>
                <w:i/>
                <w:sz w:val="24"/>
                <w:szCs w:val="24"/>
                <w:lang w:eastAsia="ru-RU"/>
              </w:rPr>
              <w:t>Индекс</w:t>
            </w:r>
            <w:r w:rsidRPr="001935D0">
              <w:rPr>
                <w:rFonts w:ascii="Times New Roman" w:eastAsia="Times New Roman" w:hAnsi="Times New Roman" w:cs="Times New Roman"/>
                <w:bCs/>
                <w:i/>
                <w:sz w:val="24"/>
                <w:szCs w:val="24"/>
                <w:lang w:val="en-US" w:eastAsia="ru-RU"/>
              </w:rPr>
              <w:t xml:space="preserve"> </w:t>
            </w:r>
            <w:r w:rsidRPr="001935D0">
              <w:rPr>
                <w:rFonts w:ascii="Times New Roman" w:eastAsia="Times New Roman" w:hAnsi="Times New Roman" w:cs="Times New Roman"/>
                <w:bCs/>
                <w:i/>
                <w:sz w:val="24"/>
                <w:szCs w:val="24"/>
                <w:lang w:eastAsia="ru-RU"/>
              </w:rPr>
              <w:t>восприятия</w:t>
            </w:r>
            <w:r w:rsidRPr="001935D0">
              <w:rPr>
                <w:rFonts w:ascii="Times New Roman" w:eastAsia="Times New Roman" w:hAnsi="Times New Roman" w:cs="Times New Roman"/>
                <w:bCs/>
                <w:i/>
                <w:sz w:val="24"/>
                <w:szCs w:val="24"/>
                <w:lang w:val="en-US" w:eastAsia="ru-RU"/>
              </w:rPr>
              <w:t xml:space="preserve"> </w:t>
            </w:r>
            <w:r w:rsidRPr="001935D0">
              <w:rPr>
                <w:rFonts w:ascii="Times New Roman" w:eastAsia="Times New Roman" w:hAnsi="Times New Roman" w:cs="Times New Roman"/>
                <w:bCs/>
                <w:i/>
                <w:sz w:val="24"/>
                <w:szCs w:val="24"/>
                <w:lang w:eastAsia="ru-RU"/>
              </w:rPr>
              <w:t>коррупции</w:t>
            </w:r>
            <w:r w:rsidRPr="001935D0">
              <w:rPr>
                <w:rFonts w:ascii="Times New Roman" w:eastAsia="Times New Roman" w:hAnsi="Times New Roman" w:cs="Times New Roman"/>
                <w:bCs/>
                <w:i/>
                <w:sz w:val="24"/>
                <w:szCs w:val="24"/>
                <w:lang w:val="en-US" w:eastAsia="ru-RU"/>
              </w:rPr>
              <w:t xml:space="preserve"> (CPI, Transparency International)</w:t>
            </w:r>
          </w:p>
        </w:tc>
        <w:tc>
          <w:tcPr>
            <w:tcW w:w="1514" w:type="dxa"/>
            <w:vAlign w:val="center"/>
          </w:tcPr>
          <w:p w14:paraId="6AEFA4C6"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40 / 100 (2024, 88-е место)</w:t>
            </w:r>
          </w:p>
        </w:tc>
        <w:tc>
          <w:tcPr>
            <w:tcW w:w="1985" w:type="dxa"/>
            <w:vAlign w:val="center"/>
          </w:tcPr>
          <w:p w14:paraId="06912A8E"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Улучшение: 34 (2019) → 40 (2024)</w:t>
            </w:r>
          </w:p>
        </w:tc>
        <w:tc>
          <w:tcPr>
            <w:tcW w:w="4111" w:type="dxa"/>
            <w:vAlign w:val="center"/>
          </w:tcPr>
          <w:p w14:paraId="0A1A4F59" w14:textId="0134B3E4"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Требования по «стабильным инсти</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тутам» и борьбе с коррупцией выпол</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няются частично. Остаётся значитель</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ное пространство для реформ в области прозрачности госсектора.</w:t>
            </w:r>
          </w:p>
        </w:tc>
      </w:tr>
      <w:tr w:rsidR="00E94B29" w:rsidRPr="001935D0" w14:paraId="4317247F" w14:textId="77777777" w:rsidTr="007916E1">
        <w:trPr>
          <w:jc w:val="center"/>
        </w:trPr>
        <w:tc>
          <w:tcPr>
            <w:tcW w:w="1883" w:type="dxa"/>
            <w:vAlign w:val="center"/>
          </w:tcPr>
          <w:p w14:paraId="1D903BC3" w14:textId="77777777" w:rsidR="00E94B29" w:rsidRPr="001935D0" w:rsidRDefault="00E94B29" w:rsidP="00593711">
            <w:pPr>
              <w:jc w:val="both"/>
              <w:rPr>
                <w:rFonts w:ascii="Times New Roman" w:eastAsia="Times New Roman" w:hAnsi="Times New Roman" w:cs="Times New Roman"/>
                <w:i/>
                <w:sz w:val="24"/>
                <w:szCs w:val="24"/>
                <w:lang w:val="en-US" w:eastAsia="ru-RU"/>
              </w:rPr>
            </w:pPr>
            <w:r w:rsidRPr="001935D0">
              <w:rPr>
                <w:rFonts w:ascii="Times New Roman" w:eastAsia="Times New Roman" w:hAnsi="Times New Roman" w:cs="Times New Roman"/>
                <w:bCs/>
                <w:i/>
                <w:sz w:val="24"/>
                <w:szCs w:val="24"/>
                <w:lang w:val="en-US" w:eastAsia="ru-RU"/>
              </w:rPr>
              <w:t>Rule of Law Index (WJP)</w:t>
            </w:r>
          </w:p>
        </w:tc>
        <w:tc>
          <w:tcPr>
            <w:tcW w:w="1514" w:type="dxa"/>
            <w:vAlign w:val="center"/>
          </w:tcPr>
          <w:p w14:paraId="41515E63"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0,54 / 1 (2024, 65-е место)</w:t>
            </w:r>
          </w:p>
        </w:tc>
        <w:tc>
          <w:tcPr>
            <w:tcW w:w="1985" w:type="dxa"/>
            <w:vAlign w:val="center"/>
          </w:tcPr>
          <w:p w14:paraId="699EDECB"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Положительная динамика: 0,52 (2021) → 0,54 (2024)</w:t>
            </w:r>
          </w:p>
        </w:tc>
        <w:tc>
          <w:tcPr>
            <w:tcW w:w="4111" w:type="dxa"/>
            <w:vAlign w:val="center"/>
          </w:tcPr>
          <w:p w14:paraId="0ED601FE" w14:textId="47902CFB"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Отмечается прогресс, но незави</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симость судебной системы и эффек</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тивность правоприменения остаются ограниченными. Полное соответст</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вие стандартам ЕС не достигнуто.</w:t>
            </w:r>
          </w:p>
        </w:tc>
      </w:tr>
      <w:tr w:rsidR="00E94B29" w:rsidRPr="001935D0" w14:paraId="1C4B5814" w14:textId="77777777" w:rsidTr="007916E1">
        <w:trPr>
          <w:jc w:val="center"/>
        </w:trPr>
        <w:tc>
          <w:tcPr>
            <w:tcW w:w="1883" w:type="dxa"/>
            <w:vAlign w:val="center"/>
          </w:tcPr>
          <w:p w14:paraId="69DFF0F4" w14:textId="77777777" w:rsidR="00E94B29" w:rsidRPr="001935D0" w:rsidRDefault="00E94B29" w:rsidP="00593711">
            <w:pPr>
              <w:jc w:val="both"/>
              <w:rPr>
                <w:rFonts w:ascii="Times New Roman" w:eastAsia="Times New Roman" w:hAnsi="Times New Roman" w:cs="Times New Roman"/>
                <w:i/>
                <w:sz w:val="24"/>
                <w:szCs w:val="24"/>
                <w:lang w:val="en-US" w:eastAsia="ru-RU"/>
              </w:rPr>
            </w:pPr>
            <w:r w:rsidRPr="001935D0">
              <w:rPr>
                <w:rFonts w:ascii="Times New Roman" w:eastAsia="Times New Roman" w:hAnsi="Times New Roman" w:cs="Times New Roman"/>
                <w:bCs/>
                <w:i/>
                <w:sz w:val="24"/>
                <w:szCs w:val="24"/>
                <w:lang w:val="en-US" w:eastAsia="ru-RU"/>
              </w:rPr>
              <w:t>Freedom in the World (Freedom House)</w:t>
            </w:r>
          </w:p>
        </w:tc>
        <w:tc>
          <w:tcPr>
            <w:tcW w:w="1514" w:type="dxa"/>
            <w:vAlign w:val="center"/>
          </w:tcPr>
          <w:p w14:paraId="4F2BB228"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23 / 100 (2025, статус Not Free)</w:t>
            </w:r>
          </w:p>
        </w:tc>
        <w:tc>
          <w:tcPr>
            <w:tcW w:w="1985" w:type="dxa"/>
            <w:vAlign w:val="center"/>
          </w:tcPr>
          <w:p w14:paraId="5A5E897D"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Без изменений (2021–2025)</w:t>
            </w:r>
          </w:p>
        </w:tc>
        <w:tc>
          <w:tcPr>
            <w:tcW w:w="4111" w:type="dxa"/>
            <w:vAlign w:val="center"/>
          </w:tcPr>
          <w:p w14:paraId="77CD5BE5" w14:textId="6EDDFD4C"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Критерии демократии, прав человека и свободы объединений выполня</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ются частично. Сохраняются ограни</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чения гражданского пространства и медиа.</w:t>
            </w:r>
          </w:p>
        </w:tc>
      </w:tr>
      <w:tr w:rsidR="00E94B29" w:rsidRPr="001935D0" w14:paraId="2F3D5BE5" w14:textId="77777777" w:rsidTr="007916E1">
        <w:trPr>
          <w:jc w:val="center"/>
        </w:trPr>
        <w:tc>
          <w:tcPr>
            <w:tcW w:w="1883" w:type="dxa"/>
            <w:vAlign w:val="center"/>
          </w:tcPr>
          <w:p w14:paraId="117EC2B9" w14:textId="77777777" w:rsidR="00E94B29" w:rsidRPr="001935D0" w:rsidRDefault="00E94B29" w:rsidP="00593711">
            <w:pPr>
              <w:jc w:val="both"/>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Индекс экономической свободы (Heritage Foundation)</w:t>
            </w:r>
          </w:p>
        </w:tc>
        <w:tc>
          <w:tcPr>
            <w:tcW w:w="1514" w:type="dxa"/>
            <w:vAlign w:val="center"/>
          </w:tcPr>
          <w:p w14:paraId="4700E350"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63,8 / 100 (2025)</w:t>
            </w:r>
          </w:p>
        </w:tc>
        <w:tc>
          <w:tcPr>
            <w:tcW w:w="1985" w:type="dxa"/>
            <w:vAlign w:val="center"/>
          </w:tcPr>
          <w:p w14:paraId="081D3F12" w14:textId="4313F89D"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Снижение: 69,6 (2021) → 62,0 (2024), незначи</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тельное восста</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новление в 2025</w:t>
            </w:r>
          </w:p>
        </w:tc>
        <w:tc>
          <w:tcPr>
            <w:tcW w:w="4111" w:type="dxa"/>
            <w:vAlign w:val="center"/>
          </w:tcPr>
          <w:p w14:paraId="65094232"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Рыночная экономика функционирует, но высока доля госсектора и влияние олигополий. Соответствие частичное.</w:t>
            </w:r>
          </w:p>
        </w:tc>
      </w:tr>
      <w:tr w:rsidR="007916E1" w:rsidRPr="001935D0" w14:paraId="45584C89" w14:textId="77777777" w:rsidTr="007916E1">
        <w:trPr>
          <w:jc w:val="center"/>
        </w:trPr>
        <w:tc>
          <w:tcPr>
            <w:tcW w:w="9493" w:type="dxa"/>
            <w:gridSpan w:val="4"/>
            <w:vAlign w:val="center"/>
          </w:tcPr>
          <w:p w14:paraId="655D3F75" w14:textId="375E49B3" w:rsidR="007916E1" w:rsidRPr="001935D0" w:rsidRDefault="009D7580" w:rsidP="003042D0">
            <w:pPr>
              <w:ind w:firstLine="529"/>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w:t>
            </w:r>
            <w:r>
              <w:rPr>
                <w:rFonts w:ascii="Times New Roman" w:hAnsi="Times New Roman" w:cs="Times New Roman"/>
                <w:sz w:val="24"/>
                <w:szCs w:val="24"/>
                <w:lang w:val="kk-KZ"/>
              </w:rPr>
              <w:t>184; 185; 186; 187; 188; 189; 190</w:t>
            </w:r>
            <w:r w:rsidRPr="001935D0">
              <w:rPr>
                <w:rFonts w:ascii="Times New Roman" w:hAnsi="Times New Roman" w:cs="Times New Roman"/>
                <w:sz w:val="24"/>
                <w:szCs w:val="24"/>
              </w:rPr>
              <w:t>]</w:t>
            </w:r>
          </w:p>
        </w:tc>
      </w:tr>
    </w:tbl>
    <w:p w14:paraId="1DB2133D" w14:textId="77777777" w:rsidR="007916E1" w:rsidRDefault="007916E1" w:rsidP="00593711">
      <w:pPr>
        <w:pStyle w:val="NoSpacing"/>
        <w:ind w:firstLine="567"/>
        <w:jc w:val="both"/>
        <w:rPr>
          <w:rFonts w:ascii="Times New Roman" w:hAnsi="Times New Roman" w:cs="Times New Roman"/>
          <w:sz w:val="28"/>
          <w:szCs w:val="28"/>
          <w:lang w:val="kk-KZ" w:eastAsia="uk-UA"/>
        </w:rPr>
      </w:pPr>
    </w:p>
    <w:p w14:paraId="20F1B539" w14:textId="777DC256" w:rsidR="00E94B29" w:rsidRDefault="00E94B29" w:rsidP="007916E1">
      <w:pPr>
        <w:pStyle w:val="NoSpacing"/>
        <w:ind w:firstLine="709"/>
        <w:jc w:val="both"/>
        <w:rPr>
          <w:rFonts w:ascii="Times New Roman" w:hAnsi="Times New Roman" w:cs="Times New Roman"/>
          <w:sz w:val="28"/>
          <w:szCs w:val="28"/>
          <w:lang w:val="kk-KZ" w:eastAsia="uk-UA"/>
        </w:rPr>
      </w:pPr>
      <w:r w:rsidRPr="001935D0">
        <w:rPr>
          <w:rFonts w:ascii="Times New Roman" w:hAnsi="Times New Roman" w:cs="Times New Roman"/>
          <w:sz w:val="28"/>
          <w:szCs w:val="28"/>
          <w:lang w:eastAsia="uk-UA"/>
        </w:rPr>
        <w:t xml:space="preserve">Сопоставление международных индикаторов показывает, что Казахстан находится на этапе структурной трансформации, когда накопленные </w:t>
      </w:r>
      <w:r w:rsidRPr="001935D0">
        <w:rPr>
          <w:rFonts w:ascii="Times New Roman" w:hAnsi="Times New Roman" w:cs="Times New Roman"/>
          <w:sz w:val="28"/>
          <w:szCs w:val="28"/>
          <w:lang w:eastAsia="uk-UA"/>
        </w:rPr>
        <w:lastRenderedPageBreak/>
        <w:t>институциональные изменения ещё не перешли в устойчивую политическую и правовую практику. Достигнутый прогресс в сфере верховенства права и экономической прозрачности свидетельствует о постепенном укреплении механизмов ответственности и подотчётност</w:t>
      </w:r>
      <w:r w:rsidR="00AD6D54">
        <w:rPr>
          <w:rFonts w:ascii="Times New Roman" w:hAnsi="Times New Roman" w:cs="Times New Roman"/>
          <w:sz w:val="28"/>
          <w:szCs w:val="28"/>
          <w:lang w:eastAsia="uk-UA"/>
        </w:rPr>
        <w:t>и власти, однако сохраняющийся пробел</w:t>
      </w:r>
      <w:r w:rsidRPr="001935D0">
        <w:rPr>
          <w:rFonts w:ascii="Times New Roman" w:hAnsi="Times New Roman" w:cs="Times New Roman"/>
          <w:sz w:val="28"/>
          <w:szCs w:val="28"/>
          <w:lang w:eastAsia="uk-UA"/>
        </w:rPr>
        <w:t xml:space="preserve"> демократических свобод указывает на ограниченность политической конкуренции и участия граждан в процессах управления. Такой дисбаланс отражает переходный характер реформ: страна демонстрирует потенциал для сближения с европейскими стандартами, но требует дальнейшего углубления политико-правовых преобразований и развития институтов общественного контроля (рисунок 3.8).</w:t>
      </w:r>
    </w:p>
    <w:p w14:paraId="05D604F2" w14:textId="77777777" w:rsidR="007916E1" w:rsidRPr="001935D0" w:rsidRDefault="007916E1" w:rsidP="007916E1">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Наиболее проблемной сферой для Республики Казахстан остаётся обеспечение политических свобод и демократического управления. Согласно данным Freedom House, страна стабильно относится к категории Not Free, что указывает на несоответствие ключевым политическим критериям Европейского </w:t>
      </w:r>
      <w:r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 прежде всего свободе выражения мнений, политическому плюрализму и участию граждан в процессах принятия решений. Несмотря на принятие ряда либерализационных мер – таких, как обновление законодательства о средствах массовой информации (Закон «О масс-медиа»), внедрение механизмов общественного контроля (Закон «Об общественном контроле»), упрощение регистрации политических партий и проведение первых прямых выборов акимов – сохраняются ограничения для деятельности оппозиции, независимых медиа и гражданских инициатив.</w:t>
      </w:r>
    </w:p>
    <w:p w14:paraId="64B81A4E" w14:textId="77777777" w:rsidR="007916E1" w:rsidRPr="007916E1" w:rsidRDefault="007916E1" w:rsidP="007916E1">
      <w:pPr>
        <w:pStyle w:val="NoSpacing"/>
        <w:ind w:firstLine="709"/>
        <w:jc w:val="both"/>
        <w:rPr>
          <w:rFonts w:ascii="Times New Roman" w:hAnsi="Times New Roman" w:cs="Times New Roman"/>
          <w:sz w:val="28"/>
          <w:szCs w:val="28"/>
          <w:lang w:eastAsia="uk-UA"/>
        </w:rPr>
      </w:pPr>
    </w:p>
    <w:p w14:paraId="78A8FA3B" w14:textId="77777777" w:rsidR="00E94B29" w:rsidRPr="001935D0" w:rsidRDefault="00E94B29" w:rsidP="00593711">
      <w:pPr>
        <w:pStyle w:val="NormalWeb"/>
        <w:spacing w:before="0" w:beforeAutospacing="0" w:after="0" w:afterAutospacing="0"/>
        <w:ind w:firstLine="709"/>
        <w:contextualSpacing/>
        <w:jc w:val="both"/>
      </w:pPr>
      <w:r w:rsidRPr="001935D0">
        <w:rPr>
          <w:noProof/>
        </w:rPr>
        <w:drawing>
          <wp:inline distT="0" distB="0" distL="0" distR="0" wp14:anchorId="138E1A0A" wp14:editId="3C1F53E0">
            <wp:extent cx="5069433" cy="2289657"/>
            <wp:effectExtent l="0" t="0" r="0" b="0"/>
            <wp:docPr id="45"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05949C9A" w14:textId="77777777" w:rsidR="00E94B29" w:rsidRPr="007916E1" w:rsidRDefault="00E94B29" w:rsidP="00593711">
      <w:pPr>
        <w:pStyle w:val="NormalWeb"/>
        <w:spacing w:before="0" w:beforeAutospacing="0" w:after="0" w:afterAutospacing="0"/>
        <w:ind w:firstLine="709"/>
        <w:contextualSpacing/>
        <w:jc w:val="both"/>
        <w:rPr>
          <w:sz w:val="16"/>
          <w:szCs w:val="16"/>
        </w:rPr>
      </w:pPr>
    </w:p>
    <w:p w14:paraId="31487A77" w14:textId="65C3C285" w:rsidR="00E94B29" w:rsidRPr="001935D0" w:rsidRDefault="00E94B29" w:rsidP="00593711">
      <w:pPr>
        <w:pStyle w:val="NormalWeb"/>
        <w:spacing w:before="0" w:beforeAutospacing="0" w:after="0" w:afterAutospacing="0"/>
        <w:contextualSpacing/>
        <w:jc w:val="center"/>
        <w:rPr>
          <w:sz w:val="28"/>
          <w:szCs w:val="28"/>
        </w:rPr>
      </w:pPr>
      <w:r w:rsidRPr="001935D0">
        <w:rPr>
          <w:sz w:val="28"/>
          <w:szCs w:val="28"/>
        </w:rPr>
        <w:t>Рис</w:t>
      </w:r>
      <w:r w:rsidR="007916E1">
        <w:rPr>
          <w:sz w:val="28"/>
          <w:szCs w:val="28"/>
          <w:lang w:val="kk-KZ"/>
        </w:rPr>
        <w:t>унок</w:t>
      </w:r>
      <w:r w:rsidRPr="001935D0">
        <w:rPr>
          <w:sz w:val="28"/>
          <w:szCs w:val="28"/>
        </w:rPr>
        <w:t xml:space="preserve"> 3.8 </w:t>
      </w:r>
      <w:r w:rsidR="007916E1">
        <w:rPr>
          <w:sz w:val="28"/>
          <w:szCs w:val="28"/>
          <w:lang w:val="kk-KZ"/>
        </w:rPr>
        <w:t xml:space="preserve">– </w:t>
      </w:r>
      <w:r w:rsidRPr="001935D0">
        <w:rPr>
          <w:sz w:val="28"/>
          <w:szCs w:val="28"/>
        </w:rPr>
        <w:t xml:space="preserve">Показатели ключевых индикаторов Казахстана по Копенгагенским критериям </w:t>
      </w:r>
    </w:p>
    <w:p w14:paraId="3916CC25" w14:textId="77777777" w:rsidR="007916E1" w:rsidRPr="007916E1" w:rsidRDefault="007916E1" w:rsidP="00593711">
      <w:pPr>
        <w:pStyle w:val="NoSpacing"/>
        <w:jc w:val="both"/>
        <w:rPr>
          <w:rFonts w:ascii="Times New Roman" w:hAnsi="Times New Roman" w:cs="Times New Roman"/>
          <w:sz w:val="16"/>
          <w:szCs w:val="16"/>
          <w:lang w:val="kk-KZ"/>
        </w:rPr>
      </w:pPr>
    </w:p>
    <w:p w14:paraId="448EFBC0" w14:textId="605A92EA" w:rsidR="00E94B29" w:rsidRPr="001935D0" w:rsidRDefault="007916E1" w:rsidP="007916E1">
      <w:pPr>
        <w:pStyle w:val="NoSpacing"/>
        <w:ind w:firstLine="709"/>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w:t>
      </w:r>
      <w:r w:rsidR="00E94B29" w:rsidRPr="001935D0">
        <w:rPr>
          <w:rFonts w:ascii="Times New Roman" w:hAnsi="Times New Roman" w:cs="Times New Roman"/>
          <w:sz w:val="24"/>
          <w:szCs w:val="24"/>
        </w:rPr>
        <w:t xml:space="preserve">автором по данным </w:t>
      </w:r>
      <w:r>
        <w:rPr>
          <w:rFonts w:ascii="Times New Roman" w:hAnsi="Times New Roman" w:cs="Times New Roman"/>
          <w:sz w:val="24"/>
          <w:szCs w:val="24"/>
          <w:lang w:val="kk-KZ"/>
        </w:rPr>
        <w:t xml:space="preserve">источника </w:t>
      </w:r>
      <w:r w:rsidR="00E94B29" w:rsidRPr="001935D0">
        <w:rPr>
          <w:rFonts w:ascii="Times New Roman" w:hAnsi="Times New Roman" w:cs="Times New Roman"/>
          <w:sz w:val="24"/>
          <w:szCs w:val="24"/>
        </w:rPr>
        <w:t>[18</w:t>
      </w:r>
      <w:r w:rsidR="003042D0">
        <w:rPr>
          <w:rFonts w:ascii="Times New Roman" w:hAnsi="Times New Roman" w:cs="Times New Roman"/>
          <w:sz w:val="24"/>
          <w:szCs w:val="24"/>
          <w:lang w:val="kk-KZ"/>
        </w:rPr>
        <w:t>3</w:t>
      </w:r>
      <w:r w:rsidR="00E94B29" w:rsidRPr="001935D0">
        <w:rPr>
          <w:rFonts w:ascii="Times New Roman" w:hAnsi="Times New Roman" w:cs="Times New Roman"/>
          <w:sz w:val="24"/>
          <w:szCs w:val="24"/>
        </w:rPr>
        <w:t>]</w:t>
      </w:r>
    </w:p>
    <w:p w14:paraId="3C5CCA65" w14:textId="77777777" w:rsidR="00E94B29" w:rsidRPr="001935D0" w:rsidRDefault="00E94B29" w:rsidP="00593711">
      <w:pPr>
        <w:pStyle w:val="NoSpacing"/>
        <w:ind w:firstLine="567"/>
        <w:jc w:val="both"/>
        <w:rPr>
          <w:rFonts w:ascii="Times New Roman" w:hAnsi="Times New Roman" w:cs="Times New Roman"/>
          <w:sz w:val="28"/>
          <w:szCs w:val="28"/>
          <w:lang w:eastAsia="ru-RU"/>
        </w:rPr>
      </w:pPr>
    </w:p>
    <w:p w14:paraId="357A128E" w14:textId="1755F835" w:rsidR="00E94B29" w:rsidRPr="001935D0" w:rsidRDefault="00E94B29" w:rsidP="007916E1">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сфере верховенства права и институциональной независимости отмечаются умеренные положительные тенденции, подтверждённые динамикой индексов World Justice Project и Corruption Perceptions Index. Важнейшими результатами стали восстановление деятельности Конституционного суда, усиление мандата Омбудсмена, создание региональных офисов по правам человека, а также отмена смертной казни и принятие нового Социального </w:t>
      </w:r>
      <w:r w:rsidRPr="001935D0">
        <w:rPr>
          <w:rFonts w:ascii="Times New Roman" w:hAnsi="Times New Roman" w:cs="Times New Roman"/>
          <w:sz w:val="28"/>
          <w:szCs w:val="28"/>
        </w:rPr>
        <w:lastRenderedPageBreak/>
        <w:t>кодекса (2023). Тем не менее, судебная система по-прежнему зависима от исполнительной власти, а антикоррупционные механизмы остаются ограниченными по масштабу и эффективности.</w:t>
      </w:r>
    </w:p>
    <w:p w14:paraId="2726B132" w14:textId="77777777" w:rsidR="00E94B29" w:rsidRPr="001935D0" w:rsidRDefault="00E94B29" w:rsidP="007916E1">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Экономическая свобода оценивается как умеренная: функционирование рыночных механизмов сопровождается высокой ролью государства и влиянием квазигосударственных структур, что сдерживает развитие конкуренции и предпринимательской инициативы. В то же время реализация Национального плана развития до 2029 года и третьего Плана действий в области прав человека и верховенства закона создаёт стратегическую основу для институционального укрепления правовой системы и повышения её прозрачности.</w:t>
      </w:r>
    </w:p>
    <w:p w14:paraId="12689C51" w14:textId="761A38C6" w:rsidR="00E94B29" w:rsidRPr="001935D0" w:rsidRDefault="00E94B29" w:rsidP="007916E1">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Таким образом, уровень соответствия Копенгагенским критериям можно охарактеризовать как частичный, но поступательно развивающийся. Прогресс в укреплении правовых институтов и повышении транспарентности государственного управления сочетается с сохраняющимся </w:t>
      </w:r>
      <w:r w:rsidR="00AD6D54">
        <w:rPr>
          <w:rFonts w:ascii="Times New Roman" w:hAnsi="Times New Roman" w:cs="Times New Roman"/>
          <w:sz w:val="28"/>
          <w:szCs w:val="28"/>
          <w:lang w:val="kk-KZ"/>
        </w:rPr>
        <w:t xml:space="preserve">пробелом </w:t>
      </w:r>
      <w:r w:rsidRPr="001935D0">
        <w:rPr>
          <w:rFonts w:ascii="Times New Roman" w:hAnsi="Times New Roman" w:cs="Times New Roman"/>
          <w:sz w:val="28"/>
          <w:szCs w:val="28"/>
        </w:rPr>
        <w:t xml:space="preserve">демократических свобод и институциональной независимости – главным барьером на пути полного соответствия европейским стандартам. Комплексная оценка показывает, что реформы 2020–2025 годов создали фундамент для сближения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однако для достижения устойчивого прогресса необходимо углубление политико-правовых преобразований и расширение участия гражданского общества.</w:t>
      </w:r>
    </w:p>
    <w:p w14:paraId="52417809" w14:textId="76F9C819" w:rsidR="00E94B29" w:rsidRPr="001935D0" w:rsidRDefault="00E94B29" w:rsidP="007916E1">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Для повышения уровня соответствия Копенгагенским критериям целесообразно выделить три взаимосвязанных направления адаптации – политико-институциональное, экономическое и правовое, реализуемые в рамках Третьего плана действий в области прав человека и верховенства закона и Национального плана развития до 2029 года. Именно они формируют основу для постепенного сближения Казахстана с европейской правовой и управленческой моделью (таблицы 3.6</w:t>
      </w:r>
      <w:r w:rsidR="007916E1">
        <w:rPr>
          <w:rFonts w:ascii="Times New Roman" w:hAnsi="Times New Roman" w:cs="Times New Roman"/>
          <w:sz w:val="28"/>
          <w:szCs w:val="28"/>
          <w:lang w:val="kk-KZ"/>
        </w:rPr>
        <w:t xml:space="preserve">, 3.7, </w:t>
      </w:r>
      <w:r w:rsidRPr="001935D0">
        <w:rPr>
          <w:rFonts w:ascii="Times New Roman" w:hAnsi="Times New Roman" w:cs="Times New Roman"/>
          <w:sz w:val="28"/>
          <w:szCs w:val="28"/>
        </w:rPr>
        <w:t>3.8).</w:t>
      </w:r>
    </w:p>
    <w:p w14:paraId="34A6DC58" w14:textId="77777777" w:rsidR="00E94B29" w:rsidRPr="001935D0" w:rsidRDefault="00E94B29" w:rsidP="00593711">
      <w:pPr>
        <w:pStyle w:val="NoSpacing"/>
        <w:ind w:firstLine="567"/>
        <w:jc w:val="both"/>
        <w:rPr>
          <w:rFonts w:ascii="Times New Roman" w:hAnsi="Times New Roman" w:cs="Times New Roman"/>
          <w:sz w:val="28"/>
          <w:szCs w:val="28"/>
        </w:rPr>
      </w:pPr>
    </w:p>
    <w:p w14:paraId="79E4D4B5" w14:textId="274BDF27" w:rsidR="00E94B29" w:rsidRDefault="00E94B29" w:rsidP="007916E1">
      <w:pPr>
        <w:pStyle w:val="NormalWeb"/>
        <w:spacing w:before="0" w:beforeAutospacing="0" w:after="0" w:afterAutospacing="0"/>
        <w:contextualSpacing/>
        <w:jc w:val="both"/>
        <w:rPr>
          <w:sz w:val="28"/>
          <w:szCs w:val="28"/>
          <w:lang w:val="kk-KZ"/>
        </w:rPr>
      </w:pPr>
      <w:r w:rsidRPr="001935D0">
        <w:rPr>
          <w:sz w:val="28"/>
          <w:szCs w:val="28"/>
        </w:rPr>
        <w:t xml:space="preserve">Таблица 3.6 </w:t>
      </w:r>
      <w:r w:rsidR="007916E1">
        <w:rPr>
          <w:sz w:val="28"/>
          <w:szCs w:val="28"/>
        </w:rPr>
        <w:t>‒</w:t>
      </w:r>
      <w:r w:rsidR="007916E1">
        <w:rPr>
          <w:sz w:val="28"/>
          <w:szCs w:val="28"/>
          <w:lang w:val="kk-KZ"/>
        </w:rPr>
        <w:t xml:space="preserve"> </w:t>
      </w:r>
      <w:r w:rsidRPr="001935D0">
        <w:rPr>
          <w:sz w:val="28"/>
          <w:szCs w:val="28"/>
        </w:rPr>
        <w:t xml:space="preserve">Политико-институциональные направления сближения с ЕС </w:t>
      </w:r>
    </w:p>
    <w:p w14:paraId="24BC95D7" w14:textId="77777777" w:rsidR="007916E1" w:rsidRPr="007916E1" w:rsidRDefault="007916E1" w:rsidP="007916E1">
      <w:pPr>
        <w:pStyle w:val="NormalWeb"/>
        <w:spacing w:before="0" w:beforeAutospacing="0" w:after="0" w:afterAutospacing="0"/>
        <w:contextualSpacing/>
        <w:jc w:val="both"/>
        <w:rPr>
          <w:sz w:val="16"/>
          <w:szCs w:val="16"/>
          <w:lang w:val="kk-KZ"/>
        </w:rPr>
      </w:pPr>
    </w:p>
    <w:tbl>
      <w:tblPr>
        <w:tblStyle w:val="TableGrid"/>
        <w:tblW w:w="9493" w:type="dxa"/>
        <w:jc w:val="center"/>
        <w:tblLayout w:type="fixed"/>
        <w:tblLook w:val="04A0" w:firstRow="1" w:lastRow="0" w:firstColumn="1" w:lastColumn="0" w:noHBand="0" w:noVBand="1"/>
      </w:tblPr>
      <w:tblGrid>
        <w:gridCol w:w="1980"/>
        <w:gridCol w:w="4819"/>
        <w:gridCol w:w="2694"/>
      </w:tblGrid>
      <w:tr w:rsidR="00E94B29" w:rsidRPr="007916E1" w14:paraId="7423AC82" w14:textId="77777777" w:rsidTr="007916E1">
        <w:trPr>
          <w:jc w:val="center"/>
        </w:trPr>
        <w:tc>
          <w:tcPr>
            <w:tcW w:w="1980" w:type="dxa"/>
            <w:vAlign w:val="center"/>
          </w:tcPr>
          <w:p w14:paraId="5AC121C9" w14:textId="77777777" w:rsidR="00E94B29" w:rsidRPr="007916E1" w:rsidRDefault="00E94B29" w:rsidP="00593711">
            <w:pPr>
              <w:jc w:val="center"/>
              <w:rPr>
                <w:rFonts w:ascii="Times New Roman" w:eastAsia="Times New Roman" w:hAnsi="Times New Roman" w:cs="Times New Roman"/>
                <w:bCs/>
                <w:sz w:val="24"/>
                <w:szCs w:val="24"/>
                <w:lang w:eastAsia="ru-RU"/>
              </w:rPr>
            </w:pPr>
            <w:r w:rsidRPr="007916E1">
              <w:rPr>
                <w:rFonts w:ascii="Times New Roman" w:eastAsia="Times New Roman" w:hAnsi="Times New Roman" w:cs="Times New Roman"/>
                <w:bCs/>
                <w:sz w:val="24"/>
                <w:szCs w:val="24"/>
                <w:lang w:eastAsia="ru-RU"/>
              </w:rPr>
              <w:t>Направление</w:t>
            </w:r>
          </w:p>
        </w:tc>
        <w:tc>
          <w:tcPr>
            <w:tcW w:w="4819" w:type="dxa"/>
            <w:vAlign w:val="center"/>
          </w:tcPr>
          <w:p w14:paraId="3E39F1D0" w14:textId="77777777" w:rsidR="00E94B29" w:rsidRPr="007916E1" w:rsidRDefault="00E94B29" w:rsidP="00593711">
            <w:pPr>
              <w:jc w:val="center"/>
              <w:rPr>
                <w:rFonts w:ascii="Times New Roman" w:eastAsia="Times New Roman" w:hAnsi="Times New Roman" w:cs="Times New Roman"/>
                <w:bCs/>
                <w:sz w:val="24"/>
                <w:szCs w:val="24"/>
                <w:lang w:eastAsia="ru-RU"/>
              </w:rPr>
            </w:pPr>
            <w:r w:rsidRPr="007916E1">
              <w:rPr>
                <w:rFonts w:ascii="Times New Roman" w:eastAsia="Times New Roman" w:hAnsi="Times New Roman" w:cs="Times New Roman"/>
                <w:bCs/>
                <w:sz w:val="24"/>
                <w:szCs w:val="24"/>
                <w:lang w:eastAsia="ru-RU"/>
              </w:rPr>
              <w:t>Основные действия</w:t>
            </w:r>
          </w:p>
        </w:tc>
        <w:tc>
          <w:tcPr>
            <w:tcW w:w="2694" w:type="dxa"/>
            <w:vAlign w:val="center"/>
          </w:tcPr>
          <w:p w14:paraId="4FFE9194" w14:textId="77777777" w:rsidR="00E94B29" w:rsidRPr="007916E1" w:rsidRDefault="00E94B29" w:rsidP="00593711">
            <w:pPr>
              <w:jc w:val="center"/>
              <w:rPr>
                <w:rFonts w:ascii="Times New Roman" w:eastAsia="Times New Roman" w:hAnsi="Times New Roman" w:cs="Times New Roman"/>
                <w:bCs/>
                <w:sz w:val="24"/>
                <w:szCs w:val="24"/>
                <w:lang w:eastAsia="ru-RU"/>
              </w:rPr>
            </w:pPr>
            <w:r w:rsidRPr="007916E1">
              <w:rPr>
                <w:rFonts w:ascii="Times New Roman" w:eastAsia="Times New Roman" w:hAnsi="Times New Roman" w:cs="Times New Roman"/>
                <w:bCs/>
                <w:sz w:val="24"/>
                <w:szCs w:val="24"/>
                <w:lang w:eastAsia="ru-RU"/>
              </w:rPr>
              <w:t>Ожидаемый результат</w:t>
            </w:r>
          </w:p>
        </w:tc>
      </w:tr>
      <w:tr w:rsidR="00E94B29" w:rsidRPr="001935D0" w14:paraId="7F15396F" w14:textId="77777777" w:rsidTr="007916E1">
        <w:trPr>
          <w:jc w:val="center"/>
        </w:trPr>
        <w:tc>
          <w:tcPr>
            <w:tcW w:w="1980" w:type="dxa"/>
            <w:vAlign w:val="center"/>
          </w:tcPr>
          <w:p w14:paraId="179DFDF3"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Демократизация политической системы</w:t>
            </w:r>
          </w:p>
        </w:tc>
        <w:tc>
          <w:tcPr>
            <w:tcW w:w="4819" w:type="dxa"/>
            <w:vAlign w:val="center"/>
          </w:tcPr>
          <w:p w14:paraId="23241D89" w14:textId="1F3F9DE0"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Расширить реальные полномочи</w:t>
            </w:r>
            <w:r w:rsidR="007916E1">
              <w:rPr>
                <w:rFonts w:ascii="Times New Roman" w:eastAsia="Times New Roman" w:hAnsi="Times New Roman" w:cs="Times New Roman"/>
                <w:sz w:val="24"/>
                <w:szCs w:val="24"/>
                <w:lang w:eastAsia="ru-RU"/>
              </w:rPr>
              <w:t>я парламента и маслихатов (в т.</w:t>
            </w:r>
            <w:r w:rsidRPr="001935D0">
              <w:rPr>
                <w:rFonts w:ascii="Times New Roman" w:eastAsia="Times New Roman" w:hAnsi="Times New Roman" w:cs="Times New Roman"/>
                <w:sz w:val="24"/>
                <w:szCs w:val="24"/>
                <w:lang w:eastAsia="ru-RU"/>
              </w:rPr>
              <w:t xml:space="preserve">ч. парламентский контроль за нормативными актами и бюджетными расходами). </w:t>
            </w:r>
          </w:p>
          <w:p w14:paraId="3B8DC478" w14:textId="29B964FF"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Укрепить партийную конкуренцию, упрос</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тив регистрацию политических партий. </w:t>
            </w:r>
          </w:p>
          <w:p w14:paraId="48B7162C" w14:textId="44C76FA6" w:rsidR="00E94B29" w:rsidRPr="001935D0" w:rsidRDefault="00E94B29" w:rsidP="007916E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Закрепить уведомительный порядок мирных собраний (2025) и мониторинг выборов.</w:t>
            </w:r>
          </w:p>
        </w:tc>
        <w:tc>
          <w:tcPr>
            <w:tcW w:w="2694" w:type="dxa"/>
            <w:vAlign w:val="center"/>
          </w:tcPr>
          <w:p w14:paraId="32DA6303" w14:textId="09A4570E" w:rsidR="00E94B29" w:rsidRPr="001935D0" w:rsidRDefault="00E94B29" w:rsidP="007916E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Свободные и конкурент</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ные выборы; инсти</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туционализированный парламентский конт</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роль; рост доверия граждан (опросы ≥ 60%).</w:t>
            </w:r>
          </w:p>
        </w:tc>
      </w:tr>
      <w:tr w:rsidR="00E94B29" w:rsidRPr="001935D0" w14:paraId="0FF2F3E2" w14:textId="77777777" w:rsidTr="007916E1">
        <w:trPr>
          <w:jc w:val="center"/>
        </w:trPr>
        <w:tc>
          <w:tcPr>
            <w:tcW w:w="1980" w:type="dxa"/>
            <w:vAlign w:val="center"/>
          </w:tcPr>
          <w:p w14:paraId="6C49653C"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Права человека и свободы</w:t>
            </w:r>
          </w:p>
        </w:tc>
        <w:tc>
          <w:tcPr>
            <w:tcW w:w="4819" w:type="dxa"/>
            <w:vAlign w:val="center"/>
          </w:tcPr>
          <w:p w14:paraId="56BDB032" w14:textId="349F944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Гармонизировать законодательство с Европейской конвенцией о защите прав человека. </w:t>
            </w:r>
          </w:p>
          <w:p w14:paraId="461D62AD" w14:textId="508C31C9"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Укрепить независимость судов и адво</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катуры (прозрачные процедуры назначений, гарантии для защитников). </w:t>
            </w:r>
          </w:p>
          <w:p w14:paraId="705F71FE" w14:textId="2D5ED25F"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Обеспечить реальную свободу СМИ и соб</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раний (реализация Закона «О масс-медиа» и Закона «Об общественном контроле»).</w:t>
            </w:r>
          </w:p>
        </w:tc>
        <w:tc>
          <w:tcPr>
            <w:tcW w:w="2694" w:type="dxa"/>
            <w:vAlign w:val="center"/>
          </w:tcPr>
          <w:p w14:paraId="18A513BD" w14:textId="4CB4D640"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Снижение преследо</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ваний активистов и журналистов; улучшение индексов Freedom House и Rule of Law</w:t>
            </w:r>
          </w:p>
        </w:tc>
      </w:tr>
      <w:tr w:rsidR="00E94B29" w:rsidRPr="001935D0" w14:paraId="357F945A" w14:textId="77777777" w:rsidTr="007916E1">
        <w:trPr>
          <w:jc w:val="center"/>
        </w:trPr>
        <w:tc>
          <w:tcPr>
            <w:tcW w:w="1980" w:type="dxa"/>
            <w:vAlign w:val="center"/>
          </w:tcPr>
          <w:p w14:paraId="7682DDBF"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lastRenderedPageBreak/>
              <w:t>Защита меньшинств и гендерное равенство</w:t>
            </w:r>
          </w:p>
        </w:tc>
        <w:tc>
          <w:tcPr>
            <w:tcW w:w="4819" w:type="dxa"/>
            <w:vAlign w:val="center"/>
          </w:tcPr>
          <w:p w14:paraId="1581CE84" w14:textId="58B5ACD9"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Разработать госпрограмму поддержки этнических и языковых меньшинств.</w:t>
            </w:r>
            <w:r w:rsidR="007916E1">
              <w:rPr>
                <w:rFonts w:ascii="Times New Roman" w:eastAsia="Times New Roman" w:hAnsi="Times New Roman" w:cs="Times New Roman"/>
                <w:sz w:val="24"/>
                <w:szCs w:val="24"/>
                <w:lang w:eastAsia="ru-RU"/>
              </w:rPr>
              <w:t xml:space="preserve"> </w:t>
            </w:r>
            <w:r w:rsidR="007916E1">
              <w:rPr>
                <w:rFonts w:ascii="Times New Roman" w:eastAsia="Times New Roman" w:hAnsi="Times New Roman" w:cs="Times New Roman"/>
                <w:sz w:val="24"/>
                <w:szCs w:val="24"/>
                <w:lang w:eastAsia="ru-RU"/>
              </w:rPr>
              <w:br/>
              <w:t>Институционализировать 30</w:t>
            </w:r>
            <w:r w:rsidRPr="001935D0">
              <w:rPr>
                <w:rFonts w:ascii="Times New Roman" w:eastAsia="Times New Roman" w:hAnsi="Times New Roman" w:cs="Times New Roman"/>
                <w:sz w:val="24"/>
                <w:szCs w:val="24"/>
                <w:lang w:eastAsia="ru-RU"/>
              </w:rPr>
              <w:t>% квоту (жен</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щины, молодёжь, лица с инвалидностью) и распространить её на местный уровень.</w:t>
            </w:r>
          </w:p>
        </w:tc>
        <w:tc>
          <w:tcPr>
            <w:tcW w:w="2694" w:type="dxa"/>
            <w:vAlign w:val="center"/>
          </w:tcPr>
          <w:p w14:paraId="2FDC679C" w14:textId="2CA88EF2" w:rsidR="00E94B29" w:rsidRPr="007916E1" w:rsidRDefault="00E94B29" w:rsidP="007916E1">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Социальная устойчи</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вость и терпимость; представительство жен</w:t>
            </w:r>
            <w:r w:rsidR="007916E1">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щин ≥ 30% к 2027 г.; снижение дискримина</w:t>
            </w:r>
            <w:r w:rsidR="007916E1">
              <w:rPr>
                <w:rFonts w:ascii="Times New Roman" w:eastAsia="Times New Roman" w:hAnsi="Times New Roman" w:cs="Times New Roman"/>
                <w:sz w:val="24"/>
                <w:szCs w:val="24"/>
                <w:lang w:val="kk-KZ" w:eastAsia="ru-RU"/>
              </w:rPr>
              <w:t xml:space="preserve"> </w:t>
            </w:r>
            <w:r w:rsidR="007916E1">
              <w:rPr>
                <w:rFonts w:ascii="Times New Roman" w:eastAsia="Times New Roman" w:hAnsi="Times New Roman" w:cs="Times New Roman"/>
                <w:sz w:val="24"/>
                <w:szCs w:val="24"/>
                <w:lang w:eastAsia="ru-RU"/>
              </w:rPr>
              <w:t>ционных практик</w:t>
            </w:r>
          </w:p>
        </w:tc>
      </w:tr>
      <w:tr w:rsidR="007916E1" w:rsidRPr="001935D0" w14:paraId="63DC840E" w14:textId="77777777" w:rsidTr="00123D4E">
        <w:trPr>
          <w:jc w:val="center"/>
        </w:trPr>
        <w:tc>
          <w:tcPr>
            <w:tcW w:w="9493" w:type="dxa"/>
            <w:gridSpan w:val="3"/>
            <w:vAlign w:val="center"/>
          </w:tcPr>
          <w:p w14:paraId="437B14DF" w14:textId="00665DA0" w:rsidR="007916E1" w:rsidRPr="001935D0" w:rsidRDefault="009D7580" w:rsidP="003042D0">
            <w:pPr>
              <w:ind w:firstLine="548"/>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 xml:space="preserve">Составлено автором по данным </w:t>
            </w:r>
            <w:r>
              <w:rPr>
                <w:rFonts w:ascii="Times New Roman" w:hAnsi="Times New Roman" w:cs="Times New Roman"/>
                <w:sz w:val="24"/>
                <w:szCs w:val="24"/>
                <w:lang w:val="kk-KZ"/>
              </w:rPr>
              <w:t xml:space="preserve">источников </w:t>
            </w:r>
            <w:r w:rsidRPr="001935D0">
              <w:rPr>
                <w:rFonts w:ascii="Times New Roman" w:hAnsi="Times New Roman" w:cs="Times New Roman"/>
                <w:sz w:val="24"/>
                <w:szCs w:val="24"/>
              </w:rPr>
              <w:t>[19</w:t>
            </w:r>
            <w:r>
              <w:rPr>
                <w:rFonts w:ascii="Times New Roman" w:hAnsi="Times New Roman" w:cs="Times New Roman"/>
                <w:sz w:val="24"/>
                <w:szCs w:val="24"/>
                <w:lang w:val="kk-KZ"/>
              </w:rPr>
              <w:t xml:space="preserve">1; </w:t>
            </w:r>
            <w:r w:rsidRPr="001935D0">
              <w:rPr>
                <w:rFonts w:ascii="Times New Roman" w:hAnsi="Times New Roman" w:cs="Times New Roman"/>
                <w:sz w:val="24"/>
                <w:szCs w:val="24"/>
              </w:rPr>
              <w:t>19</w:t>
            </w:r>
            <w:r>
              <w:rPr>
                <w:rFonts w:ascii="Times New Roman" w:hAnsi="Times New Roman" w:cs="Times New Roman"/>
                <w:sz w:val="24"/>
                <w:szCs w:val="24"/>
                <w:lang w:val="kk-KZ"/>
              </w:rPr>
              <w:t>2</w:t>
            </w:r>
            <w:r w:rsidRPr="001935D0">
              <w:rPr>
                <w:rFonts w:ascii="Times New Roman" w:hAnsi="Times New Roman" w:cs="Times New Roman"/>
                <w:sz w:val="24"/>
                <w:szCs w:val="24"/>
              </w:rPr>
              <w:t>]</w:t>
            </w:r>
          </w:p>
        </w:tc>
      </w:tr>
    </w:tbl>
    <w:p w14:paraId="647BD814" w14:textId="77777777" w:rsidR="007916E1" w:rsidRDefault="007916E1" w:rsidP="007916E1">
      <w:pPr>
        <w:pStyle w:val="NoSpacing"/>
        <w:ind w:firstLine="709"/>
        <w:jc w:val="both"/>
        <w:rPr>
          <w:rFonts w:ascii="Times New Roman" w:hAnsi="Times New Roman" w:cs="Times New Roman"/>
          <w:sz w:val="28"/>
          <w:szCs w:val="28"/>
          <w:lang w:val="kk-KZ"/>
        </w:rPr>
      </w:pPr>
    </w:p>
    <w:p w14:paraId="7AFF7EC4" w14:textId="77777777"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Представленные политико-институциональные направления отражают основные векторы демократической трансформации Казахстана, определённые в </w:t>
      </w:r>
      <w:r w:rsidRPr="001935D0">
        <w:rPr>
          <w:rStyle w:val="Strong"/>
          <w:rFonts w:ascii="Times New Roman" w:hAnsi="Times New Roman" w:cs="Times New Roman"/>
          <w:b w:val="0"/>
          <w:sz w:val="28"/>
          <w:szCs w:val="28"/>
        </w:rPr>
        <w:t>Третьем плане действий в области прав человека и верховенства закона</w:t>
      </w:r>
      <w:r w:rsidRPr="001935D0">
        <w:rPr>
          <w:rFonts w:ascii="Times New Roman" w:hAnsi="Times New Roman" w:cs="Times New Roman"/>
          <w:sz w:val="28"/>
          <w:szCs w:val="28"/>
        </w:rPr>
        <w:t xml:space="preserve"> и развиваемые в рамках концепции </w:t>
      </w:r>
      <w:r w:rsidRPr="001935D0">
        <w:rPr>
          <w:rStyle w:val="Emphasis"/>
          <w:rFonts w:ascii="Times New Roman" w:hAnsi="Times New Roman" w:cs="Times New Roman"/>
          <w:sz w:val="28"/>
          <w:szCs w:val="28"/>
        </w:rPr>
        <w:t>«Слышащее государство»</w:t>
      </w:r>
      <w:r w:rsidRPr="001935D0">
        <w:rPr>
          <w:rFonts w:ascii="Times New Roman" w:hAnsi="Times New Roman" w:cs="Times New Roman"/>
          <w:i/>
          <w:sz w:val="28"/>
          <w:szCs w:val="28"/>
        </w:rPr>
        <w:t>.</w:t>
      </w:r>
      <w:r w:rsidRPr="001935D0">
        <w:rPr>
          <w:rFonts w:ascii="Times New Roman" w:hAnsi="Times New Roman" w:cs="Times New Roman"/>
          <w:sz w:val="28"/>
          <w:szCs w:val="28"/>
        </w:rPr>
        <w:t xml:space="preserve"> Эти меры включают децентрализацию управления, проведение прямых выборов акимов, восстановление деятельности Конституционного суда, расширение роли парламента и местных представительных органов, а также упрощение регистрации политических партий.</w:t>
      </w:r>
    </w:p>
    <w:p w14:paraId="36AF10BA" w14:textId="0F5FF9B1"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Особое внимание уделяется обеспечению реальной свободы собраний и выражения мнений, что закреплено новым </w:t>
      </w:r>
      <w:r w:rsidRPr="001935D0">
        <w:rPr>
          <w:rStyle w:val="Strong"/>
          <w:rFonts w:ascii="Times New Roman" w:hAnsi="Times New Roman" w:cs="Times New Roman"/>
          <w:b w:val="0"/>
          <w:sz w:val="28"/>
          <w:szCs w:val="28"/>
        </w:rPr>
        <w:t>Законом «О порядке организации и проведения мирных собраний»</w:t>
      </w:r>
      <w:r w:rsidRPr="001935D0">
        <w:rPr>
          <w:rFonts w:ascii="Times New Roman" w:hAnsi="Times New Roman" w:cs="Times New Roman"/>
          <w:sz w:val="28"/>
          <w:szCs w:val="28"/>
        </w:rPr>
        <w:t xml:space="preserve"> и </w:t>
      </w:r>
      <w:r w:rsidRPr="001935D0">
        <w:rPr>
          <w:rStyle w:val="Strong"/>
          <w:rFonts w:ascii="Times New Roman" w:hAnsi="Times New Roman" w:cs="Times New Roman"/>
          <w:b w:val="0"/>
          <w:sz w:val="28"/>
          <w:szCs w:val="28"/>
        </w:rPr>
        <w:t>Законом «О масс-медиа»</w:t>
      </w:r>
      <w:r w:rsidRPr="001935D0">
        <w:rPr>
          <w:rFonts w:ascii="Times New Roman" w:hAnsi="Times New Roman" w:cs="Times New Roman"/>
          <w:sz w:val="28"/>
          <w:szCs w:val="28"/>
        </w:rPr>
        <w:t>. В результате формируется правовая основа для развития политического плюрализма, открытого диалога и участия граждан в процессе принятия решений, что соответствует первому компоненту Копенгагенских критериев – стабильным демократическим институтам.</w:t>
      </w:r>
    </w:p>
    <w:p w14:paraId="75217C38" w14:textId="77777777" w:rsidR="00E94B29" w:rsidRPr="001935D0" w:rsidRDefault="00E94B29" w:rsidP="002A7FDD">
      <w:pPr>
        <w:pStyle w:val="NoSpacing"/>
        <w:ind w:firstLine="709"/>
        <w:jc w:val="both"/>
        <w:rPr>
          <w:rFonts w:ascii="Times New Roman" w:hAnsi="Times New Roman" w:cs="Times New Roman"/>
          <w:sz w:val="28"/>
          <w:szCs w:val="28"/>
        </w:rPr>
      </w:pPr>
    </w:p>
    <w:p w14:paraId="20A76994" w14:textId="19B67EF7" w:rsidR="00E94B29" w:rsidRDefault="00E94B29" w:rsidP="002A7FDD">
      <w:pPr>
        <w:pStyle w:val="NormalWeb"/>
        <w:spacing w:before="0" w:beforeAutospacing="0" w:after="0" w:afterAutospacing="0"/>
        <w:jc w:val="both"/>
        <w:rPr>
          <w:sz w:val="28"/>
          <w:szCs w:val="28"/>
          <w:lang w:val="kk-KZ"/>
        </w:rPr>
      </w:pPr>
      <w:r w:rsidRPr="001935D0">
        <w:rPr>
          <w:sz w:val="28"/>
          <w:szCs w:val="28"/>
        </w:rPr>
        <w:t xml:space="preserve">Таблица 3.7 </w:t>
      </w:r>
      <w:r w:rsidR="002A7FDD">
        <w:rPr>
          <w:sz w:val="28"/>
          <w:szCs w:val="28"/>
        </w:rPr>
        <w:t>‒</w:t>
      </w:r>
      <w:r w:rsidR="002A7FDD">
        <w:rPr>
          <w:sz w:val="28"/>
          <w:szCs w:val="28"/>
          <w:lang w:val="kk-KZ"/>
        </w:rPr>
        <w:t xml:space="preserve"> </w:t>
      </w:r>
      <w:r w:rsidRPr="001935D0">
        <w:rPr>
          <w:sz w:val="28"/>
          <w:szCs w:val="28"/>
        </w:rPr>
        <w:t xml:space="preserve">Экономические механизмы гармонизации с европейскими стандартами </w:t>
      </w:r>
    </w:p>
    <w:p w14:paraId="09317A97" w14:textId="77777777" w:rsidR="002A7FDD" w:rsidRPr="002A7FDD" w:rsidRDefault="002A7FDD" w:rsidP="002A7FDD">
      <w:pPr>
        <w:pStyle w:val="NormalWeb"/>
        <w:spacing w:before="0" w:beforeAutospacing="0" w:after="0" w:afterAutospacing="0"/>
        <w:jc w:val="both"/>
        <w:rPr>
          <w:sz w:val="16"/>
          <w:szCs w:val="16"/>
          <w:lang w:val="kk-KZ"/>
        </w:rPr>
      </w:pPr>
    </w:p>
    <w:tbl>
      <w:tblPr>
        <w:tblStyle w:val="TableGrid"/>
        <w:tblW w:w="0" w:type="auto"/>
        <w:jc w:val="center"/>
        <w:tblLook w:val="04A0" w:firstRow="1" w:lastRow="0" w:firstColumn="1" w:lastColumn="0" w:noHBand="0" w:noVBand="1"/>
      </w:tblPr>
      <w:tblGrid>
        <w:gridCol w:w="2120"/>
        <w:gridCol w:w="4367"/>
        <w:gridCol w:w="3141"/>
      </w:tblGrid>
      <w:tr w:rsidR="00E94B29" w:rsidRPr="002A7FDD" w14:paraId="3CF9E816" w14:textId="77777777" w:rsidTr="002A7FDD">
        <w:trPr>
          <w:jc w:val="center"/>
        </w:trPr>
        <w:tc>
          <w:tcPr>
            <w:tcW w:w="2122" w:type="dxa"/>
            <w:vAlign w:val="center"/>
          </w:tcPr>
          <w:p w14:paraId="518A28B5" w14:textId="77777777" w:rsidR="00E94B29" w:rsidRPr="002A7FDD" w:rsidRDefault="00E94B29" w:rsidP="00593711">
            <w:pPr>
              <w:jc w:val="center"/>
              <w:rPr>
                <w:rFonts w:ascii="Times New Roman" w:eastAsia="Times New Roman" w:hAnsi="Times New Roman" w:cs="Times New Roman"/>
                <w:bCs/>
                <w:sz w:val="24"/>
                <w:szCs w:val="24"/>
                <w:lang w:eastAsia="ru-RU"/>
              </w:rPr>
            </w:pPr>
            <w:r w:rsidRPr="002A7FDD">
              <w:rPr>
                <w:rFonts w:ascii="Times New Roman" w:eastAsia="Times New Roman" w:hAnsi="Times New Roman" w:cs="Times New Roman"/>
                <w:bCs/>
                <w:sz w:val="24"/>
                <w:szCs w:val="24"/>
                <w:lang w:eastAsia="ru-RU"/>
              </w:rPr>
              <w:t>Направление</w:t>
            </w:r>
          </w:p>
        </w:tc>
        <w:tc>
          <w:tcPr>
            <w:tcW w:w="4394" w:type="dxa"/>
            <w:vAlign w:val="center"/>
          </w:tcPr>
          <w:p w14:paraId="3C488EB5" w14:textId="77777777" w:rsidR="00E94B29" w:rsidRPr="002A7FDD" w:rsidRDefault="00E94B29" w:rsidP="00593711">
            <w:pPr>
              <w:jc w:val="center"/>
              <w:rPr>
                <w:rFonts w:ascii="Times New Roman" w:eastAsia="Times New Roman" w:hAnsi="Times New Roman" w:cs="Times New Roman"/>
                <w:bCs/>
                <w:sz w:val="24"/>
                <w:szCs w:val="24"/>
                <w:lang w:eastAsia="ru-RU"/>
              </w:rPr>
            </w:pPr>
            <w:r w:rsidRPr="002A7FDD">
              <w:rPr>
                <w:rFonts w:ascii="Times New Roman" w:eastAsia="Times New Roman" w:hAnsi="Times New Roman" w:cs="Times New Roman"/>
                <w:bCs/>
                <w:sz w:val="24"/>
                <w:szCs w:val="24"/>
                <w:lang w:eastAsia="ru-RU"/>
              </w:rPr>
              <w:t>Основные действия</w:t>
            </w:r>
          </w:p>
        </w:tc>
        <w:tc>
          <w:tcPr>
            <w:tcW w:w="3155" w:type="dxa"/>
            <w:vAlign w:val="center"/>
          </w:tcPr>
          <w:p w14:paraId="46977F42" w14:textId="77777777" w:rsidR="00E94B29" w:rsidRPr="002A7FDD" w:rsidRDefault="00E94B29" w:rsidP="00593711">
            <w:pPr>
              <w:jc w:val="center"/>
              <w:rPr>
                <w:rFonts w:ascii="Times New Roman" w:eastAsia="Times New Roman" w:hAnsi="Times New Roman" w:cs="Times New Roman"/>
                <w:bCs/>
                <w:sz w:val="24"/>
                <w:szCs w:val="24"/>
                <w:lang w:eastAsia="ru-RU"/>
              </w:rPr>
            </w:pPr>
            <w:r w:rsidRPr="002A7FDD">
              <w:rPr>
                <w:rFonts w:ascii="Times New Roman" w:eastAsia="Times New Roman" w:hAnsi="Times New Roman" w:cs="Times New Roman"/>
                <w:bCs/>
                <w:sz w:val="24"/>
                <w:szCs w:val="24"/>
                <w:lang w:eastAsia="ru-RU"/>
              </w:rPr>
              <w:t>Ожидаемый результат</w:t>
            </w:r>
          </w:p>
        </w:tc>
      </w:tr>
      <w:tr w:rsidR="00E94B29" w:rsidRPr="001935D0" w14:paraId="22559BA4" w14:textId="77777777" w:rsidTr="002A7FDD">
        <w:trPr>
          <w:jc w:val="center"/>
        </w:trPr>
        <w:tc>
          <w:tcPr>
            <w:tcW w:w="2122" w:type="dxa"/>
            <w:vAlign w:val="center"/>
          </w:tcPr>
          <w:p w14:paraId="5A49570D" w14:textId="77777777" w:rsidR="00E94B29" w:rsidRPr="001935D0" w:rsidRDefault="00E94B29" w:rsidP="00593711">
            <w:pPr>
              <w:jc w:val="both"/>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Либерализация экономики и конкуренция</w:t>
            </w:r>
          </w:p>
        </w:tc>
        <w:tc>
          <w:tcPr>
            <w:tcW w:w="4394" w:type="dxa"/>
            <w:vAlign w:val="center"/>
          </w:tcPr>
          <w:p w14:paraId="4A9D7D5E" w14:textId="04E6650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Уменьшить госучастие в стратегиче</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ских секторах. </w:t>
            </w:r>
          </w:p>
          <w:p w14:paraId="16DF4B5A" w14:textId="15BE66FB"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Усилить независимость антимонополь</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ного органа и контроль за квазигос</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сектором. </w:t>
            </w:r>
          </w:p>
          <w:p w14:paraId="0F5A8B1F" w14:textId="653C69DD"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Гармонизировать законодательство с нормами ЕС в сфере госзакупок (e-procurement, open data, аудит).</w:t>
            </w:r>
          </w:p>
        </w:tc>
        <w:tc>
          <w:tcPr>
            <w:tcW w:w="3155" w:type="dxa"/>
            <w:vAlign w:val="center"/>
          </w:tcPr>
          <w:p w14:paraId="1F97EC6C" w14:textId="3C903FA5"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Рост конкуренции; сниже</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ние доли квазигоссектора; экономия в госзакупках; улучшение WGI «Control of Corruption».</w:t>
            </w:r>
          </w:p>
        </w:tc>
      </w:tr>
      <w:tr w:rsidR="00E94B29" w:rsidRPr="001935D0" w14:paraId="126DAA7E" w14:textId="77777777" w:rsidTr="002A7FDD">
        <w:trPr>
          <w:jc w:val="center"/>
        </w:trPr>
        <w:tc>
          <w:tcPr>
            <w:tcW w:w="2122" w:type="dxa"/>
            <w:vAlign w:val="center"/>
          </w:tcPr>
          <w:p w14:paraId="4940A317" w14:textId="77777777" w:rsidR="00E94B29" w:rsidRPr="001935D0" w:rsidRDefault="00E94B29" w:rsidP="00593711">
            <w:pPr>
              <w:jc w:val="both"/>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Развитие малого и среднего бизнеса</w:t>
            </w:r>
          </w:p>
        </w:tc>
        <w:tc>
          <w:tcPr>
            <w:tcW w:w="4394" w:type="dxa"/>
            <w:vAlign w:val="center"/>
          </w:tcPr>
          <w:p w14:paraId="4FBD9241" w14:textId="0978739D"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Ввести европейские стандарты</w:t>
            </w:r>
          </w:p>
          <w:p w14:paraId="50A5F656" w14:textId="77777777" w:rsidR="002A7FDD" w:rsidRDefault="002A7FDD" w:rsidP="00593711">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кредитования МСП. </w:t>
            </w:r>
          </w:p>
          <w:p w14:paraId="0480D456" w14:textId="09E80F19" w:rsidR="00E94B29" w:rsidRPr="001935D0" w:rsidRDefault="002A7FDD" w:rsidP="0059371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Упростить налоговые процедуры. </w:t>
            </w:r>
            <w:r w:rsidR="00E94B29" w:rsidRPr="001935D0">
              <w:rPr>
                <w:rFonts w:ascii="Times New Roman" w:eastAsia="Times New Roman" w:hAnsi="Times New Roman" w:cs="Times New Roman"/>
                <w:sz w:val="24"/>
                <w:szCs w:val="24"/>
                <w:lang w:eastAsia="ru-RU"/>
              </w:rPr>
              <w:t>Создать сеть бизнес-инкубаторов и инновационных хабов.</w:t>
            </w:r>
          </w:p>
        </w:tc>
        <w:tc>
          <w:tcPr>
            <w:tcW w:w="3155" w:type="dxa"/>
            <w:vAlign w:val="center"/>
          </w:tcPr>
          <w:p w14:paraId="5D5EA1AF"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Доля МСП в ВВП ≥ 50 % к 2029 г.; рост занятости и инвестиций; улучшение позиций в Doing Business-аналогах.</w:t>
            </w:r>
          </w:p>
        </w:tc>
      </w:tr>
      <w:tr w:rsidR="00E94B29" w:rsidRPr="001935D0" w14:paraId="64D28D15" w14:textId="77777777" w:rsidTr="002A7FDD">
        <w:trPr>
          <w:jc w:val="center"/>
        </w:trPr>
        <w:tc>
          <w:tcPr>
            <w:tcW w:w="2122" w:type="dxa"/>
            <w:vAlign w:val="center"/>
          </w:tcPr>
          <w:p w14:paraId="1432572D" w14:textId="77777777" w:rsidR="00E94B29" w:rsidRPr="001935D0" w:rsidRDefault="00E94B29" w:rsidP="00593711">
            <w:pPr>
              <w:jc w:val="both"/>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Устойчивость макроэкономики</w:t>
            </w:r>
          </w:p>
        </w:tc>
        <w:tc>
          <w:tcPr>
            <w:tcW w:w="4394" w:type="dxa"/>
            <w:vAlign w:val="center"/>
          </w:tcPr>
          <w:p w14:paraId="6A47240D" w14:textId="1B7B0A92"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Снизить зависимость от сырьевого</w:t>
            </w:r>
          </w:p>
          <w:p w14:paraId="463EE43C"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экспорта. </w:t>
            </w:r>
          </w:p>
          <w:p w14:paraId="75C69FA5" w14:textId="1A6FA496"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Развивать зелёную энергетику и инновации. </w:t>
            </w:r>
          </w:p>
          <w:p w14:paraId="5FE77294" w14:textId="551800FE" w:rsidR="00E94B29" w:rsidRPr="002A7FDD" w:rsidRDefault="00E94B29" w:rsidP="00593711">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Подде</w:t>
            </w:r>
            <w:r w:rsidR="002A7FDD">
              <w:rPr>
                <w:rFonts w:ascii="Times New Roman" w:eastAsia="Times New Roman" w:hAnsi="Times New Roman" w:cs="Times New Roman"/>
                <w:sz w:val="24"/>
                <w:szCs w:val="24"/>
                <w:lang w:eastAsia="ru-RU"/>
              </w:rPr>
              <w:t>рживать фискальную стабильность</w:t>
            </w:r>
          </w:p>
        </w:tc>
        <w:tc>
          <w:tcPr>
            <w:tcW w:w="3155" w:type="dxa"/>
            <w:vAlign w:val="center"/>
          </w:tcPr>
          <w:p w14:paraId="4D23787F"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Снижение волатильности валюты; рост показателей Heritage «Fiscal Health»; продвижение ESG-повестки.</w:t>
            </w:r>
          </w:p>
        </w:tc>
      </w:tr>
      <w:tr w:rsidR="002A7FDD" w:rsidRPr="001935D0" w14:paraId="6CBB7A1E" w14:textId="77777777" w:rsidTr="00123D4E">
        <w:trPr>
          <w:jc w:val="center"/>
        </w:trPr>
        <w:tc>
          <w:tcPr>
            <w:tcW w:w="9671" w:type="dxa"/>
            <w:gridSpan w:val="3"/>
            <w:vAlign w:val="center"/>
          </w:tcPr>
          <w:p w14:paraId="4DFC8D09" w14:textId="3F557927" w:rsidR="002A7FDD" w:rsidRPr="001935D0" w:rsidRDefault="002A7FDD" w:rsidP="002A7FDD">
            <w:pPr>
              <w:ind w:firstLine="476"/>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Составлено автором</w:t>
            </w:r>
          </w:p>
        </w:tc>
      </w:tr>
    </w:tbl>
    <w:p w14:paraId="1ECD5E49" w14:textId="77777777" w:rsidR="00E94B29" w:rsidRPr="001935D0" w:rsidRDefault="00E94B29" w:rsidP="00593711">
      <w:pPr>
        <w:pStyle w:val="NoSpacing"/>
        <w:jc w:val="both"/>
        <w:rPr>
          <w:rFonts w:ascii="Times New Roman" w:hAnsi="Times New Roman" w:cs="Times New Roman"/>
          <w:sz w:val="28"/>
          <w:szCs w:val="28"/>
        </w:rPr>
      </w:pPr>
    </w:p>
    <w:p w14:paraId="47A6D130" w14:textId="405B3215"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 xml:space="preserve">Экономическая гармонизация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является логическим продолжением институциональных преобразований. Согласно </w:t>
      </w:r>
      <w:r w:rsidRPr="001935D0">
        <w:rPr>
          <w:rStyle w:val="Strong"/>
          <w:rFonts w:ascii="Times New Roman" w:hAnsi="Times New Roman" w:cs="Times New Roman"/>
          <w:b w:val="0"/>
          <w:sz w:val="28"/>
          <w:szCs w:val="28"/>
        </w:rPr>
        <w:t>Национальному плану развития Республики Казахстан до 2029 года</w:t>
      </w:r>
      <w:r w:rsidRPr="001935D0">
        <w:rPr>
          <w:rFonts w:ascii="Times New Roman" w:hAnsi="Times New Roman" w:cs="Times New Roman"/>
          <w:sz w:val="28"/>
          <w:szCs w:val="28"/>
        </w:rPr>
        <w:t xml:space="preserve"> [1</w:t>
      </w:r>
      <w:r w:rsidR="003042D0">
        <w:rPr>
          <w:rFonts w:ascii="Times New Roman" w:hAnsi="Times New Roman" w:cs="Times New Roman"/>
          <w:sz w:val="28"/>
          <w:szCs w:val="28"/>
          <w:lang w:val="kk-KZ"/>
        </w:rPr>
        <w:t>65</w:t>
      </w:r>
      <w:r w:rsidRPr="001935D0">
        <w:rPr>
          <w:rFonts w:ascii="Times New Roman" w:hAnsi="Times New Roman" w:cs="Times New Roman"/>
          <w:sz w:val="28"/>
          <w:szCs w:val="28"/>
        </w:rPr>
        <w:t>], приоритетом определены диверсификация экономики, снижение доли государства в стратегических отраслях, внедрение «зелёных» и цифровых технологий. Эти меры согласуются с целями устойчивого развития и европейской моделью социально ориентированной рыночной экономики.</w:t>
      </w:r>
    </w:p>
    <w:p w14:paraId="65B400E4" w14:textId="77777777"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Поддержка малого и среднего бизнеса, внедрение стандартов ESG-отчётности, развитие предпринимательских хабов и механизмов «единого окна» создают условия для роста инвестиционной привлекательности. Особая роль отводится цифровизации госзакупок </w:t>
      </w:r>
      <w:r w:rsidRPr="001935D0">
        <w:rPr>
          <w:rFonts w:ascii="Times New Roman" w:hAnsi="Times New Roman" w:cs="Times New Roman"/>
          <w:i/>
          <w:sz w:val="28"/>
          <w:szCs w:val="28"/>
        </w:rPr>
        <w:t>(</w:t>
      </w:r>
      <w:r w:rsidRPr="001935D0">
        <w:rPr>
          <w:rStyle w:val="Emphasis"/>
          <w:rFonts w:ascii="Times New Roman" w:hAnsi="Times New Roman" w:cs="Times New Roman"/>
          <w:sz w:val="28"/>
          <w:szCs w:val="28"/>
        </w:rPr>
        <w:t>e-procurement</w:t>
      </w:r>
      <w:r w:rsidRPr="001935D0">
        <w:rPr>
          <w:rFonts w:ascii="Times New Roman" w:hAnsi="Times New Roman" w:cs="Times New Roman"/>
          <w:i/>
          <w:sz w:val="28"/>
          <w:szCs w:val="28"/>
        </w:rPr>
        <w:t>)</w:t>
      </w:r>
      <w:r w:rsidRPr="001935D0">
        <w:rPr>
          <w:rFonts w:ascii="Times New Roman" w:hAnsi="Times New Roman" w:cs="Times New Roman"/>
          <w:sz w:val="28"/>
          <w:szCs w:val="28"/>
        </w:rPr>
        <w:t xml:space="preserve"> и использованию открытых данных, что повышает прозрачность финансовых потоков и эффективность конкуренции.</w:t>
      </w:r>
    </w:p>
    <w:p w14:paraId="45931E98" w14:textId="77777777"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совокупности эти реформы демонстрируют постепенное формирование экономической модели, приближающей Казахстан к нормам acquis communautaire – европейского правового пространства.</w:t>
      </w:r>
    </w:p>
    <w:p w14:paraId="3809790C" w14:textId="77777777" w:rsidR="00E94B29" w:rsidRDefault="00E94B29" w:rsidP="00593711">
      <w:pPr>
        <w:pStyle w:val="NoSpacing"/>
        <w:ind w:firstLine="567"/>
        <w:jc w:val="both"/>
        <w:rPr>
          <w:rFonts w:ascii="Times New Roman" w:hAnsi="Times New Roman" w:cs="Times New Roman"/>
          <w:sz w:val="28"/>
          <w:szCs w:val="28"/>
          <w:lang w:val="kk-KZ"/>
        </w:rPr>
      </w:pPr>
    </w:p>
    <w:p w14:paraId="4D159A1E" w14:textId="77777777" w:rsidR="002A7FDD" w:rsidRPr="002A7FDD" w:rsidRDefault="002A7FDD" w:rsidP="00593711">
      <w:pPr>
        <w:pStyle w:val="NoSpacing"/>
        <w:ind w:firstLine="567"/>
        <w:jc w:val="both"/>
        <w:rPr>
          <w:rFonts w:ascii="Times New Roman" w:hAnsi="Times New Roman" w:cs="Times New Roman"/>
          <w:sz w:val="28"/>
          <w:szCs w:val="28"/>
          <w:lang w:val="kk-KZ"/>
        </w:rPr>
      </w:pPr>
    </w:p>
    <w:p w14:paraId="5E75944E" w14:textId="65500240" w:rsidR="00E94B29" w:rsidRDefault="00E94B29" w:rsidP="002A7FDD">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3.8 </w:t>
      </w:r>
      <w:r w:rsidR="002A7FDD">
        <w:rPr>
          <w:rFonts w:ascii="Times New Roman" w:hAnsi="Times New Roman" w:cs="Times New Roman"/>
          <w:sz w:val="28"/>
          <w:szCs w:val="28"/>
        </w:rPr>
        <w:t>‒</w:t>
      </w:r>
      <w:r w:rsidR="002A7FDD">
        <w:rPr>
          <w:rFonts w:ascii="Times New Roman" w:hAnsi="Times New Roman" w:cs="Times New Roman"/>
          <w:sz w:val="28"/>
          <w:szCs w:val="28"/>
          <w:lang w:val="kk-KZ"/>
        </w:rPr>
        <w:t xml:space="preserve"> </w:t>
      </w:r>
      <w:r w:rsidRPr="001935D0">
        <w:rPr>
          <w:rFonts w:ascii="Times New Roman" w:hAnsi="Times New Roman" w:cs="Times New Roman"/>
          <w:sz w:val="28"/>
          <w:szCs w:val="28"/>
        </w:rPr>
        <w:t>Правовые инструменты адаптации к стандартам ЕС</w:t>
      </w:r>
    </w:p>
    <w:p w14:paraId="49732BC3" w14:textId="77777777" w:rsidR="002A7FDD" w:rsidRPr="002A7FDD" w:rsidRDefault="002A7FDD" w:rsidP="002A7FDD">
      <w:pPr>
        <w:pStyle w:val="NoSpacing"/>
        <w:jc w:val="both"/>
        <w:rPr>
          <w:rFonts w:ascii="Times New Roman" w:hAnsi="Times New Roman" w:cs="Times New Roman"/>
          <w:sz w:val="16"/>
          <w:szCs w:val="16"/>
          <w:lang w:val="kk-KZ"/>
        </w:rPr>
      </w:pPr>
    </w:p>
    <w:tbl>
      <w:tblPr>
        <w:tblStyle w:val="TableGrid"/>
        <w:tblW w:w="0" w:type="auto"/>
        <w:jc w:val="center"/>
        <w:tblLook w:val="04A0" w:firstRow="1" w:lastRow="0" w:firstColumn="1" w:lastColumn="0" w:noHBand="0" w:noVBand="1"/>
      </w:tblPr>
      <w:tblGrid>
        <w:gridCol w:w="2383"/>
        <w:gridCol w:w="4393"/>
        <w:gridCol w:w="2687"/>
      </w:tblGrid>
      <w:tr w:rsidR="00E94B29" w:rsidRPr="002A7FDD" w14:paraId="75DC2262" w14:textId="77777777" w:rsidTr="002A7FDD">
        <w:trPr>
          <w:jc w:val="center"/>
        </w:trPr>
        <w:tc>
          <w:tcPr>
            <w:tcW w:w="2383" w:type="dxa"/>
            <w:vAlign w:val="center"/>
          </w:tcPr>
          <w:p w14:paraId="5FC75118" w14:textId="77777777" w:rsidR="00E94B29" w:rsidRPr="002A7FDD" w:rsidRDefault="00E94B29" w:rsidP="00593711">
            <w:pPr>
              <w:jc w:val="center"/>
              <w:rPr>
                <w:rFonts w:ascii="Times New Roman" w:eastAsia="Times New Roman" w:hAnsi="Times New Roman" w:cs="Times New Roman"/>
                <w:bCs/>
                <w:sz w:val="24"/>
                <w:szCs w:val="24"/>
                <w:lang w:eastAsia="ru-RU"/>
              </w:rPr>
            </w:pPr>
            <w:r w:rsidRPr="002A7FDD">
              <w:rPr>
                <w:rFonts w:ascii="Times New Roman" w:eastAsia="Times New Roman" w:hAnsi="Times New Roman" w:cs="Times New Roman"/>
                <w:bCs/>
                <w:sz w:val="24"/>
                <w:szCs w:val="24"/>
                <w:lang w:eastAsia="ru-RU"/>
              </w:rPr>
              <w:t>Направление</w:t>
            </w:r>
          </w:p>
        </w:tc>
        <w:tc>
          <w:tcPr>
            <w:tcW w:w="4393" w:type="dxa"/>
            <w:vAlign w:val="center"/>
          </w:tcPr>
          <w:p w14:paraId="7C7F00F9" w14:textId="77777777" w:rsidR="00E94B29" w:rsidRPr="002A7FDD" w:rsidRDefault="00E94B29" w:rsidP="00593711">
            <w:pPr>
              <w:jc w:val="center"/>
              <w:rPr>
                <w:rFonts w:ascii="Times New Roman" w:eastAsia="Times New Roman" w:hAnsi="Times New Roman" w:cs="Times New Roman"/>
                <w:bCs/>
                <w:sz w:val="24"/>
                <w:szCs w:val="24"/>
                <w:lang w:eastAsia="ru-RU"/>
              </w:rPr>
            </w:pPr>
            <w:r w:rsidRPr="002A7FDD">
              <w:rPr>
                <w:rFonts w:ascii="Times New Roman" w:eastAsia="Times New Roman" w:hAnsi="Times New Roman" w:cs="Times New Roman"/>
                <w:bCs/>
                <w:sz w:val="24"/>
                <w:szCs w:val="24"/>
                <w:lang w:eastAsia="ru-RU"/>
              </w:rPr>
              <w:t>Основные действия</w:t>
            </w:r>
          </w:p>
        </w:tc>
        <w:tc>
          <w:tcPr>
            <w:tcW w:w="2687" w:type="dxa"/>
            <w:vAlign w:val="center"/>
          </w:tcPr>
          <w:p w14:paraId="2F5548F1" w14:textId="77777777" w:rsidR="00E94B29" w:rsidRPr="002A7FDD" w:rsidRDefault="00E94B29" w:rsidP="00593711">
            <w:pPr>
              <w:jc w:val="center"/>
              <w:rPr>
                <w:rFonts w:ascii="Times New Roman" w:eastAsia="Times New Roman" w:hAnsi="Times New Roman" w:cs="Times New Roman"/>
                <w:bCs/>
                <w:sz w:val="24"/>
                <w:szCs w:val="24"/>
                <w:lang w:eastAsia="ru-RU"/>
              </w:rPr>
            </w:pPr>
            <w:r w:rsidRPr="002A7FDD">
              <w:rPr>
                <w:rFonts w:ascii="Times New Roman" w:eastAsia="Times New Roman" w:hAnsi="Times New Roman" w:cs="Times New Roman"/>
                <w:bCs/>
                <w:sz w:val="24"/>
                <w:szCs w:val="24"/>
                <w:lang w:eastAsia="ru-RU"/>
              </w:rPr>
              <w:t>Ожидаемый результат</w:t>
            </w:r>
          </w:p>
        </w:tc>
      </w:tr>
      <w:tr w:rsidR="00E94B29" w:rsidRPr="001935D0" w14:paraId="31C348FD" w14:textId="77777777" w:rsidTr="002A7FDD">
        <w:trPr>
          <w:jc w:val="center"/>
        </w:trPr>
        <w:tc>
          <w:tcPr>
            <w:tcW w:w="2383" w:type="dxa"/>
            <w:vAlign w:val="center"/>
          </w:tcPr>
          <w:p w14:paraId="19200BD4"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Гармонизация законодательства</w:t>
            </w:r>
          </w:p>
        </w:tc>
        <w:tc>
          <w:tcPr>
            <w:tcW w:w="4393" w:type="dxa"/>
            <w:vAlign w:val="center"/>
          </w:tcPr>
          <w:p w14:paraId="2FF77095" w14:textId="77777777" w:rsidR="002A7FDD" w:rsidRDefault="00E94B29" w:rsidP="00593711">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Привести национальные акты в соответствие с правом ЕС (торговля, экол</w:t>
            </w:r>
            <w:r w:rsidR="002A7FDD">
              <w:rPr>
                <w:rFonts w:ascii="Times New Roman" w:eastAsia="Times New Roman" w:hAnsi="Times New Roman" w:cs="Times New Roman"/>
                <w:sz w:val="24"/>
                <w:szCs w:val="24"/>
                <w:lang w:eastAsia="ru-RU"/>
              </w:rPr>
              <w:t xml:space="preserve">огия, труд, судопроизводство). </w:t>
            </w:r>
          </w:p>
          <w:p w14:paraId="2F5E4068" w14:textId="42A6E34A"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Создать переводческий и аналитический центр адаптации acquis при Минюсте и ведущих вузах.</w:t>
            </w:r>
          </w:p>
        </w:tc>
        <w:tc>
          <w:tcPr>
            <w:tcW w:w="2687" w:type="dxa"/>
            <w:vAlign w:val="center"/>
          </w:tcPr>
          <w:p w14:paraId="4DD9A607"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Совместимость нормативной базы с правом ЕС; сокращение срока экспертизы НПА до 6 мес.</w:t>
            </w:r>
          </w:p>
        </w:tc>
      </w:tr>
      <w:tr w:rsidR="00E94B29" w:rsidRPr="001935D0" w14:paraId="0C042AE0" w14:textId="77777777" w:rsidTr="002A7FDD">
        <w:trPr>
          <w:jc w:val="center"/>
        </w:trPr>
        <w:tc>
          <w:tcPr>
            <w:tcW w:w="2383" w:type="dxa"/>
            <w:vAlign w:val="center"/>
          </w:tcPr>
          <w:p w14:paraId="2BD3E1B6"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Административная способность</w:t>
            </w:r>
          </w:p>
        </w:tc>
        <w:tc>
          <w:tcPr>
            <w:tcW w:w="4393" w:type="dxa"/>
            <w:vAlign w:val="center"/>
          </w:tcPr>
          <w:p w14:paraId="7A86C7C0" w14:textId="7E6B8FD6"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Реформа госслужбы по принципам меритократии. </w:t>
            </w:r>
          </w:p>
          <w:p w14:paraId="1FA9F947" w14:textId="10E5445D"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Внедре</w:t>
            </w:r>
            <w:r w:rsidR="002A7FDD">
              <w:rPr>
                <w:rFonts w:ascii="Times New Roman" w:eastAsia="Times New Roman" w:hAnsi="Times New Roman" w:cs="Times New Roman"/>
                <w:sz w:val="24"/>
                <w:szCs w:val="24"/>
                <w:lang w:eastAsia="ru-RU"/>
              </w:rPr>
              <w:t xml:space="preserve">ние электронного управления. </w:t>
            </w:r>
            <w:r w:rsidR="002A7FDD">
              <w:rPr>
                <w:rFonts w:ascii="Times New Roman" w:eastAsia="Times New Roman" w:hAnsi="Times New Roman" w:cs="Times New Roman"/>
                <w:sz w:val="24"/>
                <w:szCs w:val="24"/>
                <w:lang w:eastAsia="ru-RU"/>
              </w:rPr>
              <w:br/>
            </w:r>
            <w:r w:rsidRPr="001935D0">
              <w:rPr>
                <w:rFonts w:ascii="Times New Roman" w:eastAsia="Times New Roman" w:hAnsi="Times New Roman" w:cs="Times New Roman"/>
                <w:sz w:val="24"/>
                <w:szCs w:val="24"/>
                <w:lang w:eastAsia="ru-RU"/>
              </w:rPr>
              <w:t>Создание независимых регуляторов (энергетика, связь, финсектор) с публичной отчётностью.</w:t>
            </w:r>
          </w:p>
        </w:tc>
        <w:tc>
          <w:tcPr>
            <w:tcW w:w="2687" w:type="dxa"/>
            <w:vAlign w:val="center"/>
          </w:tcPr>
          <w:p w14:paraId="56CCDB41" w14:textId="381CBF03" w:rsidR="00E94B29" w:rsidRPr="001935D0" w:rsidRDefault="00E94B29" w:rsidP="002A7FDD">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Рост эффективности госуправления (WGI «Government Effectiveness» + 0,1 к 2027г.); снижение админбарьеров.</w:t>
            </w:r>
          </w:p>
        </w:tc>
      </w:tr>
      <w:tr w:rsidR="00E94B29" w:rsidRPr="001935D0" w14:paraId="7F8552AF" w14:textId="77777777" w:rsidTr="002A7FDD">
        <w:trPr>
          <w:jc w:val="center"/>
        </w:trPr>
        <w:tc>
          <w:tcPr>
            <w:tcW w:w="2383" w:type="dxa"/>
            <w:vAlign w:val="center"/>
          </w:tcPr>
          <w:p w14:paraId="16ED9A2F"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Борьба с коррупцией</w:t>
            </w:r>
          </w:p>
        </w:tc>
        <w:tc>
          <w:tcPr>
            <w:tcW w:w="4393" w:type="dxa"/>
            <w:vAlign w:val="center"/>
          </w:tcPr>
          <w:p w14:paraId="3440C981" w14:textId="1CE2481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Усилить независимость антикорруп</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ционных органов и процессуальные гарантии. </w:t>
            </w:r>
          </w:p>
          <w:p w14:paraId="347F17D4" w14:textId="1AC1683A"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Повысить прозрачность госфинансов и собственности (e-budget, бенефи</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циарные владельцы). </w:t>
            </w:r>
          </w:p>
          <w:p w14:paraId="0AC2022D" w14:textId="4F481F36"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Использовать цифровые инструменты (e-procurement, open data).</w:t>
            </w:r>
          </w:p>
        </w:tc>
        <w:tc>
          <w:tcPr>
            <w:tcW w:w="2687" w:type="dxa"/>
            <w:vAlign w:val="center"/>
          </w:tcPr>
          <w:p w14:paraId="4FDA29E0" w14:textId="63324657" w:rsidR="00E94B29" w:rsidRPr="002A7FDD" w:rsidRDefault="00E94B29" w:rsidP="002A7FDD">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Рост CPI до ≥ 50 / 100 к 2027 и ≥ 60/100 к 2030; снижение доли не</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конкурентных закупок; повышение обществен</w:t>
            </w:r>
            <w:r w:rsidR="002A7FDD">
              <w:rPr>
                <w:rFonts w:ascii="Times New Roman" w:eastAsia="Times New Roman" w:hAnsi="Times New Roman" w:cs="Times New Roman"/>
                <w:sz w:val="24"/>
                <w:szCs w:val="24"/>
                <w:lang w:val="kk-KZ" w:eastAsia="ru-RU"/>
              </w:rPr>
              <w:t xml:space="preserve"> </w:t>
            </w:r>
            <w:r w:rsidR="002A7FDD">
              <w:rPr>
                <w:rFonts w:ascii="Times New Roman" w:eastAsia="Times New Roman" w:hAnsi="Times New Roman" w:cs="Times New Roman"/>
                <w:sz w:val="24"/>
                <w:szCs w:val="24"/>
                <w:lang w:eastAsia="ru-RU"/>
              </w:rPr>
              <w:t>ного доверия</w:t>
            </w:r>
          </w:p>
        </w:tc>
      </w:tr>
      <w:tr w:rsidR="002A7FDD" w:rsidRPr="001935D0" w14:paraId="543AF56F" w14:textId="77777777" w:rsidTr="00123D4E">
        <w:trPr>
          <w:jc w:val="center"/>
        </w:trPr>
        <w:tc>
          <w:tcPr>
            <w:tcW w:w="9463" w:type="dxa"/>
            <w:gridSpan w:val="3"/>
            <w:vAlign w:val="center"/>
          </w:tcPr>
          <w:p w14:paraId="7071AE5C" w14:textId="675DBD84" w:rsidR="002A7FDD" w:rsidRPr="001935D0" w:rsidRDefault="002A7FDD" w:rsidP="002A7FDD">
            <w:pPr>
              <w:ind w:firstLine="514"/>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Составлено автором</w:t>
            </w:r>
          </w:p>
        </w:tc>
      </w:tr>
    </w:tbl>
    <w:p w14:paraId="04D5C987" w14:textId="77777777" w:rsidR="00E94B29" w:rsidRPr="001935D0" w:rsidRDefault="00E94B29" w:rsidP="00593711">
      <w:pPr>
        <w:spacing w:after="0" w:line="240" w:lineRule="auto"/>
        <w:ind w:firstLine="709"/>
        <w:jc w:val="both"/>
        <w:rPr>
          <w:rFonts w:ascii="Times New Roman" w:eastAsia="Times New Roman" w:hAnsi="Times New Roman" w:cs="Times New Roman"/>
          <w:sz w:val="28"/>
          <w:szCs w:val="28"/>
          <w:lang w:eastAsia="uk-UA"/>
        </w:rPr>
      </w:pPr>
    </w:p>
    <w:p w14:paraId="18A0FB3D" w14:textId="77777777" w:rsidR="00E94B29" w:rsidRPr="001935D0" w:rsidRDefault="00E94B29" w:rsidP="002A7FDD">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Реализация правовых инструментов адаптации отражает переход Казахстана от формального соответствия международным обязательствам к их институциональному внедрению. </w:t>
      </w:r>
      <w:r w:rsidRPr="001935D0">
        <w:rPr>
          <w:rFonts w:ascii="Times New Roman" w:hAnsi="Times New Roman" w:cs="Times New Roman"/>
          <w:bCs/>
          <w:sz w:val="28"/>
          <w:szCs w:val="28"/>
          <w:lang w:eastAsia="ru-RU"/>
        </w:rPr>
        <w:t>Закон «Об общественном контроле»</w:t>
      </w:r>
      <w:r w:rsidRPr="001935D0">
        <w:rPr>
          <w:rFonts w:ascii="Times New Roman" w:hAnsi="Times New Roman" w:cs="Times New Roman"/>
          <w:sz w:val="28"/>
          <w:szCs w:val="28"/>
          <w:lang w:eastAsia="ru-RU"/>
        </w:rPr>
        <w:t xml:space="preserve"> закрепил механизмы участия граждан в мониторинге деятельности государственных органов, а реформа государственной службы, основанная на принципах </w:t>
      </w:r>
      <w:r w:rsidRPr="001935D0">
        <w:rPr>
          <w:rFonts w:ascii="Times New Roman" w:hAnsi="Times New Roman" w:cs="Times New Roman"/>
          <w:sz w:val="28"/>
          <w:szCs w:val="28"/>
          <w:lang w:eastAsia="ru-RU"/>
        </w:rPr>
        <w:lastRenderedPageBreak/>
        <w:t>меритократии и транспарентности, усилила доверие к государственному аппарату.</w:t>
      </w:r>
    </w:p>
    <w:p w14:paraId="72D319AA" w14:textId="77777777" w:rsidR="00E94B29" w:rsidRPr="001935D0" w:rsidRDefault="00E94B29" w:rsidP="002A7FDD">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В антикоррупционном блоке акцент сделан на расширении полномочий </w:t>
      </w:r>
      <w:r w:rsidRPr="001935D0">
        <w:rPr>
          <w:rFonts w:ascii="Times New Roman" w:hAnsi="Times New Roman" w:cs="Times New Roman"/>
          <w:iCs/>
          <w:sz w:val="28"/>
          <w:szCs w:val="28"/>
          <w:lang w:eastAsia="ru-RU"/>
        </w:rPr>
        <w:t>Агентства по противодействию коррупции</w:t>
      </w:r>
      <w:r w:rsidRPr="001935D0">
        <w:rPr>
          <w:rFonts w:ascii="Times New Roman" w:hAnsi="Times New Roman" w:cs="Times New Roman"/>
          <w:sz w:val="28"/>
          <w:szCs w:val="28"/>
          <w:lang w:eastAsia="ru-RU"/>
        </w:rPr>
        <w:t xml:space="preserve">, создании единой цифровой системы </w:t>
      </w:r>
      <w:r w:rsidRPr="001935D0">
        <w:rPr>
          <w:rFonts w:ascii="Times New Roman" w:hAnsi="Times New Roman" w:cs="Times New Roman"/>
          <w:iCs/>
          <w:sz w:val="28"/>
          <w:szCs w:val="28"/>
          <w:lang w:eastAsia="ru-RU"/>
        </w:rPr>
        <w:t>open data</w:t>
      </w:r>
      <w:r w:rsidRPr="001935D0">
        <w:rPr>
          <w:rFonts w:ascii="Times New Roman" w:hAnsi="Times New Roman" w:cs="Times New Roman"/>
          <w:sz w:val="28"/>
          <w:szCs w:val="28"/>
          <w:lang w:eastAsia="ru-RU"/>
        </w:rPr>
        <w:t xml:space="preserve"> и повышении подотчётности государственных финансов. Эти меры реализуются в рамках </w:t>
      </w:r>
      <w:r w:rsidRPr="001935D0">
        <w:rPr>
          <w:rFonts w:ascii="Times New Roman" w:hAnsi="Times New Roman" w:cs="Times New Roman"/>
          <w:iCs/>
          <w:sz w:val="28"/>
          <w:szCs w:val="28"/>
          <w:lang w:eastAsia="ru-RU"/>
        </w:rPr>
        <w:t>Третьего плана действий в области прав человека и верховенства закона</w:t>
      </w:r>
      <w:r w:rsidRPr="001935D0">
        <w:rPr>
          <w:rFonts w:ascii="Times New Roman" w:hAnsi="Times New Roman" w:cs="Times New Roman"/>
          <w:sz w:val="28"/>
          <w:szCs w:val="28"/>
          <w:lang w:eastAsia="ru-RU"/>
        </w:rPr>
        <w:t xml:space="preserve"> и поддерживаются международными партнёрами ЕС.</w:t>
      </w:r>
    </w:p>
    <w:p w14:paraId="278C8C0A" w14:textId="765E7404" w:rsidR="00E94B29" w:rsidRPr="001935D0" w:rsidRDefault="00E94B29" w:rsidP="002A7FDD">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 xml:space="preserve">Систематизация представленных направлений демонстрирует многоуровневый характер сближения Казахстана с Европейским </w:t>
      </w:r>
      <w:r w:rsidR="007C324F"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оюзом – от политической либерализации и укрепления демократических институтов до экономической и правовой интеграции. Период 2020–2025 годов стал этапом формирования новой модели государственного управления, ориентированной на верховенство права, транспарентность и участие гражданского общества</w:t>
      </w:r>
      <w:r w:rsidR="002A7FDD">
        <w:rPr>
          <w:rFonts w:ascii="Times New Roman" w:hAnsi="Times New Roman" w:cs="Times New Roman"/>
          <w:sz w:val="28"/>
          <w:szCs w:val="28"/>
          <w:lang w:val="kk-KZ" w:eastAsia="ru-RU"/>
        </w:rPr>
        <w:t> </w:t>
      </w:r>
      <w:r w:rsidRPr="001935D0">
        <w:rPr>
          <w:rFonts w:ascii="Times New Roman" w:hAnsi="Times New Roman" w:cs="Times New Roman"/>
          <w:sz w:val="28"/>
          <w:szCs w:val="28"/>
          <w:lang w:eastAsia="ru-RU"/>
        </w:rPr>
        <w:t>[19</w:t>
      </w:r>
      <w:r w:rsidR="003042D0">
        <w:rPr>
          <w:rFonts w:ascii="Times New Roman" w:hAnsi="Times New Roman" w:cs="Times New Roman"/>
          <w:sz w:val="28"/>
          <w:szCs w:val="28"/>
          <w:lang w:val="kk-KZ" w:eastAsia="ru-RU"/>
        </w:rPr>
        <w:t>2</w:t>
      </w:r>
      <w:r w:rsidRPr="001935D0">
        <w:rPr>
          <w:rFonts w:ascii="Times New Roman" w:hAnsi="Times New Roman" w:cs="Times New Roman"/>
          <w:sz w:val="28"/>
          <w:szCs w:val="28"/>
          <w:lang w:eastAsia="ru-RU"/>
        </w:rPr>
        <w:t>].</w:t>
      </w:r>
    </w:p>
    <w:p w14:paraId="55E52A15" w14:textId="77777777" w:rsidR="00E94B29" w:rsidRPr="001935D0" w:rsidRDefault="00E94B29" w:rsidP="002A7FDD">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Однако для достижения устойчивого прогресса остаются ключевые вызовы – ограниченная независимость судебной системы, недостаточная свобода медиа и низкая вовлечённость гражданских инициатив. Решение этих проблем определит способность Казахстана не только формально соответствовать Копенгагенским критериям, но и реализовать их в национальной правовой практике, формируя долгосрочную основу для демократического развития и европейской интеграции.</w:t>
      </w:r>
    </w:p>
    <w:p w14:paraId="538C4849" w14:textId="77777777" w:rsidR="00E94B29" w:rsidRPr="001935D0" w:rsidRDefault="00E94B29" w:rsidP="002A7FDD">
      <w:pPr>
        <w:spacing w:after="0" w:line="240" w:lineRule="auto"/>
        <w:ind w:firstLine="709"/>
        <w:jc w:val="both"/>
        <w:rPr>
          <w:rFonts w:ascii="Times New Roman" w:eastAsia="Times New Roman" w:hAnsi="Times New Roman" w:cs="Times New Roman"/>
          <w:sz w:val="24"/>
          <w:szCs w:val="24"/>
          <w:lang w:eastAsia="uk-UA"/>
        </w:rPr>
      </w:pPr>
    </w:p>
    <w:p w14:paraId="47BDFE7F" w14:textId="0A69EB6C" w:rsidR="00E94B29" w:rsidRPr="001935D0" w:rsidRDefault="00E94B29" w:rsidP="002A7FDD">
      <w:pPr>
        <w:spacing w:after="0" w:line="240" w:lineRule="auto"/>
        <w:ind w:firstLine="709"/>
        <w:jc w:val="both"/>
        <w:rPr>
          <w:rFonts w:ascii="Times New Roman" w:eastAsia="Times New Roman" w:hAnsi="Times New Roman" w:cs="Times New Roman"/>
          <w:b/>
          <w:sz w:val="28"/>
          <w:szCs w:val="28"/>
          <w:lang w:eastAsia="ru-RU"/>
        </w:rPr>
      </w:pPr>
      <w:r w:rsidRPr="001935D0">
        <w:rPr>
          <w:rFonts w:ascii="Times New Roman" w:eastAsia="Times New Roman" w:hAnsi="Times New Roman" w:cs="Times New Roman"/>
          <w:b/>
          <w:bCs/>
          <w:sz w:val="28"/>
          <w:szCs w:val="28"/>
          <w:lang w:eastAsia="ru-RU"/>
        </w:rPr>
        <w:t>3.3</w:t>
      </w:r>
      <w:r w:rsidRPr="001935D0">
        <w:rPr>
          <w:rFonts w:ascii="Times New Roman" w:eastAsia="Times New Roman" w:hAnsi="Times New Roman" w:cs="Times New Roman"/>
          <w:b/>
          <w:sz w:val="28"/>
          <w:szCs w:val="28"/>
          <w:lang w:eastAsia="ru-RU"/>
        </w:rPr>
        <w:t xml:space="preserve"> Барьеры на пути имплементации европейских стандартов по правам человека в Казахстане: институциональные, политические и культурные вызовы</w:t>
      </w:r>
    </w:p>
    <w:p w14:paraId="5ED93024" w14:textId="5F88AA58"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Правозащитная политика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основывается на системной и многоуровневой модели, сочетающей нормативные принципы, институциональные механизмы и инструменты внешнего действия. В рамках Плана ЕС по правам человека и демократии на 2020–2027 годы определены приоритеты, направленные на укрепление защиты фундаментальных прав, развитие демократических институтов, поддержку глобальной правозащитной архитектуры и адаптацию политики к вызовам цифровой эпохи. Реализация этих задач обеспечивается участием ключевых институтов ЕС – Европейской комиссии, Европейской службы внешних связей, Совета ЕС и Европейского парламента, а также сети специализированных агентств и мониторинговых механизмов.</w:t>
      </w:r>
    </w:p>
    <w:p w14:paraId="4D18C565" w14:textId="519D4284"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Республика Казахстан демонстрирует последовательную институциональную открытость к взаимодействию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в правозащитной сфере. Расширенное соглашение о партнёрстве и сотрудничестве, вступившее в силу в 2020 году, закрепляет взаимные обязательства сторон по укреплению верховенства права, развитию демократических институтов и участию Казахстана в международных механизмах защиты прав человека [18</w:t>
      </w:r>
      <w:r w:rsidR="003042D0">
        <w:rPr>
          <w:rFonts w:ascii="Times New Roman" w:hAnsi="Times New Roman" w:cs="Times New Roman"/>
          <w:sz w:val="28"/>
          <w:szCs w:val="28"/>
          <w:lang w:val="kk-KZ"/>
        </w:rPr>
        <w:t>2</w:t>
      </w:r>
      <w:r w:rsidRPr="001935D0">
        <w:rPr>
          <w:rFonts w:ascii="Times New Roman" w:hAnsi="Times New Roman" w:cs="Times New Roman"/>
          <w:sz w:val="28"/>
          <w:szCs w:val="28"/>
        </w:rPr>
        <w:t>]. Проведение регулярных Диалогов ЕС–Казахстан по правам человека, включая пятнадцатую сессию, подтверждает наличие стабильного формата институционального обмена и поддержания двустороннего правозащитного дискурса [19</w:t>
      </w:r>
      <w:r w:rsidR="003042D0">
        <w:rPr>
          <w:rFonts w:ascii="Times New Roman" w:hAnsi="Times New Roman" w:cs="Times New Roman"/>
          <w:sz w:val="28"/>
          <w:szCs w:val="28"/>
          <w:lang w:val="kk-KZ"/>
        </w:rPr>
        <w:t>3</w:t>
      </w:r>
      <w:r w:rsidRPr="001935D0">
        <w:rPr>
          <w:rFonts w:ascii="Times New Roman" w:hAnsi="Times New Roman" w:cs="Times New Roman"/>
          <w:sz w:val="28"/>
          <w:szCs w:val="28"/>
        </w:rPr>
        <w:t>].</w:t>
      </w:r>
    </w:p>
    <w:p w14:paraId="4A59983F" w14:textId="3CA54F52"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 xml:space="preserve">Вместе с тем аналитические материалы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и международных правозащитных структур фиксируют существенные расхождения между нормативными обязательствами и их практической реализацией, что указывает на сложность процесса институциональной адаптации европейских стандартов в национальную правовую систему Казахстана. Проведённые в 2025 году переговоры Казахстана с Комитетом по правам человека ООН подтвердили двойственный характер этой динамики: эксперты высоко оценили </w:t>
      </w:r>
      <w:r w:rsidRPr="001935D0">
        <w:rPr>
          <w:rStyle w:val="Strong"/>
          <w:rFonts w:ascii="Times New Roman" w:hAnsi="Times New Roman" w:cs="Times New Roman"/>
          <w:b w:val="0"/>
          <w:sz w:val="28"/>
          <w:szCs w:val="28"/>
        </w:rPr>
        <w:t>реализацию Указа Президента Республики Казахстан «О Плане действий в области прав человека и верховенства закона»</w:t>
      </w:r>
      <w:r w:rsidRPr="001935D0">
        <w:rPr>
          <w:rFonts w:ascii="Times New Roman" w:hAnsi="Times New Roman" w:cs="Times New Roman"/>
          <w:b/>
          <w:sz w:val="28"/>
          <w:szCs w:val="28"/>
        </w:rPr>
        <w:t>,</w:t>
      </w:r>
      <w:r w:rsidRPr="001935D0">
        <w:rPr>
          <w:rFonts w:ascii="Times New Roman" w:hAnsi="Times New Roman" w:cs="Times New Roman"/>
          <w:sz w:val="28"/>
          <w:szCs w:val="28"/>
        </w:rPr>
        <w:t xml:space="preserve"> отмену смертной казни и прогресс в гармонизации национального законодательства с международными нормами, однако выразили обеспокоенность случаями чрезмерного применения силы во время событий 2022 года, ограничениями свободы выражения мнений и интернет-цензурой [19</w:t>
      </w:r>
      <w:r w:rsidR="003042D0">
        <w:rPr>
          <w:rFonts w:ascii="Times New Roman" w:hAnsi="Times New Roman" w:cs="Times New Roman"/>
          <w:sz w:val="28"/>
          <w:szCs w:val="28"/>
          <w:lang w:val="kk-KZ"/>
        </w:rPr>
        <w:t>4</w:t>
      </w:r>
      <w:r w:rsidRPr="001935D0">
        <w:rPr>
          <w:rFonts w:ascii="Times New Roman" w:hAnsi="Times New Roman" w:cs="Times New Roman"/>
          <w:sz w:val="28"/>
          <w:szCs w:val="28"/>
        </w:rPr>
        <w:t xml:space="preserve">]. Такие оценки свидетельствуют о сохраняющемся разрыве между декларативным уровнем международных обязательств и их практическим исполнением, что усложняет реализацию правозащитного партнёрства Казахстана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w:t>
      </w:r>
    </w:p>
    <w:p w14:paraId="6A327995" w14:textId="02CBCFD6"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данном контексте анализируемый феномен определяется как расхождение между формальным присоединением Казахстана к международным и европейским правозащитным обязательствам и фактическим уровнем их реализации в национальной правовой практике. Этот феномен имплементационного разрыва отражает структурное несоответствие между нормативной рецепцией европейских правовых стандартов и их институциональным воплощением в условиях политической централизации и ограниченной автономии гражданского общества. Его исследование позволяет выявить глубинные параметры адаптационного потенциала правовой системы Казахстана, определить факторы, сдерживающие эффективную интеграцию европейских правозащитных принципов, и тем самым оценить устойчивость взаим</w:t>
      </w:r>
      <w:r w:rsidR="00F26F28" w:rsidRPr="001935D0">
        <w:rPr>
          <w:rFonts w:ascii="Times New Roman" w:hAnsi="Times New Roman" w:cs="Times New Roman"/>
          <w:sz w:val="28"/>
          <w:szCs w:val="28"/>
        </w:rPr>
        <w:t xml:space="preserve">одействия страны с Европейским </w:t>
      </w:r>
      <w:r w:rsidR="00F26F28" w:rsidRPr="001935D0">
        <w:rPr>
          <w:rFonts w:ascii="Times New Roman" w:hAnsi="Times New Roman" w:cs="Times New Roman"/>
          <w:sz w:val="28"/>
          <w:szCs w:val="28"/>
          <w:lang w:val="kk-KZ"/>
        </w:rPr>
        <w:t>С</w:t>
      </w:r>
      <w:r w:rsidRPr="001935D0">
        <w:rPr>
          <w:rFonts w:ascii="Times New Roman" w:hAnsi="Times New Roman" w:cs="Times New Roman"/>
          <w:sz w:val="28"/>
          <w:szCs w:val="28"/>
        </w:rPr>
        <w:t>оюзом в данной сфере.</w:t>
      </w:r>
    </w:p>
    <w:p w14:paraId="2D6F3B05" w14:textId="0E7011D3"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Независимость и эффективность судебной системы и института омбудсмена остаются ключевыми элементами формирования правозащитного потенциала страны. При сохраняющемся взаимодействии с международными организациями, включая Совет Европы и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 Казахстан предпринимает шаги по укреплению автономии судебной власти и совершенствованию процедур назначения судей. </w:t>
      </w:r>
      <w:r w:rsidRPr="001935D0">
        <w:rPr>
          <w:rStyle w:val="Strong"/>
          <w:rFonts w:ascii="Times New Roman" w:hAnsi="Times New Roman" w:cs="Times New Roman"/>
          <w:b w:val="0"/>
          <w:sz w:val="28"/>
          <w:szCs w:val="28"/>
        </w:rPr>
        <w:t>В соответствии с Законом Республики Казахстан «Об Уполномоченном по правам человека» [15</w:t>
      </w:r>
      <w:r w:rsidR="003042D0">
        <w:rPr>
          <w:rStyle w:val="Strong"/>
          <w:rFonts w:ascii="Times New Roman" w:hAnsi="Times New Roman" w:cs="Times New Roman"/>
          <w:b w:val="0"/>
          <w:sz w:val="28"/>
          <w:szCs w:val="28"/>
          <w:lang w:val="kk-KZ"/>
        </w:rPr>
        <w:t>3</w:t>
      </w:r>
      <w:r w:rsidRPr="001935D0">
        <w:rPr>
          <w:rStyle w:val="Strong"/>
          <w:rFonts w:ascii="Times New Roman" w:hAnsi="Times New Roman" w:cs="Times New Roman"/>
          <w:b w:val="0"/>
          <w:sz w:val="28"/>
          <w:szCs w:val="28"/>
        </w:rPr>
        <w:t>] и Указом Президента «О Национальном плане развития Республики Казахстан до 2029 года»</w:t>
      </w:r>
      <w:r w:rsidRPr="001935D0">
        <w:rPr>
          <w:rFonts w:ascii="Times New Roman" w:hAnsi="Times New Roman" w:cs="Times New Roman"/>
          <w:sz w:val="28"/>
          <w:szCs w:val="28"/>
        </w:rPr>
        <w:t xml:space="preserve"> [1</w:t>
      </w:r>
      <w:r w:rsidR="003042D0">
        <w:rPr>
          <w:rFonts w:ascii="Times New Roman" w:hAnsi="Times New Roman" w:cs="Times New Roman"/>
          <w:sz w:val="28"/>
          <w:szCs w:val="28"/>
          <w:lang w:val="kk-KZ"/>
        </w:rPr>
        <w:t>65</w:t>
      </w:r>
      <w:r w:rsidRPr="001935D0">
        <w:rPr>
          <w:rFonts w:ascii="Times New Roman" w:hAnsi="Times New Roman" w:cs="Times New Roman"/>
          <w:sz w:val="28"/>
          <w:szCs w:val="28"/>
        </w:rPr>
        <w:t>] усилены процедуры парламентского контроля, введены новые стандарты прозрачности и механизмы общественного надзора.</w:t>
      </w:r>
    </w:p>
    <w:p w14:paraId="1F380C41" w14:textId="43F1F11D"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Институт Уполномоченного по правам человека развивается, однако требует дальнейшего расширения полномочий, особенно в части проведения независимых расследований и участия в законодательных инициативах. Согласно выводам Венецианской комиссии, представленным </w:t>
      </w:r>
      <w:r w:rsidRPr="001935D0">
        <w:rPr>
          <w:rFonts w:ascii="Times New Roman" w:hAnsi="Times New Roman" w:cs="Times New Roman"/>
          <w:i/>
          <w:sz w:val="28"/>
          <w:szCs w:val="28"/>
        </w:rPr>
        <w:t xml:space="preserve">в </w:t>
      </w:r>
      <w:r w:rsidRPr="001935D0">
        <w:rPr>
          <w:rStyle w:val="Emphasis"/>
          <w:rFonts w:ascii="Times New Roman" w:hAnsi="Times New Roman" w:cs="Times New Roman"/>
          <w:sz w:val="28"/>
          <w:szCs w:val="28"/>
        </w:rPr>
        <w:t>Opinion on the Draft Constitutional Law “On the Commissioner for Human Rights”</w:t>
      </w:r>
      <w:r w:rsidRPr="001935D0">
        <w:rPr>
          <w:rFonts w:ascii="Times New Roman" w:hAnsi="Times New Roman" w:cs="Times New Roman"/>
          <w:i/>
          <w:sz w:val="28"/>
          <w:szCs w:val="28"/>
        </w:rPr>
        <w:t xml:space="preserve"> </w:t>
      </w:r>
      <w:r w:rsidRPr="001935D0">
        <w:rPr>
          <w:rFonts w:ascii="Times New Roman" w:hAnsi="Times New Roman" w:cs="Times New Roman"/>
          <w:sz w:val="28"/>
          <w:szCs w:val="28"/>
        </w:rPr>
        <w:t xml:space="preserve">(Venice Commission, 2022) [200], совершенствование национального законодательства должно сопровождаться укреплением институциональной независимости </w:t>
      </w:r>
      <w:r w:rsidRPr="001935D0">
        <w:rPr>
          <w:rFonts w:ascii="Times New Roman" w:hAnsi="Times New Roman" w:cs="Times New Roman"/>
          <w:sz w:val="28"/>
          <w:szCs w:val="28"/>
        </w:rPr>
        <w:lastRenderedPageBreak/>
        <w:t>омбудсмена, обеспечением прозрачности процедуры его назначения и предоставлением гарантий неприкосновенности после истечения срока полномочий. Как отмечают А. Аширбекова et al., рекомендации Венецианской комиссии стали значимым фактором развития казахстанского омбудсменского института и способствовали постепенному приближению его статуса к европейским стандартам [</w:t>
      </w:r>
      <w:r w:rsidR="003042D0">
        <w:rPr>
          <w:rFonts w:ascii="Times New Roman" w:hAnsi="Times New Roman" w:cs="Times New Roman"/>
          <w:sz w:val="28"/>
          <w:szCs w:val="28"/>
          <w:lang w:val="kk-KZ"/>
        </w:rPr>
        <w:t>196, р. 42-58</w:t>
      </w:r>
      <w:r w:rsidRPr="001935D0">
        <w:rPr>
          <w:rFonts w:ascii="Times New Roman" w:hAnsi="Times New Roman" w:cs="Times New Roman"/>
          <w:sz w:val="28"/>
          <w:szCs w:val="28"/>
        </w:rPr>
        <w:t>]. Сотрудничество с Венецианской комиссией, включая запросы экспертных заключений в 2021–2022 гг., демонстрирует готовность Казахстана учитывать международные рекомендации и совершенствовать правовую базу защиты прав человека [</w:t>
      </w:r>
      <w:r w:rsidR="003042D0">
        <w:rPr>
          <w:rFonts w:ascii="Times New Roman" w:hAnsi="Times New Roman" w:cs="Times New Roman"/>
          <w:sz w:val="28"/>
          <w:szCs w:val="28"/>
          <w:lang w:val="kk-KZ"/>
        </w:rPr>
        <w:t>197</w:t>
      </w:r>
      <w:r w:rsidRPr="001935D0">
        <w:rPr>
          <w:rFonts w:ascii="Times New Roman" w:hAnsi="Times New Roman" w:cs="Times New Roman"/>
          <w:sz w:val="28"/>
          <w:szCs w:val="28"/>
        </w:rPr>
        <w:t>].</w:t>
      </w:r>
    </w:p>
    <w:p w14:paraId="443AE07F" w14:textId="5C5CA141"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Практическое значение вышеуказанного взаимодействия состоит не только в формальном участии, но и в последовательной реализации получаемых рекомендаций. Так, </w:t>
      </w:r>
      <w:r w:rsidRPr="001935D0">
        <w:rPr>
          <w:rStyle w:val="Strong"/>
          <w:rFonts w:ascii="Times New Roman" w:hAnsi="Times New Roman" w:cs="Times New Roman"/>
          <w:b w:val="0"/>
          <w:sz w:val="28"/>
          <w:szCs w:val="28"/>
        </w:rPr>
        <w:t>рекомендации Group of States against Corruption – GRECO, представленные в 2022 году и обновлённые в 2024</w:t>
      </w:r>
      <w:r w:rsidRPr="001935D0">
        <w:rPr>
          <w:rStyle w:val="Strong"/>
          <w:rFonts w:ascii="Times New Roman" w:hAnsi="Times New Roman" w:cs="Times New Roman"/>
          <w:sz w:val="28"/>
          <w:szCs w:val="28"/>
        </w:rPr>
        <w:t xml:space="preserve"> </w:t>
      </w:r>
      <w:r w:rsidRPr="001935D0">
        <w:rPr>
          <w:rStyle w:val="Strong"/>
          <w:rFonts w:ascii="Times New Roman" w:hAnsi="Times New Roman" w:cs="Times New Roman"/>
          <w:b w:val="0"/>
          <w:sz w:val="28"/>
          <w:szCs w:val="28"/>
        </w:rPr>
        <w:t>году,</w:t>
      </w:r>
      <w:r w:rsidRPr="001935D0">
        <w:rPr>
          <w:rFonts w:ascii="Times New Roman" w:hAnsi="Times New Roman" w:cs="Times New Roman"/>
          <w:sz w:val="28"/>
          <w:szCs w:val="28"/>
        </w:rPr>
        <w:t xml:space="preserve"> направленные на укрепление антикоррупционной политики и прозрачности в госсекторе, могут рассматриваться как индикатор институциональной готовности Казахстана и как инструмент повышения эффективности национальной системы обеспечения верховенства права [</w:t>
      </w:r>
      <w:r w:rsidR="003042D0">
        <w:rPr>
          <w:rFonts w:ascii="Times New Roman" w:hAnsi="Times New Roman" w:cs="Times New Roman"/>
          <w:sz w:val="28"/>
          <w:szCs w:val="28"/>
          <w:lang w:val="kk-KZ"/>
        </w:rPr>
        <w:t>198</w:t>
      </w:r>
      <w:r w:rsidRPr="001935D0">
        <w:rPr>
          <w:rFonts w:ascii="Times New Roman" w:hAnsi="Times New Roman" w:cs="Times New Roman"/>
          <w:sz w:val="28"/>
          <w:szCs w:val="28"/>
        </w:rPr>
        <w:t>].</w:t>
      </w:r>
    </w:p>
    <w:p w14:paraId="21C33B89" w14:textId="79720366" w:rsidR="00E94B29" w:rsidRPr="001935D0" w:rsidRDefault="00E94B29" w:rsidP="002A7FDD">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Правозащитное сотрудничество между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и Республикой Казахстан формирует основу для поступательного укрепления верховенства права и демократических институтов. </w:t>
      </w:r>
      <w:r w:rsidRPr="001935D0">
        <w:rPr>
          <w:rStyle w:val="Strong"/>
          <w:rFonts w:ascii="Times New Roman" w:hAnsi="Times New Roman" w:cs="Times New Roman"/>
          <w:b w:val="0"/>
          <w:sz w:val="28"/>
          <w:szCs w:val="28"/>
        </w:rPr>
        <w:t>В этот процесс интегрированы новые законодательные инициативы – Закон Республики Казахстан «Об общественном контроле» [16</w:t>
      </w:r>
      <w:r w:rsidR="003042D0">
        <w:rPr>
          <w:rStyle w:val="Strong"/>
          <w:rFonts w:ascii="Times New Roman" w:hAnsi="Times New Roman" w:cs="Times New Roman"/>
          <w:b w:val="0"/>
          <w:sz w:val="28"/>
          <w:szCs w:val="28"/>
          <w:lang w:val="kk-KZ"/>
        </w:rPr>
        <w:t>2</w:t>
      </w:r>
      <w:r w:rsidRPr="001935D0">
        <w:rPr>
          <w:rStyle w:val="Strong"/>
          <w:rFonts w:ascii="Times New Roman" w:hAnsi="Times New Roman" w:cs="Times New Roman"/>
          <w:b w:val="0"/>
          <w:sz w:val="28"/>
          <w:szCs w:val="28"/>
        </w:rPr>
        <w:t>] и Закон Республики Казахстан «О масс-медиа» [16</w:t>
      </w:r>
      <w:r w:rsidR="003042D0">
        <w:rPr>
          <w:rStyle w:val="Strong"/>
          <w:rFonts w:ascii="Times New Roman" w:hAnsi="Times New Roman" w:cs="Times New Roman"/>
          <w:b w:val="0"/>
          <w:sz w:val="28"/>
          <w:szCs w:val="28"/>
          <w:lang w:val="kk-KZ"/>
        </w:rPr>
        <w:t>4</w:t>
      </w:r>
      <w:r w:rsidRPr="001935D0">
        <w:rPr>
          <w:rStyle w:val="Strong"/>
          <w:rFonts w:ascii="Times New Roman" w:hAnsi="Times New Roman" w:cs="Times New Roman"/>
          <w:b w:val="0"/>
          <w:sz w:val="28"/>
          <w:szCs w:val="28"/>
        </w:rPr>
        <w:t>], которые создают условия для институционализации гражданского мониторинга, развития общественной подотчётности и расширения пространства свободы слова.</w:t>
      </w:r>
      <w:r w:rsidRPr="001935D0">
        <w:rPr>
          <w:rFonts w:ascii="Times New Roman" w:hAnsi="Times New Roman" w:cs="Times New Roman"/>
          <w:sz w:val="28"/>
          <w:szCs w:val="28"/>
        </w:rPr>
        <w:t xml:space="preserve"> На предыдущих этапах рассматривались ключевые направления взаимодействия и институциональные изменения, касающиеся судебной системы, деятельности омбудсмена и реализации рекомендаций международных организаций. В дальнейшем целесообразно перейти к анализу факторов, определяющих имплементационный потенциал Казахстана, а также институциональных барьеров, влияющих на полноту реализации европейских правозащитных стандартов [</w:t>
      </w:r>
      <w:r w:rsidR="003042D0">
        <w:rPr>
          <w:rFonts w:ascii="Times New Roman" w:hAnsi="Times New Roman" w:cs="Times New Roman"/>
          <w:sz w:val="28"/>
          <w:szCs w:val="28"/>
          <w:lang w:val="kk-KZ"/>
        </w:rPr>
        <w:t>199</w:t>
      </w:r>
      <w:r w:rsidRPr="001935D0">
        <w:rPr>
          <w:rFonts w:ascii="Times New Roman" w:hAnsi="Times New Roman" w:cs="Times New Roman"/>
          <w:sz w:val="28"/>
          <w:szCs w:val="28"/>
        </w:rPr>
        <w:t>] (таблица 3.9).</w:t>
      </w:r>
    </w:p>
    <w:p w14:paraId="59CFB09D" w14:textId="77777777" w:rsidR="00E94B29" w:rsidRPr="001935D0" w:rsidRDefault="00E94B29" w:rsidP="00593711">
      <w:pPr>
        <w:pStyle w:val="NoSpacing"/>
        <w:jc w:val="center"/>
        <w:rPr>
          <w:rFonts w:ascii="Times New Roman" w:hAnsi="Times New Roman" w:cs="Times New Roman"/>
          <w:bCs/>
          <w:sz w:val="28"/>
          <w:szCs w:val="28"/>
          <w:lang w:eastAsia="ru-RU"/>
        </w:rPr>
      </w:pPr>
    </w:p>
    <w:p w14:paraId="0FB75992" w14:textId="0AFD5959" w:rsidR="00E94B29" w:rsidRDefault="00E94B29" w:rsidP="002A7FDD">
      <w:pPr>
        <w:pStyle w:val="NoSpacing"/>
        <w:jc w:val="both"/>
        <w:rPr>
          <w:rFonts w:ascii="Times New Roman" w:hAnsi="Times New Roman" w:cs="Times New Roman"/>
          <w:bCs/>
          <w:sz w:val="28"/>
          <w:szCs w:val="28"/>
          <w:lang w:val="kk-KZ" w:eastAsia="ru-RU"/>
        </w:rPr>
      </w:pPr>
      <w:r w:rsidRPr="001935D0">
        <w:rPr>
          <w:rFonts w:ascii="Times New Roman" w:hAnsi="Times New Roman" w:cs="Times New Roman"/>
          <w:bCs/>
          <w:sz w:val="28"/>
          <w:szCs w:val="28"/>
          <w:lang w:eastAsia="ru-RU"/>
        </w:rPr>
        <w:t xml:space="preserve">Таблица 3.9 </w:t>
      </w:r>
      <w:r w:rsidR="002A7FDD">
        <w:rPr>
          <w:rFonts w:ascii="Times New Roman" w:hAnsi="Times New Roman" w:cs="Times New Roman"/>
          <w:bCs/>
          <w:sz w:val="28"/>
          <w:szCs w:val="28"/>
          <w:lang w:eastAsia="ru-RU"/>
        </w:rPr>
        <w:t>‒</w:t>
      </w:r>
      <w:r w:rsidR="002A7FDD">
        <w:rPr>
          <w:rFonts w:ascii="Times New Roman" w:hAnsi="Times New Roman" w:cs="Times New Roman"/>
          <w:bCs/>
          <w:sz w:val="28"/>
          <w:szCs w:val="28"/>
          <w:lang w:val="kk-KZ" w:eastAsia="ru-RU"/>
        </w:rPr>
        <w:t xml:space="preserve"> </w:t>
      </w:r>
      <w:r w:rsidRPr="001935D0">
        <w:rPr>
          <w:rFonts w:ascii="Times New Roman" w:hAnsi="Times New Roman" w:cs="Times New Roman"/>
          <w:bCs/>
          <w:sz w:val="28"/>
          <w:szCs w:val="28"/>
          <w:lang w:eastAsia="ru-RU"/>
        </w:rPr>
        <w:t>Институциональные барьеры и пути их преодоления</w:t>
      </w:r>
    </w:p>
    <w:p w14:paraId="345965ED" w14:textId="77777777" w:rsidR="002A7FDD" w:rsidRPr="002A7FDD" w:rsidRDefault="002A7FDD" w:rsidP="002A7FDD">
      <w:pPr>
        <w:pStyle w:val="NoSpacing"/>
        <w:jc w:val="both"/>
        <w:rPr>
          <w:rFonts w:ascii="Times New Roman" w:hAnsi="Times New Roman" w:cs="Times New Roman"/>
          <w:bCs/>
          <w:sz w:val="16"/>
          <w:szCs w:val="16"/>
          <w:lang w:val="kk-KZ" w:eastAsia="ru-RU"/>
        </w:rPr>
      </w:pPr>
    </w:p>
    <w:tbl>
      <w:tblPr>
        <w:tblStyle w:val="TableGrid"/>
        <w:tblW w:w="9567" w:type="dxa"/>
        <w:jc w:val="center"/>
        <w:tblLayout w:type="fixed"/>
        <w:tblLook w:val="04A0" w:firstRow="1" w:lastRow="0" w:firstColumn="1" w:lastColumn="0" w:noHBand="0" w:noVBand="1"/>
      </w:tblPr>
      <w:tblGrid>
        <w:gridCol w:w="1995"/>
        <w:gridCol w:w="2820"/>
        <w:gridCol w:w="1984"/>
        <w:gridCol w:w="2768"/>
      </w:tblGrid>
      <w:tr w:rsidR="00E94B29" w:rsidRPr="002A7FDD" w14:paraId="300CA588" w14:textId="77777777" w:rsidTr="002A7FDD">
        <w:trPr>
          <w:jc w:val="center"/>
        </w:trPr>
        <w:tc>
          <w:tcPr>
            <w:tcW w:w="1995" w:type="dxa"/>
            <w:vAlign w:val="center"/>
          </w:tcPr>
          <w:p w14:paraId="07F3E40C" w14:textId="77777777" w:rsidR="00E94B29" w:rsidRPr="002A7FDD" w:rsidRDefault="00E94B29" w:rsidP="00593711">
            <w:pPr>
              <w:jc w:val="center"/>
              <w:rPr>
                <w:rFonts w:ascii="Times New Roman" w:eastAsia="Times New Roman" w:hAnsi="Times New Roman" w:cs="Times New Roman"/>
                <w:bCs/>
                <w:sz w:val="24"/>
                <w:szCs w:val="24"/>
                <w:lang w:eastAsia="ru-RU"/>
              </w:rPr>
            </w:pPr>
            <w:r w:rsidRPr="002A7FDD">
              <w:rPr>
                <w:rFonts w:ascii="Times New Roman" w:eastAsia="Times New Roman" w:hAnsi="Times New Roman" w:cs="Times New Roman"/>
                <w:bCs/>
                <w:sz w:val="24"/>
                <w:szCs w:val="24"/>
                <w:lang w:eastAsia="ru-RU"/>
              </w:rPr>
              <w:t>Институцио-нальный барьер</w:t>
            </w:r>
          </w:p>
        </w:tc>
        <w:tc>
          <w:tcPr>
            <w:tcW w:w="2820" w:type="dxa"/>
            <w:vAlign w:val="center"/>
          </w:tcPr>
          <w:p w14:paraId="32806811" w14:textId="77777777" w:rsidR="00E94B29" w:rsidRPr="002A7FDD" w:rsidRDefault="00E94B29" w:rsidP="00593711">
            <w:pPr>
              <w:jc w:val="center"/>
              <w:rPr>
                <w:rFonts w:ascii="Times New Roman" w:eastAsia="Times New Roman" w:hAnsi="Times New Roman" w:cs="Times New Roman"/>
                <w:bCs/>
                <w:sz w:val="24"/>
                <w:szCs w:val="24"/>
                <w:lang w:eastAsia="ru-RU"/>
              </w:rPr>
            </w:pPr>
            <w:r w:rsidRPr="002A7FDD">
              <w:rPr>
                <w:rFonts w:ascii="Times New Roman" w:eastAsia="Times New Roman" w:hAnsi="Times New Roman" w:cs="Times New Roman"/>
                <w:bCs/>
                <w:sz w:val="24"/>
                <w:szCs w:val="24"/>
                <w:lang w:eastAsia="ru-RU"/>
              </w:rPr>
              <w:t>Наличие сотрудничества</w:t>
            </w:r>
          </w:p>
        </w:tc>
        <w:tc>
          <w:tcPr>
            <w:tcW w:w="1984" w:type="dxa"/>
            <w:vAlign w:val="center"/>
          </w:tcPr>
          <w:p w14:paraId="03252780" w14:textId="77777777" w:rsidR="00E94B29" w:rsidRPr="002A7FDD" w:rsidRDefault="00E94B29" w:rsidP="00593711">
            <w:pPr>
              <w:jc w:val="center"/>
              <w:rPr>
                <w:rFonts w:ascii="Times New Roman" w:eastAsia="Times New Roman" w:hAnsi="Times New Roman" w:cs="Times New Roman"/>
                <w:bCs/>
                <w:sz w:val="24"/>
                <w:szCs w:val="24"/>
                <w:lang w:eastAsia="ru-RU"/>
              </w:rPr>
            </w:pPr>
            <w:r w:rsidRPr="002A7FDD">
              <w:rPr>
                <w:rFonts w:ascii="Times New Roman" w:eastAsia="Times New Roman" w:hAnsi="Times New Roman" w:cs="Times New Roman"/>
                <w:bCs/>
                <w:sz w:val="24"/>
                <w:szCs w:val="24"/>
                <w:lang w:eastAsia="ru-RU"/>
              </w:rPr>
              <w:t>Потенциал для решения</w:t>
            </w:r>
          </w:p>
        </w:tc>
        <w:tc>
          <w:tcPr>
            <w:tcW w:w="2768" w:type="dxa"/>
            <w:vAlign w:val="center"/>
          </w:tcPr>
          <w:p w14:paraId="43690C60" w14:textId="77777777" w:rsidR="00E94B29" w:rsidRPr="002A7FDD" w:rsidRDefault="00E94B29" w:rsidP="00593711">
            <w:pPr>
              <w:jc w:val="center"/>
              <w:rPr>
                <w:rFonts w:ascii="Times New Roman" w:eastAsia="Times New Roman" w:hAnsi="Times New Roman" w:cs="Times New Roman"/>
                <w:bCs/>
                <w:sz w:val="24"/>
                <w:szCs w:val="24"/>
                <w:lang w:eastAsia="ru-RU"/>
              </w:rPr>
            </w:pPr>
            <w:r w:rsidRPr="002A7FDD">
              <w:rPr>
                <w:rFonts w:ascii="Times New Roman" w:eastAsia="Times New Roman" w:hAnsi="Times New Roman" w:cs="Times New Roman"/>
                <w:bCs/>
                <w:sz w:val="24"/>
                <w:szCs w:val="24"/>
                <w:lang w:eastAsia="ru-RU"/>
              </w:rPr>
              <w:t>Практические рекомендации</w:t>
            </w:r>
          </w:p>
        </w:tc>
      </w:tr>
      <w:tr w:rsidR="002A7FDD" w:rsidRPr="002A7FDD" w14:paraId="53E787A4" w14:textId="77777777" w:rsidTr="002A7FDD">
        <w:trPr>
          <w:jc w:val="center"/>
        </w:trPr>
        <w:tc>
          <w:tcPr>
            <w:tcW w:w="1995" w:type="dxa"/>
            <w:vAlign w:val="center"/>
          </w:tcPr>
          <w:p w14:paraId="29137931" w14:textId="744B7F9B" w:rsidR="002A7FDD" w:rsidRPr="002A7FDD" w:rsidRDefault="002A7FDD"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p>
        </w:tc>
        <w:tc>
          <w:tcPr>
            <w:tcW w:w="2820" w:type="dxa"/>
            <w:vAlign w:val="center"/>
          </w:tcPr>
          <w:p w14:paraId="6B1D072B" w14:textId="0F6B6622" w:rsidR="002A7FDD" w:rsidRPr="002A7FDD" w:rsidRDefault="002A7FDD"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w:t>
            </w:r>
          </w:p>
        </w:tc>
        <w:tc>
          <w:tcPr>
            <w:tcW w:w="1984" w:type="dxa"/>
            <w:vAlign w:val="center"/>
          </w:tcPr>
          <w:p w14:paraId="53A8E991" w14:textId="2639CD64" w:rsidR="002A7FDD" w:rsidRPr="002A7FDD" w:rsidRDefault="002A7FDD"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c>
          <w:tcPr>
            <w:tcW w:w="2768" w:type="dxa"/>
            <w:vAlign w:val="center"/>
          </w:tcPr>
          <w:p w14:paraId="12153D90" w14:textId="12894129" w:rsidR="002A7FDD" w:rsidRPr="002A7FDD" w:rsidRDefault="002A7FDD"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4</w:t>
            </w:r>
          </w:p>
        </w:tc>
      </w:tr>
      <w:tr w:rsidR="00E94B29" w:rsidRPr="001935D0" w14:paraId="1A051B9A" w14:textId="77777777" w:rsidTr="002A7FDD">
        <w:trPr>
          <w:jc w:val="center"/>
        </w:trPr>
        <w:tc>
          <w:tcPr>
            <w:tcW w:w="1995" w:type="dxa"/>
            <w:vAlign w:val="center"/>
          </w:tcPr>
          <w:p w14:paraId="7037170A"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Ограниченная независимость судов</w:t>
            </w:r>
          </w:p>
        </w:tc>
        <w:tc>
          <w:tcPr>
            <w:tcW w:w="2820" w:type="dxa"/>
            <w:vAlign w:val="center"/>
          </w:tcPr>
          <w:p w14:paraId="0C7BC329" w14:textId="69209053"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Казахстан участвует в работе Венецианской ко</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миссии Совета Европы, направлял запросы по вопросам судебной ре</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формы и реформы пра</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восудия (CDL-AD</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(2022)</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028). В рамках </w:t>
            </w:r>
            <w:r w:rsidRPr="001935D0">
              <w:rPr>
                <w:rFonts w:ascii="Times New Roman" w:eastAsia="Times New Roman" w:hAnsi="Times New Roman" w:cs="Times New Roman"/>
                <w:bCs/>
                <w:sz w:val="24"/>
                <w:szCs w:val="24"/>
                <w:lang w:eastAsia="ru-RU"/>
              </w:rPr>
              <w:t>Rule of Law Programme II (2023–2027)</w:t>
            </w:r>
            <w:r w:rsidRPr="001935D0">
              <w:rPr>
                <w:rFonts w:ascii="Times New Roman" w:eastAsia="Times New Roman" w:hAnsi="Times New Roman" w:cs="Times New Roman"/>
                <w:sz w:val="24"/>
                <w:szCs w:val="24"/>
                <w:lang w:eastAsia="ru-RU"/>
              </w:rPr>
              <w:t xml:space="preserve"> реализуются прое</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lastRenderedPageBreak/>
              <w:t>кты по укреплению су</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дебной независимости и повышению качества правосудия.</w:t>
            </w:r>
          </w:p>
        </w:tc>
        <w:tc>
          <w:tcPr>
            <w:tcW w:w="1984" w:type="dxa"/>
            <w:vAlign w:val="center"/>
          </w:tcPr>
          <w:p w14:paraId="02FABE5C"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lastRenderedPageBreak/>
              <w:t>Применение экспертиз Венецианской комиссии, мониторингов GRECO V evaluation и сравнительных практик стран Совета Европы.</w:t>
            </w:r>
          </w:p>
        </w:tc>
        <w:tc>
          <w:tcPr>
            <w:tcW w:w="2768" w:type="dxa"/>
            <w:vAlign w:val="center"/>
          </w:tcPr>
          <w:p w14:paraId="68658751"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Совершенствование процедуры назначения судей, </w:t>
            </w:r>
            <w:r w:rsidRPr="001935D0">
              <w:rPr>
                <w:rFonts w:ascii="Times New Roman" w:eastAsia="Times New Roman" w:hAnsi="Times New Roman" w:cs="Times New Roman"/>
                <w:bCs/>
                <w:sz w:val="24"/>
                <w:szCs w:val="24"/>
                <w:lang w:eastAsia="ru-RU"/>
              </w:rPr>
              <w:t>введение механизмов парламентского и общественного контроля</w:t>
            </w:r>
            <w:r w:rsidRPr="001935D0">
              <w:rPr>
                <w:rFonts w:ascii="Times New Roman" w:eastAsia="Times New Roman" w:hAnsi="Times New Roman" w:cs="Times New Roman"/>
                <w:sz w:val="24"/>
                <w:szCs w:val="24"/>
                <w:lang w:eastAsia="ru-RU"/>
              </w:rPr>
              <w:t xml:space="preserve">, повышение прозрачности дисциплинарных процедур в </w:t>
            </w:r>
            <w:r w:rsidRPr="001935D0">
              <w:rPr>
                <w:rFonts w:ascii="Times New Roman" w:eastAsia="Times New Roman" w:hAnsi="Times New Roman" w:cs="Times New Roman"/>
                <w:sz w:val="24"/>
                <w:szCs w:val="24"/>
                <w:lang w:eastAsia="ru-RU"/>
              </w:rPr>
              <w:lastRenderedPageBreak/>
              <w:t>соответствии с Recommendation CM/Rec(2010)12 Совета Европы.</w:t>
            </w:r>
          </w:p>
        </w:tc>
      </w:tr>
      <w:tr w:rsidR="00E94B29" w:rsidRPr="001935D0" w14:paraId="72404019" w14:textId="77777777" w:rsidTr="00123D4E">
        <w:trPr>
          <w:jc w:val="center"/>
        </w:trPr>
        <w:tc>
          <w:tcPr>
            <w:tcW w:w="1995" w:type="dxa"/>
            <w:tcBorders>
              <w:bottom w:val="nil"/>
            </w:tcBorders>
            <w:vAlign w:val="center"/>
          </w:tcPr>
          <w:p w14:paraId="5100A003"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lastRenderedPageBreak/>
              <w:t>Ограниченные полномочия омбудсмена</w:t>
            </w:r>
          </w:p>
        </w:tc>
        <w:tc>
          <w:tcPr>
            <w:tcW w:w="2820" w:type="dxa"/>
            <w:tcBorders>
              <w:bottom w:val="nil"/>
            </w:tcBorders>
            <w:vAlign w:val="center"/>
          </w:tcPr>
          <w:p w14:paraId="20076E5B" w14:textId="39E2ADE5" w:rsidR="00E94B29" w:rsidRPr="001935D0" w:rsidRDefault="00E94B29" w:rsidP="002A7FDD">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Казахстан запросил заключения Венециан</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ской комиссии по проек</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ту Закона «Об Уполномо</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ченном по правам человека в Республике Казахстан» (CDL-AD(2022)004). Закон №128-VII от 29 декабря 2022 г. закрепил статус омбудсмена с учётом рекомендаций Комиссии</w:t>
            </w:r>
          </w:p>
        </w:tc>
        <w:tc>
          <w:tcPr>
            <w:tcW w:w="1984" w:type="dxa"/>
            <w:tcBorders>
              <w:bottom w:val="nil"/>
            </w:tcBorders>
            <w:vAlign w:val="center"/>
          </w:tcPr>
          <w:p w14:paraId="582155AD" w14:textId="4BA3C9CD" w:rsidR="00E94B29" w:rsidRPr="002A7FDD" w:rsidRDefault="00E94B29" w:rsidP="00593711">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Сотрудничество позволяет учиты</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вать стандарты Парижских прин</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ципов (Резолю</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ция ГА ООН 48/134) и подхо</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ды Европейской сети националь</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ных институтов по правам чело</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ве</w:t>
            </w:r>
            <w:r w:rsidR="002A7FDD">
              <w:rPr>
                <w:rFonts w:ascii="Times New Roman" w:eastAsia="Times New Roman" w:hAnsi="Times New Roman" w:cs="Times New Roman"/>
                <w:sz w:val="24"/>
                <w:szCs w:val="24"/>
                <w:lang w:eastAsia="ru-RU"/>
              </w:rPr>
              <w:t>ка (ENNHRI)</w:t>
            </w:r>
          </w:p>
        </w:tc>
        <w:tc>
          <w:tcPr>
            <w:tcW w:w="2768" w:type="dxa"/>
            <w:tcBorders>
              <w:bottom w:val="nil"/>
            </w:tcBorders>
            <w:vAlign w:val="center"/>
          </w:tcPr>
          <w:p w14:paraId="11E0A5AB" w14:textId="7685F81A" w:rsidR="00E94B29" w:rsidRPr="002A7FDD" w:rsidRDefault="00E94B29" w:rsidP="00593711">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Расширение мандата омбудсмена, закрепле</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ние независимого финан</w:t>
            </w:r>
            <w:r w:rsidR="002A7FDD">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сирования, </w:t>
            </w:r>
            <w:r w:rsidRPr="001935D0">
              <w:rPr>
                <w:rFonts w:ascii="Times New Roman" w:eastAsia="Times New Roman" w:hAnsi="Times New Roman" w:cs="Times New Roman"/>
                <w:bCs/>
                <w:sz w:val="24"/>
                <w:szCs w:val="24"/>
                <w:lang w:eastAsia="ru-RU"/>
              </w:rPr>
              <w:t>внедрение национальной програм</w:t>
            </w:r>
            <w:r w:rsidR="002A7FDD">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 xml:space="preserve">мы HELP-Kazakhstan </w:t>
            </w:r>
            <w:r w:rsidRPr="001935D0">
              <w:rPr>
                <w:rFonts w:ascii="Times New Roman" w:eastAsia="Times New Roman" w:hAnsi="Times New Roman" w:cs="Times New Roman"/>
                <w:sz w:val="24"/>
                <w:szCs w:val="24"/>
                <w:lang w:eastAsia="ru-RU"/>
              </w:rPr>
              <w:t>для подготовки судей и юристов, усиление роли омбудсм</w:t>
            </w:r>
            <w:r w:rsidR="002A7FDD">
              <w:rPr>
                <w:rFonts w:ascii="Times New Roman" w:eastAsia="Times New Roman" w:hAnsi="Times New Roman" w:cs="Times New Roman"/>
                <w:sz w:val="24"/>
                <w:szCs w:val="24"/>
                <w:lang w:eastAsia="ru-RU"/>
              </w:rPr>
              <w:t>ена в законо</w:t>
            </w:r>
            <w:r w:rsidR="002A7FDD">
              <w:rPr>
                <w:rFonts w:ascii="Times New Roman" w:eastAsia="Times New Roman" w:hAnsi="Times New Roman" w:cs="Times New Roman"/>
                <w:sz w:val="24"/>
                <w:szCs w:val="24"/>
                <w:lang w:val="kk-KZ" w:eastAsia="ru-RU"/>
              </w:rPr>
              <w:t xml:space="preserve"> </w:t>
            </w:r>
            <w:r w:rsidR="002A7FDD">
              <w:rPr>
                <w:rFonts w:ascii="Times New Roman" w:eastAsia="Times New Roman" w:hAnsi="Times New Roman" w:cs="Times New Roman"/>
                <w:sz w:val="24"/>
                <w:szCs w:val="24"/>
                <w:lang w:eastAsia="ru-RU"/>
              </w:rPr>
              <w:t>творческом процессе</w:t>
            </w:r>
          </w:p>
        </w:tc>
      </w:tr>
      <w:tr w:rsidR="00123D4E" w:rsidRPr="001935D0" w14:paraId="677DE472" w14:textId="77777777" w:rsidTr="00123D4E">
        <w:trPr>
          <w:jc w:val="center"/>
        </w:trPr>
        <w:tc>
          <w:tcPr>
            <w:tcW w:w="9567" w:type="dxa"/>
            <w:gridSpan w:val="4"/>
            <w:tcBorders>
              <w:top w:val="nil"/>
              <w:left w:val="nil"/>
              <w:right w:val="nil"/>
            </w:tcBorders>
            <w:vAlign w:val="center"/>
          </w:tcPr>
          <w:p w14:paraId="0D67ACDF" w14:textId="5D5FAF8A" w:rsidR="00123D4E" w:rsidRPr="00123D4E" w:rsidRDefault="00123D4E" w:rsidP="00123D4E">
            <w:pPr>
              <w:ind w:hanging="101"/>
              <w:jc w:val="both"/>
              <w:rPr>
                <w:rFonts w:ascii="Times New Roman" w:eastAsia="Times New Roman" w:hAnsi="Times New Roman" w:cs="Times New Roman"/>
                <w:sz w:val="28"/>
                <w:szCs w:val="28"/>
                <w:lang w:val="kk-KZ" w:eastAsia="ru-RU"/>
              </w:rPr>
            </w:pPr>
            <w:r w:rsidRPr="00123D4E">
              <w:rPr>
                <w:rFonts w:ascii="Times New Roman" w:eastAsia="Times New Roman" w:hAnsi="Times New Roman" w:cs="Times New Roman"/>
                <w:sz w:val="28"/>
                <w:szCs w:val="28"/>
                <w:lang w:val="kk-KZ" w:eastAsia="ru-RU"/>
              </w:rPr>
              <w:t>Продолжение таблицы 3.9</w:t>
            </w:r>
          </w:p>
          <w:p w14:paraId="7CF53EF9" w14:textId="29250CC5" w:rsidR="00123D4E" w:rsidRPr="00123D4E" w:rsidRDefault="00123D4E" w:rsidP="00123D4E">
            <w:pPr>
              <w:ind w:hanging="101"/>
              <w:jc w:val="both"/>
              <w:rPr>
                <w:rFonts w:ascii="Times New Roman" w:eastAsia="Times New Roman" w:hAnsi="Times New Roman" w:cs="Times New Roman"/>
                <w:sz w:val="16"/>
                <w:szCs w:val="16"/>
                <w:lang w:val="kk-KZ" w:eastAsia="ru-RU"/>
              </w:rPr>
            </w:pPr>
          </w:p>
        </w:tc>
      </w:tr>
      <w:tr w:rsidR="002A7FDD" w:rsidRPr="001935D0" w14:paraId="25623A58" w14:textId="77777777" w:rsidTr="002A7FDD">
        <w:trPr>
          <w:jc w:val="center"/>
        </w:trPr>
        <w:tc>
          <w:tcPr>
            <w:tcW w:w="1995" w:type="dxa"/>
            <w:vAlign w:val="center"/>
          </w:tcPr>
          <w:p w14:paraId="767EB99D" w14:textId="0CE4370E" w:rsidR="002A7FDD" w:rsidRPr="00123D4E" w:rsidRDefault="00123D4E" w:rsidP="002A7FDD">
            <w:pPr>
              <w:jc w:val="center"/>
              <w:rPr>
                <w:rFonts w:ascii="Times New Roman" w:eastAsia="Times New Roman" w:hAnsi="Times New Roman" w:cs="Times New Roman"/>
                <w:bCs/>
                <w:sz w:val="24"/>
                <w:szCs w:val="24"/>
                <w:lang w:val="kk-KZ" w:eastAsia="ru-RU"/>
              </w:rPr>
            </w:pPr>
            <w:r w:rsidRPr="00123D4E">
              <w:rPr>
                <w:rFonts w:ascii="Times New Roman" w:eastAsia="Times New Roman" w:hAnsi="Times New Roman" w:cs="Times New Roman"/>
                <w:bCs/>
                <w:sz w:val="24"/>
                <w:szCs w:val="24"/>
                <w:lang w:val="kk-KZ" w:eastAsia="ru-RU"/>
              </w:rPr>
              <w:t>1</w:t>
            </w:r>
          </w:p>
        </w:tc>
        <w:tc>
          <w:tcPr>
            <w:tcW w:w="2820" w:type="dxa"/>
            <w:vAlign w:val="center"/>
          </w:tcPr>
          <w:p w14:paraId="76A3AE13" w14:textId="2A20D2BA" w:rsidR="002A7FDD" w:rsidRPr="00123D4E" w:rsidRDefault="00123D4E" w:rsidP="002A7FDD">
            <w:pPr>
              <w:jc w:val="center"/>
              <w:rPr>
                <w:rFonts w:ascii="Times New Roman" w:eastAsia="Times New Roman" w:hAnsi="Times New Roman" w:cs="Times New Roman"/>
                <w:sz w:val="24"/>
                <w:szCs w:val="24"/>
                <w:lang w:val="kk-KZ" w:eastAsia="ru-RU"/>
              </w:rPr>
            </w:pPr>
            <w:r w:rsidRPr="00123D4E">
              <w:rPr>
                <w:rFonts w:ascii="Times New Roman" w:eastAsia="Times New Roman" w:hAnsi="Times New Roman" w:cs="Times New Roman"/>
                <w:sz w:val="24"/>
                <w:szCs w:val="24"/>
                <w:lang w:val="kk-KZ" w:eastAsia="ru-RU"/>
              </w:rPr>
              <w:t>2</w:t>
            </w:r>
          </w:p>
        </w:tc>
        <w:tc>
          <w:tcPr>
            <w:tcW w:w="1984" w:type="dxa"/>
            <w:vAlign w:val="center"/>
          </w:tcPr>
          <w:p w14:paraId="0059FA47" w14:textId="4840FDB7" w:rsidR="002A7FDD" w:rsidRPr="00123D4E" w:rsidRDefault="00123D4E" w:rsidP="002A7FDD">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768" w:type="dxa"/>
            <w:vAlign w:val="center"/>
          </w:tcPr>
          <w:p w14:paraId="16E33483" w14:textId="00522EA6" w:rsidR="002A7FDD" w:rsidRPr="00123D4E" w:rsidRDefault="00123D4E" w:rsidP="002A7FDD">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r>
      <w:tr w:rsidR="00E94B29" w:rsidRPr="001935D0" w14:paraId="5CDAC4AB" w14:textId="77777777" w:rsidTr="002A7FDD">
        <w:trPr>
          <w:jc w:val="center"/>
        </w:trPr>
        <w:tc>
          <w:tcPr>
            <w:tcW w:w="1995" w:type="dxa"/>
            <w:vAlign w:val="center"/>
          </w:tcPr>
          <w:p w14:paraId="25E7FB04"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Недостаток ex ante правозащитных процедур</w:t>
            </w:r>
          </w:p>
        </w:tc>
        <w:tc>
          <w:tcPr>
            <w:tcW w:w="2820" w:type="dxa"/>
            <w:vAlign w:val="center"/>
          </w:tcPr>
          <w:p w14:paraId="4F958CB6" w14:textId="0C591F44" w:rsidR="00E94B29" w:rsidRPr="00123D4E" w:rsidRDefault="00E94B29" w:rsidP="00807861">
            <w:pPr>
              <w:spacing w:line="228"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 xml:space="preserve">Проводятся консультации с Советом Европы и регулярные Диалоги ЕС–Казахстан по правам человека. В рамках </w:t>
            </w:r>
            <w:r w:rsidRPr="001935D0">
              <w:rPr>
                <w:rFonts w:ascii="Times New Roman" w:eastAsia="Times New Roman" w:hAnsi="Times New Roman" w:cs="Times New Roman"/>
                <w:bCs/>
                <w:sz w:val="24"/>
                <w:szCs w:val="24"/>
                <w:lang w:eastAsia="ru-RU"/>
              </w:rPr>
              <w:t>EU–Central Asia Rule of Law Platform (2020–2024)</w:t>
            </w:r>
            <w:r w:rsidRPr="001935D0">
              <w:rPr>
                <w:rFonts w:ascii="Times New Roman" w:eastAsia="Times New Roman" w:hAnsi="Times New Roman" w:cs="Times New Roman"/>
                <w:sz w:val="24"/>
                <w:szCs w:val="24"/>
                <w:lang w:eastAsia="ru-RU"/>
              </w:rPr>
              <w:t xml:space="preserve"> оказывается техническая поддер</w:t>
            </w:r>
            <w:r w:rsidR="00123D4E">
              <w:rPr>
                <w:rFonts w:ascii="Times New Roman" w:eastAsia="Times New Roman" w:hAnsi="Times New Roman" w:cs="Times New Roman"/>
                <w:sz w:val="24"/>
                <w:szCs w:val="24"/>
                <w:lang w:eastAsia="ru-RU"/>
              </w:rPr>
              <w:t>жка по оценке законода</w:t>
            </w:r>
            <w:r w:rsidR="00123D4E">
              <w:rPr>
                <w:rFonts w:ascii="Times New Roman" w:eastAsia="Times New Roman" w:hAnsi="Times New Roman" w:cs="Times New Roman"/>
                <w:sz w:val="24"/>
                <w:szCs w:val="24"/>
                <w:lang w:val="kk-KZ" w:eastAsia="ru-RU"/>
              </w:rPr>
              <w:t xml:space="preserve"> </w:t>
            </w:r>
            <w:r w:rsidR="00123D4E">
              <w:rPr>
                <w:rFonts w:ascii="Times New Roman" w:eastAsia="Times New Roman" w:hAnsi="Times New Roman" w:cs="Times New Roman"/>
                <w:sz w:val="24"/>
                <w:szCs w:val="24"/>
                <w:lang w:eastAsia="ru-RU"/>
              </w:rPr>
              <w:t>тельства</w:t>
            </w:r>
          </w:p>
        </w:tc>
        <w:tc>
          <w:tcPr>
            <w:tcW w:w="1984" w:type="dxa"/>
            <w:vAlign w:val="center"/>
          </w:tcPr>
          <w:p w14:paraId="37440E2A" w14:textId="0FD57E40" w:rsidR="00E94B29" w:rsidRPr="00123D4E" w:rsidRDefault="00E94B29" w:rsidP="00807861">
            <w:pPr>
              <w:spacing w:line="228"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Техническая помощь ЕС и Совета Европы способствует систематизации практики оценки воздействия законодатель</w:t>
            </w:r>
            <w:r w:rsidR="00123D4E">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ства на права человека.</w:t>
            </w:r>
            <w:r w:rsidR="00123D4E">
              <w:rPr>
                <w:rFonts w:ascii="Times New Roman" w:eastAsia="Times New Roman" w:hAnsi="Times New Roman" w:cs="Times New Roman"/>
                <w:sz w:val="24"/>
                <w:szCs w:val="24"/>
                <w:lang w:val="kk-KZ" w:eastAsia="ru-RU"/>
              </w:rPr>
              <w:t xml:space="preserve"> </w:t>
            </w:r>
          </w:p>
        </w:tc>
        <w:tc>
          <w:tcPr>
            <w:tcW w:w="2768" w:type="dxa"/>
            <w:vAlign w:val="center"/>
          </w:tcPr>
          <w:p w14:paraId="48E03840" w14:textId="65538417" w:rsidR="00E94B29" w:rsidRPr="00123D4E" w:rsidRDefault="00E94B29" w:rsidP="00807861">
            <w:pPr>
              <w:spacing w:line="228"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 xml:space="preserve">Введение обязательной </w:t>
            </w:r>
            <w:r w:rsidRPr="001935D0">
              <w:rPr>
                <w:rFonts w:ascii="Times New Roman" w:eastAsia="Times New Roman" w:hAnsi="Times New Roman" w:cs="Times New Roman"/>
                <w:bCs/>
                <w:sz w:val="24"/>
                <w:szCs w:val="24"/>
                <w:lang w:eastAsia="ru-RU"/>
              </w:rPr>
              <w:t>правозащитной экспер</w:t>
            </w:r>
            <w:r w:rsidR="00123D4E">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тизы законопроектов (HRIA)</w:t>
            </w:r>
            <w:r w:rsidRPr="001935D0">
              <w:rPr>
                <w:rFonts w:ascii="Times New Roman" w:eastAsia="Times New Roman" w:hAnsi="Times New Roman" w:cs="Times New Roman"/>
                <w:sz w:val="24"/>
                <w:szCs w:val="24"/>
                <w:lang w:eastAsia="ru-RU"/>
              </w:rPr>
              <w:t>, создание неза</w:t>
            </w:r>
            <w:r w:rsidR="00123D4E">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висимого экспертного совета при парламенте, публикация ежегодных </w:t>
            </w:r>
            <w:r w:rsidRPr="001935D0">
              <w:rPr>
                <w:rFonts w:ascii="Times New Roman" w:eastAsia="Times New Roman" w:hAnsi="Times New Roman" w:cs="Times New Roman"/>
                <w:bCs/>
                <w:sz w:val="24"/>
                <w:szCs w:val="24"/>
                <w:lang w:eastAsia="ru-RU"/>
              </w:rPr>
              <w:t>отчётов о реализации Плана действий</w:t>
            </w:r>
            <w:r w:rsidRPr="001935D0">
              <w:rPr>
                <w:rFonts w:ascii="Times New Roman" w:eastAsia="Times New Roman" w:hAnsi="Times New Roman" w:cs="Times New Roman"/>
                <w:sz w:val="24"/>
                <w:szCs w:val="24"/>
                <w:lang w:eastAsia="ru-RU"/>
              </w:rPr>
              <w:t xml:space="preserve"> и резу</w:t>
            </w:r>
            <w:r w:rsidR="00123D4E">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л</w:t>
            </w:r>
            <w:r w:rsidR="00123D4E">
              <w:rPr>
                <w:rFonts w:ascii="Times New Roman" w:eastAsia="Times New Roman" w:hAnsi="Times New Roman" w:cs="Times New Roman"/>
                <w:sz w:val="24"/>
                <w:szCs w:val="24"/>
                <w:lang w:eastAsia="ru-RU"/>
              </w:rPr>
              <w:t>ьтатах правозащитной экспертизы</w:t>
            </w:r>
          </w:p>
        </w:tc>
      </w:tr>
      <w:tr w:rsidR="00123D4E" w:rsidRPr="001935D0" w14:paraId="7198E3B9" w14:textId="77777777" w:rsidTr="00123D4E">
        <w:trPr>
          <w:jc w:val="center"/>
        </w:trPr>
        <w:tc>
          <w:tcPr>
            <w:tcW w:w="9567" w:type="dxa"/>
            <w:gridSpan w:val="4"/>
            <w:vAlign w:val="center"/>
          </w:tcPr>
          <w:p w14:paraId="253B5E2E" w14:textId="0F47E742" w:rsidR="00123D4E" w:rsidRPr="001935D0" w:rsidRDefault="009D7580" w:rsidP="003042D0">
            <w:pPr>
              <w:ind w:firstLine="566"/>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Составлено автором по данным [17</w:t>
            </w:r>
            <w:r>
              <w:rPr>
                <w:rFonts w:ascii="Times New Roman" w:hAnsi="Times New Roman" w:cs="Times New Roman"/>
                <w:sz w:val="24"/>
                <w:szCs w:val="24"/>
                <w:lang w:val="kk-KZ"/>
              </w:rPr>
              <w:t xml:space="preserve">3; 195; 198; 199; 200; 201; 202; </w:t>
            </w:r>
            <w:r w:rsidRPr="001935D0">
              <w:rPr>
                <w:rFonts w:ascii="Times New Roman" w:hAnsi="Times New Roman" w:cs="Times New Roman"/>
                <w:sz w:val="24"/>
                <w:szCs w:val="24"/>
              </w:rPr>
              <w:t>203</w:t>
            </w:r>
            <w:r>
              <w:rPr>
                <w:rFonts w:ascii="Times New Roman" w:hAnsi="Times New Roman" w:cs="Times New Roman"/>
                <w:sz w:val="24"/>
                <w:szCs w:val="24"/>
                <w:lang w:val="kk-KZ"/>
              </w:rPr>
              <w:t>; 204; 205</w:t>
            </w:r>
            <w:r w:rsidRPr="001935D0">
              <w:rPr>
                <w:rFonts w:ascii="Times New Roman" w:hAnsi="Times New Roman" w:cs="Times New Roman"/>
                <w:sz w:val="24"/>
                <w:szCs w:val="24"/>
              </w:rPr>
              <w:t>]</w:t>
            </w:r>
          </w:p>
        </w:tc>
      </w:tr>
    </w:tbl>
    <w:p w14:paraId="55010362" w14:textId="77777777" w:rsidR="00E94B29" w:rsidRPr="001935D0" w:rsidRDefault="00E94B29" w:rsidP="00593711">
      <w:pPr>
        <w:pStyle w:val="NoSpacing"/>
        <w:ind w:firstLine="567"/>
        <w:jc w:val="both"/>
        <w:rPr>
          <w:rFonts w:ascii="Times New Roman" w:hAnsi="Times New Roman" w:cs="Times New Roman"/>
          <w:sz w:val="28"/>
          <w:szCs w:val="28"/>
        </w:rPr>
      </w:pPr>
    </w:p>
    <w:p w14:paraId="22EBA517" w14:textId="0B8AAF1A"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Республика Казахстан находится на этапе перехода от декларативного восприятия международных обязательств к их институциональной реализации. Это выражается в стремлении интегрировать европейские стандарты в национальную систему защиты прав человека через диалог, экспертную поддержку и совместные проекты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и Советом Европы. Такое сотрудничество формирует правовую инфраструктуру, основанную на транспарентности, независимости и подотчётности институтов, а также способствует укреплению практики внутреннего правового мониторинга и институциональной зрелости.</w:t>
      </w:r>
    </w:p>
    <w:p w14:paraId="452918B4" w14:textId="7777777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Имплементация европейских подходов к правосудию усиливает верховенство права и способствует снижению зависимости правоприменительных институтов от политических факторов. В условиях политической модернизации Казахстана правовая реформа становится ключевым элементом устойчивого государственного управления. Особое значение приобретают развитие процедур </w:t>
      </w:r>
      <w:r w:rsidRPr="001935D0">
        <w:rPr>
          <w:rStyle w:val="Strong"/>
          <w:rFonts w:ascii="Times New Roman" w:hAnsi="Times New Roman" w:cs="Times New Roman"/>
          <w:b w:val="0"/>
          <w:sz w:val="28"/>
          <w:szCs w:val="28"/>
        </w:rPr>
        <w:t>ex ante анализа законопроектов</w:t>
      </w:r>
      <w:r w:rsidRPr="001935D0">
        <w:rPr>
          <w:rFonts w:ascii="Times New Roman" w:hAnsi="Times New Roman" w:cs="Times New Roman"/>
          <w:b/>
          <w:sz w:val="28"/>
          <w:szCs w:val="28"/>
        </w:rPr>
        <w:t>,</w:t>
      </w:r>
      <w:r w:rsidRPr="001935D0">
        <w:rPr>
          <w:rFonts w:ascii="Times New Roman" w:hAnsi="Times New Roman" w:cs="Times New Roman"/>
          <w:sz w:val="28"/>
          <w:szCs w:val="28"/>
        </w:rPr>
        <w:t xml:space="preserve"> расширение инструментов </w:t>
      </w:r>
      <w:r w:rsidRPr="001935D0">
        <w:rPr>
          <w:rStyle w:val="Strong"/>
          <w:rFonts w:ascii="Times New Roman" w:hAnsi="Times New Roman" w:cs="Times New Roman"/>
          <w:b w:val="0"/>
          <w:sz w:val="28"/>
          <w:szCs w:val="28"/>
        </w:rPr>
        <w:t>государственно-общественного контроля</w:t>
      </w:r>
      <w:r w:rsidRPr="001935D0">
        <w:rPr>
          <w:rFonts w:ascii="Times New Roman" w:hAnsi="Times New Roman" w:cs="Times New Roman"/>
          <w:sz w:val="28"/>
          <w:szCs w:val="28"/>
        </w:rPr>
        <w:t xml:space="preserve"> и укрепление института омбудсмена – как шаг к тому, чтобы права граждан </w:t>
      </w:r>
      <w:r w:rsidRPr="001935D0">
        <w:rPr>
          <w:rFonts w:ascii="Times New Roman" w:hAnsi="Times New Roman" w:cs="Times New Roman"/>
          <w:sz w:val="28"/>
          <w:szCs w:val="28"/>
        </w:rPr>
        <w:lastRenderedPageBreak/>
        <w:t>рассматривались не как объект защиты, а как фундамент государственной политики.</w:t>
      </w:r>
    </w:p>
    <w:p w14:paraId="54A597D1" w14:textId="360A0EBF"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2021–2022 годах были приняты президентские указы </w:t>
      </w:r>
      <w:r w:rsidRPr="001935D0">
        <w:rPr>
          <w:rStyle w:val="Strong"/>
          <w:rFonts w:ascii="Times New Roman" w:hAnsi="Times New Roman" w:cs="Times New Roman"/>
          <w:b w:val="0"/>
          <w:sz w:val="28"/>
          <w:szCs w:val="28"/>
        </w:rPr>
        <w:t>«О дальнейших мерах Республики Казахстан в области прав человека»</w:t>
      </w:r>
      <w:r w:rsidRPr="001935D0">
        <w:rPr>
          <w:rFonts w:ascii="Times New Roman" w:hAnsi="Times New Roman" w:cs="Times New Roman"/>
          <w:b/>
          <w:sz w:val="28"/>
          <w:szCs w:val="28"/>
        </w:rPr>
        <w:t xml:space="preserve"> </w:t>
      </w:r>
      <w:r w:rsidRPr="001935D0">
        <w:rPr>
          <w:rFonts w:ascii="Times New Roman" w:hAnsi="Times New Roman" w:cs="Times New Roman"/>
          <w:sz w:val="28"/>
          <w:szCs w:val="28"/>
        </w:rPr>
        <w:t>и</w:t>
      </w:r>
      <w:r w:rsidRPr="001935D0">
        <w:rPr>
          <w:rFonts w:ascii="Times New Roman" w:hAnsi="Times New Roman" w:cs="Times New Roman"/>
          <w:b/>
          <w:sz w:val="28"/>
          <w:szCs w:val="28"/>
        </w:rPr>
        <w:t xml:space="preserve"> </w:t>
      </w:r>
      <w:r w:rsidRPr="001935D0">
        <w:rPr>
          <w:rStyle w:val="Strong"/>
          <w:rFonts w:ascii="Times New Roman" w:hAnsi="Times New Roman" w:cs="Times New Roman"/>
          <w:b w:val="0"/>
          <w:sz w:val="28"/>
          <w:szCs w:val="28"/>
        </w:rPr>
        <w:t>Национальный план действий в сфере прав человека</w:t>
      </w:r>
      <w:r w:rsidRPr="001935D0">
        <w:rPr>
          <w:rFonts w:ascii="Times New Roman" w:hAnsi="Times New Roman" w:cs="Times New Roman"/>
          <w:sz w:val="28"/>
          <w:szCs w:val="28"/>
        </w:rPr>
        <w:t xml:space="preserve">, направленные на предупреждение пыток, насилия и ограничений свободы выражения мнений. В последующем развитие получили </w:t>
      </w:r>
      <w:r w:rsidRPr="001935D0">
        <w:rPr>
          <w:rStyle w:val="Strong"/>
          <w:rFonts w:ascii="Times New Roman" w:hAnsi="Times New Roman" w:cs="Times New Roman"/>
          <w:b w:val="0"/>
          <w:sz w:val="28"/>
          <w:szCs w:val="28"/>
        </w:rPr>
        <w:t>Третий план действий в области прав человека и верховенства права</w:t>
      </w:r>
      <w:r w:rsidRPr="001935D0">
        <w:rPr>
          <w:rFonts w:ascii="Times New Roman" w:hAnsi="Times New Roman" w:cs="Times New Roman"/>
          <w:b/>
          <w:sz w:val="28"/>
          <w:szCs w:val="28"/>
        </w:rPr>
        <w:t xml:space="preserve"> </w:t>
      </w:r>
      <w:r w:rsidRPr="001935D0">
        <w:rPr>
          <w:rFonts w:ascii="Times New Roman" w:hAnsi="Times New Roman" w:cs="Times New Roman"/>
          <w:sz w:val="28"/>
          <w:szCs w:val="28"/>
        </w:rPr>
        <w:t>и</w:t>
      </w:r>
      <w:r w:rsidRPr="001935D0">
        <w:rPr>
          <w:rFonts w:ascii="Times New Roman" w:hAnsi="Times New Roman" w:cs="Times New Roman"/>
          <w:b/>
          <w:sz w:val="28"/>
          <w:szCs w:val="28"/>
        </w:rPr>
        <w:t xml:space="preserve"> </w:t>
      </w:r>
      <w:r w:rsidRPr="001935D0">
        <w:rPr>
          <w:rStyle w:val="Strong"/>
          <w:rFonts w:ascii="Times New Roman" w:hAnsi="Times New Roman" w:cs="Times New Roman"/>
          <w:b w:val="0"/>
          <w:sz w:val="28"/>
          <w:szCs w:val="28"/>
        </w:rPr>
        <w:t>Национальный план развития Республики Казахстан до 2029 года</w:t>
      </w:r>
      <w:r w:rsidRPr="001935D0">
        <w:rPr>
          <w:rFonts w:ascii="Times New Roman" w:hAnsi="Times New Roman" w:cs="Times New Roman"/>
          <w:b/>
          <w:sz w:val="28"/>
          <w:szCs w:val="28"/>
        </w:rPr>
        <w:t>,</w:t>
      </w:r>
      <w:r w:rsidRPr="001935D0">
        <w:rPr>
          <w:rFonts w:ascii="Times New Roman" w:hAnsi="Times New Roman" w:cs="Times New Roman"/>
          <w:sz w:val="28"/>
          <w:szCs w:val="28"/>
        </w:rPr>
        <w:t xml:space="preserve"> где предусмотрено дальнейшее укрепление демократических институтов и развитие правовой культуры [15</w:t>
      </w:r>
      <w:r w:rsidR="003042D0">
        <w:rPr>
          <w:rFonts w:ascii="Times New Roman" w:hAnsi="Times New Roman" w:cs="Times New Roman"/>
          <w:sz w:val="28"/>
          <w:szCs w:val="28"/>
          <w:lang w:val="kk-KZ"/>
        </w:rPr>
        <w:t>1</w:t>
      </w:r>
      <w:r w:rsidRPr="001935D0">
        <w:rPr>
          <w:rFonts w:ascii="Times New Roman" w:hAnsi="Times New Roman" w:cs="Times New Roman"/>
          <w:sz w:val="28"/>
          <w:szCs w:val="28"/>
        </w:rPr>
        <w:t>].</w:t>
      </w:r>
    </w:p>
    <w:p w14:paraId="6FBE1260" w14:textId="5241E310"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Создание </w:t>
      </w:r>
      <w:r w:rsidRPr="001935D0">
        <w:rPr>
          <w:rStyle w:val="Strong"/>
          <w:rFonts w:ascii="Times New Roman" w:hAnsi="Times New Roman" w:cs="Times New Roman"/>
          <w:b w:val="0"/>
          <w:sz w:val="28"/>
          <w:szCs w:val="28"/>
        </w:rPr>
        <w:t>Конституционного суда</w:t>
      </w:r>
      <w:r w:rsidRPr="001935D0">
        <w:rPr>
          <w:rFonts w:ascii="Times New Roman" w:hAnsi="Times New Roman" w:cs="Times New Roman"/>
          <w:sz w:val="28"/>
          <w:szCs w:val="28"/>
        </w:rPr>
        <w:t xml:space="preserve"> и принятие </w:t>
      </w:r>
      <w:r w:rsidRPr="001935D0">
        <w:rPr>
          <w:rStyle w:val="Strong"/>
          <w:rFonts w:ascii="Times New Roman" w:hAnsi="Times New Roman" w:cs="Times New Roman"/>
          <w:b w:val="0"/>
          <w:sz w:val="28"/>
          <w:szCs w:val="28"/>
        </w:rPr>
        <w:t>Закона «Об Уполномоченном по правам человека»</w:t>
      </w:r>
      <w:r w:rsidRPr="001935D0">
        <w:rPr>
          <w:rFonts w:ascii="Times New Roman" w:hAnsi="Times New Roman" w:cs="Times New Roman"/>
          <w:b/>
          <w:sz w:val="28"/>
          <w:szCs w:val="28"/>
        </w:rPr>
        <w:t xml:space="preserve"> </w:t>
      </w:r>
      <w:r w:rsidRPr="001935D0">
        <w:rPr>
          <w:rFonts w:ascii="Times New Roman" w:hAnsi="Times New Roman" w:cs="Times New Roman"/>
          <w:sz w:val="28"/>
          <w:szCs w:val="28"/>
        </w:rPr>
        <w:t xml:space="preserve">усилили правовую основу национального механизма защиты прав. Участие Казахстана в работе </w:t>
      </w:r>
      <w:r w:rsidRPr="001935D0">
        <w:rPr>
          <w:rStyle w:val="Strong"/>
          <w:rFonts w:ascii="Times New Roman" w:hAnsi="Times New Roman" w:cs="Times New Roman"/>
          <w:b w:val="0"/>
          <w:sz w:val="28"/>
          <w:szCs w:val="28"/>
        </w:rPr>
        <w:t>Венецианской комиссии Совета Европы</w:t>
      </w:r>
      <w:r w:rsidRPr="001935D0">
        <w:rPr>
          <w:rFonts w:ascii="Times New Roman" w:hAnsi="Times New Roman" w:cs="Times New Roman"/>
          <w:sz w:val="28"/>
          <w:szCs w:val="28"/>
        </w:rPr>
        <w:t xml:space="preserve"> и учёт её рекомендаций свидетельствуют о стремлении государства к правовой гармонизации с европейскими стандартами [15</w:t>
      </w:r>
      <w:r w:rsidR="003042D0">
        <w:rPr>
          <w:rFonts w:ascii="Times New Roman" w:hAnsi="Times New Roman" w:cs="Times New Roman"/>
          <w:sz w:val="28"/>
          <w:szCs w:val="28"/>
          <w:lang w:val="kk-KZ"/>
        </w:rPr>
        <w:t>3;196, р. 42-58</w:t>
      </w:r>
      <w:r w:rsidRPr="001935D0">
        <w:rPr>
          <w:rFonts w:ascii="Times New Roman" w:hAnsi="Times New Roman" w:cs="Times New Roman"/>
          <w:sz w:val="28"/>
          <w:szCs w:val="28"/>
        </w:rPr>
        <w:t>].</w:t>
      </w:r>
    </w:p>
    <w:p w14:paraId="69D3EAD4" w14:textId="4905E5BB"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Тем не менее сохраняются структурные барьеры: ограниченная независимость судов, неполная реализация полномочий омбудсмена, недостаточная институционализация процедур ex ante правозащитной экспертизы. Эти проблемы снижают устойчивость законодательных реформ и их соответствие международным стандартам [19</w:t>
      </w:r>
      <w:r w:rsidR="003042D0">
        <w:rPr>
          <w:rFonts w:ascii="Times New Roman" w:hAnsi="Times New Roman" w:cs="Times New Roman"/>
          <w:sz w:val="28"/>
          <w:szCs w:val="28"/>
          <w:lang w:val="kk-KZ"/>
        </w:rPr>
        <w:t>1</w:t>
      </w:r>
      <w:r w:rsidRPr="001935D0">
        <w:rPr>
          <w:rFonts w:ascii="Times New Roman" w:hAnsi="Times New Roman" w:cs="Times New Roman"/>
          <w:sz w:val="28"/>
          <w:szCs w:val="28"/>
        </w:rPr>
        <w:t>].</w:t>
      </w:r>
    </w:p>
    <w:p w14:paraId="01E4ADE5" w14:textId="1C20920F"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результате правозащитное сотрудничество между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и Казахстаном выступает не только инструментом адаптации законодательства, но и внутренним катализатором модернизации правовой системы. Участие в программах </w:t>
      </w:r>
      <w:r w:rsidRPr="001935D0">
        <w:rPr>
          <w:rStyle w:val="Strong"/>
          <w:rFonts w:ascii="Times New Roman" w:hAnsi="Times New Roman" w:cs="Times New Roman"/>
          <w:b w:val="0"/>
          <w:sz w:val="28"/>
          <w:szCs w:val="28"/>
        </w:rPr>
        <w:t>GRECO</w:t>
      </w:r>
      <w:r w:rsidRPr="001935D0">
        <w:rPr>
          <w:rFonts w:ascii="Times New Roman" w:hAnsi="Times New Roman" w:cs="Times New Roman"/>
          <w:b/>
          <w:sz w:val="28"/>
          <w:szCs w:val="28"/>
        </w:rPr>
        <w:t xml:space="preserve">, </w:t>
      </w:r>
      <w:r w:rsidRPr="001935D0">
        <w:rPr>
          <w:rStyle w:val="Strong"/>
          <w:rFonts w:ascii="Times New Roman" w:hAnsi="Times New Roman" w:cs="Times New Roman"/>
          <w:b w:val="0"/>
          <w:sz w:val="28"/>
          <w:szCs w:val="28"/>
        </w:rPr>
        <w:t>HELP</w:t>
      </w:r>
      <w:r w:rsidRPr="001935D0">
        <w:rPr>
          <w:rFonts w:ascii="Times New Roman" w:hAnsi="Times New Roman" w:cs="Times New Roman"/>
          <w:b/>
          <w:sz w:val="28"/>
          <w:szCs w:val="28"/>
        </w:rPr>
        <w:t xml:space="preserve">, </w:t>
      </w:r>
      <w:r w:rsidRPr="001935D0">
        <w:rPr>
          <w:rStyle w:val="Strong"/>
          <w:rFonts w:ascii="Times New Roman" w:hAnsi="Times New Roman" w:cs="Times New Roman"/>
          <w:b w:val="0"/>
          <w:sz w:val="28"/>
          <w:szCs w:val="28"/>
        </w:rPr>
        <w:t>Rule of Law Programme 2020–2024</w:t>
      </w:r>
      <w:r w:rsidRPr="001935D0">
        <w:rPr>
          <w:rFonts w:ascii="Times New Roman" w:hAnsi="Times New Roman" w:cs="Times New Roman"/>
          <w:b/>
          <w:sz w:val="28"/>
          <w:szCs w:val="28"/>
        </w:rPr>
        <w:t xml:space="preserve"> </w:t>
      </w:r>
      <w:r w:rsidRPr="001935D0">
        <w:rPr>
          <w:rFonts w:ascii="Times New Roman" w:hAnsi="Times New Roman" w:cs="Times New Roman"/>
          <w:sz w:val="28"/>
          <w:szCs w:val="28"/>
        </w:rPr>
        <w:t>и</w:t>
      </w:r>
      <w:r w:rsidRPr="001935D0">
        <w:rPr>
          <w:rFonts w:ascii="Times New Roman" w:hAnsi="Times New Roman" w:cs="Times New Roman"/>
          <w:b/>
          <w:sz w:val="28"/>
          <w:szCs w:val="28"/>
        </w:rPr>
        <w:t xml:space="preserve"> </w:t>
      </w:r>
      <w:r w:rsidRPr="001935D0">
        <w:rPr>
          <w:rStyle w:val="Strong"/>
          <w:rFonts w:ascii="Times New Roman" w:hAnsi="Times New Roman" w:cs="Times New Roman"/>
          <w:b w:val="0"/>
          <w:sz w:val="28"/>
          <w:szCs w:val="28"/>
        </w:rPr>
        <w:t>EU–Central Asia Rule of Law Platform (2023</w:t>
      </w:r>
      <w:r w:rsidR="00364EC3">
        <w:rPr>
          <w:rStyle w:val="Strong"/>
          <w:rFonts w:ascii="Times New Roman" w:hAnsi="Times New Roman" w:cs="Times New Roman"/>
          <w:b w:val="0"/>
          <w:sz w:val="28"/>
          <w:szCs w:val="28"/>
          <w:lang w:val="kk-KZ"/>
        </w:rPr>
        <w:t>-</w:t>
      </w:r>
      <w:r w:rsidRPr="001935D0">
        <w:rPr>
          <w:rStyle w:val="Strong"/>
          <w:rFonts w:ascii="Times New Roman" w:hAnsi="Times New Roman" w:cs="Times New Roman"/>
          <w:b w:val="0"/>
          <w:sz w:val="28"/>
          <w:szCs w:val="28"/>
        </w:rPr>
        <w:t>2025)</w:t>
      </w:r>
      <w:r w:rsidRPr="001935D0">
        <w:rPr>
          <w:rFonts w:ascii="Times New Roman" w:hAnsi="Times New Roman" w:cs="Times New Roman"/>
          <w:b/>
          <w:sz w:val="28"/>
          <w:szCs w:val="28"/>
        </w:rPr>
        <w:t xml:space="preserve"> </w:t>
      </w:r>
      <w:r w:rsidRPr="001935D0">
        <w:rPr>
          <w:rFonts w:ascii="Times New Roman" w:hAnsi="Times New Roman" w:cs="Times New Roman"/>
          <w:sz w:val="28"/>
          <w:szCs w:val="28"/>
        </w:rPr>
        <w:t>способствует формированию культуры ответственности и саморегуляции институтов [</w:t>
      </w:r>
      <w:r w:rsidR="003042D0">
        <w:rPr>
          <w:rFonts w:ascii="Times New Roman" w:hAnsi="Times New Roman" w:cs="Times New Roman"/>
          <w:sz w:val="28"/>
          <w:szCs w:val="28"/>
          <w:lang w:val="kk-KZ"/>
        </w:rPr>
        <w:t>198</w:t>
      </w:r>
      <w:r w:rsidR="00811F16">
        <w:rPr>
          <w:rFonts w:ascii="Times New Roman" w:hAnsi="Times New Roman" w:cs="Times New Roman"/>
          <w:sz w:val="28"/>
          <w:szCs w:val="28"/>
          <w:lang w:val="kk-KZ"/>
        </w:rPr>
        <w:t>-</w:t>
      </w:r>
      <w:r w:rsidR="003042D0">
        <w:rPr>
          <w:rFonts w:ascii="Times New Roman" w:hAnsi="Times New Roman" w:cs="Times New Roman"/>
          <w:sz w:val="28"/>
          <w:szCs w:val="28"/>
          <w:lang w:val="kk-KZ"/>
        </w:rPr>
        <w:t>205</w:t>
      </w:r>
      <w:r w:rsidRPr="001935D0">
        <w:rPr>
          <w:rFonts w:ascii="Times New Roman" w:hAnsi="Times New Roman" w:cs="Times New Roman"/>
          <w:sz w:val="28"/>
          <w:szCs w:val="28"/>
        </w:rPr>
        <w:t>].</w:t>
      </w:r>
    </w:p>
    <w:p w14:paraId="3CEFECBA" w14:textId="7777777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долгосрочной перспективе создание совместных индикаторных панелей и платформ мониторинга позволит оценивать реальное влияние правовых реформ, повышать качество законодательства и укреплять доверие граждан к институтам правосудия, обеспечивая переход от формальной гармонизации к устойчивой интеграции международных стандартов в национальную практику.</w:t>
      </w:r>
    </w:p>
    <w:p w14:paraId="5B5980CD" w14:textId="7777777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Принятие стратегических документов и реформирование ключевых институтов свидетельствует о стремлении государства к поэтапной гармонизации внутренней политики с европейскими стандартами. Однако эффективность этих мер во многом определяется способностью национальных органов власти обеспечивать их практическую реализацию и устойчивый мониторинг. В целях систематизации ключевых направлений и вызовов в процессе реформирования целесообразно рассмотреть их в сопоставительном виде (таблица 3.10).</w:t>
      </w:r>
    </w:p>
    <w:p w14:paraId="13AF122A" w14:textId="77777777" w:rsidR="00E94B29" w:rsidRPr="001935D0" w:rsidRDefault="00E94B29" w:rsidP="00593711">
      <w:pPr>
        <w:pStyle w:val="NoSpacing"/>
        <w:jc w:val="right"/>
        <w:rPr>
          <w:rFonts w:ascii="Times New Roman" w:hAnsi="Times New Roman" w:cs="Times New Roman"/>
          <w:sz w:val="28"/>
          <w:szCs w:val="28"/>
          <w:lang w:eastAsia="ru-RU"/>
        </w:rPr>
      </w:pPr>
    </w:p>
    <w:p w14:paraId="3E5898FE" w14:textId="43145551" w:rsidR="00E94B29" w:rsidRDefault="00E94B29" w:rsidP="00364EC3">
      <w:pPr>
        <w:pStyle w:val="NoSpacing"/>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 xml:space="preserve">Таблица 3.10 </w:t>
      </w:r>
      <w:r w:rsidR="00364EC3">
        <w:rPr>
          <w:rFonts w:ascii="Times New Roman" w:hAnsi="Times New Roman" w:cs="Times New Roman"/>
          <w:sz w:val="28"/>
          <w:szCs w:val="28"/>
          <w:lang w:eastAsia="ru-RU"/>
        </w:rPr>
        <w:t>‒</w:t>
      </w:r>
      <w:r w:rsidR="00364EC3">
        <w:rPr>
          <w:rFonts w:ascii="Times New Roman" w:hAnsi="Times New Roman" w:cs="Times New Roman"/>
          <w:sz w:val="28"/>
          <w:szCs w:val="28"/>
          <w:lang w:val="kk-KZ" w:eastAsia="ru-RU"/>
        </w:rPr>
        <w:t xml:space="preserve"> </w:t>
      </w:r>
      <w:r w:rsidRPr="001935D0">
        <w:rPr>
          <w:rFonts w:ascii="Times New Roman" w:hAnsi="Times New Roman" w:cs="Times New Roman"/>
          <w:sz w:val="28"/>
          <w:szCs w:val="28"/>
          <w:lang w:eastAsia="ru-RU"/>
        </w:rPr>
        <w:t>Институциональные реформы и сохраняющиеся барьеры</w:t>
      </w:r>
    </w:p>
    <w:p w14:paraId="577E17AA" w14:textId="77777777" w:rsidR="00364EC3" w:rsidRPr="00364EC3" w:rsidRDefault="00364EC3" w:rsidP="00364EC3">
      <w:pPr>
        <w:pStyle w:val="NoSpacing"/>
        <w:jc w:val="both"/>
        <w:rPr>
          <w:rFonts w:ascii="Times New Roman" w:hAnsi="Times New Roman" w:cs="Times New Roman"/>
          <w:sz w:val="16"/>
          <w:szCs w:val="16"/>
          <w:lang w:val="kk-KZ" w:eastAsia="ru-RU"/>
        </w:rPr>
      </w:pPr>
    </w:p>
    <w:tbl>
      <w:tblPr>
        <w:tblStyle w:val="TableGrid"/>
        <w:tblW w:w="9639" w:type="dxa"/>
        <w:jc w:val="center"/>
        <w:tblLayout w:type="fixed"/>
        <w:tblLook w:val="04A0" w:firstRow="1" w:lastRow="0" w:firstColumn="1" w:lastColumn="0" w:noHBand="0" w:noVBand="1"/>
      </w:tblPr>
      <w:tblGrid>
        <w:gridCol w:w="1843"/>
        <w:gridCol w:w="2552"/>
        <w:gridCol w:w="2666"/>
        <w:gridCol w:w="2578"/>
      </w:tblGrid>
      <w:tr w:rsidR="00E94B29" w:rsidRPr="00364EC3" w14:paraId="243351C0" w14:textId="77777777" w:rsidTr="00364EC3">
        <w:trPr>
          <w:jc w:val="center"/>
        </w:trPr>
        <w:tc>
          <w:tcPr>
            <w:tcW w:w="1843" w:type="dxa"/>
            <w:vAlign w:val="center"/>
          </w:tcPr>
          <w:p w14:paraId="67F229E7" w14:textId="6D90EF6D" w:rsidR="00E94B29" w:rsidRPr="00364EC3" w:rsidRDefault="00E94B29" w:rsidP="00364EC3">
            <w:pPr>
              <w:spacing w:line="228" w:lineRule="auto"/>
              <w:jc w:val="center"/>
              <w:rPr>
                <w:rFonts w:ascii="Times New Roman" w:eastAsia="Times New Roman" w:hAnsi="Times New Roman" w:cs="Times New Roman"/>
                <w:bCs/>
                <w:sz w:val="24"/>
                <w:szCs w:val="24"/>
                <w:lang w:eastAsia="ru-RU"/>
              </w:rPr>
            </w:pPr>
            <w:r w:rsidRPr="00364EC3">
              <w:rPr>
                <w:rFonts w:ascii="Times New Roman" w:eastAsia="Times New Roman" w:hAnsi="Times New Roman" w:cs="Times New Roman"/>
                <w:bCs/>
                <w:sz w:val="24"/>
                <w:szCs w:val="24"/>
                <w:lang w:eastAsia="ru-RU"/>
              </w:rPr>
              <w:t xml:space="preserve">Инициативы Республики Казахстан </w:t>
            </w:r>
          </w:p>
        </w:tc>
        <w:tc>
          <w:tcPr>
            <w:tcW w:w="2552" w:type="dxa"/>
            <w:vAlign w:val="center"/>
          </w:tcPr>
          <w:p w14:paraId="503E76C2" w14:textId="77777777" w:rsidR="00E94B29" w:rsidRPr="00364EC3" w:rsidRDefault="00E94B29" w:rsidP="00364EC3">
            <w:pPr>
              <w:spacing w:line="228" w:lineRule="auto"/>
              <w:jc w:val="center"/>
              <w:rPr>
                <w:rFonts w:ascii="Times New Roman" w:eastAsia="Times New Roman" w:hAnsi="Times New Roman" w:cs="Times New Roman"/>
                <w:bCs/>
                <w:sz w:val="24"/>
                <w:szCs w:val="24"/>
                <w:lang w:eastAsia="ru-RU"/>
              </w:rPr>
            </w:pPr>
            <w:r w:rsidRPr="00364EC3">
              <w:rPr>
                <w:rFonts w:ascii="Times New Roman" w:eastAsia="Times New Roman" w:hAnsi="Times New Roman" w:cs="Times New Roman"/>
                <w:bCs/>
                <w:sz w:val="24"/>
                <w:szCs w:val="24"/>
                <w:lang w:eastAsia="ru-RU"/>
              </w:rPr>
              <w:t>Потенциальный эффект</w:t>
            </w:r>
          </w:p>
        </w:tc>
        <w:tc>
          <w:tcPr>
            <w:tcW w:w="2666" w:type="dxa"/>
            <w:vAlign w:val="center"/>
          </w:tcPr>
          <w:p w14:paraId="075EC347" w14:textId="77777777" w:rsidR="00E94B29" w:rsidRPr="00364EC3" w:rsidRDefault="00E94B29" w:rsidP="00364EC3">
            <w:pPr>
              <w:spacing w:line="228" w:lineRule="auto"/>
              <w:jc w:val="center"/>
              <w:rPr>
                <w:rFonts w:ascii="Times New Roman" w:eastAsia="Times New Roman" w:hAnsi="Times New Roman" w:cs="Times New Roman"/>
                <w:bCs/>
                <w:sz w:val="24"/>
                <w:szCs w:val="24"/>
                <w:lang w:eastAsia="ru-RU"/>
              </w:rPr>
            </w:pPr>
            <w:r w:rsidRPr="00364EC3">
              <w:rPr>
                <w:rFonts w:ascii="Times New Roman" w:eastAsia="Times New Roman" w:hAnsi="Times New Roman" w:cs="Times New Roman"/>
                <w:bCs/>
                <w:sz w:val="24"/>
                <w:szCs w:val="24"/>
                <w:lang w:eastAsia="ru-RU"/>
              </w:rPr>
              <w:t>Сохраняющийся барьер</w:t>
            </w:r>
          </w:p>
        </w:tc>
        <w:tc>
          <w:tcPr>
            <w:tcW w:w="2578" w:type="dxa"/>
            <w:vAlign w:val="center"/>
          </w:tcPr>
          <w:p w14:paraId="59762341" w14:textId="77777777" w:rsidR="00E94B29" w:rsidRPr="00364EC3" w:rsidRDefault="00E94B29" w:rsidP="00364EC3">
            <w:pPr>
              <w:spacing w:line="228" w:lineRule="auto"/>
              <w:jc w:val="center"/>
              <w:rPr>
                <w:rFonts w:ascii="Times New Roman" w:eastAsia="Times New Roman" w:hAnsi="Times New Roman" w:cs="Times New Roman"/>
                <w:bCs/>
                <w:sz w:val="24"/>
                <w:szCs w:val="24"/>
                <w:lang w:eastAsia="ru-RU"/>
              </w:rPr>
            </w:pPr>
            <w:r w:rsidRPr="00364EC3">
              <w:rPr>
                <w:rFonts w:ascii="Times New Roman" w:eastAsia="Times New Roman" w:hAnsi="Times New Roman" w:cs="Times New Roman"/>
                <w:bCs/>
                <w:sz w:val="24"/>
                <w:szCs w:val="24"/>
                <w:lang w:eastAsia="ru-RU"/>
              </w:rPr>
              <w:t>Практическая рекомендация</w:t>
            </w:r>
          </w:p>
        </w:tc>
      </w:tr>
      <w:tr w:rsidR="00364EC3" w:rsidRPr="00364EC3" w14:paraId="2FAEB506" w14:textId="77777777" w:rsidTr="00364EC3">
        <w:trPr>
          <w:jc w:val="center"/>
        </w:trPr>
        <w:tc>
          <w:tcPr>
            <w:tcW w:w="1843" w:type="dxa"/>
            <w:vAlign w:val="center"/>
          </w:tcPr>
          <w:p w14:paraId="6809FA58" w14:textId="5C636EE2" w:rsidR="00364EC3" w:rsidRPr="00364EC3" w:rsidRDefault="00364EC3" w:rsidP="00364EC3">
            <w:pPr>
              <w:spacing w:line="228"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lastRenderedPageBreak/>
              <w:t>1</w:t>
            </w:r>
          </w:p>
        </w:tc>
        <w:tc>
          <w:tcPr>
            <w:tcW w:w="2552" w:type="dxa"/>
            <w:vAlign w:val="center"/>
          </w:tcPr>
          <w:p w14:paraId="61D5FBBA" w14:textId="6DA1CDC8" w:rsidR="00364EC3" w:rsidRPr="00364EC3" w:rsidRDefault="00364EC3" w:rsidP="00364EC3">
            <w:pPr>
              <w:spacing w:line="228"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w:t>
            </w:r>
          </w:p>
        </w:tc>
        <w:tc>
          <w:tcPr>
            <w:tcW w:w="2666" w:type="dxa"/>
            <w:vAlign w:val="center"/>
          </w:tcPr>
          <w:p w14:paraId="6926EEC7" w14:textId="73607142" w:rsidR="00364EC3" w:rsidRPr="00364EC3" w:rsidRDefault="00364EC3" w:rsidP="00364EC3">
            <w:pPr>
              <w:spacing w:line="228"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c>
          <w:tcPr>
            <w:tcW w:w="2578" w:type="dxa"/>
            <w:vAlign w:val="center"/>
          </w:tcPr>
          <w:p w14:paraId="15A32AD4" w14:textId="55E5D7B4" w:rsidR="00364EC3" w:rsidRPr="00364EC3" w:rsidRDefault="00364EC3" w:rsidP="00364EC3">
            <w:pPr>
              <w:spacing w:line="228"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4</w:t>
            </w:r>
          </w:p>
        </w:tc>
      </w:tr>
      <w:tr w:rsidR="00E94B29" w:rsidRPr="001935D0" w14:paraId="46E44647" w14:textId="77777777" w:rsidTr="00364EC3">
        <w:trPr>
          <w:jc w:val="center"/>
        </w:trPr>
        <w:tc>
          <w:tcPr>
            <w:tcW w:w="1843" w:type="dxa"/>
          </w:tcPr>
          <w:p w14:paraId="5FD4041F" w14:textId="77777777" w:rsidR="00E94B29" w:rsidRPr="001935D0" w:rsidRDefault="00E94B29" w:rsidP="00364EC3">
            <w:pPr>
              <w:spacing w:line="228" w:lineRule="auto"/>
              <w:rPr>
                <w:rFonts w:ascii="Times New Roman" w:hAnsi="Times New Roman" w:cs="Times New Roman"/>
                <w:i/>
                <w:sz w:val="24"/>
                <w:szCs w:val="24"/>
              </w:rPr>
            </w:pPr>
            <w:r w:rsidRPr="001935D0">
              <w:rPr>
                <w:rFonts w:ascii="Times New Roman" w:hAnsi="Times New Roman" w:cs="Times New Roman"/>
                <w:i/>
                <w:sz w:val="24"/>
                <w:szCs w:val="24"/>
              </w:rPr>
              <w:t xml:space="preserve">Национальный план действий в области прав человека </w:t>
            </w:r>
          </w:p>
        </w:tc>
        <w:tc>
          <w:tcPr>
            <w:tcW w:w="2552" w:type="dxa"/>
          </w:tcPr>
          <w:p w14:paraId="63AEFD24" w14:textId="64E9FF33" w:rsidR="00E94B29" w:rsidRPr="001935D0" w:rsidRDefault="00E94B29" w:rsidP="00364EC3">
            <w:pPr>
              <w:spacing w:line="228" w:lineRule="auto"/>
              <w:jc w:val="both"/>
              <w:rPr>
                <w:rFonts w:ascii="Times New Roman" w:hAnsi="Times New Roman" w:cs="Times New Roman"/>
                <w:sz w:val="24"/>
                <w:szCs w:val="24"/>
              </w:rPr>
            </w:pPr>
            <w:r w:rsidRPr="001935D0">
              <w:rPr>
                <w:rFonts w:ascii="Times New Roman" w:hAnsi="Times New Roman" w:cs="Times New Roman"/>
                <w:sz w:val="24"/>
                <w:szCs w:val="24"/>
              </w:rPr>
              <w:t>Формирование комп</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лексной рамки ре</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форм по ключевым направлениям (про</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филактика пыток, пре</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дотвращение насилия, свобода выражения, гендерное равенство и др.)</w:t>
            </w:r>
          </w:p>
        </w:tc>
        <w:tc>
          <w:tcPr>
            <w:tcW w:w="2666" w:type="dxa"/>
          </w:tcPr>
          <w:p w14:paraId="4B322CCA" w14:textId="77777777" w:rsidR="00E94B29" w:rsidRPr="001935D0" w:rsidRDefault="00E94B29" w:rsidP="00364EC3">
            <w:pPr>
              <w:spacing w:line="228" w:lineRule="auto"/>
              <w:rPr>
                <w:rFonts w:ascii="Times New Roman" w:hAnsi="Times New Roman" w:cs="Times New Roman"/>
                <w:sz w:val="24"/>
                <w:szCs w:val="24"/>
              </w:rPr>
            </w:pPr>
            <w:r w:rsidRPr="001935D0">
              <w:rPr>
                <w:rFonts w:ascii="Times New Roman" w:hAnsi="Times New Roman" w:cs="Times New Roman"/>
                <w:sz w:val="24"/>
                <w:szCs w:val="24"/>
              </w:rPr>
              <w:t xml:space="preserve">Недостаточная системность мониторинга и слабая корреляция с индикаторами ЕС </w:t>
            </w:r>
          </w:p>
        </w:tc>
        <w:tc>
          <w:tcPr>
            <w:tcW w:w="2578" w:type="dxa"/>
          </w:tcPr>
          <w:p w14:paraId="5EED0BA3" w14:textId="77777777" w:rsidR="00E94B29" w:rsidRPr="001935D0" w:rsidRDefault="00E94B29" w:rsidP="00364EC3">
            <w:pPr>
              <w:spacing w:line="228" w:lineRule="auto"/>
              <w:jc w:val="both"/>
              <w:rPr>
                <w:rFonts w:ascii="Times New Roman" w:hAnsi="Times New Roman" w:cs="Times New Roman"/>
                <w:sz w:val="24"/>
                <w:szCs w:val="24"/>
              </w:rPr>
            </w:pPr>
            <w:r w:rsidRPr="001935D0">
              <w:rPr>
                <w:rFonts w:ascii="Times New Roman" w:hAnsi="Times New Roman" w:cs="Times New Roman"/>
                <w:sz w:val="24"/>
                <w:szCs w:val="24"/>
              </w:rPr>
              <w:t>Разработать совместную индикаторную панель ЕС – Казахстан для оценки прогресса по каждому направлению</w:t>
            </w:r>
          </w:p>
        </w:tc>
      </w:tr>
      <w:tr w:rsidR="00E94B29" w:rsidRPr="001935D0" w14:paraId="26D9E0D6" w14:textId="77777777" w:rsidTr="00364EC3">
        <w:trPr>
          <w:jc w:val="center"/>
        </w:trPr>
        <w:tc>
          <w:tcPr>
            <w:tcW w:w="1843" w:type="dxa"/>
            <w:tcBorders>
              <w:bottom w:val="nil"/>
            </w:tcBorders>
          </w:tcPr>
          <w:p w14:paraId="3E68F85F" w14:textId="66316121" w:rsidR="00E94B29" w:rsidRPr="001935D0" w:rsidRDefault="00E94B29" w:rsidP="00364EC3">
            <w:pPr>
              <w:spacing w:line="228" w:lineRule="auto"/>
              <w:rPr>
                <w:rFonts w:ascii="Times New Roman" w:hAnsi="Times New Roman" w:cs="Times New Roman"/>
                <w:i/>
                <w:sz w:val="24"/>
                <w:szCs w:val="24"/>
              </w:rPr>
            </w:pPr>
            <w:r w:rsidRPr="001935D0">
              <w:rPr>
                <w:rFonts w:ascii="Times New Roman" w:hAnsi="Times New Roman" w:cs="Times New Roman"/>
                <w:i/>
                <w:sz w:val="24"/>
                <w:szCs w:val="24"/>
              </w:rPr>
              <w:t>Конституцио</w:t>
            </w:r>
            <w:r w:rsidR="00364EC3">
              <w:rPr>
                <w:rFonts w:ascii="Times New Roman" w:hAnsi="Times New Roman" w:cs="Times New Roman"/>
                <w:i/>
                <w:sz w:val="24"/>
                <w:szCs w:val="24"/>
                <w:lang w:val="kk-KZ"/>
              </w:rPr>
              <w:t xml:space="preserve"> </w:t>
            </w:r>
            <w:r w:rsidRPr="001935D0">
              <w:rPr>
                <w:rFonts w:ascii="Times New Roman" w:hAnsi="Times New Roman" w:cs="Times New Roman"/>
                <w:i/>
                <w:sz w:val="24"/>
                <w:szCs w:val="24"/>
              </w:rPr>
              <w:t xml:space="preserve">нный суд </w:t>
            </w:r>
          </w:p>
        </w:tc>
        <w:tc>
          <w:tcPr>
            <w:tcW w:w="2552" w:type="dxa"/>
            <w:tcBorders>
              <w:bottom w:val="nil"/>
            </w:tcBorders>
          </w:tcPr>
          <w:p w14:paraId="5C0D2189" w14:textId="7FF0373E" w:rsidR="00E94B29" w:rsidRPr="001935D0" w:rsidRDefault="00E94B29" w:rsidP="00364EC3">
            <w:pPr>
              <w:spacing w:line="228" w:lineRule="auto"/>
              <w:rPr>
                <w:rFonts w:ascii="Times New Roman" w:hAnsi="Times New Roman" w:cs="Times New Roman"/>
                <w:sz w:val="24"/>
                <w:szCs w:val="24"/>
              </w:rPr>
            </w:pPr>
            <w:r w:rsidRPr="001935D0">
              <w:rPr>
                <w:rFonts w:ascii="Times New Roman" w:hAnsi="Times New Roman" w:cs="Times New Roman"/>
                <w:sz w:val="24"/>
                <w:szCs w:val="24"/>
              </w:rPr>
              <w:t>Усиление конститу</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ционного контроля и защиты прав граждан</w:t>
            </w:r>
          </w:p>
        </w:tc>
        <w:tc>
          <w:tcPr>
            <w:tcW w:w="2666" w:type="dxa"/>
            <w:tcBorders>
              <w:bottom w:val="nil"/>
            </w:tcBorders>
          </w:tcPr>
          <w:p w14:paraId="7ECC7A7A" w14:textId="1DC98EAF" w:rsidR="00E94B29" w:rsidRPr="001935D0" w:rsidRDefault="00E94B29" w:rsidP="00364EC3">
            <w:pPr>
              <w:spacing w:line="228" w:lineRule="auto"/>
              <w:rPr>
                <w:rFonts w:ascii="Times New Roman" w:hAnsi="Times New Roman" w:cs="Times New Roman"/>
                <w:sz w:val="24"/>
                <w:szCs w:val="24"/>
              </w:rPr>
            </w:pPr>
            <w:r w:rsidRPr="001935D0">
              <w:rPr>
                <w:rFonts w:ascii="Times New Roman" w:hAnsi="Times New Roman" w:cs="Times New Roman"/>
                <w:sz w:val="24"/>
                <w:szCs w:val="24"/>
              </w:rPr>
              <w:t>Ограниченный доступ к судебной защите, не</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обходимость институ</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ционального укрепле</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ния независимости суда</w:t>
            </w:r>
          </w:p>
        </w:tc>
        <w:tc>
          <w:tcPr>
            <w:tcW w:w="2578" w:type="dxa"/>
            <w:tcBorders>
              <w:bottom w:val="nil"/>
            </w:tcBorders>
          </w:tcPr>
          <w:p w14:paraId="0583A83D" w14:textId="3D843F0F" w:rsidR="00E94B29" w:rsidRPr="001935D0" w:rsidRDefault="00E94B29" w:rsidP="00364EC3">
            <w:pPr>
              <w:spacing w:line="228" w:lineRule="auto"/>
              <w:jc w:val="both"/>
              <w:rPr>
                <w:rFonts w:ascii="Times New Roman" w:hAnsi="Times New Roman" w:cs="Times New Roman"/>
                <w:sz w:val="24"/>
                <w:szCs w:val="24"/>
              </w:rPr>
            </w:pPr>
            <w:r w:rsidRPr="001935D0">
              <w:rPr>
                <w:rFonts w:ascii="Times New Roman" w:hAnsi="Times New Roman" w:cs="Times New Roman"/>
                <w:sz w:val="24"/>
                <w:szCs w:val="24"/>
              </w:rPr>
              <w:t>Ввести механизм прямой конституцион</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ной жалобы граждан и обеспечить транспа</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 xml:space="preserve">рентность процедур и публичность решений </w:t>
            </w:r>
          </w:p>
        </w:tc>
      </w:tr>
      <w:tr w:rsidR="00364EC3" w:rsidRPr="001935D0" w14:paraId="47B5C854" w14:textId="77777777" w:rsidTr="00364EC3">
        <w:trPr>
          <w:jc w:val="center"/>
        </w:trPr>
        <w:tc>
          <w:tcPr>
            <w:tcW w:w="9639" w:type="dxa"/>
            <w:gridSpan w:val="4"/>
            <w:tcBorders>
              <w:top w:val="nil"/>
              <w:left w:val="nil"/>
              <w:right w:val="nil"/>
            </w:tcBorders>
          </w:tcPr>
          <w:p w14:paraId="7E19CBE7" w14:textId="3EB0680F" w:rsidR="00364EC3" w:rsidRPr="00364EC3" w:rsidRDefault="00364EC3" w:rsidP="00364EC3">
            <w:pPr>
              <w:ind w:hanging="93"/>
              <w:jc w:val="both"/>
              <w:rPr>
                <w:rFonts w:ascii="Times New Roman" w:hAnsi="Times New Roman" w:cs="Times New Roman"/>
                <w:sz w:val="28"/>
                <w:szCs w:val="28"/>
                <w:lang w:val="kk-KZ"/>
              </w:rPr>
            </w:pPr>
            <w:r w:rsidRPr="00364EC3">
              <w:rPr>
                <w:rFonts w:ascii="Times New Roman" w:hAnsi="Times New Roman" w:cs="Times New Roman"/>
                <w:sz w:val="28"/>
                <w:szCs w:val="28"/>
                <w:lang w:val="kk-KZ"/>
              </w:rPr>
              <w:t>Продолжение таблицы 3.10</w:t>
            </w:r>
          </w:p>
          <w:p w14:paraId="7CBF087E" w14:textId="0F682DD8" w:rsidR="00364EC3" w:rsidRPr="00364EC3" w:rsidRDefault="00364EC3" w:rsidP="00364EC3">
            <w:pPr>
              <w:ind w:hanging="93"/>
              <w:jc w:val="both"/>
              <w:rPr>
                <w:rFonts w:ascii="Times New Roman" w:hAnsi="Times New Roman" w:cs="Times New Roman"/>
                <w:sz w:val="16"/>
                <w:szCs w:val="16"/>
                <w:lang w:val="kk-KZ"/>
              </w:rPr>
            </w:pPr>
          </w:p>
        </w:tc>
      </w:tr>
      <w:tr w:rsidR="00364EC3" w:rsidRPr="001935D0" w14:paraId="40EBF9FE" w14:textId="77777777" w:rsidTr="00364EC3">
        <w:trPr>
          <w:jc w:val="center"/>
        </w:trPr>
        <w:tc>
          <w:tcPr>
            <w:tcW w:w="1843" w:type="dxa"/>
          </w:tcPr>
          <w:p w14:paraId="50C180BF" w14:textId="37E256DF" w:rsidR="00364EC3" w:rsidRPr="00364EC3" w:rsidRDefault="00364EC3" w:rsidP="00364E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2552" w:type="dxa"/>
          </w:tcPr>
          <w:p w14:paraId="2A750B0F" w14:textId="012B7B70" w:rsidR="00364EC3" w:rsidRPr="00364EC3" w:rsidRDefault="00364EC3" w:rsidP="00364EC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666" w:type="dxa"/>
          </w:tcPr>
          <w:p w14:paraId="673618F6" w14:textId="7C2B23AB" w:rsidR="00364EC3" w:rsidRPr="00364EC3" w:rsidRDefault="00364EC3" w:rsidP="00364EC3">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2578" w:type="dxa"/>
          </w:tcPr>
          <w:p w14:paraId="21687F65" w14:textId="1E0448DE" w:rsidR="00364EC3" w:rsidRPr="00364EC3" w:rsidRDefault="00364EC3" w:rsidP="00364EC3">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94B29" w:rsidRPr="001935D0" w14:paraId="3F79E17C" w14:textId="77777777" w:rsidTr="00364EC3">
        <w:trPr>
          <w:jc w:val="center"/>
        </w:trPr>
        <w:tc>
          <w:tcPr>
            <w:tcW w:w="1843" w:type="dxa"/>
          </w:tcPr>
          <w:p w14:paraId="0F933FD2" w14:textId="77777777" w:rsidR="00E94B29" w:rsidRPr="001935D0" w:rsidRDefault="00E94B29" w:rsidP="00593711">
            <w:pPr>
              <w:rPr>
                <w:rFonts w:ascii="Times New Roman" w:hAnsi="Times New Roman" w:cs="Times New Roman"/>
                <w:i/>
                <w:sz w:val="24"/>
                <w:szCs w:val="24"/>
              </w:rPr>
            </w:pPr>
            <w:r w:rsidRPr="001935D0">
              <w:rPr>
                <w:rFonts w:ascii="Times New Roman" w:hAnsi="Times New Roman" w:cs="Times New Roman"/>
                <w:i/>
                <w:sz w:val="24"/>
                <w:szCs w:val="24"/>
              </w:rPr>
              <w:t xml:space="preserve">Закон «Об Уполномоченном по правам человека» </w:t>
            </w:r>
          </w:p>
        </w:tc>
        <w:tc>
          <w:tcPr>
            <w:tcW w:w="2552" w:type="dxa"/>
          </w:tcPr>
          <w:p w14:paraId="1F04191B" w14:textId="03082305"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Повышение статуса и компетенций омбуд</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смена, расширение его роли в правот</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 xml:space="preserve">ворческом процессе </w:t>
            </w:r>
          </w:p>
        </w:tc>
        <w:tc>
          <w:tcPr>
            <w:tcW w:w="2666" w:type="dxa"/>
          </w:tcPr>
          <w:p w14:paraId="7B43F506" w14:textId="041D5B12"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Недостаточная финансовая автономия и ограниченные меха</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 xml:space="preserve">низмы воздействия на государственные органы </w:t>
            </w:r>
          </w:p>
        </w:tc>
        <w:tc>
          <w:tcPr>
            <w:tcW w:w="2578" w:type="dxa"/>
          </w:tcPr>
          <w:p w14:paraId="791BEDAC" w14:textId="5730BF07"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Гарантировать незави</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симое финансирова</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ние, развивать регио</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нальные представите</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льства и активизиро</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 xml:space="preserve">вать сотрудничество с НПО </w:t>
            </w:r>
          </w:p>
        </w:tc>
      </w:tr>
      <w:tr w:rsidR="00E94B29" w:rsidRPr="001935D0" w14:paraId="2B4C6811" w14:textId="77777777" w:rsidTr="00364EC3">
        <w:trPr>
          <w:jc w:val="center"/>
        </w:trPr>
        <w:tc>
          <w:tcPr>
            <w:tcW w:w="1843" w:type="dxa"/>
          </w:tcPr>
          <w:p w14:paraId="41CC3195" w14:textId="77777777" w:rsidR="00E94B29" w:rsidRPr="001935D0" w:rsidRDefault="00E94B29" w:rsidP="00593711">
            <w:pPr>
              <w:rPr>
                <w:rFonts w:ascii="Times New Roman" w:hAnsi="Times New Roman" w:cs="Times New Roman"/>
                <w:i/>
                <w:sz w:val="24"/>
                <w:szCs w:val="24"/>
              </w:rPr>
            </w:pPr>
            <w:r w:rsidRPr="001935D0">
              <w:rPr>
                <w:rFonts w:ascii="Times New Roman" w:hAnsi="Times New Roman" w:cs="Times New Roman"/>
                <w:i/>
                <w:sz w:val="24"/>
                <w:szCs w:val="24"/>
              </w:rPr>
              <w:t>Программа Совета Европы HELP для юристов и судей</w:t>
            </w:r>
          </w:p>
        </w:tc>
        <w:tc>
          <w:tcPr>
            <w:tcW w:w="2552" w:type="dxa"/>
          </w:tcPr>
          <w:p w14:paraId="5196EB4F" w14:textId="6A342A71"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Повышение квалифи</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 xml:space="preserve">кации специалистов в сфере прав человека и правосудия, распространение европейских практик обучения </w:t>
            </w:r>
          </w:p>
        </w:tc>
        <w:tc>
          <w:tcPr>
            <w:tcW w:w="2666" w:type="dxa"/>
          </w:tcPr>
          <w:p w14:paraId="25CE08CC"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Недостаточная институционализация правозащитного образования</w:t>
            </w:r>
          </w:p>
        </w:tc>
        <w:tc>
          <w:tcPr>
            <w:tcW w:w="2578" w:type="dxa"/>
          </w:tcPr>
          <w:p w14:paraId="6C343E71" w14:textId="1D850B8C"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Интегрировать курсы HELP в учебные планы юридических вузов и академий гос</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службы; развивать сис</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 xml:space="preserve">тему дистанционного обучения </w:t>
            </w:r>
          </w:p>
        </w:tc>
      </w:tr>
      <w:tr w:rsidR="00E94B29" w:rsidRPr="001935D0" w14:paraId="0CC11605" w14:textId="77777777" w:rsidTr="00364EC3">
        <w:trPr>
          <w:jc w:val="center"/>
        </w:trPr>
        <w:tc>
          <w:tcPr>
            <w:tcW w:w="1843" w:type="dxa"/>
          </w:tcPr>
          <w:p w14:paraId="2D41271F" w14:textId="77777777" w:rsidR="00E94B29" w:rsidRPr="001935D0" w:rsidRDefault="00E94B29" w:rsidP="00593711">
            <w:pPr>
              <w:rPr>
                <w:rFonts w:ascii="Times New Roman" w:hAnsi="Times New Roman" w:cs="Times New Roman"/>
                <w:i/>
                <w:sz w:val="24"/>
                <w:szCs w:val="24"/>
              </w:rPr>
            </w:pPr>
            <w:r w:rsidRPr="001935D0">
              <w:rPr>
                <w:rFonts w:ascii="Times New Roman" w:hAnsi="Times New Roman" w:cs="Times New Roman"/>
                <w:i/>
                <w:sz w:val="24"/>
                <w:szCs w:val="24"/>
              </w:rPr>
              <w:t xml:space="preserve">Реформа уголовного процесса и административного правосудия </w:t>
            </w:r>
          </w:p>
        </w:tc>
        <w:tc>
          <w:tcPr>
            <w:tcW w:w="2552" w:type="dxa"/>
          </w:tcPr>
          <w:p w14:paraId="3786AD06" w14:textId="77777777"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Переход к более состязательной и прозрачной модели судопроизводства</w:t>
            </w:r>
          </w:p>
        </w:tc>
        <w:tc>
          <w:tcPr>
            <w:tcW w:w="2666" w:type="dxa"/>
          </w:tcPr>
          <w:p w14:paraId="44A89413" w14:textId="134AE02A" w:rsidR="00E94B29" w:rsidRPr="001935D0" w:rsidRDefault="00E94B29" w:rsidP="00593711">
            <w:pPr>
              <w:rPr>
                <w:rFonts w:ascii="Times New Roman" w:hAnsi="Times New Roman" w:cs="Times New Roman"/>
                <w:sz w:val="24"/>
                <w:szCs w:val="24"/>
              </w:rPr>
            </w:pPr>
            <w:r w:rsidRPr="001935D0">
              <w:rPr>
                <w:rFonts w:ascii="Times New Roman" w:hAnsi="Times New Roman" w:cs="Times New Roman"/>
                <w:sz w:val="24"/>
                <w:szCs w:val="24"/>
              </w:rPr>
              <w:t>Недостаточный контроль за досудеб</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ным расследованием и слабая защита прав подозреваемых</w:t>
            </w:r>
          </w:p>
        </w:tc>
        <w:tc>
          <w:tcPr>
            <w:tcW w:w="2578" w:type="dxa"/>
          </w:tcPr>
          <w:p w14:paraId="12456F07" w14:textId="4E00E480" w:rsidR="00E94B29" w:rsidRPr="001935D0" w:rsidRDefault="00E94B29" w:rsidP="00593711">
            <w:pPr>
              <w:jc w:val="both"/>
              <w:rPr>
                <w:rFonts w:ascii="Times New Roman" w:hAnsi="Times New Roman" w:cs="Times New Roman"/>
                <w:sz w:val="24"/>
                <w:szCs w:val="24"/>
              </w:rPr>
            </w:pPr>
            <w:r w:rsidRPr="001935D0">
              <w:rPr>
                <w:rFonts w:ascii="Times New Roman" w:hAnsi="Times New Roman" w:cs="Times New Roman"/>
                <w:sz w:val="24"/>
                <w:szCs w:val="24"/>
              </w:rPr>
              <w:t>Усилить роль судеб</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ного контроля на следственной стадии и внедрить независимые механизмы монито</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ринга правопримени</w:t>
            </w:r>
            <w:r w:rsidR="00364EC3">
              <w:rPr>
                <w:rFonts w:ascii="Times New Roman" w:hAnsi="Times New Roman" w:cs="Times New Roman"/>
                <w:sz w:val="24"/>
                <w:szCs w:val="24"/>
                <w:lang w:val="kk-KZ"/>
              </w:rPr>
              <w:t xml:space="preserve"> </w:t>
            </w:r>
            <w:r w:rsidRPr="001935D0">
              <w:rPr>
                <w:rFonts w:ascii="Times New Roman" w:hAnsi="Times New Roman" w:cs="Times New Roman"/>
                <w:sz w:val="24"/>
                <w:szCs w:val="24"/>
              </w:rPr>
              <w:t xml:space="preserve">тельной практики </w:t>
            </w:r>
          </w:p>
        </w:tc>
      </w:tr>
      <w:tr w:rsidR="00364EC3" w:rsidRPr="003042D0" w14:paraId="431EE771" w14:textId="77777777" w:rsidTr="00187279">
        <w:trPr>
          <w:jc w:val="center"/>
        </w:trPr>
        <w:tc>
          <w:tcPr>
            <w:tcW w:w="9639" w:type="dxa"/>
            <w:gridSpan w:val="4"/>
          </w:tcPr>
          <w:p w14:paraId="5F906FD3" w14:textId="4001FB24" w:rsidR="00364EC3" w:rsidRPr="003042D0" w:rsidRDefault="009D7580" w:rsidP="003042D0">
            <w:pPr>
              <w:ind w:firstLine="602"/>
              <w:jc w:val="both"/>
              <w:rPr>
                <w:rFonts w:ascii="Times New Roman" w:hAnsi="Times New Roman" w:cs="Times New Roman"/>
                <w:sz w:val="24"/>
                <w:szCs w:val="24"/>
              </w:rPr>
            </w:pPr>
            <w:r w:rsidRPr="003042D0">
              <w:rPr>
                <w:rFonts w:ascii="Times New Roman" w:hAnsi="Times New Roman" w:cs="Times New Roman"/>
                <w:sz w:val="24"/>
                <w:szCs w:val="24"/>
                <w:lang w:val="kk-KZ"/>
              </w:rPr>
              <w:t xml:space="preserve">Примечание – </w:t>
            </w:r>
            <w:r w:rsidRPr="003042D0">
              <w:rPr>
                <w:rFonts w:ascii="Times New Roman" w:hAnsi="Times New Roman" w:cs="Times New Roman"/>
                <w:sz w:val="24"/>
                <w:szCs w:val="24"/>
              </w:rPr>
              <w:t xml:space="preserve">Составлено автором по данным </w:t>
            </w:r>
            <w:r w:rsidRPr="003042D0">
              <w:rPr>
                <w:rFonts w:ascii="Times New Roman" w:hAnsi="Times New Roman" w:cs="Times New Roman"/>
                <w:sz w:val="24"/>
                <w:szCs w:val="24"/>
                <w:lang w:val="kk-KZ"/>
              </w:rPr>
              <w:t xml:space="preserve">источников </w:t>
            </w:r>
            <w:r w:rsidRPr="003042D0">
              <w:rPr>
                <w:rFonts w:ascii="Times New Roman" w:hAnsi="Times New Roman" w:cs="Times New Roman"/>
                <w:sz w:val="24"/>
                <w:szCs w:val="24"/>
              </w:rPr>
              <w:t>[</w:t>
            </w:r>
            <w:r w:rsidRPr="003042D0">
              <w:rPr>
                <w:rFonts w:ascii="Times New Roman" w:hAnsi="Times New Roman" w:cs="Times New Roman"/>
                <w:sz w:val="24"/>
                <w:szCs w:val="24"/>
                <w:lang w:val="kk-KZ"/>
              </w:rPr>
              <w:t>173; 195; 198; 199; 200; 201; 202; 203; 204; 205</w:t>
            </w:r>
            <w:r w:rsidRPr="003042D0">
              <w:rPr>
                <w:rFonts w:ascii="Times New Roman" w:hAnsi="Times New Roman" w:cs="Times New Roman"/>
                <w:sz w:val="24"/>
                <w:szCs w:val="24"/>
              </w:rPr>
              <w:t>]</w:t>
            </w:r>
          </w:p>
        </w:tc>
      </w:tr>
    </w:tbl>
    <w:p w14:paraId="66767350" w14:textId="576B89CD" w:rsidR="00E94B29" w:rsidRPr="001935D0" w:rsidRDefault="00E94B29" w:rsidP="00593711">
      <w:pPr>
        <w:pStyle w:val="NoSpacing"/>
        <w:jc w:val="both"/>
        <w:rPr>
          <w:rFonts w:ascii="Times New Roman" w:hAnsi="Times New Roman" w:cs="Times New Roman"/>
          <w:sz w:val="24"/>
          <w:szCs w:val="24"/>
        </w:rPr>
      </w:pPr>
    </w:p>
    <w:p w14:paraId="59DA0ACF" w14:textId="7777777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Результаты проводимых реформ показывают, что основным вызовом остаётся </w:t>
      </w:r>
      <w:r w:rsidRPr="001935D0">
        <w:rPr>
          <w:rStyle w:val="Strong"/>
          <w:rFonts w:ascii="Times New Roman" w:hAnsi="Times New Roman" w:cs="Times New Roman"/>
          <w:b w:val="0"/>
          <w:bCs w:val="0"/>
          <w:sz w:val="28"/>
          <w:szCs w:val="28"/>
        </w:rPr>
        <w:t>недостаточная институциональная устойчивость правозащитных механизмов</w:t>
      </w:r>
      <w:r w:rsidRPr="001935D0">
        <w:rPr>
          <w:rFonts w:ascii="Times New Roman" w:hAnsi="Times New Roman" w:cs="Times New Roman"/>
          <w:sz w:val="28"/>
          <w:szCs w:val="28"/>
        </w:rPr>
        <w:t xml:space="preserve">. Для повышения их эффективности требуется переход от декларативных мер к системным преобразованиям, предусматривающим </w:t>
      </w:r>
      <w:r w:rsidRPr="001935D0">
        <w:rPr>
          <w:rStyle w:val="Strong"/>
          <w:rFonts w:ascii="Times New Roman" w:hAnsi="Times New Roman" w:cs="Times New Roman"/>
          <w:b w:val="0"/>
          <w:bCs w:val="0"/>
          <w:sz w:val="28"/>
          <w:szCs w:val="28"/>
        </w:rPr>
        <w:t>прозрачные процедуры финансирования, независимый контроль и регулярную оценку реализации принятых решений</w:t>
      </w:r>
      <w:r w:rsidRPr="001935D0">
        <w:rPr>
          <w:rFonts w:ascii="Times New Roman" w:hAnsi="Times New Roman" w:cs="Times New Roman"/>
          <w:sz w:val="28"/>
          <w:szCs w:val="28"/>
        </w:rPr>
        <w:t xml:space="preserve">. Важную роль в этом процессе играет </w:t>
      </w:r>
      <w:r w:rsidRPr="001935D0">
        <w:rPr>
          <w:rStyle w:val="Strong"/>
          <w:rFonts w:ascii="Times New Roman" w:hAnsi="Times New Roman" w:cs="Times New Roman"/>
          <w:b w:val="0"/>
          <w:bCs w:val="0"/>
          <w:sz w:val="28"/>
          <w:szCs w:val="28"/>
        </w:rPr>
        <w:t>создание совместных индикаторных инструментов ЕС–Казахстан</w:t>
      </w:r>
      <w:r w:rsidRPr="001935D0">
        <w:rPr>
          <w:rFonts w:ascii="Times New Roman" w:hAnsi="Times New Roman" w:cs="Times New Roman"/>
          <w:sz w:val="28"/>
          <w:szCs w:val="28"/>
        </w:rPr>
        <w:t xml:space="preserve">, позволяющих сопоставлять достигнутые результаты с международными стандартами и </w:t>
      </w:r>
      <w:r w:rsidRPr="001935D0">
        <w:rPr>
          <w:rFonts w:ascii="Times New Roman" w:hAnsi="Times New Roman" w:cs="Times New Roman"/>
          <w:sz w:val="28"/>
          <w:szCs w:val="28"/>
        </w:rPr>
        <w:lastRenderedPageBreak/>
        <w:t>обеспечивать объективную основу для корректировки государственной политики.</w:t>
      </w:r>
    </w:p>
    <w:p w14:paraId="1CDD7F8B" w14:textId="7C026D9F"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Поступательное развитие правовой системы Казахстана отражает стремление к укреплению </w:t>
      </w:r>
      <w:r w:rsidRPr="001935D0">
        <w:rPr>
          <w:rStyle w:val="Strong"/>
          <w:rFonts w:ascii="Times New Roman" w:hAnsi="Times New Roman" w:cs="Times New Roman"/>
          <w:b w:val="0"/>
          <w:bCs w:val="0"/>
          <w:sz w:val="28"/>
          <w:szCs w:val="28"/>
        </w:rPr>
        <w:t>национального правозащитного потенциала</w:t>
      </w:r>
      <w:r w:rsidRPr="001935D0">
        <w:rPr>
          <w:rFonts w:ascii="Times New Roman" w:hAnsi="Times New Roman" w:cs="Times New Roman"/>
          <w:sz w:val="28"/>
          <w:szCs w:val="28"/>
        </w:rPr>
        <w:t xml:space="preserve">. Дальнейшее продвижение в этом направлении связано с </w:t>
      </w:r>
      <w:r w:rsidRPr="001935D0">
        <w:rPr>
          <w:rStyle w:val="Strong"/>
          <w:rFonts w:ascii="Times New Roman" w:hAnsi="Times New Roman" w:cs="Times New Roman"/>
          <w:b w:val="0"/>
          <w:bCs w:val="0"/>
          <w:sz w:val="28"/>
          <w:szCs w:val="28"/>
        </w:rPr>
        <w:t>институционализацией мониторинга, расширением международного партнёрства и внедрением правозащитного подхода в систему государственного управления</w:t>
      </w:r>
      <w:r w:rsidRPr="001935D0">
        <w:rPr>
          <w:rFonts w:ascii="Times New Roman" w:hAnsi="Times New Roman" w:cs="Times New Roman"/>
          <w:sz w:val="28"/>
          <w:szCs w:val="28"/>
        </w:rPr>
        <w:t xml:space="preserve">. Сотрудничество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при этом выступает </w:t>
      </w:r>
      <w:r w:rsidRPr="001935D0">
        <w:rPr>
          <w:rStyle w:val="Strong"/>
          <w:rFonts w:ascii="Times New Roman" w:hAnsi="Times New Roman" w:cs="Times New Roman"/>
          <w:b w:val="0"/>
          <w:bCs w:val="0"/>
          <w:sz w:val="28"/>
          <w:szCs w:val="28"/>
        </w:rPr>
        <w:t>не только внешним источником поддержки, но и внутренним инструментом трансформации</w:t>
      </w:r>
      <w:r w:rsidRPr="001935D0">
        <w:rPr>
          <w:rFonts w:ascii="Times New Roman" w:hAnsi="Times New Roman" w:cs="Times New Roman"/>
          <w:sz w:val="28"/>
          <w:szCs w:val="28"/>
        </w:rPr>
        <w:t>, способствующим формированию устойчивой модели правового государства.</w:t>
      </w:r>
    </w:p>
    <w:p w14:paraId="7872B0E3" w14:textId="420B76B0"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Политико-правовой контекст остаётся определяющим фактором эффективности имплементации международных обязательств. Несмотря на значимые шаги в сфере модернизации политической системы – </w:t>
      </w:r>
      <w:r w:rsidRPr="001935D0">
        <w:rPr>
          <w:rStyle w:val="Strong"/>
          <w:rFonts w:ascii="Times New Roman" w:hAnsi="Times New Roman" w:cs="Times New Roman"/>
          <w:b w:val="0"/>
          <w:bCs w:val="0"/>
          <w:sz w:val="28"/>
          <w:szCs w:val="28"/>
        </w:rPr>
        <w:t>создание Конституционного суда (2023), утверждение Антикоррупционной концепции на 2022–2026 годы, реализация Национального плана по правам человека и расширение мандата института Омбудсмена</w:t>
      </w:r>
      <w:r w:rsidRPr="001935D0">
        <w:rPr>
          <w:rFonts w:ascii="Times New Roman" w:hAnsi="Times New Roman" w:cs="Times New Roman"/>
          <w:sz w:val="28"/>
          <w:szCs w:val="28"/>
        </w:rPr>
        <w:t xml:space="preserve">, – политическая трансформация сохраняет фрагментарный характер. Эти инициативы укрепляют нормативную основу правового государства, но требуют дальнейшей </w:t>
      </w:r>
      <w:r w:rsidRPr="001935D0">
        <w:rPr>
          <w:rStyle w:val="Strong"/>
          <w:rFonts w:ascii="Times New Roman" w:hAnsi="Times New Roman" w:cs="Times New Roman"/>
          <w:b w:val="0"/>
          <w:bCs w:val="0"/>
          <w:sz w:val="28"/>
          <w:szCs w:val="28"/>
        </w:rPr>
        <w:t>институциональной и процедурной консолидации</w:t>
      </w:r>
      <w:r w:rsidRPr="001935D0">
        <w:rPr>
          <w:rFonts w:ascii="Times New Roman" w:hAnsi="Times New Roman" w:cs="Times New Roman"/>
          <w:sz w:val="28"/>
          <w:szCs w:val="28"/>
        </w:rPr>
        <w:t>, обеспечивающей их устойчивость на практике</w:t>
      </w:r>
      <w:r w:rsidR="00364EC3">
        <w:rPr>
          <w:rFonts w:ascii="Times New Roman" w:hAnsi="Times New Roman" w:cs="Times New Roman"/>
          <w:sz w:val="28"/>
          <w:szCs w:val="28"/>
          <w:lang w:val="kk-KZ"/>
        </w:rPr>
        <w:t> </w:t>
      </w:r>
      <w:r w:rsidRPr="001935D0">
        <w:rPr>
          <w:rFonts w:ascii="Times New Roman" w:hAnsi="Times New Roman" w:cs="Times New Roman"/>
          <w:sz w:val="28"/>
          <w:szCs w:val="28"/>
        </w:rPr>
        <w:t>[2</w:t>
      </w:r>
      <w:r w:rsidR="003042D0">
        <w:rPr>
          <w:rFonts w:ascii="Times New Roman" w:hAnsi="Times New Roman" w:cs="Times New Roman"/>
          <w:sz w:val="28"/>
          <w:szCs w:val="28"/>
          <w:lang w:val="kk-KZ"/>
        </w:rPr>
        <w:t>08</w:t>
      </w:r>
      <w:r w:rsidRPr="001935D0">
        <w:rPr>
          <w:rFonts w:ascii="Times New Roman" w:hAnsi="Times New Roman" w:cs="Times New Roman"/>
          <w:sz w:val="28"/>
          <w:szCs w:val="28"/>
        </w:rPr>
        <w:t>].</w:t>
      </w:r>
    </w:p>
    <w:p w14:paraId="62F8F9E9" w14:textId="10A2ADA2"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Казахстан демонстрирует готовность к укреплению верховенства права, модернизации государственного управления и противодействию коррупции </w:t>
      </w:r>
      <w:r w:rsidRPr="001935D0">
        <w:rPr>
          <w:rStyle w:val="Strong"/>
          <w:rFonts w:ascii="Times New Roman" w:hAnsi="Times New Roman" w:cs="Times New Roman"/>
          <w:b w:val="0"/>
          <w:bCs w:val="0"/>
          <w:sz w:val="28"/>
          <w:szCs w:val="28"/>
        </w:rPr>
        <w:t>в соответствии с приоритетами European Commission for the Efficiency of Justice (CEPEJ) и рекомендациями Совета Европы [2</w:t>
      </w:r>
      <w:r w:rsidR="003042D0">
        <w:rPr>
          <w:rStyle w:val="Strong"/>
          <w:rFonts w:ascii="Times New Roman" w:hAnsi="Times New Roman" w:cs="Times New Roman"/>
          <w:b w:val="0"/>
          <w:bCs w:val="0"/>
          <w:sz w:val="28"/>
          <w:szCs w:val="28"/>
          <w:lang w:val="kk-KZ"/>
        </w:rPr>
        <w:t>09</w:t>
      </w:r>
      <w:r w:rsidRPr="001935D0">
        <w:rPr>
          <w:rStyle w:val="Strong"/>
          <w:rFonts w:ascii="Times New Roman" w:hAnsi="Times New Roman" w:cs="Times New Roman"/>
          <w:b w:val="0"/>
          <w:bCs w:val="0"/>
          <w:sz w:val="28"/>
          <w:szCs w:val="28"/>
        </w:rPr>
        <w:t>]</w:t>
      </w:r>
      <w:r w:rsidRPr="001935D0">
        <w:rPr>
          <w:rFonts w:ascii="Times New Roman" w:hAnsi="Times New Roman" w:cs="Times New Roman"/>
          <w:sz w:val="28"/>
          <w:szCs w:val="28"/>
        </w:rPr>
        <w:t xml:space="preserve">. Однако сохраняющаяся концентрация власти в исполнительной ветви, </w:t>
      </w:r>
      <w:r w:rsidRPr="001935D0">
        <w:rPr>
          <w:rStyle w:val="Strong"/>
          <w:rFonts w:ascii="Times New Roman" w:hAnsi="Times New Roman" w:cs="Times New Roman"/>
          <w:b w:val="0"/>
          <w:bCs w:val="0"/>
          <w:sz w:val="28"/>
          <w:szCs w:val="28"/>
        </w:rPr>
        <w:t>ограниченная конкуренция на выборах и недостаточный медиаплюрализм</w:t>
      </w:r>
      <w:r w:rsidRPr="001935D0">
        <w:rPr>
          <w:rFonts w:ascii="Times New Roman" w:hAnsi="Times New Roman" w:cs="Times New Roman"/>
          <w:sz w:val="28"/>
          <w:szCs w:val="28"/>
        </w:rPr>
        <w:t xml:space="preserve"> продолжают сдерживать развитие демократических институтов. </w:t>
      </w:r>
      <w:r w:rsidRPr="001935D0">
        <w:rPr>
          <w:rStyle w:val="Strong"/>
          <w:rFonts w:ascii="Times New Roman" w:hAnsi="Times New Roman" w:cs="Times New Roman"/>
          <w:b w:val="0"/>
          <w:bCs w:val="0"/>
          <w:sz w:val="28"/>
          <w:szCs w:val="28"/>
        </w:rPr>
        <w:t>Административные барьеры для гражданского общества и независимых СМИ</w:t>
      </w:r>
      <w:r w:rsidRPr="001935D0">
        <w:rPr>
          <w:rFonts w:ascii="Times New Roman" w:hAnsi="Times New Roman" w:cs="Times New Roman"/>
          <w:sz w:val="28"/>
          <w:szCs w:val="28"/>
        </w:rPr>
        <w:t xml:space="preserve"> снижают транспарентность политических процессов и ограничивают общественное участие, что в целом влияет на устойчивость правозащитных реформ.</w:t>
      </w:r>
    </w:p>
    <w:p w14:paraId="04984CD2" w14:textId="6B7E634E"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Для комплексного представления ключевых политических барьеров и оценки потенциала их преодоления в контексте сотрудничества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и Советом Европы представляется целесообразным рассмотреть их в обобщённой форме (таблица 3.11).</w:t>
      </w:r>
    </w:p>
    <w:p w14:paraId="61C7BA5A" w14:textId="77777777" w:rsidR="00E94B29" w:rsidRPr="001935D0" w:rsidRDefault="00E94B29" w:rsidP="00593711">
      <w:pPr>
        <w:pStyle w:val="NoSpacing"/>
        <w:ind w:firstLine="567"/>
        <w:jc w:val="both"/>
        <w:rPr>
          <w:rFonts w:ascii="Times New Roman" w:hAnsi="Times New Roman" w:cs="Times New Roman"/>
          <w:sz w:val="28"/>
          <w:szCs w:val="28"/>
        </w:rPr>
      </w:pPr>
    </w:p>
    <w:p w14:paraId="4644F306" w14:textId="6BFBE243" w:rsidR="00E94B29" w:rsidRDefault="00E94B29" w:rsidP="00364EC3">
      <w:pPr>
        <w:pStyle w:val="NoSpacing"/>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 xml:space="preserve">Таблица 3.11 </w:t>
      </w:r>
      <w:r w:rsidR="00364EC3">
        <w:rPr>
          <w:rFonts w:ascii="Times New Roman" w:hAnsi="Times New Roman" w:cs="Times New Roman"/>
          <w:sz w:val="28"/>
          <w:szCs w:val="28"/>
          <w:lang w:eastAsia="ru-RU"/>
        </w:rPr>
        <w:t>‒</w:t>
      </w:r>
      <w:r w:rsidR="00364EC3">
        <w:rPr>
          <w:rFonts w:ascii="Times New Roman" w:hAnsi="Times New Roman" w:cs="Times New Roman"/>
          <w:sz w:val="28"/>
          <w:szCs w:val="28"/>
          <w:lang w:val="kk-KZ" w:eastAsia="ru-RU"/>
        </w:rPr>
        <w:t xml:space="preserve"> </w:t>
      </w:r>
      <w:r w:rsidRPr="001935D0">
        <w:rPr>
          <w:rFonts w:ascii="Times New Roman" w:hAnsi="Times New Roman" w:cs="Times New Roman"/>
          <w:sz w:val="28"/>
          <w:szCs w:val="28"/>
          <w:lang w:eastAsia="ru-RU"/>
        </w:rPr>
        <w:t>Политические барьеры и возможности для их преодоления</w:t>
      </w:r>
    </w:p>
    <w:p w14:paraId="39240D2A" w14:textId="77777777" w:rsidR="00364EC3" w:rsidRPr="00364EC3" w:rsidRDefault="00364EC3" w:rsidP="00364EC3">
      <w:pPr>
        <w:pStyle w:val="NoSpacing"/>
        <w:jc w:val="both"/>
        <w:rPr>
          <w:rFonts w:ascii="Times New Roman" w:hAnsi="Times New Roman" w:cs="Times New Roman"/>
          <w:sz w:val="16"/>
          <w:szCs w:val="16"/>
          <w:lang w:val="kk-KZ" w:eastAsia="ru-RU"/>
        </w:rPr>
      </w:pPr>
    </w:p>
    <w:tbl>
      <w:tblPr>
        <w:tblStyle w:val="TableGrid"/>
        <w:tblW w:w="0" w:type="auto"/>
        <w:jc w:val="center"/>
        <w:tblLook w:val="04A0" w:firstRow="1" w:lastRow="0" w:firstColumn="1" w:lastColumn="0" w:noHBand="0" w:noVBand="1"/>
      </w:tblPr>
      <w:tblGrid>
        <w:gridCol w:w="2277"/>
        <w:gridCol w:w="3393"/>
        <w:gridCol w:w="3821"/>
      </w:tblGrid>
      <w:tr w:rsidR="00E94B29" w:rsidRPr="00364EC3" w14:paraId="05BB0D35" w14:textId="77777777" w:rsidTr="00364EC3">
        <w:trPr>
          <w:trHeight w:val="904"/>
          <w:jc w:val="center"/>
        </w:trPr>
        <w:tc>
          <w:tcPr>
            <w:tcW w:w="2277" w:type="dxa"/>
            <w:vAlign w:val="center"/>
          </w:tcPr>
          <w:p w14:paraId="5E2C0F56" w14:textId="77777777" w:rsidR="00E94B29" w:rsidRPr="00364EC3" w:rsidRDefault="00E94B29" w:rsidP="00593711">
            <w:pPr>
              <w:jc w:val="center"/>
              <w:rPr>
                <w:rFonts w:ascii="Times New Roman" w:eastAsia="Times New Roman" w:hAnsi="Times New Roman" w:cs="Times New Roman"/>
                <w:bCs/>
                <w:sz w:val="24"/>
                <w:szCs w:val="24"/>
                <w:lang w:eastAsia="ru-RU"/>
              </w:rPr>
            </w:pPr>
            <w:r w:rsidRPr="00364EC3">
              <w:rPr>
                <w:rFonts w:ascii="Times New Roman" w:eastAsia="Times New Roman" w:hAnsi="Times New Roman" w:cs="Times New Roman"/>
                <w:bCs/>
                <w:sz w:val="24"/>
                <w:szCs w:val="24"/>
                <w:lang w:eastAsia="ru-RU"/>
              </w:rPr>
              <w:t>Политический барьер</w:t>
            </w:r>
          </w:p>
        </w:tc>
        <w:tc>
          <w:tcPr>
            <w:tcW w:w="3393" w:type="dxa"/>
            <w:vAlign w:val="center"/>
          </w:tcPr>
          <w:p w14:paraId="5B552E22" w14:textId="77777777" w:rsidR="00E94B29" w:rsidRPr="00364EC3" w:rsidRDefault="00E94B29" w:rsidP="00593711">
            <w:pPr>
              <w:jc w:val="center"/>
              <w:rPr>
                <w:rFonts w:ascii="Times New Roman" w:eastAsia="Times New Roman" w:hAnsi="Times New Roman" w:cs="Times New Roman"/>
                <w:bCs/>
                <w:sz w:val="24"/>
                <w:szCs w:val="24"/>
                <w:lang w:eastAsia="ru-RU"/>
              </w:rPr>
            </w:pPr>
            <w:r w:rsidRPr="00364EC3">
              <w:rPr>
                <w:rFonts w:ascii="Times New Roman" w:eastAsia="Times New Roman" w:hAnsi="Times New Roman" w:cs="Times New Roman"/>
                <w:bCs/>
                <w:sz w:val="24"/>
                <w:szCs w:val="24"/>
                <w:lang w:eastAsia="ru-RU"/>
              </w:rPr>
              <w:t>Проявления в Казахстане</w:t>
            </w:r>
          </w:p>
        </w:tc>
        <w:tc>
          <w:tcPr>
            <w:tcW w:w="3821" w:type="dxa"/>
            <w:vAlign w:val="center"/>
          </w:tcPr>
          <w:p w14:paraId="6DD7AAA9" w14:textId="77777777" w:rsidR="00E94B29" w:rsidRPr="00364EC3" w:rsidRDefault="00E94B29" w:rsidP="00593711">
            <w:pPr>
              <w:jc w:val="center"/>
              <w:rPr>
                <w:rFonts w:ascii="Times New Roman" w:eastAsia="Times New Roman" w:hAnsi="Times New Roman" w:cs="Times New Roman"/>
                <w:bCs/>
                <w:sz w:val="24"/>
                <w:szCs w:val="24"/>
                <w:lang w:eastAsia="ru-RU"/>
              </w:rPr>
            </w:pPr>
            <w:r w:rsidRPr="00364EC3">
              <w:rPr>
                <w:rFonts w:ascii="Times New Roman" w:eastAsia="Times New Roman" w:hAnsi="Times New Roman" w:cs="Times New Roman"/>
                <w:bCs/>
                <w:sz w:val="24"/>
                <w:szCs w:val="24"/>
                <w:lang w:eastAsia="ru-RU"/>
              </w:rPr>
              <w:t>Потенциал для преодоления (с опорой на ЕС и Совет Европы)</w:t>
            </w:r>
          </w:p>
        </w:tc>
      </w:tr>
      <w:tr w:rsidR="00364EC3" w:rsidRPr="00364EC3" w14:paraId="40B1F20B" w14:textId="77777777" w:rsidTr="00364EC3">
        <w:trPr>
          <w:jc w:val="center"/>
        </w:trPr>
        <w:tc>
          <w:tcPr>
            <w:tcW w:w="2277" w:type="dxa"/>
            <w:vAlign w:val="center"/>
          </w:tcPr>
          <w:p w14:paraId="7193D105" w14:textId="059F5981" w:rsidR="00364EC3" w:rsidRPr="00364EC3" w:rsidRDefault="00364EC3"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p>
        </w:tc>
        <w:tc>
          <w:tcPr>
            <w:tcW w:w="3393" w:type="dxa"/>
            <w:vAlign w:val="center"/>
          </w:tcPr>
          <w:p w14:paraId="4EC6A53A" w14:textId="4D39649B" w:rsidR="00364EC3" w:rsidRPr="00364EC3" w:rsidRDefault="00364EC3"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w:t>
            </w:r>
          </w:p>
        </w:tc>
        <w:tc>
          <w:tcPr>
            <w:tcW w:w="3821" w:type="dxa"/>
            <w:vAlign w:val="center"/>
          </w:tcPr>
          <w:p w14:paraId="35BD7804" w14:textId="2DD577BC" w:rsidR="00364EC3" w:rsidRPr="00364EC3" w:rsidRDefault="00364EC3"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r>
      <w:tr w:rsidR="00E94B29" w:rsidRPr="001935D0" w14:paraId="0855563A" w14:textId="77777777" w:rsidTr="00364EC3">
        <w:trPr>
          <w:jc w:val="center"/>
        </w:trPr>
        <w:tc>
          <w:tcPr>
            <w:tcW w:w="2277" w:type="dxa"/>
            <w:vAlign w:val="center"/>
          </w:tcPr>
          <w:p w14:paraId="73F66ECF"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Авторитарная устойчивость и ограниченная конкуренция</w:t>
            </w:r>
          </w:p>
        </w:tc>
        <w:tc>
          <w:tcPr>
            <w:tcW w:w="3393" w:type="dxa"/>
            <w:vAlign w:val="center"/>
          </w:tcPr>
          <w:p w14:paraId="5006031E"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Доминирование правящей партии, ограниченное участие оппозиции, административные барьеры в избирательном </w:t>
            </w:r>
            <w:r w:rsidRPr="001935D0">
              <w:rPr>
                <w:rFonts w:ascii="Times New Roman" w:eastAsia="Times New Roman" w:hAnsi="Times New Roman" w:cs="Times New Roman"/>
                <w:sz w:val="24"/>
                <w:szCs w:val="24"/>
                <w:lang w:eastAsia="ru-RU"/>
              </w:rPr>
              <w:lastRenderedPageBreak/>
              <w:t xml:space="preserve">процессе, </w:t>
            </w:r>
            <w:r w:rsidRPr="001935D0">
              <w:rPr>
                <w:rFonts w:ascii="Times New Roman" w:eastAsia="Times New Roman" w:hAnsi="Times New Roman" w:cs="Times New Roman"/>
                <w:bCs/>
                <w:sz w:val="24"/>
                <w:szCs w:val="24"/>
                <w:lang w:eastAsia="ru-RU"/>
              </w:rPr>
              <w:t>низкий уровень парламентского контроля</w:t>
            </w:r>
          </w:p>
        </w:tc>
        <w:tc>
          <w:tcPr>
            <w:tcW w:w="3821" w:type="dxa"/>
            <w:vAlign w:val="center"/>
          </w:tcPr>
          <w:p w14:paraId="11B282EC" w14:textId="13A5066E"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lastRenderedPageBreak/>
              <w:t xml:space="preserve">Экспертная поддержка реформы избирательного законодательства </w:t>
            </w:r>
            <w:r w:rsidRPr="001935D0">
              <w:rPr>
                <w:rFonts w:ascii="Times New Roman" w:eastAsia="Times New Roman" w:hAnsi="Times New Roman" w:cs="Times New Roman"/>
                <w:bCs/>
                <w:sz w:val="24"/>
                <w:szCs w:val="24"/>
                <w:lang w:eastAsia="ru-RU"/>
              </w:rPr>
              <w:t>Венецианской комиссией и БДИПЧ/ОБСЕ</w:t>
            </w:r>
            <w:r w:rsidRPr="001935D0">
              <w:rPr>
                <w:rFonts w:ascii="Times New Roman" w:eastAsia="Times New Roman" w:hAnsi="Times New Roman" w:cs="Times New Roman"/>
                <w:sz w:val="24"/>
                <w:szCs w:val="24"/>
                <w:lang w:eastAsia="ru-RU"/>
              </w:rPr>
              <w:t xml:space="preserve">, реализация </w:t>
            </w:r>
            <w:r w:rsidRPr="001935D0">
              <w:rPr>
                <w:rFonts w:ascii="Times New Roman" w:eastAsia="Times New Roman" w:hAnsi="Times New Roman" w:cs="Times New Roman"/>
                <w:bCs/>
                <w:sz w:val="24"/>
                <w:szCs w:val="24"/>
                <w:lang w:eastAsia="ru-RU"/>
              </w:rPr>
              <w:t>Полити</w:t>
            </w:r>
            <w:r w:rsidR="00364EC3">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ческой реформы 2022 года</w:t>
            </w:r>
            <w:r w:rsidRPr="001935D0">
              <w:rPr>
                <w:rFonts w:ascii="Times New Roman" w:eastAsia="Times New Roman" w:hAnsi="Times New Roman" w:cs="Times New Roman"/>
                <w:sz w:val="24"/>
                <w:szCs w:val="24"/>
                <w:lang w:eastAsia="ru-RU"/>
              </w:rPr>
              <w:t>, внед</w:t>
            </w:r>
            <w:r w:rsidR="00364EC3">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lastRenderedPageBreak/>
              <w:t>рение индикаторов транспарент</w:t>
            </w:r>
            <w:r w:rsidR="00364EC3">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ности выборов</w:t>
            </w:r>
          </w:p>
        </w:tc>
      </w:tr>
      <w:tr w:rsidR="00E94B29" w:rsidRPr="001935D0" w14:paraId="1F551B07" w14:textId="77777777" w:rsidTr="00364EC3">
        <w:trPr>
          <w:jc w:val="center"/>
        </w:trPr>
        <w:tc>
          <w:tcPr>
            <w:tcW w:w="2277" w:type="dxa"/>
            <w:vAlign w:val="center"/>
          </w:tcPr>
          <w:p w14:paraId="4CD9B547"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lastRenderedPageBreak/>
              <w:t>Давление на НПО и независимые медиа</w:t>
            </w:r>
          </w:p>
        </w:tc>
        <w:tc>
          <w:tcPr>
            <w:tcW w:w="3393" w:type="dxa"/>
            <w:vAlign w:val="center"/>
          </w:tcPr>
          <w:p w14:paraId="570C4633" w14:textId="3C4434F1"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Сложные регистрационные процедуры, административное давление, ограничение досту</w:t>
            </w:r>
            <w:r w:rsidR="00364EC3">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па к зарубежным грантам, </w:t>
            </w:r>
            <w:r w:rsidRPr="001935D0">
              <w:rPr>
                <w:rFonts w:ascii="Times New Roman" w:eastAsia="Times New Roman" w:hAnsi="Times New Roman" w:cs="Times New Roman"/>
                <w:bCs/>
                <w:sz w:val="24"/>
                <w:szCs w:val="24"/>
                <w:lang w:eastAsia="ru-RU"/>
              </w:rPr>
              <w:t>региональные ограничения на проведение общественных мероприятий</w:t>
            </w:r>
          </w:p>
        </w:tc>
        <w:tc>
          <w:tcPr>
            <w:tcW w:w="3821" w:type="dxa"/>
            <w:vAlign w:val="center"/>
          </w:tcPr>
          <w:p w14:paraId="0CEDF177"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Развитие трёхстороннего формата «ЕС – государственные структуры – гражданское общество», </w:t>
            </w:r>
            <w:r w:rsidRPr="001935D0">
              <w:rPr>
                <w:rFonts w:ascii="Times New Roman" w:eastAsia="Times New Roman" w:hAnsi="Times New Roman" w:cs="Times New Roman"/>
                <w:bCs/>
                <w:sz w:val="24"/>
                <w:szCs w:val="24"/>
                <w:lang w:eastAsia="ru-RU"/>
              </w:rPr>
              <w:t xml:space="preserve">поддержка проектов ЕС по защите правозащитников и свободных СМИ </w:t>
            </w:r>
          </w:p>
        </w:tc>
      </w:tr>
      <w:tr w:rsidR="00E94B29" w:rsidRPr="001935D0" w14:paraId="504295AA" w14:textId="77777777" w:rsidTr="00364EC3">
        <w:trPr>
          <w:jc w:val="center"/>
        </w:trPr>
        <w:tc>
          <w:tcPr>
            <w:tcW w:w="2277" w:type="dxa"/>
            <w:tcBorders>
              <w:bottom w:val="nil"/>
            </w:tcBorders>
            <w:vAlign w:val="center"/>
          </w:tcPr>
          <w:p w14:paraId="1EFAA93F"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Ограниченная политическая воля к реформам</w:t>
            </w:r>
          </w:p>
        </w:tc>
        <w:tc>
          <w:tcPr>
            <w:tcW w:w="3393" w:type="dxa"/>
            <w:tcBorders>
              <w:bottom w:val="nil"/>
            </w:tcBorders>
            <w:vAlign w:val="center"/>
          </w:tcPr>
          <w:p w14:paraId="113B973A" w14:textId="41F32C5B"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Избирательное исполнение международных рекомен</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даций, приоритет «управля</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емых» реформ</w:t>
            </w:r>
          </w:p>
        </w:tc>
        <w:tc>
          <w:tcPr>
            <w:tcW w:w="3821" w:type="dxa"/>
            <w:tcBorders>
              <w:bottom w:val="nil"/>
            </w:tcBorders>
            <w:vAlign w:val="center"/>
          </w:tcPr>
          <w:p w14:paraId="36254E88" w14:textId="2491A8ED"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Увязка программ технической и финансовой помощи ЕС с </w:t>
            </w:r>
            <w:r w:rsidRPr="001935D0">
              <w:rPr>
                <w:rFonts w:ascii="Times New Roman" w:eastAsia="Times New Roman" w:hAnsi="Times New Roman" w:cs="Times New Roman"/>
                <w:bCs/>
                <w:sz w:val="24"/>
                <w:szCs w:val="24"/>
                <w:lang w:eastAsia="ru-RU"/>
              </w:rPr>
              <w:t>конк</w:t>
            </w:r>
            <w:r w:rsidR="00364EC3">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ретными индикаторами политиче</w:t>
            </w:r>
            <w:r w:rsidR="00364EC3">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ской и правовой прозрачности</w:t>
            </w:r>
            <w:r w:rsidRPr="001935D0">
              <w:rPr>
                <w:rFonts w:ascii="Times New Roman" w:eastAsia="Times New Roman" w:hAnsi="Times New Roman" w:cs="Times New Roman"/>
                <w:sz w:val="24"/>
                <w:szCs w:val="24"/>
                <w:lang w:eastAsia="ru-RU"/>
              </w:rPr>
              <w:t xml:space="preserve">, формирование регулярных </w:t>
            </w:r>
            <w:r w:rsidRPr="001935D0">
              <w:rPr>
                <w:rFonts w:ascii="Times New Roman" w:eastAsia="Times New Roman" w:hAnsi="Times New Roman" w:cs="Times New Roman"/>
                <w:bCs/>
                <w:sz w:val="24"/>
                <w:szCs w:val="24"/>
                <w:lang w:eastAsia="ru-RU"/>
              </w:rPr>
              <w:t>пане</w:t>
            </w:r>
            <w:r w:rsidR="00364EC3">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лей мониторинга ЕС–Казахстан</w:t>
            </w:r>
          </w:p>
        </w:tc>
      </w:tr>
      <w:tr w:rsidR="00364EC3" w:rsidRPr="001935D0" w14:paraId="273F1A1A" w14:textId="77777777" w:rsidTr="00364EC3">
        <w:trPr>
          <w:jc w:val="center"/>
        </w:trPr>
        <w:tc>
          <w:tcPr>
            <w:tcW w:w="9491" w:type="dxa"/>
            <w:gridSpan w:val="3"/>
            <w:tcBorders>
              <w:top w:val="nil"/>
              <w:left w:val="nil"/>
              <w:right w:val="nil"/>
            </w:tcBorders>
            <w:vAlign w:val="center"/>
          </w:tcPr>
          <w:p w14:paraId="28F971B5" w14:textId="048BEDA5" w:rsidR="00364EC3" w:rsidRPr="00CB753F" w:rsidRDefault="00CB753F" w:rsidP="00364EC3">
            <w:pPr>
              <w:ind w:hanging="125"/>
              <w:jc w:val="both"/>
              <w:rPr>
                <w:rFonts w:ascii="Times New Roman" w:eastAsia="Times New Roman" w:hAnsi="Times New Roman" w:cs="Times New Roman"/>
                <w:sz w:val="28"/>
                <w:szCs w:val="28"/>
                <w:lang w:val="kk-KZ" w:eastAsia="ru-RU"/>
              </w:rPr>
            </w:pPr>
            <w:r w:rsidRPr="00CB753F">
              <w:rPr>
                <w:rFonts w:ascii="Times New Roman" w:eastAsia="Times New Roman" w:hAnsi="Times New Roman" w:cs="Times New Roman"/>
                <w:sz w:val="28"/>
                <w:szCs w:val="28"/>
                <w:lang w:val="kk-KZ" w:eastAsia="ru-RU"/>
              </w:rPr>
              <w:t>Продолжение таблицы 3.11</w:t>
            </w:r>
          </w:p>
          <w:p w14:paraId="6075EE2D" w14:textId="43EE5F63" w:rsidR="00CB753F" w:rsidRPr="00CB753F" w:rsidRDefault="00CB753F" w:rsidP="00364EC3">
            <w:pPr>
              <w:ind w:hanging="125"/>
              <w:jc w:val="both"/>
              <w:rPr>
                <w:rFonts w:ascii="Times New Roman" w:eastAsia="Times New Roman" w:hAnsi="Times New Roman" w:cs="Times New Roman"/>
                <w:sz w:val="16"/>
                <w:szCs w:val="16"/>
                <w:lang w:val="kk-KZ" w:eastAsia="ru-RU"/>
              </w:rPr>
            </w:pPr>
          </w:p>
        </w:tc>
      </w:tr>
      <w:tr w:rsidR="00364EC3" w:rsidRPr="001935D0" w14:paraId="6E398E1D" w14:textId="77777777" w:rsidTr="00364EC3">
        <w:trPr>
          <w:jc w:val="center"/>
        </w:trPr>
        <w:tc>
          <w:tcPr>
            <w:tcW w:w="2277" w:type="dxa"/>
            <w:vAlign w:val="center"/>
          </w:tcPr>
          <w:p w14:paraId="0569F78F" w14:textId="7DE8C1B3" w:rsidR="00364EC3" w:rsidRPr="00364EC3" w:rsidRDefault="00364EC3" w:rsidP="00364EC3">
            <w:pPr>
              <w:jc w:val="center"/>
              <w:rPr>
                <w:rFonts w:ascii="Times New Roman" w:eastAsia="Times New Roman" w:hAnsi="Times New Roman" w:cs="Times New Roman"/>
                <w:bCs/>
                <w:sz w:val="24"/>
                <w:szCs w:val="24"/>
                <w:lang w:val="kk-KZ" w:eastAsia="ru-RU"/>
              </w:rPr>
            </w:pPr>
            <w:r w:rsidRPr="00364EC3">
              <w:rPr>
                <w:rFonts w:ascii="Times New Roman" w:eastAsia="Times New Roman" w:hAnsi="Times New Roman" w:cs="Times New Roman"/>
                <w:bCs/>
                <w:sz w:val="24"/>
                <w:szCs w:val="24"/>
                <w:lang w:val="kk-KZ" w:eastAsia="ru-RU"/>
              </w:rPr>
              <w:t>1</w:t>
            </w:r>
          </w:p>
        </w:tc>
        <w:tc>
          <w:tcPr>
            <w:tcW w:w="3393" w:type="dxa"/>
            <w:vAlign w:val="center"/>
          </w:tcPr>
          <w:p w14:paraId="4D4AE591" w14:textId="655BF480" w:rsidR="00364EC3" w:rsidRPr="00364EC3" w:rsidRDefault="00364EC3" w:rsidP="00364EC3">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3821" w:type="dxa"/>
            <w:vAlign w:val="center"/>
          </w:tcPr>
          <w:p w14:paraId="4D55C37E" w14:textId="13BFB1BD" w:rsidR="00364EC3" w:rsidRPr="00364EC3" w:rsidRDefault="00364EC3" w:rsidP="00364EC3">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r>
      <w:tr w:rsidR="00E94B29" w:rsidRPr="001935D0" w14:paraId="258EDEE8" w14:textId="77777777" w:rsidTr="00364EC3">
        <w:trPr>
          <w:jc w:val="center"/>
        </w:trPr>
        <w:tc>
          <w:tcPr>
            <w:tcW w:w="2277" w:type="dxa"/>
            <w:vAlign w:val="center"/>
          </w:tcPr>
          <w:p w14:paraId="257487EE"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Недостаточный медиаплюрализм и ограниченная свобода слова</w:t>
            </w:r>
          </w:p>
        </w:tc>
        <w:tc>
          <w:tcPr>
            <w:tcW w:w="3393" w:type="dxa"/>
            <w:vAlign w:val="center"/>
          </w:tcPr>
          <w:p w14:paraId="028F81E4" w14:textId="310DEA78"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Низкий уровень независимых медиа, ограниченный доступ к информации, </w:t>
            </w:r>
            <w:r w:rsidRPr="001935D0">
              <w:rPr>
                <w:rFonts w:ascii="Times New Roman" w:eastAsia="Times New Roman" w:hAnsi="Times New Roman" w:cs="Times New Roman"/>
                <w:bCs/>
                <w:sz w:val="24"/>
                <w:szCs w:val="24"/>
                <w:lang w:eastAsia="ru-RU"/>
              </w:rPr>
              <w:t>случаи блоки</w:t>
            </w:r>
            <w:r w:rsidR="00364EC3">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ровки интернет-ресур</w:t>
            </w:r>
            <w:r w:rsidR="00364EC3">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сов и давления на журналистов</w:t>
            </w:r>
          </w:p>
        </w:tc>
        <w:tc>
          <w:tcPr>
            <w:tcW w:w="3821" w:type="dxa"/>
            <w:vAlign w:val="center"/>
          </w:tcPr>
          <w:p w14:paraId="5676C5CB" w14:textId="3D01A762"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Поддержка совместных проектов с ОБСЕ и Советом Европы по </w:t>
            </w:r>
            <w:r w:rsidRPr="001935D0">
              <w:rPr>
                <w:rFonts w:ascii="Times New Roman" w:eastAsia="Times New Roman" w:hAnsi="Times New Roman" w:cs="Times New Roman"/>
                <w:bCs/>
                <w:sz w:val="24"/>
                <w:szCs w:val="24"/>
                <w:lang w:eastAsia="ru-RU"/>
              </w:rPr>
              <w:t>за</w:t>
            </w:r>
            <w:r w:rsidR="00364EC3">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щите свободы выражения мнений и развитию медиаграмотности</w:t>
            </w:r>
            <w:r w:rsidRPr="001935D0">
              <w:rPr>
                <w:rFonts w:ascii="Times New Roman" w:eastAsia="Times New Roman" w:hAnsi="Times New Roman" w:cs="Times New Roman"/>
                <w:sz w:val="24"/>
                <w:szCs w:val="24"/>
                <w:lang w:eastAsia="ru-RU"/>
              </w:rPr>
              <w:t xml:space="preserve">, адаптация стандартов </w:t>
            </w:r>
            <w:r w:rsidRPr="001935D0">
              <w:rPr>
                <w:rFonts w:ascii="Times New Roman" w:eastAsia="Times New Roman" w:hAnsi="Times New Roman" w:cs="Times New Roman"/>
                <w:bCs/>
                <w:sz w:val="24"/>
                <w:szCs w:val="24"/>
                <w:lang w:eastAsia="ru-RU"/>
              </w:rPr>
              <w:t>Европей</w:t>
            </w:r>
            <w:r w:rsidR="00364EC3">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ской хартии свободы прессы</w:t>
            </w:r>
          </w:p>
        </w:tc>
      </w:tr>
      <w:tr w:rsidR="00E94B29" w:rsidRPr="001935D0" w14:paraId="444C493D" w14:textId="77777777" w:rsidTr="00364EC3">
        <w:trPr>
          <w:jc w:val="center"/>
        </w:trPr>
        <w:tc>
          <w:tcPr>
            <w:tcW w:w="2277" w:type="dxa"/>
            <w:vAlign w:val="center"/>
          </w:tcPr>
          <w:p w14:paraId="750A32CF"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Ограниченное участие гражданского общества в законотворчестве</w:t>
            </w:r>
          </w:p>
        </w:tc>
        <w:tc>
          <w:tcPr>
            <w:tcW w:w="3393" w:type="dxa"/>
            <w:vAlign w:val="center"/>
          </w:tcPr>
          <w:p w14:paraId="234C28CF" w14:textId="74941B71"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Отсутствие устойчивых меха</w:t>
            </w:r>
            <w:r w:rsidR="00364EC3">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низмов общественного конт</w:t>
            </w:r>
            <w:r w:rsidR="00364EC3">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роля и консультаций, </w:t>
            </w:r>
            <w:r w:rsidRPr="001935D0">
              <w:rPr>
                <w:rFonts w:ascii="Times New Roman" w:eastAsia="Times New Roman" w:hAnsi="Times New Roman" w:cs="Times New Roman"/>
                <w:bCs/>
                <w:sz w:val="24"/>
                <w:szCs w:val="24"/>
                <w:lang w:eastAsia="ru-RU"/>
              </w:rPr>
              <w:t>низкий уровень институционализации общественных советов</w:t>
            </w:r>
          </w:p>
        </w:tc>
        <w:tc>
          <w:tcPr>
            <w:tcW w:w="3821" w:type="dxa"/>
            <w:vAlign w:val="center"/>
          </w:tcPr>
          <w:p w14:paraId="3BC65F8C" w14:textId="3BCD918F"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Создание постоянных обществен</w:t>
            </w:r>
            <w:r w:rsidR="00364EC3">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ных платформ при министерствах с участием ЕС и представителей НПО, </w:t>
            </w:r>
            <w:r w:rsidRPr="001935D0">
              <w:rPr>
                <w:rFonts w:ascii="Times New Roman" w:eastAsia="Times New Roman" w:hAnsi="Times New Roman" w:cs="Times New Roman"/>
                <w:bCs/>
                <w:sz w:val="24"/>
                <w:szCs w:val="24"/>
                <w:lang w:eastAsia="ru-RU"/>
              </w:rPr>
              <w:t>интеграция практики обще</w:t>
            </w:r>
            <w:r w:rsidR="00364EC3">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ственных слушаний в парламент</w:t>
            </w:r>
            <w:r w:rsidR="00364EC3">
              <w:rPr>
                <w:rFonts w:ascii="Times New Roman" w:eastAsia="Times New Roman" w:hAnsi="Times New Roman" w:cs="Times New Roman"/>
                <w:bCs/>
                <w:sz w:val="24"/>
                <w:szCs w:val="24"/>
                <w:lang w:val="kk-KZ" w:eastAsia="ru-RU"/>
              </w:rPr>
              <w:t xml:space="preserve"> </w:t>
            </w:r>
            <w:r w:rsidRPr="001935D0">
              <w:rPr>
                <w:rFonts w:ascii="Times New Roman" w:eastAsia="Times New Roman" w:hAnsi="Times New Roman" w:cs="Times New Roman"/>
                <w:bCs/>
                <w:sz w:val="24"/>
                <w:szCs w:val="24"/>
                <w:lang w:eastAsia="ru-RU"/>
              </w:rPr>
              <w:t>скую процедуру</w:t>
            </w:r>
            <w:r w:rsidRPr="001935D0">
              <w:rPr>
                <w:rFonts w:ascii="Times New Roman" w:eastAsia="Times New Roman" w:hAnsi="Times New Roman" w:cs="Times New Roman"/>
                <w:sz w:val="24"/>
                <w:szCs w:val="24"/>
                <w:lang w:eastAsia="ru-RU"/>
              </w:rPr>
              <w:t>, развитие меха</w:t>
            </w:r>
            <w:r w:rsidR="00364EC3">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низмов </w:t>
            </w:r>
            <w:r w:rsidRPr="001935D0">
              <w:rPr>
                <w:rFonts w:ascii="Times New Roman" w:eastAsia="Times New Roman" w:hAnsi="Times New Roman" w:cs="Times New Roman"/>
                <w:bCs/>
                <w:sz w:val="24"/>
                <w:szCs w:val="24"/>
                <w:lang w:eastAsia="ru-RU"/>
              </w:rPr>
              <w:t>электронных консультаций</w:t>
            </w:r>
          </w:p>
        </w:tc>
      </w:tr>
      <w:tr w:rsidR="00364EC3" w:rsidRPr="001935D0" w14:paraId="50684D70" w14:textId="77777777" w:rsidTr="00187279">
        <w:trPr>
          <w:jc w:val="center"/>
        </w:trPr>
        <w:tc>
          <w:tcPr>
            <w:tcW w:w="9491" w:type="dxa"/>
            <w:gridSpan w:val="3"/>
            <w:vAlign w:val="center"/>
          </w:tcPr>
          <w:p w14:paraId="00A4E16A" w14:textId="38B62865" w:rsidR="00364EC3" w:rsidRPr="001935D0" w:rsidRDefault="00364EC3" w:rsidP="00364EC3">
            <w:pPr>
              <w:ind w:firstLine="528"/>
              <w:jc w:val="both"/>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Составлено автором</w:t>
            </w:r>
          </w:p>
        </w:tc>
      </w:tr>
    </w:tbl>
    <w:p w14:paraId="4E20A7E1" w14:textId="77777777" w:rsidR="00CB753F" w:rsidRDefault="00CB753F" w:rsidP="00364EC3">
      <w:pPr>
        <w:pStyle w:val="NoSpacing"/>
        <w:ind w:firstLine="709"/>
        <w:jc w:val="both"/>
        <w:rPr>
          <w:rFonts w:ascii="Times New Roman" w:hAnsi="Times New Roman" w:cs="Times New Roman"/>
          <w:sz w:val="28"/>
          <w:szCs w:val="28"/>
          <w:lang w:val="kk-KZ"/>
        </w:rPr>
      </w:pPr>
    </w:p>
    <w:p w14:paraId="002F52F7" w14:textId="7777777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Политические барьеры в Казахстане имеют системный характер и затрагивают как сферу политической конкуренции, так и механизмы взаимодействия государства с обществом. </w:t>
      </w:r>
      <w:r w:rsidRPr="001935D0">
        <w:rPr>
          <w:rStyle w:val="Strong"/>
          <w:rFonts w:ascii="Times New Roman" w:hAnsi="Times New Roman" w:cs="Times New Roman"/>
          <w:b w:val="0"/>
          <w:bCs w:val="0"/>
          <w:sz w:val="28"/>
          <w:szCs w:val="28"/>
        </w:rPr>
        <w:t>Концентрация политической власти при сохранении формальной многопартийной архитектуры</w:t>
      </w:r>
      <w:r w:rsidRPr="001935D0">
        <w:rPr>
          <w:rFonts w:ascii="Times New Roman" w:hAnsi="Times New Roman" w:cs="Times New Roman"/>
          <w:sz w:val="28"/>
          <w:szCs w:val="28"/>
        </w:rPr>
        <w:t xml:space="preserve"> создаёт эффект «ограниченной трансформации», при котором демократические и правозащитные реформы реализуются преимущественно в нормативном, а не институциональном измерении.</w:t>
      </w:r>
    </w:p>
    <w:p w14:paraId="328E8E9F" w14:textId="2B677AAD"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Тем не менее участие Казахстана в институциональных механизмах Совета Европы – </w:t>
      </w:r>
      <w:r w:rsidRPr="001935D0">
        <w:rPr>
          <w:rStyle w:val="Strong"/>
          <w:rFonts w:ascii="Times New Roman" w:hAnsi="Times New Roman" w:cs="Times New Roman"/>
          <w:b w:val="0"/>
          <w:bCs w:val="0"/>
          <w:sz w:val="28"/>
          <w:szCs w:val="28"/>
        </w:rPr>
        <w:t>Венецианской комиссии, GRECO, CEPEJ</w:t>
      </w:r>
      <w:r w:rsidRPr="001935D0">
        <w:rPr>
          <w:rFonts w:ascii="Times New Roman" w:hAnsi="Times New Roman" w:cs="Times New Roman"/>
          <w:sz w:val="28"/>
          <w:szCs w:val="28"/>
        </w:rPr>
        <w:t xml:space="preserve">, – а также в </w:t>
      </w:r>
      <w:r w:rsidRPr="001935D0">
        <w:rPr>
          <w:rStyle w:val="Strong"/>
          <w:rFonts w:ascii="Times New Roman" w:hAnsi="Times New Roman" w:cs="Times New Roman"/>
          <w:b w:val="0"/>
          <w:bCs w:val="0"/>
          <w:sz w:val="28"/>
          <w:szCs w:val="28"/>
        </w:rPr>
        <w:t>Политическом диалоге ЕС–Центральная Азия</w:t>
      </w:r>
      <w:r w:rsidRPr="001935D0">
        <w:rPr>
          <w:rFonts w:ascii="Times New Roman" w:hAnsi="Times New Roman" w:cs="Times New Roman"/>
          <w:sz w:val="28"/>
          <w:szCs w:val="28"/>
        </w:rPr>
        <w:t xml:space="preserve"> формирует предпосылки для поступательной демократизации. Эти структуры обеспечивают экспертную и техническую поддержку, способствуют формированию </w:t>
      </w:r>
      <w:r w:rsidRPr="001935D0">
        <w:rPr>
          <w:rStyle w:val="Strong"/>
          <w:rFonts w:ascii="Times New Roman" w:hAnsi="Times New Roman" w:cs="Times New Roman"/>
          <w:b w:val="0"/>
          <w:bCs w:val="0"/>
          <w:sz w:val="28"/>
          <w:szCs w:val="28"/>
        </w:rPr>
        <w:t>культуры подотчётности, открытости и правового диалога</w:t>
      </w:r>
      <w:r w:rsidRPr="001935D0">
        <w:rPr>
          <w:rFonts w:ascii="Times New Roman" w:hAnsi="Times New Roman" w:cs="Times New Roman"/>
          <w:sz w:val="28"/>
          <w:szCs w:val="28"/>
        </w:rPr>
        <w:t xml:space="preserve">. Важным направлением дальнейшего развития выступает </w:t>
      </w:r>
      <w:r w:rsidRPr="001935D0">
        <w:rPr>
          <w:rStyle w:val="Strong"/>
          <w:rFonts w:ascii="Times New Roman" w:hAnsi="Times New Roman" w:cs="Times New Roman"/>
          <w:b w:val="0"/>
          <w:bCs w:val="0"/>
          <w:sz w:val="28"/>
          <w:szCs w:val="28"/>
        </w:rPr>
        <w:t xml:space="preserve">институционализация трёхстороннего формата взаимодействия «Европейский </w:t>
      </w:r>
      <w:r w:rsidR="007C324F" w:rsidRPr="001935D0">
        <w:rPr>
          <w:rStyle w:val="Strong"/>
          <w:rFonts w:ascii="Times New Roman" w:hAnsi="Times New Roman" w:cs="Times New Roman"/>
          <w:b w:val="0"/>
          <w:bCs w:val="0"/>
          <w:sz w:val="28"/>
          <w:szCs w:val="28"/>
          <w:lang w:val="uk-UA"/>
        </w:rPr>
        <w:t>С</w:t>
      </w:r>
      <w:r w:rsidRPr="001935D0">
        <w:rPr>
          <w:rStyle w:val="Strong"/>
          <w:rFonts w:ascii="Times New Roman" w:hAnsi="Times New Roman" w:cs="Times New Roman"/>
          <w:b w:val="0"/>
          <w:bCs w:val="0"/>
          <w:sz w:val="28"/>
          <w:szCs w:val="28"/>
        </w:rPr>
        <w:t>оюз – государственные структуры – гражданское общество»</w:t>
      </w:r>
      <w:r w:rsidRPr="001935D0">
        <w:rPr>
          <w:rFonts w:ascii="Times New Roman" w:hAnsi="Times New Roman" w:cs="Times New Roman"/>
          <w:sz w:val="28"/>
          <w:szCs w:val="28"/>
        </w:rPr>
        <w:t xml:space="preserve">, что позволяет согласовывать приоритеты реформ и привязывать их к конкретным </w:t>
      </w:r>
      <w:r w:rsidRPr="001935D0">
        <w:rPr>
          <w:rFonts w:ascii="Times New Roman" w:hAnsi="Times New Roman" w:cs="Times New Roman"/>
          <w:sz w:val="28"/>
          <w:szCs w:val="28"/>
        </w:rPr>
        <w:lastRenderedPageBreak/>
        <w:t xml:space="preserve">правозащитным индикаторам. Включение таких параметров, как </w:t>
      </w:r>
      <w:r w:rsidRPr="001935D0">
        <w:rPr>
          <w:rStyle w:val="Strong"/>
          <w:rFonts w:ascii="Times New Roman" w:hAnsi="Times New Roman" w:cs="Times New Roman"/>
          <w:b w:val="0"/>
          <w:bCs w:val="0"/>
          <w:sz w:val="28"/>
          <w:szCs w:val="28"/>
        </w:rPr>
        <w:t>свобода СМИ, участие НПО и прозрачность избирательных процедур</w:t>
      </w:r>
      <w:r w:rsidRPr="001935D0">
        <w:rPr>
          <w:rFonts w:ascii="Times New Roman" w:hAnsi="Times New Roman" w:cs="Times New Roman"/>
          <w:sz w:val="28"/>
          <w:szCs w:val="28"/>
        </w:rPr>
        <w:t>, в систему мониторинга программ технической и финансовой помощи ЕС создаёт предпосылки для системного укрепления демократических институтов и постепенной политической либерализации.</w:t>
      </w:r>
    </w:p>
    <w:p w14:paraId="220228C8" w14:textId="7777777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Политические барьеры на пути имплементации европейских стандартов в сфере прав человека и верховенства права в Казахстане остаются тесно связанными с особенностями </w:t>
      </w:r>
      <w:r w:rsidRPr="001935D0">
        <w:rPr>
          <w:rStyle w:val="Strong"/>
          <w:rFonts w:ascii="Times New Roman" w:hAnsi="Times New Roman" w:cs="Times New Roman"/>
          <w:b w:val="0"/>
          <w:bCs w:val="0"/>
          <w:sz w:val="28"/>
          <w:szCs w:val="28"/>
        </w:rPr>
        <w:t>административной культуры и политической централизации</w:t>
      </w:r>
      <w:r w:rsidRPr="001935D0">
        <w:rPr>
          <w:rFonts w:ascii="Times New Roman" w:hAnsi="Times New Roman" w:cs="Times New Roman"/>
          <w:sz w:val="28"/>
          <w:szCs w:val="28"/>
        </w:rPr>
        <w:t xml:space="preserve">. Несмотря на последовательные шаги по обновлению конституционной и институциональной архитектуры государства – включая </w:t>
      </w:r>
      <w:r w:rsidRPr="001935D0">
        <w:rPr>
          <w:rStyle w:val="Strong"/>
          <w:rFonts w:ascii="Times New Roman" w:hAnsi="Times New Roman" w:cs="Times New Roman"/>
          <w:b w:val="0"/>
          <w:bCs w:val="0"/>
          <w:sz w:val="28"/>
          <w:szCs w:val="28"/>
        </w:rPr>
        <w:t>Политическую реформу 2022 года, создание Конституционного суда, укрепление статуса Омбудсмена и запуск Национального курултая как консультативно-совещательного органа</w:t>
      </w:r>
      <w:r w:rsidRPr="001935D0">
        <w:rPr>
          <w:rFonts w:ascii="Times New Roman" w:hAnsi="Times New Roman" w:cs="Times New Roman"/>
          <w:sz w:val="28"/>
          <w:szCs w:val="28"/>
        </w:rPr>
        <w:t xml:space="preserve">, – сохраняется феномен </w:t>
      </w:r>
      <w:r w:rsidRPr="001935D0">
        <w:rPr>
          <w:rStyle w:val="Strong"/>
          <w:rFonts w:ascii="Times New Roman" w:hAnsi="Times New Roman" w:cs="Times New Roman"/>
          <w:b w:val="0"/>
          <w:bCs w:val="0"/>
          <w:sz w:val="28"/>
          <w:szCs w:val="28"/>
        </w:rPr>
        <w:t>авторитарной устойчивости</w:t>
      </w:r>
      <w:r w:rsidRPr="001935D0">
        <w:rPr>
          <w:rFonts w:ascii="Times New Roman" w:hAnsi="Times New Roman" w:cs="Times New Roman"/>
          <w:sz w:val="28"/>
          <w:szCs w:val="28"/>
        </w:rPr>
        <w:t>. Он проявляется в ограниченной политической конкуренции, концентрации власти в исполнительной ветви и слабом уровне парламентского контроля.</w:t>
      </w:r>
    </w:p>
    <w:p w14:paraId="47E3394D" w14:textId="7777777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Реформы, инициированные Президентом Республики Казахстан под лозунгом </w:t>
      </w:r>
      <w:r w:rsidRPr="001935D0">
        <w:rPr>
          <w:rStyle w:val="Strong"/>
          <w:rFonts w:ascii="Times New Roman" w:hAnsi="Times New Roman" w:cs="Times New Roman"/>
          <w:b w:val="0"/>
          <w:bCs w:val="0"/>
          <w:sz w:val="28"/>
          <w:szCs w:val="28"/>
        </w:rPr>
        <w:t>«Справедливого Казахстана»</w:t>
      </w:r>
      <w:r w:rsidRPr="001935D0">
        <w:rPr>
          <w:rFonts w:ascii="Times New Roman" w:hAnsi="Times New Roman" w:cs="Times New Roman"/>
          <w:sz w:val="28"/>
          <w:szCs w:val="28"/>
        </w:rPr>
        <w:t xml:space="preserve">, демонстрируют намерение к постепенной демократизации, однако реализация остаётся управляемой «сверху вниз», что ограничивает общественное участие и снижает прозрачность принятия решений. По оценкам Совета Европы и Организация по безопасности и сотрудничеству в Европе, несмотря на наличие стратегических документов и позитивную динамику в сфере верховенства права, </w:t>
      </w:r>
      <w:r w:rsidRPr="001935D0">
        <w:rPr>
          <w:rStyle w:val="Strong"/>
          <w:rFonts w:ascii="Times New Roman" w:hAnsi="Times New Roman" w:cs="Times New Roman"/>
          <w:b w:val="0"/>
          <w:bCs w:val="0"/>
          <w:sz w:val="28"/>
          <w:szCs w:val="28"/>
        </w:rPr>
        <w:t>фактическая степень политической вовлечённости и независимости институтов остаётся ограниченной</w:t>
      </w:r>
      <w:r w:rsidRPr="001935D0">
        <w:rPr>
          <w:rFonts w:ascii="Times New Roman" w:hAnsi="Times New Roman" w:cs="Times New Roman"/>
          <w:sz w:val="28"/>
          <w:szCs w:val="28"/>
        </w:rPr>
        <w:t>.</w:t>
      </w:r>
    </w:p>
    <w:p w14:paraId="731A2519" w14:textId="6B5C16D4"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заключениях </w:t>
      </w:r>
      <w:r w:rsidRPr="001935D0">
        <w:rPr>
          <w:rStyle w:val="Strong"/>
          <w:rFonts w:ascii="Times New Roman" w:hAnsi="Times New Roman" w:cs="Times New Roman"/>
          <w:b w:val="0"/>
          <w:bCs w:val="0"/>
          <w:sz w:val="28"/>
          <w:szCs w:val="28"/>
        </w:rPr>
        <w:t>Венецианской комиссии</w:t>
      </w:r>
      <w:r w:rsidRPr="001935D0">
        <w:rPr>
          <w:rFonts w:ascii="Times New Roman" w:hAnsi="Times New Roman" w:cs="Times New Roman"/>
          <w:sz w:val="28"/>
          <w:szCs w:val="28"/>
        </w:rPr>
        <w:t xml:space="preserve"> [</w:t>
      </w:r>
      <w:r w:rsidR="00B04004">
        <w:rPr>
          <w:rFonts w:ascii="Times New Roman" w:hAnsi="Times New Roman" w:cs="Times New Roman"/>
          <w:sz w:val="28"/>
          <w:szCs w:val="28"/>
          <w:lang w:val="kk-KZ"/>
        </w:rPr>
        <w:t>195; 197</w:t>
      </w:r>
      <w:r w:rsidRPr="001935D0">
        <w:rPr>
          <w:rFonts w:ascii="Times New Roman" w:hAnsi="Times New Roman" w:cs="Times New Roman"/>
          <w:sz w:val="28"/>
          <w:szCs w:val="28"/>
        </w:rPr>
        <w:t xml:space="preserve">] и отчётах </w:t>
      </w:r>
      <w:r w:rsidRPr="001935D0">
        <w:rPr>
          <w:rStyle w:val="Strong"/>
          <w:rFonts w:ascii="Times New Roman" w:hAnsi="Times New Roman" w:cs="Times New Roman"/>
          <w:b w:val="0"/>
          <w:bCs w:val="0"/>
          <w:sz w:val="28"/>
          <w:szCs w:val="28"/>
        </w:rPr>
        <w:t>GRECO</w:t>
      </w:r>
      <w:r w:rsidRPr="001935D0">
        <w:rPr>
          <w:rFonts w:ascii="Times New Roman" w:hAnsi="Times New Roman" w:cs="Times New Roman"/>
          <w:sz w:val="28"/>
          <w:szCs w:val="28"/>
        </w:rPr>
        <w:t xml:space="preserve"> [</w:t>
      </w:r>
      <w:r w:rsidR="00B04004">
        <w:rPr>
          <w:rFonts w:ascii="Times New Roman" w:hAnsi="Times New Roman" w:cs="Times New Roman"/>
          <w:sz w:val="28"/>
          <w:szCs w:val="28"/>
          <w:lang w:val="kk-KZ"/>
        </w:rPr>
        <w:t>198</w:t>
      </w:r>
      <w:r w:rsidRPr="001935D0">
        <w:rPr>
          <w:rFonts w:ascii="Times New Roman" w:hAnsi="Times New Roman" w:cs="Times New Roman"/>
          <w:sz w:val="28"/>
          <w:szCs w:val="28"/>
        </w:rPr>
        <w:t xml:space="preserve">] подчёркивается, что реформы в Казахстане проводятся выборочно, без системного сопровождения экспертными рекомендациями, а механизмы их реализации носят фрагментарный характер. Это свидетельствует о </w:t>
      </w:r>
      <w:r w:rsidRPr="001935D0">
        <w:rPr>
          <w:rStyle w:val="Strong"/>
          <w:rFonts w:ascii="Times New Roman" w:hAnsi="Times New Roman" w:cs="Times New Roman"/>
          <w:b w:val="0"/>
          <w:bCs w:val="0"/>
          <w:sz w:val="28"/>
          <w:szCs w:val="28"/>
        </w:rPr>
        <w:t>недостаточной политической воле к комплексной имплементации международных стандартов</w:t>
      </w:r>
      <w:r w:rsidRPr="001935D0">
        <w:rPr>
          <w:rFonts w:ascii="Times New Roman" w:hAnsi="Times New Roman" w:cs="Times New Roman"/>
          <w:sz w:val="28"/>
          <w:szCs w:val="28"/>
        </w:rPr>
        <w:t xml:space="preserve">, что препятствует устойчивому развитию правовых институтов. Одним из наиболее значимых ограничений остаётся </w:t>
      </w:r>
      <w:r w:rsidRPr="001935D0">
        <w:rPr>
          <w:rStyle w:val="Strong"/>
          <w:rFonts w:ascii="Times New Roman" w:hAnsi="Times New Roman" w:cs="Times New Roman"/>
          <w:b w:val="0"/>
          <w:bCs w:val="0"/>
          <w:sz w:val="28"/>
          <w:szCs w:val="28"/>
        </w:rPr>
        <w:t>суженное пространство для деятельности неправительственных организаций и независимых средств массовой информации</w:t>
      </w:r>
      <w:r w:rsidRPr="001935D0">
        <w:rPr>
          <w:rFonts w:ascii="Times New Roman" w:hAnsi="Times New Roman" w:cs="Times New Roman"/>
          <w:sz w:val="28"/>
          <w:szCs w:val="28"/>
        </w:rPr>
        <w:t xml:space="preserve">. Несмотря на обновлённую правовую базу, сохраняются </w:t>
      </w:r>
      <w:r w:rsidRPr="001935D0">
        <w:rPr>
          <w:rStyle w:val="Strong"/>
          <w:rFonts w:ascii="Times New Roman" w:hAnsi="Times New Roman" w:cs="Times New Roman"/>
          <w:b w:val="0"/>
          <w:bCs w:val="0"/>
          <w:sz w:val="28"/>
          <w:szCs w:val="28"/>
        </w:rPr>
        <w:t>административные барьеры при регистрации общественных объединений и механизмы контроля за их финансированием</w:t>
      </w:r>
      <w:r w:rsidRPr="001935D0">
        <w:rPr>
          <w:rFonts w:ascii="Times New Roman" w:hAnsi="Times New Roman" w:cs="Times New Roman"/>
          <w:sz w:val="28"/>
          <w:szCs w:val="28"/>
        </w:rPr>
        <w:t>, что ограничивает свободу ассоциаций.</w:t>
      </w:r>
    </w:p>
    <w:p w14:paraId="4D0E2006" w14:textId="1E3389CA"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Несмотря на наличие комплексных стратегий – </w:t>
      </w:r>
      <w:r w:rsidRPr="001935D0">
        <w:rPr>
          <w:rStyle w:val="Strong"/>
          <w:rFonts w:ascii="Times New Roman" w:hAnsi="Times New Roman" w:cs="Times New Roman"/>
          <w:b w:val="0"/>
          <w:bCs w:val="0"/>
          <w:sz w:val="28"/>
          <w:szCs w:val="28"/>
        </w:rPr>
        <w:t>Национального плана по правам человека (2022)</w:t>
      </w:r>
      <w:r w:rsidRPr="001935D0">
        <w:rPr>
          <w:rFonts w:ascii="Times New Roman" w:hAnsi="Times New Roman" w:cs="Times New Roman"/>
          <w:sz w:val="28"/>
          <w:szCs w:val="28"/>
        </w:rPr>
        <w:t xml:space="preserve">, </w:t>
      </w:r>
      <w:r w:rsidRPr="001935D0">
        <w:rPr>
          <w:rStyle w:val="Strong"/>
          <w:rFonts w:ascii="Times New Roman" w:hAnsi="Times New Roman" w:cs="Times New Roman"/>
          <w:b w:val="0"/>
          <w:bCs w:val="0"/>
          <w:sz w:val="28"/>
          <w:szCs w:val="28"/>
        </w:rPr>
        <w:t>Концепции антикоррупционной политики (2022–2026)</w:t>
      </w:r>
      <w:r w:rsidRPr="001935D0">
        <w:rPr>
          <w:rFonts w:ascii="Times New Roman" w:hAnsi="Times New Roman" w:cs="Times New Roman"/>
          <w:sz w:val="28"/>
          <w:szCs w:val="28"/>
        </w:rPr>
        <w:t xml:space="preserve"> и программных инициатив курса </w:t>
      </w:r>
      <w:r w:rsidRPr="001935D0">
        <w:rPr>
          <w:rStyle w:val="Strong"/>
          <w:rFonts w:ascii="Times New Roman" w:hAnsi="Times New Roman" w:cs="Times New Roman"/>
          <w:b w:val="0"/>
          <w:bCs w:val="0"/>
          <w:sz w:val="28"/>
          <w:szCs w:val="28"/>
        </w:rPr>
        <w:t>«Справедливый Казахстан»</w:t>
      </w:r>
      <w:r w:rsidRPr="001935D0">
        <w:rPr>
          <w:rFonts w:ascii="Times New Roman" w:hAnsi="Times New Roman" w:cs="Times New Roman"/>
          <w:sz w:val="28"/>
          <w:szCs w:val="28"/>
        </w:rPr>
        <w:t>, практическая реализация большинства положений остаётся частичной [21</w:t>
      </w:r>
      <w:r w:rsidR="00B04004">
        <w:rPr>
          <w:rFonts w:ascii="Times New Roman" w:hAnsi="Times New Roman" w:cs="Times New Roman"/>
          <w:sz w:val="28"/>
          <w:szCs w:val="28"/>
          <w:lang w:val="kk-KZ"/>
        </w:rPr>
        <w:t>0</w:t>
      </w:r>
      <w:r w:rsidRPr="001935D0">
        <w:rPr>
          <w:rFonts w:ascii="Times New Roman" w:hAnsi="Times New Roman" w:cs="Times New Roman"/>
          <w:sz w:val="28"/>
          <w:szCs w:val="28"/>
        </w:rPr>
        <w:t xml:space="preserve">]. По оценке </w:t>
      </w:r>
      <w:r w:rsidRPr="001935D0">
        <w:rPr>
          <w:rStyle w:val="Strong"/>
          <w:rFonts w:ascii="Times New Roman" w:hAnsi="Times New Roman" w:cs="Times New Roman"/>
          <w:b w:val="0"/>
          <w:bCs w:val="0"/>
          <w:sz w:val="28"/>
          <w:szCs w:val="28"/>
        </w:rPr>
        <w:t>Совета Европы (2024)</w:t>
      </w:r>
      <w:r w:rsidRPr="001935D0">
        <w:rPr>
          <w:rFonts w:ascii="Times New Roman" w:hAnsi="Times New Roman" w:cs="Times New Roman"/>
          <w:sz w:val="28"/>
          <w:szCs w:val="28"/>
        </w:rPr>
        <w:t xml:space="preserve"> [21</w:t>
      </w:r>
      <w:r w:rsidR="00B04004">
        <w:rPr>
          <w:rFonts w:ascii="Times New Roman" w:hAnsi="Times New Roman" w:cs="Times New Roman"/>
          <w:sz w:val="28"/>
          <w:szCs w:val="28"/>
          <w:lang w:val="kk-KZ"/>
        </w:rPr>
        <w:t>1</w:t>
      </w:r>
      <w:r w:rsidRPr="001935D0">
        <w:rPr>
          <w:rFonts w:ascii="Times New Roman" w:hAnsi="Times New Roman" w:cs="Times New Roman"/>
          <w:sz w:val="28"/>
          <w:szCs w:val="28"/>
        </w:rPr>
        <w:t>], в стране наблюдается тенденция к нормативной декларативности, при которой реформы закрепляются на уровне политических заявлений, но не обеспечены достаточными ресурсами, институциональной независимостью и общественным контролем.</w:t>
      </w:r>
    </w:p>
    <w:p w14:paraId="31EF6E68" w14:textId="71C3BA41"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 xml:space="preserve">В ответ на эти вызовы 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 и Совет Европы продвигают подход, основанный на </w:t>
      </w:r>
      <w:r w:rsidRPr="001935D0">
        <w:rPr>
          <w:rStyle w:val="Strong"/>
          <w:rFonts w:ascii="Times New Roman" w:hAnsi="Times New Roman" w:cs="Times New Roman"/>
          <w:b w:val="0"/>
          <w:bCs w:val="0"/>
          <w:sz w:val="28"/>
          <w:szCs w:val="28"/>
        </w:rPr>
        <w:t>индикаторной привязке международной помощи к конкретным результатам в сфере прав человека и верховенства права</w:t>
      </w:r>
      <w:r w:rsidRPr="001935D0">
        <w:rPr>
          <w:rFonts w:ascii="Times New Roman" w:hAnsi="Times New Roman" w:cs="Times New Roman"/>
          <w:sz w:val="28"/>
          <w:szCs w:val="28"/>
        </w:rPr>
        <w:t xml:space="preserve">. Подобная модель, применяемая в рамках программ </w:t>
      </w:r>
      <w:r w:rsidRPr="001935D0">
        <w:rPr>
          <w:rStyle w:val="Strong"/>
          <w:rFonts w:ascii="Times New Roman" w:hAnsi="Times New Roman" w:cs="Times New Roman"/>
          <w:b w:val="0"/>
          <w:bCs w:val="0"/>
          <w:sz w:val="28"/>
          <w:szCs w:val="28"/>
        </w:rPr>
        <w:t>NDICI – Global Europe</w:t>
      </w:r>
      <w:r w:rsidRPr="001935D0">
        <w:rPr>
          <w:rFonts w:ascii="Times New Roman" w:hAnsi="Times New Roman" w:cs="Times New Roman"/>
          <w:sz w:val="28"/>
          <w:szCs w:val="28"/>
        </w:rPr>
        <w:t xml:space="preserve"> и </w:t>
      </w:r>
      <w:r w:rsidRPr="001935D0">
        <w:rPr>
          <w:rStyle w:val="Strong"/>
          <w:rFonts w:ascii="Times New Roman" w:hAnsi="Times New Roman" w:cs="Times New Roman"/>
          <w:b w:val="0"/>
          <w:bCs w:val="0"/>
          <w:sz w:val="28"/>
          <w:szCs w:val="28"/>
        </w:rPr>
        <w:t>EU Action Plan on Human Rights and Democracy (2020–2027)</w:t>
      </w:r>
      <w:r w:rsidRPr="001935D0">
        <w:rPr>
          <w:rFonts w:ascii="Times New Roman" w:hAnsi="Times New Roman" w:cs="Times New Roman"/>
          <w:sz w:val="28"/>
          <w:szCs w:val="28"/>
        </w:rPr>
        <w:t xml:space="preserve">, может стать действенным инструментом повышения </w:t>
      </w:r>
      <w:r w:rsidRPr="001935D0">
        <w:rPr>
          <w:rStyle w:val="Strong"/>
          <w:rFonts w:ascii="Times New Roman" w:hAnsi="Times New Roman" w:cs="Times New Roman"/>
          <w:b w:val="0"/>
          <w:bCs w:val="0"/>
          <w:sz w:val="28"/>
          <w:szCs w:val="28"/>
        </w:rPr>
        <w:t>подотчётности государственных институтов и прозрачности реформ [2</w:t>
      </w:r>
      <w:r w:rsidR="00B04004">
        <w:rPr>
          <w:rStyle w:val="Strong"/>
          <w:rFonts w:ascii="Times New Roman" w:hAnsi="Times New Roman" w:cs="Times New Roman"/>
          <w:b w:val="0"/>
          <w:bCs w:val="0"/>
          <w:sz w:val="28"/>
          <w:szCs w:val="28"/>
          <w:lang w:val="kk-KZ"/>
        </w:rPr>
        <w:t>06</w:t>
      </w:r>
      <w:r w:rsidRPr="001935D0">
        <w:rPr>
          <w:rStyle w:val="Strong"/>
          <w:rFonts w:ascii="Times New Roman" w:hAnsi="Times New Roman" w:cs="Times New Roman"/>
          <w:b w:val="0"/>
          <w:bCs w:val="0"/>
          <w:sz w:val="28"/>
          <w:szCs w:val="28"/>
        </w:rPr>
        <w:t>]</w:t>
      </w:r>
      <w:r w:rsidRPr="001935D0">
        <w:rPr>
          <w:rFonts w:ascii="Times New Roman" w:hAnsi="Times New Roman" w:cs="Times New Roman"/>
          <w:sz w:val="28"/>
          <w:szCs w:val="28"/>
        </w:rPr>
        <w:t>.</w:t>
      </w:r>
    </w:p>
    <w:p w14:paraId="496B58A8" w14:textId="379B08E3"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Перспективным направлением является </w:t>
      </w:r>
      <w:r w:rsidRPr="001935D0">
        <w:rPr>
          <w:rStyle w:val="Strong"/>
          <w:rFonts w:ascii="Times New Roman" w:hAnsi="Times New Roman" w:cs="Times New Roman"/>
          <w:b w:val="0"/>
          <w:bCs w:val="0"/>
          <w:sz w:val="28"/>
          <w:szCs w:val="28"/>
        </w:rPr>
        <w:t xml:space="preserve">развитие трёхстороннего формата диалога «Европейский </w:t>
      </w:r>
      <w:r w:rsidR="007C324F" w:rsidRPr="001935D0">
        <w:rPr>
          <w:rStyle w:val="Strong"/>
          <w:rFonts w:ascii="Times New Roman" w:hAnsi="Times New Roman" w:cs="Times New Roman"/>
          <w:b w:val="0"/>
          <w:bCs w:val="0"/>
          <w:sz w:val="28"/>
          <w:szCs w:val="28"/>
          <w:lang w:val="uk-UA"/>
        </w:rPr>
        <w:t>С</w:t>
      </w:r>
      <w:r w:rsidRPr="001935D0">
        <w:rPr>
          <w:rStyle w:val="Strong"/>
          <w:rFonts w:ascii="Times New Roman" w:hAnsi="Times New Roman" w:cs="Times New Roman"/>
          <w:b w:val="0"/>
          <w:bCs w:val="0"/>
          <w:sz w:val="28"/>
          <w:szCs w:val="28"/>
        </w:rPr>
        <w:t>оюз – государственные органы – гражданское общество»</w:t>
      </w:r>
      <w:r w:rsidRPr="001935D0">
        <w:rPr>
          <w:rFonts w:ascii="Times New Roman" w:hAnsi="Times New Roman" w:cs="Times New Roman"/>
          <w:sz w:val="28"/>
          <w:szCs w:val="28"/>
        </w:rPr>
        <w:t xml:space="preserve">, который позволит интегрировать международные рекомендации в национальные механизмы управления и проводить регулярную оценку прогресса по правовым и демократическим индикаторам. Такой подход создаёт предпосылки для </w:t>
      </w:r>
      <w:r w:rsidRPr="001935D0">
        <w:rPr>
          <w:rStyle w:val="Strong"/>
          <w:rFonts w:ascii="Times New Roman" w:hAnsi="Times New Roman" w:cs="Times New Roman"/>
          <w:b w:val="0"/>
          <w:bCs w:val="0"/>
          <w:sz w:val="28"/>
          <w:szCs w:val="28"/>
        </w:rPr>
        <w:t>перехода от модели управляемых реформ к инклюзивной политической системе</w:t>
      </w:r>
      <w:r w:rsidRPr="001935D0">
        <w:rPr>
          <w:rFonts w:ascii="Times New Roman" w:hAnsi="Times New Roman" w:cs="Times New Roman"/>
          <w:sz w:val="28"/>
          <w:szCs w:val="28"/>
        </w:rPr>
        <w:t xml:space="preserve">, где права человека и верховенство права становятся не внешним ориентиром, а </w:t>
      </w:r>
      <w:r w:rsidRPr="001935D0">
        <w:rPr>
          <w:rStyle w:val="Strong"/>
          <w:rFonts w:ascii="Times New Roman" w:hAnsi="Times New Roman" w:cs="Times New Roman"/>
          <w:b w:val="0"/>
          <w:bCs w:val="0"/>
          <w:sz w:val="28"/>
          <w:szCs w:val="28"/>
        </w:rPr>
        <w:t>внутренним принципом государственного развития</w:t>
      </w:r>
      <w:r w:rsidR="00B04004">
        <w:rPr>
          <w:rStyle w:val="Strong"/>
          <w:rFonts w:ascii="Times New Roman" w:hAnsi="Times New Roman" w:cs="Times New Roman"/>
          <w:b w:val="0"/>
          <w:bCs w:val="0"/>
          <w:sz w:val="28"/>
          <w:szCs w:val="28"/>
          <w:lang w:val="kk-KZ"/>
        </w:rPr>
        <w:t> </w:t>
      </w:r>
      <w:r w:rsidRPr="001935D0">
        <w:rPr>
          <w:rFonts w:ascii="Times New Roman" w:hAnsi="Times New Roman" w:cs="Times New Roman"/>
          <w:sz w:val="28"/>
          <w:szCs w:val="28"/>
        </w:rPr>
        <w:t>[</w:t>
      </w:r>
      <w:r w:rsidR="00B04004">
        <w:rPr>
          <w:rFonts w:ascii="Times New Roman" w:hAnsi="Times New Roman" w:cs="Times New Roman"/>
          <w:sz w:val="28"/>
          <w:szCs w:val="28"/>
          <w:lang w:val="kk-KZ"/>
        </w:rPr>
        <w:t>199</w:t>
      </w:r>
      <w:r w:rsidRPr="001935D0">
        <w:rPr>
          <w:rFonts w:ascii="Times New Roman" w:hAnsi="Times New Roman" w:cs="Times New Roman"/>
          <w:sz w:val="28"/>
          <w:szCs w:val="28"/>
        </w:rPr>
        <w:t>].</w:t>
      </w:r>
    </w:p>
    <w:p w14:paraId="36350CCF" w14:textId="7777777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более широком контексте институционализация устойчивого формата взаимодействия между ЕС, государственными структурами и организациями гражданского общества создаёт </w:t>
      </w:r>
      <w:r w:rsidRPr="001935D0">
        <w:rPr>
          <w:rStyle w:val="Strong"/>
          <w:rFonts w:ascii="Times New Roman" w:hAnsi="Times New Roman" w:cs="Times New Roman"/>
          <w:b w:val="0"/>
          <w:bCs w:val="0"/>
          <w:sz w:val="28"/>
          <w:szCs w:val="28"/>
        </w:rPr>
        <w:t>основу для постоянного мониторинга, обратной связи и соучастия гражданского сектора в процессе оценки реформ</w:t>
      </w:r>
      <w:r w:rsidRPr="001935D0">
        <w:rPr>
          <w:rFonts w:ascii="Times New Roman" w:hAnsi="Times New Roman" w:cs="Times New Roman"/>
          <w:sz w:val="28"/>
          <w:szCs w:val="28"/>
        </w:rPr>
        <w:t xml:space="preserve">. Это позволяет увязывать политические преобразования с международными рекомендациями и реальными общественными потребностями. Такой подход способствует переходу от </w:t>
      </w:r>
      <w:r w:rsidRPr="001935D0">
        <w:rPr>
          <w:rStyle w:val="Strong"/>
          <w:rFonts w:ascii="Times New Roman" w:hAnsi="Times New Roman" w:cs="Times New Roman"/>
          <w:b w:val="0"/>
          <w:bCs w:val="0"/>
          <w:sz w:val="28"/>
          <w:szCs w:val="28"/>
        </w:rPr>
        <w:t>декларативного сотрудничества к устойчивому партнёрству</w:t>
      </w:r>
      <w:r w:rsidRPr="001935D0">
        <w:rPr>
          <w:rFonts w:ascii="Times New Roman" w:hAnsi="Times New Roman" w:cs="Times New Roman"/>
          <w:sz w:val="28"/>
          <w:szCs w:val="28"/>
        </w:rPr>
        <w:t>, основанному на доверии, транспарентности и взаимной ответственности, тем самым укрепляя имплементационный потенциал Казахстана в сфере прав человека и демократии.</w:t>
      </w:r>
    </w:p>
    <w:p w14:paraId="2C392AA1" w14:textId="02BD922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Современный этап взаимодействия между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и Республикой Казахстан характеризуется </w:t>
      </w:r>
      <w:r w:rsidRPr="001935D0">
        <w:rPr>
          <w:rStyle w:val="Strong"/>
          <w:rFonts w:ascii="Times New Roman" w:hAnsi="Times New Roman" w:cs="Times New Roman"/>
          <w:b w:val="0"/>
          <w:bCs w:val="0"/>
          <w:sz w:val="28"/>
          <w:szCs w:val="28"/>
        </w:rPr>
        <w:t>сочетанием нормативного прогресса и сохраняющихся институциональных ограничений</w:t>
      </w:r>
      <w:r w:rsidRPr="001935D0">
        <w:rPr>
          <w:rFonts w:ascii="Times New Roman" w:hAnsi="Times New Roman" w:cs="Times New Roman"/>
          <w:sz w:val="28"/>
          <w:szCs w:val="28"/>
        </w:rPr>
        <w:t xml:space="preserve">. Несмотря на активизацию </w:t>
      </w:r>
      <w:r w:rsidRPr="001935D0">
        <w:rPr>
          <w:rStyle w:val="Strong"/>
          <w:rFonts w:ascii="Times New Roman" w:hAnsi="Times New Roman" w:cs="Times New Roman"/>
          <w:b w:val="0"/>
          <w:bCs w:val="0"/>
          <w:sz w:val="28"/>
          <w:szCs w:val="28"/>
        </w:rPr>
        <w:t>Диалога ЕС–Казахстан по правам человека</w:t>
      </w:r>
      <w:r w:rsidRPr="001935D0">
        <w:rPr>
          <w:rFonts w:ascii="Times New Roman" w:hAnsi="Times New Roman" w:cs="Times New Roman"/>
          <w:sz w:val="28"/>
          <w:szCs w:val="28"/>
        </w:rPr>
        <w:t xml:space="preserve">, запуск </w:t>
      </w:r>
      <w:r w:rsidRPr="001935D0">
        <w:rPr>
          <w:rStyle w:val="Strong"/>
          <w:rFonts w:ascii="Times New Roman" w:hAnsi="Times New Roman" w:cs="Times New Roman"/>
          <w:b w:val="0"/>
          <w:bCs w:val="0"/>
          <w:sz w:val="28"/>
          <w:szCs w:val="28"/>
        </w:rPr>
        <w:t>Neighbourhood Co-operation Priorities 2024–2027</w:t>
      </w:r>
      <w:r w:rsidRPr="001935D0">
        <w:rPr>
          <w:rFonts w:ascii="Times New Roman" w:hAnsi="Times New Roman" w:cs="Times New Roman"/>
          <w:sz w:val="28"/>
          <w:szCs w:val="28"/>
        </w:rPr>
        <w:t xml:space="preserve"> и реализацию </w:t>
      </w:r>
      <w:r w:rsidRPr="001935D0">
        <w:rPr>
          <w:rStyle w:val="Strong"/>
          <w:rFonts w:ascii="Times New Roman" w:hAnsi="Times New Roman" w:cs="Times New Roman"/>
          <w:b w:val="0"/>
          <w:bCs w:val="0"/>
          <w:sz w:val="28"/>
          <w:szCs w:val="28"/>
        </w:rPr>
        <w:t>Программы Совета Европы для Центральной Азии (2020–2024)</w:t>
      </w:r>
      <w:r w:rsidRPr="001935D0">
        <w:rPr>
          <w:rFonts w:ascii="Times New Roman" w:hAnsi="Times New Roman" w:cs="Times New Roman"/>
          <w:sz w:val="28"/>
          <w:szCs w:val="28"/>
        </w:rPr>
        <w:t xml:space="preserve">, практическая имплементация европейских стандартов остаётся </w:t>
      </w:r>
      <w:r w:rsidRPr="001935D0">
        <w:rPr>
          <w:rStyle w:val="Strong"/>
          <w:rFonts w:ascii="Times New Roman" w:hAnsi="Times New Roman" w:cs="Times New Roman"/>
          <w:b w:val="0"/>
          <w:bCs w:val="0"/>
          <w:sz w:val="28"/>
          <w:szCs w:val="28"/>
        </w:rPr>
        <w:t>избирательной и неравномерной</w:t>
      </w:r>
      <w:r w:rsidRPr="001935D0">
        <w:rPr>
          <w:rFonts w:ascii="Times New Roman" w:hAnsi="Times New Roman" w:cs="Times New Roman"/>
          <w:sz w:val="28"/>
          <w:szCs w:val="28"/>
        </w:rPr>
        <w:t xml:space="preserve">. Формальные обязательства не всегда подкреплены системными изменениями в правоприменении, что подчёркивает необходимость перехода к </w:t>
      </w:r>
      <w:r w:rsidRPr="001935D0">
        <w:rPr>
          <w:rStyle w:val="Strong"/>
          <w:rFonts w:ascii="Times New Roman" w:hAnsi="Times New Roman" w:cs="Times New Roman"/>
          <w:b w:val="0"/>
          <w:bCs w:val="0"/>
          <w:sz w:val="28"/>
          <w:szCs w:val="28"/>
        </w:rPr>
        <w:t>глубокой институциональной интеграции [21</w:t>
      </w:r>
      <w:r w:rsidR="00B04004">
        <w:rPr>
          <w:rStyle w:val="Strong"/>
          <w:rFonts w:ascii="Times New Roman" w:hAnsi="Times New Roman" w:cs="Times New Roman"/>
          <w:b w:val="0"/>
          <w:bCs w:val="0"/>
          <w:sz w:val="28"/>
          <w:szCs w:val="28"/>
          <w:lang w:val="kk-KZ"/>
        </w:rPr>
        <w:t>2</w:t>
      </w:r>
      <w:r w:rsidRPr="001935D0">
        <w:rPr>
          <w:rStyle w:val="Strong"/>
          <w:rFonts w:ascii="Times New Roman" w:hAnsi="Times New Roman" w:cs="Times New Roman"/>
          <w:b w:val="0"/>
          <w:bCs w:val="0"/>
          <w:sz w:val="28"/>
          <w:szCs w:val="28"/>
        </w:rPr>
        <w:t>]</w:t>
      </w:r>
      <w:r w:rsidRPr="001935D0">
        <w:rPr>
          <w:rFonts w:ascii="Times New Roman" w:hAnsi="Times New Roman" w:cs="Times New Roman"/>
          <w:sz w:val="28"/>
          <w:szCs w:val="28"/>
        </w:rPr>
        <w:t>.</w:t>
      </w:r>
    </w:p>
    <w:p w14:paraId="28253CA1" w14:textId="7777777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Продление </w:t>
      </w:r>
      <w:r w:rsidRPr="001935D0">
        <w:rPr>
          <w:rStyle w:val="Strong"/>
          <w:rFonts w:ascii="Times New Roman" w:hAnsi="Times New Roman" w:cs="Times New Roman"/>
          <w:b w:val="0"/>
          <w:bCs w:val="0"/>
          <w:sz w:val="28"/>
          <w:szCs w:val="28"/>
        </w:rPr>
        <w:t>Плана ЕС по правам человека и демократии до 2027 года</w:t>
      </w:r>
      <w:r w:rsidRPr="001935D0">
        <w:rPr>
          <w:rFonts w:ascii="Times New Roman" w:hAnsi="Times New Roman" w:cs="Times New Roman"/>
          <w:sz w:val="28"/>
          <w:szCs w:val="28"/>
        </w:rPr>
        <w:t xml:space="preserve"> имеет стратегическое значение: оно обеспечивает преемственность реформ и устойчивость мониторинга, создавая основу для долгосрочной модели взаимодействия, </w:t>
      </w:r>
      <w:r w:rsidRPr="001935D0">
        <w:rPr>
          <w:rStyle w:val="Strong"/>
          <w:rFonts w:ascii="Times New Roman" w:hAnsi="Times New Roman" w:cs="Times New Roman"/>
          <w:b w:val="0"/>
          <w:bCs w:val="0"/>
          <w:sz w:val="28"/>
          <w:szCs w:val="28"/>
        </w:rPr>
        <w:t>адаптированной к национальной специфике Казахстана</w:t>
      </w:r>
      <w:r w:rsidRPr="001935D0">
        <w:rPr>
          <w:rFonts w:ascii="Times New Roman" w:hAnsi="Times New Roman" w:cs="Times New Roman"/>
          <w:sz w:val="28"/>
          <w:szCs w:val="28"/>
        </w:rPr>
        <w:t>.</w:t>
      </w:r>
    </w:p>
    <w:p w14:paraId="3793B3AC" w14:textId="3D255599"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Показательным примером сохраняющихся вызовов стало обращение правозащитной коалиции </w:t>
      </w:r>
      <w:r w:rsidRPr="001935D0">
        <w:rPr>
          <w:rStyle w:val="Strong"/>
          <w:rFonts w:ascii="Times New Roman" w:hAnsi="Times New Roman" w:cs="Times New Roman"/>
          <w:b w:val="0"/>
          <w:bCs w:val="0"/>
          <w:sz w:val="28"/>
          <w:szCs w:val="28"/>
        </w:rPr>
        <w:t>#ActivistsNotExtremists</w:t>
      </w:r>
      <w:r w:rsidRPr="001935D0">
        <w:rPr>
          <w:rFonts w:ascii="Times New Roman" w:hAnsi="Times New Roman" w:cs="Times New Roman"/>
          <w:sz w:val="28"/>
          <w:szCs w:val="28"/>
        </w:rPr>
        <w:t>, созданной в 2022 году для документирования случаев давления на активистов и НПО [21</w:t>
      </w:r>
      <w:r w:rsidR="00B04004">
        <w:rPr>
          <w:rFonts w:ascii="Times New Roman" w:hAnsi="Times New Roman" w:cs="Times New Roman"/>
          <w:sz w:val="28"/>
          <w:szCs w:val="28"/>
          <w:lang w:val="kk-KZ"/>
        </w:rPr>
        <w:t>3</w:t>
      </w:r>
      <w:r w:rsidRPr="001935D0">
        <w:rPr>
          <w:rFonts w:ascii="Times New Roman" w:hAnsi="Times New Roman" w:cs="Times New Roman"/>
          <w:sz w:val="28"/>
          <w:szCs w:val="28"/>
        </w:rPr>
        <w:t xml:space="preserve">]. В письме </w:t>
      </w:r>
      <w:r w:rsidRPr="001935D0">
        <w:rPr>
          <w:rStyle w:val="Strong"/>
          <w:rFonts w:ascii="Times New Roman" w:hAnsi="Times New Roman" w:cs="Times New Roman"/>
          <w:b w:val="0"/>
          <w:bCs w:val="0"/>
          <w:sz w:val="28"/>
          <w:szCs w:val="28"/>
        </w:rPr>
        <w:t>Верховному представителю ЕС по иностранным делам и политике безопасности</w:t>
      </w:r>
      <w:r w:rsidRPr="001935D0">
        <w:rPr>
          <w:rFonts w:ascii="Times New Roman" w:hAnsi="Times New Roman" w:cs="Times New Roman"/>
          <w:sz w:val="28"/>
          <w:szCs w:val="28"/>
        </w:rPr>
        <w:t xml:space="preserve"> отмечены факты преследования, ограничения свободы собраний и давления на СМИ. Эти данные подтверждаются отчётами </w:t>
      </w:r>
      <w:r w:rsidRPr="001935D0">
        <w:rPr>
          <w:rStyle w:val="Strong"/>
          <w:rFonts w:ascii="Times New Roman" w:hAnsi="Times New Roman" w:cs="Times New Roman"/>
          <w:b w:val="0"/>
          <w:bCs w:val="0"/>
          <w:sz w:val="28"/>
          <w:szCs w:val="28"/>
        </w:rPr>
        <w:t>Совета Европы (2023)</w:t>
      </w:r>
      <w:r w:rsidRPr="001935D0">
        <w:rPr>
          <w:rFonts w:ascii="Times New Roman" w:hAnsi="Times New Roman" w:cs="Times New Roman"/>
          <w:sz w:val="28"/>
          <w:szCs w:val="28"/>
        </w:rPr>
        <w:t xml:space="preserve"> и </w:t>
      </w:r>
      <w:r w:rsidRPr="001935D0">
        <w:rPr>
          <w:rStyle w:val="Strong"/>
          <w:rFonts w:ascii="Times New Roman" w:hAnsi="Times New Roman" w:cs="Times New Roman"/>
          <w:b w:val="0"/>
          <w:bCs w:val="0"/>
          <w:sz w:val="28"/>
          <w:szCs w:val="28"/>
        </w:rPr>
        <w:lastRenderedPageBreak/>
        <w:t>ОБСЕ/БДИПЧ (2025)</w:t>
      </w:r>
      <w:r w:rsidRPr="001935D0">
        <w:rPr>
          <w:rFonts w:ascii="Times New Roman" w:hAnsi="Times New Roman" w:cs="Times New Roman"/>
          <w:sz w:val="28"/>
          <w:szCs w:val="28"/>
        </w:rPr>
        <w:t>, фиксирующими наличие административных барьеров для гражданского общества и ограничений медиаплюрализма.</w:t>
      </w:r>
    </w:p>
    <w:p w14:paraId="38609664" w14:textId="40A64C36"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Дополнительную обеспокоенность вызывает применение механизмов </w:t>
      </w:r>
      <w:r w:rsidRPr="001935D0">
        <w:rPr>
          <w:rStyle w:val="Strong"/>
          <w:rFonts w:ascii="Times New Roman" w:hAnsi="Times New Roman" w:cs="Times New Roman"/>
          <w:b w:val="0"/>
          <w:bCs w:val="0"/>
          <w:sz w:val="28"/>
          <w:szCs w:val="28"/>
        </w:rPr>
        <w:t>AML/CFT (Anti-Money Laundering/Countering Financing of Terrorism)</w:t>
      </w:r>
      <w:r w:rsidRPr="001935D0">
        <w:rPr>
          <w:rFonts w:ascii="Times New Roman" w:hAnsi="Times New Roman" w:cs="Times New Roman"/>
          <w:sz w:val="28"/>
          <w:szCs w:val="28"/>
        </w:rPr>
        <w:t xml:space="preserve"> в контексте </w:t>
      </w:r>
      <w:r w:rsidRPr="001935D0">
        <w:rPr>
          <w:rStyle w:val="Strong"/>
          <w:rFonts w:ascii="Times New Roman" w:hAnsi="Times New Roman" w:cs="Times New Roman"/>
          <w:b w:val="0"/>
          <w:bCs w:val="0"/>
          <w:sz w:val="28"/>
          <w:szCs w:val="28"/>
        </w:rPr>
        <w:t>рекомендаций FATF (Financial Action Task Force)</w:t>
      </w:r>
      <w:r w:rsidRPr="001935D0">
        <w:rPr>
          <w:rFonts w:ascii="Times New Roman" w:hAnsi="Times New Roman" w:cs="Times New Roman"/>
          <w:sz w:val="28"/>
          <w:szCs w:val="28"/>
        </w:rPr>
        <w:t xml:space="preserve">. Несмотря на формальное соответствие стандартам, отчёты </w:t>
      </w:r>
      <w:r w:rsidRPr="001935D0">
        <w:rPr>
          <w:rStyle w:val="Strong"/>
          <w:rFonts w:ascii="Times New Roman" w:hAnsi="Times New Roman" w:cs="Times New Roman"/>
          <w:b w:val="0"/>
          <w:bCs w:val="0"/>
          <w:sz w:val="28"/>
          <w:szCs w:val="28"/>
        </w:rPr>
        <w:t>FATF (2023)</w:t>
      </w:r>
      <w:r w:rsidRPr="001935D0">
        <w:rPr>
          <w:rFonts w:ascii="Times New Roman" w:hAnsi="Times New Roman" w:cs="Times New Roman"/>
          <w:sz w:val="28"/>
          <w:szCs w:val="28"/>
        </w:rPr>
        <w:t xml:space="preserve"> и </w:t>
      </w:r>
      <w:r w:rsidRPr="001935D0">
        <w:rPr>
          <w:rStyle w:val="Strong"/>
          <w:rFonts w:ascii="Times New Roman" w:hAnsi="Times New Roman" w:cs="Times New Roman"/>
          <w:b w:val="0"/>
          <w:bCs w:val="0"/>
          <w:sz w:val="28"/>
          <w:szCs w:val="28"/>
        </w:rPr>
        <w:t>Human Rights Watch (2024)</w:t>
      </w:r>
      <w:r w:rsidRPr="001935D0">
        <w:rPr>
          <w:rFonts w:ascii="Times New Roman" w:hAnsi="Times New Roman" w:cs="Times New Roman"/>
          <w:sz w:val="28"/>
          <w:szCs w:val="28"/>
        </w:rPr>
        <w:t xml:space="preserve"> указывают на </w:t>
      </w:r>
      <w:r w:rsidRPr="001935D0">
        <w:rPr>
          <w:rStyle w:val="Strong"/>
          <w:rFonts w:ascii="Times New Roman" w:hAnsi="Times New Roman" w:cs="Times New Roman"/>
          <w:b w:val="0"/>
          <w:bCs w:val="0"/>
          <w:sz w:val="28"/>
          <w:szCs w:val="28"/>
        </w:rPr>
        <w:t>риск использования этих инструментов для финансового давления на независимые организации</w:t>
      </w:r>
      <w:r w:rsidRPr="001935D0">
        <w:rPr>
          <w:rFonts w:ascii="Times New Roman" w:hAnsi="Times New Roman" w:cs="Times New Roman"/>
          <w:sz w:val="28"/>
          <w:szCs w:val="28"/>
        </w:rPr>
        <w:t>, что усиливает административный контроль и снижает доверие к институтам [21</w:t>
      </w:r>
      <w:r w:rsidR="00B04004">
        <w:rPr>
          <w:rFonts w:ascii="Times New Roman" w:hAnsi="Times New Roman" w:cs="Times New Roman"/>
          <w:sz w:val="28"/>
          <w:szCs w:val="28"/>
          <w:lang w:val="kk-KZ"/>
        </w:rPr>
        <w:t>4</w:t>
      </w:r>
      <w:r w:rsidRPr="001935D0">
        <w:rPr>
          <w:rFonts w:ascii="Times New Roman" w:hAnsi="Times New Roman" w:cs="Times New Roman"/>
          <w:sz w:val="28"/>
          <w:szCs w:val="28"/>
        </w:rPr>
        <w:t>].</w:t>
      </w:r>
    </w:p>
    <w:p w14:paraId="6C764A0D" w14:textId="2BBC9723"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этих условиях партнёрство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требует перехода от </w:t>
      </w:r>
      <w:r w:rsidRPr="001935D0">
        <w:rPr>
          <w:rStyle w:val="Strong"/>
          <w:rFonts w:ascii="Times New Roman" w:hAnsi="Times New Roman" w:cs="Times New Roman"/>
          <w:b w:val="0"/>
          <w:bCs w:val="0"/>
          <w:sz w:val="28"/>
          <w:szCs w:val="28"/>
        </w:rPr>
        <w:t>фрагментарных проектов к единой комплексной стратегии</w:t>
      </w:r>
      <w:r w:rsidRPr="001935D0">
        <w:rPr>
          <w:rFonts w:ascii="Times New Roman" w:hAnsi="Times New Roman" w:cs="Times New Roman"/>
          <w:sz w:val="28"/>
          <w:szCs w:val="28"/>
        </w:rPr>
        <w:t xml:space="preserve">, объединяющей финансовые, образовательные и мониторинговые инструменты. Использование потенциала </w:t>
      </w:r>
      <w:r w:rsidRPr="001935D0">
        <w:rPr>
          <w:rStyle w:val="Strong"/>
          <w:rFonts w:ascii="Times New Roman" w:hAnsi="Times New Roman" w:cs="Times New Roman"/>
          <w:b w:val="0"/>
          <w:bCs w:val="0"/>
          <w:sz w:val="28"/>
          <w:szCs w:val="28"/>
        </w:rPr>
        <w:t>NDICI – Global Europe</w:t>
      </w:r>
      <w:r w:rsidRPr="001935D0">
        <w:rPr>
          <w:rFonts w:ascii="Times New Roman" w:hAnsi="Times New Roman" w:cs="Times New Roman"/>
          <w:sz w:val="28"/>
          <w:szCs w:val="28"/>
        </w:rPr>
        <w:t xml:space="preserve"> в сочетании с </w:t>
      </w:r>
      <w:r w:rsidRPr="001935D0">
        <w:rPr>
          <w:rStyle w:val="Strong"/>
          <w:rFonts w:ascii="Times New Roman" w:hAnsi="Times New Roman" w:cs="Times New Roman"/>
          <w:b w:val="0"/>
          <w:bCs w:val="0"/>
          <w:sz w:val="28"/>
          <w:szCs w:val="28"/>
        </w:rPr>
        <w:t>EU Action Plan on Human Rights and Democracy (2023–2027)</w:t>
      </w:r>
      <w:r w:rsidRPr="001935D0">
        <w:rPr>
          <w:rFonts w:ascii="Times New Roman" w:hAnsi="Times New Roman" w:cs="Times New Roman"/>
          <w:sz w:val="28"/>
          <w:szCs w:val="28"/>
        </w:rPr>
        <w:t xml:space="preserve"> позволит </w:t>
      </w:r>
      <w:r w:rsidRPr="001935D0">
        <w:rPr>
          <w:rStyle w:val="Strong"/>
          <w:rFonts w:ascii="Times New Roman" w:hAnsi="Times New Roman" w:cs="Times New Roman"/>
          <w:b w:val="0"/>
          <w:bCs w:val="0"/>
          <w:sz w:val="28"/>
          <w:szCs w:val="28"/>
        </w:rPr>
        <w:t>увязать поддержку ЕС с конкретными и измеримыми результатами в сфере прав человека</w:t>
      </w:r>
      <w:r w:rsidRPr="001935D0">
        <w:rPr>
          <w:rFonts w:ascii="Times New Roman" w:hAnsi="Times New Roman" w:cs="Times New Roman"/>
          <w:sz w:val="28"/>
          <w:szCs w:val="28"/>
        </w:rPr>
        <w:t xml:space="preserve">. Применение </w:t>
      </w:r>
      <w:r w:rsidRPr="001935D0">
        <w:rPr>
          <w:rStyle w:val="Strong"/>
          <w:rFonts w:ascii="Times New Roman" w:hAnsi="Times New Roman" w:cs="Times New Roman"/>
          <w:b w:val="0"/>
          <w:bCs w:val="0"/>
          <w:sz w:val="28"/>
          <w:szCs w:val="28"/>
        </w:rPr>
        <w:t>матрицы оценки прав человека (Human Rights Performance Matrix)</w:t>
      </w:r>
      <w:r w:rsidRPr="001935D0">
        <w:rPr>
          <w:rFonts w:ascii="Times New Roman" w:hAnsi="Times New Roman" w:cs="Times New Roman"/>
          <w:sz w:val="28"/>
          <w:szCs w:val="28"/>
        </w:rPr>
        <w:t xml:space="preserve"> создаёт возможность </w:t>
      </w:r>
      <w:r w:rsidRPr="001935D0">
        <w:rPr>
          <w:rStyle w:val="Strong"/>
          <w:rFonts w:ascii="Times New Roman" w:hAnsi="Times New Roman" w:cs="Times New Roman"/>
          <w:b w:val="0"/>
          <w:bCs w:val="0"/>
          <w:sz w:val="28"/>
          <w:szCs w:val="28"/>
        </w:rPr>
        <w:t>объективной оценки реформ и повышения институциональной подотчётности</w:t>
      </w:r>
      <w:r w:rsidRPr="001935D0">
        <w:rPr>
          <w:rFonts w:ascii="Times New Roman" w:hAnsi="Times New Roman" w:cs="Times New Roman"/>
          <w:sz w:val="28"/>
          <w:szCs w:val="28"/>
        </w:rPr>
        <w:t xml:space="preserve"> [2</w:t>
      </w:r>
      <w:r w:rsidR="00B04004">
        <w:rPr>
          <w:rFonts w:ascii="Times New Roman" w:hAnsi="Times New Roman" w:cs="Times New Roman"/>
          <w:sz w:val="28"/>
          <w:szCs w:val="28"/>
          <w:lang w:val="kk-KZ"/>
        </w:rPr>
        <w:t>06</w:t>
      </w:r>
      <w:r w:rsidRPr="001935D0">
        <w:rPr>
          <w:rFonts w:ascii="Times New Roman" w:hAnsi="Times New Roman" w:cs="Times New Roman"/>
          <w:sz w:val="28"/>
          <w:szCs w:val="28"/>
        </w:rPr>
        <w:t>].</w:t>
      </w:r>
    </w:p>
    <w:p w14:paraId="1103B8C1" w14:textId="605866E7"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Продление Плана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по правам человека и демократии до 2027 года открывает возможности для </w:t>
      </w:r>
      <w:r w:rsidRPr="001935D0">
        <w:rPr>
          <w:rStyle w:val="Strong"/>
          <w:rFonts w:ascii="Times New Roman" w:hAnsi="Times New Roman" w:cs="Times New Roman"/>
          <w:b w:val="0"/>
          <w:bCs w:val="0"/>
          <w:sz w:val="28"/>
          <w:szCs w:val="28"/>
        </w:rPr>
        <w:t>внедрения адаптивных инструментов</w:t>
      </w:r>
      <w:r w:rsidRPr="001935D0">
        <w:rPr>
          <w:rFonts w:ascii="Times New Roman" w:hAnsi="Times New Roman" w:cs="Times New Roman"/>
          <w:sz w:val="28"/>
          <w:szCs w:val="28"/>
        </w:rPr>
        <w:t xml:space="preserve">, способных повысить эффективность правозащитного сотрудничества с Казахстаном. В условиях, когда наблюдается противоречие между </w:t>
      </w:r>
      <w:r w:rsidRPr="001935D0">
        <w:rPr>
          <w:rStyle w:val="Strong"/>
          <w:rFonts w:ascii="Times New Roman" w:hAnsi="Times New Roman" w:cs="Times New Roman"/>
          <w:b w:val="0"/>
          <w:bCs w:val="0"/>
          <w:sz w:val="28"/>
          <w:szCs w:val="28"/>
        </w:rPr>
        <w:t>формальными декларациями о приверженности правам человека и ограниченной реализацией международных обязательств</w:t>
      </w:r>
      <w:r w:rsidRPr="001935D0">
        <w:rPr>
          <w:rFonts w:ascii="Times New Roman" w:hAnsi="Times New Roman" w:cs="Times New Roman"/>
          <w:sz w:val="28"/>
          <w:szCs w:val="28"/>
        </w:rPr>
        <w:t xml:space="preserve">, особую значимость приобретает </w:t>
      </w:r>
      <w:r w:rsidRPr="001935D0">
        <w:rPr>
          <w:rStyle w:val="Strong"/>
          <w:rFonts w:ascii="Times New Roman" w:hAnsi="Times New Roman" w:cs="Times New Roman"/>
          <w:b w:val="0"/>
          <w:bCs w:val="0"/>
          <w:sz w:val="28"/>
          <w:szCs w:val="28"/>
        </w:rPr>
        <w:t>институционализация мониторинговых и образовательных механизмов</w:t>
      </w:r>
      <w:r w:rsidRPr="001935D0">
        <w:rPr>
          <w:rFonts w:ascii="Times New Roman" w:hAnsi="Times New Roman" w:cs="Times New Roman"/>
          <w:sz w:val="28"/>
          <w:szCs w:val="28"/>
        </w:rPr>
        <w:t xml:space="preserve">, а также </w:t>
      </w:r>
      <w:r w:rsidRPr="001935D0">
        <w:rPr>
          <w:rStyle w:val="Strong"/>
          <w:rFonts w:ascii="Times New Roman" w:hAnsi="Times New Roman" w:cs="Times New Roman"/>
          <w:b w:val="0"/>
          <w:bCs w:val="0"/>
          <w:sz w:val="28"/>
          <w:szCs w:val="28"/>
        </w:rPr>
        <w:t>интеграция правозащитных индикаторов</w:t>
      </w:r>
      <w:r w:rsidRPr="001935D0">
        <w:rPr>
          <w:rFonts w:ascii="Times New Roman" w:hAnsi="Times New Roman" w:cs="Times New Roman"/>
          <w:sz w:val="28"/>
          <w:szCs w:val="28"/>
        </w:rPr>
        <w:t xml:space="preserve"> в общую систему оценки внешней политики ЕС.</w:t>
      </w:r>
    </w:p>
    <w:p w14:paraId="56D38A78" w14:textId="0E4EA109" w:rsidR="00E94B29" w:rsidRPr="001935D0" w:rsidRDefault="00E94B29" w:rsidP="00364EC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Для наглядной оценки взаимосвязи между существующими вызовами и предлагаемыми инструментами Европейского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оюза представляется целесообразным рассмотреть их </w:t>
      </w:r>
      <w:r w:rsidRPr="001935D0">
        <w:rPr>
          <w:rStyle w:val="Strong"/>
          <w:rFonts w:ascii="Times New Roman" w:hAnsi="Times New Roman" w:cs="Times New Roman"/>
          <w:b w:val="0"/>
          <w:bCs w:val="0"/>
          <w:sz w:val="28"/>
          <w:szCs w:val="28"/>
        </w:rPr>
        <w:t>в аналитическом формате (таблица 3.12)</w:t>
      </w:r>
      <w:r w:rsidRPr="001935D0">
        <w:rPr>
          <w:rFonts w:ascii="Times New Roman" w:hAnsi="Times New Roman" w:cs="Times New Roman"/>
          <w:sz w:val="28"/>
          <w:szCs w:val="28"/>
        </w:rPr>
        <w:t>.</w:t>
      </w:r>
    </w:p>
    <w:p w14:paraId="3A68446E" w14:textId="77777777" w:rsidR="00166198" w:rsidRPr="001935D0" w:rsidRDefault="00166198" w:rsidP="00593711">
      <w:pPr>
        <w:pStyle w:val="NoSpacing"/>
        <w:jc w:val="center"/>
        <w:rPr>
          <w:rFonts w:ascii="Times New Roman" w:hAnsi="Times New Roman" w:cs="Times New Roman"/>
          <w:sz w:val="28"/>
          <w:szCs w:val="28"/>
          <w:lang w:eastAsia="ru-RU"/>
        </w:rPr>
      </w:pPr>
    </w:p>
    <w:p w14:paraId="5B2129E1" w14:textId="7B5322DB" w:rsidR="00E94B29" w:rsidRDefault="00E94B29" w:rsidP="00CB753F">
      <w:pPr>
        <w:pStyle w:val="NoSpacing"/>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Таблица 3.12 </w:t>
      </w:r>
      <w:r w:rsidR="00CB753F">
        <w:rPr>
          <w:rFonts w:ascii="Times New Roman" w:hAnsi="Times New Roman" w:cs="Times New Roman"/>
          <w:sz w:val="28"/>
          <w:szCs w:val="28"/>
        </w:rPr>
        <w:t>‒</w:t>
      </w:r>
      <w:r w:rsidR="00CB753F">
        <w:rPr>
          <w:rFonts w:ascii="Times New Roman" w:hAnsi="Times New Roman" w:cs="Times New Roman"/>
          <w:sz w:val="28"/>
          <w:szCs w:val="28"/>
          <w:lang w:val="kk-KZ"/>
        </w:rPr>
        <w:t xml:space="preserve"> </w:t>
      </w:r>
      <w:r w:rsidRPr="001935D0">
        <w:rPr>
          <w:rFonts w:ascii="Times New Roman" w:hAnsi="Times New Roman" w:cs="Times New Roman"/>
          <w:sz w:val="28"/>
          <w:szCs w:val="28"/>
        </w:rPr>
        <w:t>Корреляция системных барьеров и адаптивных механизмов продлённого Плана ЕС</w:t>
      </w:r>
    </w:p>
    <w:p w14:paraId="3F6D3760" w14:textId="77777777" w:rsidR="00CB753F" w:rsidRPr="00CB753F" w:rsidRDefault="00CB753F" w:rsidP="00CB753F">
      <w:pPr>
        <w:pStyle w:val="NoSpacing"/>
        <w:jc w:val="right"/>
        <w:rPr>
          <w:rFonts w:ascii="Times New Roman" w:hAnsi="Times New Roman" w:cs="Times New Roman"/>
          <w:sz w:val="16"/>
          <w:szCs w:val="16"/>
          <w:lang w:val="kk-KZ"/>
        </w:rPr>
      </w:pPr>
    </w:p>
    <w:tbl>
      <w:tblPr>
        <w:tblStyle w:val="TableGrid"/>
        <w:tblW w:w="0" w:type="auto"/>
        <w:jc w:val="center"/>
        <w:tblLayout w:type="fixed"/>
        <w:tblLook w:val="04A0" w:firstRow="1" w:lastRow="0" w:firstColumn="1" w:lastColumn="0" w:noHBand="0" w:noVBand="1"/>
      </w:tblPr>
      <w:tblGrid>
        <w:gridCol w:w="2026"/>
        <w:gridCol w:w="2410"/>
        <w:gridCol w:w="2645"/>
        <w:gridCol w:w="2540"/>
      </w:tblGrid>
      <w:tr w:rsidR="00E94B29" w:rsidRPr="00CB753F" w14:paraId="191ECE7E" w14:textId="77777777" w:rsidTr="00CB753F">
        <w:trPr>
          <w:jc w:val="center"/>
        </w:trPr>
        <w:tc>
          <w:tcPr>
            <w:tcW w:w="2026" w:type="dxa"/>
            <w:vAlign w:val="center"/>
          </w:tcPr>
          <w:p w14:paraId="22507CA6" w14:textId="77777777" w:rsidR="00E94B29" w:rsidRPr="00CB753F" w:rsidRDefault="00E94B29" w:rsidP="00593711">
            <w:pPr>
              <w:pStyle w:val="NoSpacing"/>
              <w:jc w:val="center"/>
              <w:rPr>
                <w:rFonts w:ascii="Times New Roman" w:hAnsi="Times New Roman" w:cs="Times New Roman"/>
                <w:sz w:val="24"/>
                <w:szCs w:val="24"/>
              </w:rPr>
            </w:pPr>
            <w:r w:rsidRPr="00CB753F">
              <w:rPr>
                <w:rFonts w:ascii="Times New Roman" w:hAnsi="Times New Roman" w:cs="Times New Roman"/>
                <w:sz w:val="24"/>
                <w:szCs w:val="24"/>
              </w:rPr>
              <w:t>Сфера вызова</w:t>
            </w:r>
          </w:p>
        </w:tc>
        <w:tc>
          <w:tcPr>
            <w:tcW w:w="2410" w:type="dxa"/>
            <w:vAlign w:val="center"/>
          </w:tcPr>
          <w:p w14:paraId="04CAB2F7" w14:textId="77777777" w:rsidR="00E94B29" w:rsidRPr="00CB753F" w:rsidRDefault="00E94B29" w:rsidP="00593711">
            <w:pPr>
              <w:pStyle w:val="NoSpacing"/>
              <w:jc w:val="center"/>
              <w:rPr>
                <w:rFonts w:ascii="Times New Roman" w:hAnsi="Times New Roman" w:cs="Times New Roman"/>
                <w:sz w:val="24"/>
                <w:szCs w:val="24"/>
              </w:rPr>
            </w:pPr>
            <w:r w:rsidRPr="00CB753F">
              <w:rPr>
                <w:rFonts w:ascii="Times New Roman" w:hAnsi="Times New Roman" w:cs="Times New Roman"/>
                <w:sz w:val="24"/>
                <w:szCs w:val="24"/>
              </w:rPr>
              <w:t>Текущее состояние (2024–2025)</w:t>
            </w:r>
          </w:p>
        </w:tc>
        <w:tc>
          <w:tcPr>
            <w:tcW w:w="2645" w:type="dxa"/>
            <w:vAlign w:val="center"/>
          </w:tcPr>
          <w:p w14:paraId="6F406C38" w14:textId="77777777" w:rsidR="00E94B29" w:rsidRPr="00CB753F" w:rsidRDefault="00E94B29" w:rsidP="00593711">
            <w:pPr>
              <w:pStyle w:val="NoSpacing"/>
              <w:jc w:val="center"/>
              <w:rPr>
                <w:rFonts w:ascii="Times New Roman" w:hAnsi="Times New Roman" w:cs="Times New Roman"/>
                <w:sz w:val="24"/>
                <w:szCs w:val="24"/>
              </w:rPr>
            </w:pPr>
            <w:r w:rsidRPr="00CB753F">
              <w:rPr>
                <w:rFonts w:ascii="Times New Roman" w:hAnsi="Times New Roman" w:cs="Times New Roman"/>
                <w:sz w:val="24"/>
                <w:szCs w:val="24"/>
              </w:rPr>
              <w:t>Предлагаемый механизм ЕС</w:t>
            </w:r>
          </w:p>
        </w:tc>
        <w:tc>
          <w:tcPr>
            <w:tcW w:w="2540" w:type="dxa"/>
            <w:vAlign w:val="center"/>
          </w:tcPr>
          <w:p w14:paraId="15848CEB" w14:textId="77777777" w:rsidR="00E94B29" w:rsidRPr="00CB753F" w:rsidRDefault="00E94B29" w:rsidP="00593711">
            <w:pPr>
              <w:pStyle w:val="NoSpacing"/>
              <w:jc w:val="center"/>
              <w:rPr>
                <w:rFonts w:ascii="Times New Roman" w:hAnsi="Times New Roman" w:cs="Times New Roman"/>
                <w:sz w:val="24"/>
                <w:szCs w:val="24"/>
              </w:rPr>
            </w:pPr>
            <w:r w:rsidRPr="00CB753F">
              <w:rPr>
                <w:rFonts w:ascii="Times New Roman" w:hAnsi="Times New Roman" w:cs="Times New Roman"/>
                <w:sz w:val="24"/>
                <w:szCs w:val="24"/>
              </w:rPr>
              <w:t>Ожидаемый результат</w:t>
            </w:r>
          </w:p>
        </w:tc>
      </w:tr>
      <w:tr w:rsidR="00E94B29" w:rsidRPr="001935D0" w14:paraId="521E105B" w14:textId="77777777" w:rsidTr="00CB753F">
        <w:trPr>
          <w:jc w:val="center"/>
        </w:trPr>
        <w:tc>
          <w:tcPr>
            <w:tcW w:w="2026" w:type="dxa"/>
            <w:vAlign w:val="center"/>
          </w:tcPr>
          <w:p w14:paraId="4DE47750" w14:textId="77777777" w:rsidR="00E94B29" w:rsidRPr="001935D0" w:rsidRDefault="00E94B29"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Политические репрессии</w:t>
            </w:r>
          </w:p>
        </w:tc>
        <w:tc>
          <w:tcPr>
            <w:tcW w:w="2410" w:type="dxa"/>
            <w:vAlign w:val="center"/>
          </w:tcPr>
          <w:p w14:paraId="50C2131A" w14:textId="126CFDD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48 политических заключённых; 686 отказов на проведе</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ние митингов</w:t>
            </w:r>
          </w:p>
        </w:tc>
        <w:tc>
          <w:tcPr>
            <w:tcW w:w="2645" w:type="dxa"/>
            <w:vAlign w:val="center"/>
          </w:tcPr>
          <w:p w14:paraId="40639A85" w14:textId="59080EE6"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Введение правозащит</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ных индикаторов в систему NDICI и еже</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годная верификация</w:t>
            </w:r>
          </w:p>
        </w:tc>
        <w:tc>
          <w:tcPr>
            <w:tcW w:w="2540" w:type="dxa"/>
            <w:vAlign w:val="center"/>
          </w:tcPr>
          <w:p w14:paraId="482BC47F"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Привязка финансовой помощи к уровню соблюдения прав человека</w:t>
            </w:r>
          </w:p>
        </w:tc>
      </w:tr>
      <w:tr w:rsidR="00E94B29" w:rsidRPr="001935D0" w14:paraId="2F532B57" w14:textId="77777777" w:rsidTr="00CB753F">
        <w:trPr>
          <w:jc w:val="center"/>
        </w:trPr>
        <w:tc>
          <w:tcPr>
            <w:tcW w:w="2026" w:type="dxa"/>
            <w:vAlign w:val="center"/>
          </w:tcPr>
          <w:p w14:paraId="66665331" w14:textId="77777777" w:rsidR="00E94B29" w:rsidRPr="001935D0" w:rsidRDefault="00E94B29"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Судебная независимость</w:t>
            </w:r>
          </w:p>
        </w:tc>
        <w:tc>
          <w:tcPr>
            <w:tcW w:w="2410" w:type="dxa"/>
            <w:vAlign w:val="center"/>
          </w:tcPr>
          <w:p w14:paraId="7E925A5C" w14:textId="094ACC19"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Частичная автоно</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мия судов, сохраня</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ющееся влияние ис</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полнительной власти</w:t>
            </w:r>
          </w:p>
        </w:tc>
        <w:tc>
          <w:tcPr>
            <w:tcW w:w="2645" w:type="dxa"/>
            <w:vAlign w:val="center"/>
          </w:tcPr>
          <w:p w14:paraId="4FA17A46" w14:textId="15848B7D"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Программы техниче</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ской помощи для судей и прокуратуры (TAIEX, Twinning)</w:t>
            </w:r>
          </w:p>
        </w:tc>
        <w:tc>
          <w:tcPr>
            <w:tcW w:w="2540" w:type="dxa"/>
            <w:vAlign w:val="center"/>
          </w:tcPr>
          <w:p w14:paraId="00DCBD34" w14:textId="7DC7E414"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Повышение институ</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циональной устойчи</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вости и транспарент</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ности судебной системы</w:t>
            </w:r>
          </w:p>
        </w:tc>
      </w:tr>
      <w:tr w:rsidR="00E94B29" w:rsidRPr="001935D0" w14:paraId="1596B001" w14:textId="77777777" w:rsidTr="00CB753F">
        <w:trPr>
          <w:jc w:val="center"/>
        </w:trPr>
        <w:tc>
          <w:tcPr>
            <w:tcW w:w="2026" w:type="dxa"/>
            <w:vAlign w:val="center"/>
          </w:tcPr>
          <w:p w14:paraId="24B26BF8" w14:textId="77777777" w:rsidR="00E94B29" w:rsidRPr="001935D0" w:rsidRDefault="00E94B29"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НГО и СМИ</w:t>
            </w:r>
          </w:p>
        </w:tc>
        <w:tc>
          <w:tcPr>
            <w:tcW w:w="2410" w:type="dxa"/>
            <w:vAlign w:val="center"/>
          </w:tcPr>
          <w:p w14:paraId="6BE4D362"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 xml:space="preserve">Давление на правозащитников, </w:t>
            </w:r>
            <w:r w:rsidRPr="001935D0">
              <w:rPr>
                <w:rFonts w:ascii="Times New Roman" w:hAnsi="Times New Roman" w:cs="Times New Roman"/>
                <w:sz w:val="24"/>
                <w:szCs w:val="24"/>
              </w:rPr>
              <w:lastRenderedPageBreak/>
              <w:t>блокировка деятельности, 142 место в World Press Freedom Index</w:t>
            </w:r>
          </w:p>
        </w:tc>
        <w:tc>
          <w:tcPr>
            <w:tcW w:w="2645" w:type="dxa"/>
            <w:vAlign w:val="center"/>
          </w:tcPr>
          <w:p w14:paraId="448E4755"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lastRenderedPageBreak/>
              <w:t xml:space="preserve">Грантовая поддержка независимых медиа и </w:t>
            </w:r>
            <w:r w:rsidRPr="001935D0">
              <w:rPr>
                <w:rFonts w:ascii="Times New Roman" w:hAnsi="Times New Roman" w:cs="Times New Roman"/>
                <w:sz w:val="24"/>
                <w:szCs w:val="24"/>
              </w:rPr>
              <w:lastRenderedPageBreak/>
              <w:t>образовательные инициативы ЕС (HELP, Creative Europe)</w:t>
            </w:r>
          </w:p>
        </w:tc>
        <w:tc>
          <w:tcPr>
            <w:tcW w:w="2540" w:type="dxa"/>
            <w:vAlign w:val="center"/>
          </w:tcPr>
          <w:p w14:paraId="21535954"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lastRenderedPageBreak/>
              <w:t xml:space="preserve">Расширение публичного </w:t>
            </w:r>
            <w:r w:rsidRPr="001935D0">
              <w:rPr>
                <w:rFonts w:ascii="Times New Roman" w:hAnsi="Times New Roman" w:cs="Times New Roman"/>
                <w:sz w:val="24"/>
                <w:szCs w:val="24"/>
              </w:rPr>
              <w:lastRenderedPageBreak/>
              <w:t>пространства и свободы выражения мнений</w:t>
            </w:r>
          </w:p>
        </w:tc>
      </w:tr>
      <w:tr w:rsidR="00E94B29" w:rsidRPr="001935D0" w14:paraId="37E101EA" w14:textId="77777777" w:rsidTr="00CB753F">
        <w:trPr>
          <w:jc w:val="center"/>
        </w:trPr>
        <w:tc>
          <w:tcPr>
            <w:tcW w:w="2026" w:type="dxa"/>
            <w:vAlign w:val="center"/>
          </w:tcPr>
          <w:p w14:paraId="50EACA96" w14:textId="77777777" w:rsidR="00E94B29" w:rsidRPr="001935D0" w:rsidRDefault="00E94B29"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lastRenderedPageBreak/>
              <w:t>Транснациональные репрессии</w:t>
            </w:r>
          </w:p>
        </w:tc>
        <w:tc>
          <w:tcPr>
            <w:tcW w:w="2410" w:type="dxa"/>
            <w:vAlign w:val="center"/>
          </w:tcPr>
          <w:p w14:paraId="5A6ACD7C"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Случаи преследований за рубежом (Бельгия, Франция, Украина)</w:t>
            </w:r>
          </w:p>
        </w:tc>
        <w:tc>
          <w:tcPr>
            <w:tcW w:w="2645" w:type="dxa"/>
            <w:vAlign w:val="center"/>
          </w:tcPr>
          <w:p w14:paraId="4E59E497"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Мониторинг FATF и введение процедур AML Compliance for HRDs</w:t>
            </w:r>
          </w:p>
        </w:tc>
        <w:tc>
          <w:tcPr>
            <w:tcW w:w="2540" w:type="dxa"/>
            <w:vAlign w:val="center"/>
          </w:tcPr>
          <w:p w14:paraId="69A346D3" w14:textId="3D963C3A"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Противодействие экстерриториальному преследованию и за</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щита правозащит</w:t>
            </w:r>
            <w:r w:rsidR="00CB753F">
              <w:rPr>
                <w:rFonts w:ascii="Times New Roman" w:hAnsi="Times New Roman" w:cs="Times New Roman"/>
                <w:sz w:val="24"/>
                <w:szCs w:val="24"/>
                <w:lang w:val="kk-KZ"/>
              </w:rPr>
              <w:t xml:space="preserve"> </w:t>
            </w:r>
            <w:r w:rsidRPr="001935D0">
              <w:rPr>
                <w:rFonts w:ascii="Times New Roman" w:hAnsi="Times New Roman" w:cs="Times New Roman"/>
                <w:sz w:val="24"/>
                <w:szCs w:val="24"/>
              </w:rPr>
              <w:t>ников</w:t>
            </w:r>
          </w:p>
        </w:tc>
      </w:tr>
      <w:tr w:rsidR="00E94B29" w:rsidRPr="001935D0" w14:paraId="6BAD8768" w14:textId="77777777" w:rsidTr="00CB753F">
        <w:trPr>
          <w:jc w:val="center"/>
        </w:trPr>
        <w:tc>
          <w:tcPr>
            <w:tcW w:w="2026" w:type="dxa"/>
            <w:vAlign w:val="center"/>
          </w:tcPr>
          <w:p w14:paraId="4E13521D" w14:textId="77777777" w:rsidR="00E94B29" w:rsidRPr="001935D0" w:rsidRDefault="00E94B29" w:rsidP="00593711">
            <w:pPr>
              <w:pStyle w:val="NoSpacing"/>
              <w:rPr>
                <w:rFonts w:ascii="Times New Roman" w:hAnsi="Times New Roman" w:cs="Times New Roman"/>
                <w:i/>
                <w:sz w:val="24"/>
                <w:szCs w:val="24"/>
              </w:rPr>
            </w:pPr>
            <w:r w:rsidRPr="001935D0">
              <w:rPr>
                <w:rFonts w:ascii="Times New Roman" w:hAnsi="Times New Roman" w:cs="Times New Roman"/>
                <w:i/>
                <w:sz w:val="24"/>
                <w:szCs w:val="24"/>
              </w:rPr>
              <w:t>Пытки и безнаказанность</w:t>
            </w:r>
          </w:p>
        </w:tc>
        <w:tc>
          <w:tcPr>
            <w:tcW w:w="2410" w:type="dxa"/>
            <w:vAlign w:val="center"/>
          </w:tcPr>
          <w:p w14:paraId="5641EFC9"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Подтверждённые случаи пыток без вынесенных приговоров</w:t>
            </w:r>
          </w:p>
        </w:tc>
        <w:tc>
          <w:tcPr>
            <w:tcW w:w="2645" w:type="dxa"/>
            <w:vAlign w:val="center"/>
          </w:tcPr>
          <w:p w14:paraId="3A98D646"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Поддержка офиса омбудсмена, тренинги для сотрудников тюрем и прокуратуры</w:t>
            </w:r>
          </w:p>
        </w:tc>
        <w:tc>
          <w:tcPr>
            <w:tcW w:w="2540" w:type="dxa"/>
            <w:vAlign w:val="center"/>
          </w:tcPr>
          <w:p w14:paraId="1461169F" w14:textId="77777777" w:rsidR="00E94B29" w:rsidRPr="001935D0" w:rsidRDefault="00E94B29" w:rsidP="00593711">
            <w:pPr>
              <w:pStyle w:val="NoSpacing"/>
              <w:jc w:val="both"/>
              <w:rPr>
                <w:rFonts w:ascii="Times New Roman" w:hAnsi="Times New Roman" w:cs="Times New Roman"/>
                <w:sz w:val="24"/>
                <w:szCs w:val="24"/>
              </w:rPr>
            </w:pPr>
            <w:r w:rsidRPr="001935D0">
              <w:rPr>
                <w:rFonts w:ascii="Times New Roman" w:hAnsi="Times New Roman" w:cs="Times New Roman"/>
                <w:sz w:val="24"/>
                <w:szCs w:val="24"/>
              </w:rPr>
              <w:t>Снижение уровня безнаказанности и укрепление доверия к институтам правосудия</w:t>
            </w:r>
          </w:p>
        </w:tc>
      </w:tr>
      <w:tr w:rsidR="00CB753F" w:rsidRPr="001935D0" w14:paraId="71E465F4" w14:textId="77777777" w:rsidTr="00187279">
        <w:trPr>
          <w:jc w:val="center"/>
        </w:trPr>
        <w:tc>
          <w:tcPr>
            <w:tcW w:w="9621" w:type="dxa"/>
            <w:gridSpan w:val="4"/>
            <w:vAlign w:val="center"/>
          </w:tcPr>
          <w:p w14:paraId="67EFB44A" w14:textId="579F50A0" w:rsidR="00CB753F" w:rsidRPr="001935D0" w:rsidRDefault="00CB753F" w:rsidP="00B04004">
            <w:pPr>
              <w:pStyle w:val="NoSpacing"/>
              <w:ind w:firstLine="593"/>
              <w:jc w:val="both"/>
              <w:rPr>
                <w:rFonts w:ascii="Times New Roman" w:hAnsi="Times New Roman" w:cs="Times New Roman"/>
                <w:sz w:val="24"/>
                <w:szCs w:val="24"/>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Составлено автором по данным [21</w:t>
            </w:r>
            <w:r w:rsidR="00B04004">
              <w:rPr>
                <w:rFonts w:ascii="Times New Roman" w:hAnsi="Times New Roman" w:cs="Times New Roman"/>
                <w:sz w:val="24"/>
                <w:szCs w:val="24"/>
                <w:lang w:val="kk-KZ"/>
              </w:rPr>
              <w:t>4</w:t>
            </w:r>
            <w:r w:rsidRPr="001935D0">
              <w:rPr>
                <w:rFonts w:ascii="Times New Roman" w:hAnsi="Times New Roman" w:cs="Times New Roman"/>
                <w:sz w:val="24"/>
                <w:szCs w:val="24"/>
              </w:rPr>
              <w:t>]</w:t>
            </w:r>
          </w:p>
        </w:tc>
      </w:tr>
    </w:tbl>
    <w:p w14:paraId="0D97739F" w14:textId="09FBC18B"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 xml:space="preserve">Продление Плана Европейского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оюза по правам человека и демократии до конца 2027 года с возможным расширением его действия до 2030 года представляется необходимым шагом для обеспечения преемственности и устойчивости правозащитной политики ЕС в Центральной Азии. Такая мера позволит сформировать долгосрочную архитектуру партнёрства, включающую систему промежуточных индикаторов (Human Rights Performance Matrix), гибридный инструментарий, сочетающий финансовые, образовательные и мониторинговые меры, а также институционализированный формат взаимодействия «ЕС – государственные структуры – НГО» [21</w:t>
      </w:r>
      <w:r w:rsidR="00B04004">
        <w:rPr>
          <w:rStyle w:val="Strong"/>
          <w:rFonts w:ascii="Times New Roman" w:hAnsi="Times New Roman" w:cs="Times New Roman"/>
          <w:b w:val="0"/>
          <w:sz w:val="28"/>
          <w:szCs w:val="28"/>
          <w:lang w:val="kk-KZ"/>
        </w:rPr>
        <w:t>4</w:t>
      </w:r>
      <w:r w:rsidRPr="001935D0">
        <w:rPr>
          <w:rStyle w:val="Strong"/>
          <w:rFonts w:ascii="Times New Roman" w:hAnsi="Times New Roman" w:cs="Times New Roman"/>
          <w:b w:val="0"/>
          <w:sz w:val="28"/>
          <w:szCs w:val="28"/>
        </w:rPr>
        <w:t>].</w:t>
      </w:r>
    </w:p>
    <w:p w14:paraId="063B4FF7" w14:textId="235DF875"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Создание специализированной подпрограммы Европейской службы внешних связей “Human Rights in Central Asia” обеспечило бы комплексный мониторинг правозащитных процессов в регионе и позволило интегрировать его результаты в ежегодные отчёты EEAS. Введение подобных механизмов повысит измеримость и прозрачность прогресса, укрепит систему подотчётности национальных институтов и создаст основу для объективной оценки правозащитной динамики [20</w:t>
      </w:r>
      <w:r w:rsidR="00B04004">
        <w:rPr>
          <w:rStyle w:val="Strong"/>
          <w:rFonts w:ascii="Times New Roman" w:hAnsi="Times New Roman" w:cs="Times New Roman"/>
          <w:b w:val="0"/>
          <w:sz w:val="28"/>
          <w:szCs w:val="28"/>
          <w:lang w:val="kk-KZ"/>
        </w:rPr>
        <w:t>1</w:t>
      </w:r>
      <w:r w:rsidRPr="001935D0">
        <w:rPr>
          <w:rStyle w:val="Strong"/>
          <w:rFonts w:ascii="Times New Roman" w:hAnsi="Times New Roman" w:cs="Times New Roman"/>
          <w:b w:val="0"/>
          <w:sz w:val="28"/>
          <w:szCs w:val="28"/>
        </w:rPr>
        <w:t>].</w:t>
      </w:r>
    </w:p>
    <w:p w14:paraId="2C7768DC" w14:textId="6CB1F66C"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 xml:space="preserve">Продление действия Плана соответствует не краткосрочной политической конъюнктуре, а логике институциональной адаптации внешней политики Европейского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 xml:space="preserve">оюза к современным вызовам постсоветского пространства. Казахстан, являясь ключевым партнёром ЕС в Центральной Азии, остаётся примером противоречивого сочетания нормативных реформ и ограниченной правоприменительной практики. Низкая политическая конкуренция, выборочная реализация международных обязательств и неполная независимость судебной власти продолжают формировать устойчивые институциональные барьеры, преодоление которых возможно лишь при наличии долгосрочного правозащитного мандата Европейского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оюза.</w:t>
      </w:r>
    </w:p>
    <w:p w14:paraId="7BFE8740" w14:textId="0B5AD246"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 xml:space="preserve">Обновлённый План должен превратиться из рамочного политического документа в действенный инструмент институциональной трансформации, направленной на переход от формальных деклараций к системной практике защиты прав человека. Его реализация должна опираться на синергию мониторинговых, образовательных и поддерживающих механизмов, стимулирующих развитие национальных правозащитных структур, </w:t>
      </w:r>
      <w:r w:rsidRPr="001935D0">
        <w:rPr>
          <w:rStyle w:val="Strong"/>
          <w:rFonts w:ascii="Times New Roman" w:hAnsi="Times New Roman" w:cs="Times New Roman"/>
          <w:b w:val="0"/>
          <w:sz w:val="28"/>
          <w:szCs w:val="28"/>
        </w:rPr>
        <w:lastRenderedPageBreak/>
        <w:t xml:space="preserve">гражданского участия и культуры подотчётности. Такой подход обеспечит не только углубление партнёрства между Европейским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оюзом и Казахстаном, но и формирование региональной модели, ориентированной на устойчивое развитие, верховенство права и защиту человеческого достоинства.</w:t>
      </w:r>
    </w:p>
    <w:p w14:paraId="6E979F74" w14:textId="34D1E40A" w:rsidR="00E94B29" w:rsidRPr="001935D0" w:rsidRDefault="00E94B29" w:rsidP="00CB753F">
      <w:pPr>
        <w:spacing w:after="0" w:line="240" w:lineRule="auto"/>
        <w:ind w:firstLine="709"/>
        <w:jc w:val="both"/>
        <w:rPr>
          <w:rFonts w:ascii="Times New Roman" w:eastAsia="Times New Roman" w:hAnsi="Times New Roman" w:cs="Times New Roman"/>
          <w:bCs/>
          <w:sz w:val="28"/>
          <w:szCs w:val="28"/>
          <w:lang w:eastAsia="ru-RU"/>
        </w:rPr>
      </w:pPr>
      <w:r w:rsidRPr="001935D0">
        <w:rPr>
          <w:rFonts w:ascii="Times New Roman" w:eastAsia="Times New Roman" w:hAnsi="Times New Roman" w:cs="Times New Roman"/>
          <w:bCs/>
          <w:sz w:val="28"/>
          <w:szCs w:val="28"/>
          <w:lang w:eastAsia="ru-RU"/>
        </w:rPr>
        <w:t>Эффективность взаимодействия в сфере прав человека зависит не только от наличия международных обязательств, но и от способности национальной политико-правовой системы адаптировать европейские стандарты в институциональную практику. В этой связи разработка целостной модели имплементационного потенциала позволяет систематизировать взаимосвязь между барьерами, инструментами ЕС и результатами их применения, а также определить направления дальнейшего совершенствования национальных механизмов реализации Плана ЕС по правам человека и демократии (</w:t>
      </w:r>
      <w:r w:rsidR="00CB753F" w:rsidRPr="001935D0">
        <w:rPr>
          <w:rFonts w:ascii="Times New Roman" w:eastAsia="Times New Roman" w:hAnsi="Times New Roman" w:cs="Times New Roman"/>
          <w:bCs/>
          <w:sz w:val="28"/>
          <w:szCs w:val="28"/>
          <w:lang w:eastAsia="ru-RU"/>
        </w:rPr>
        <w:t>рисунок</w:t>
      </w:r>
      <w:r w:rsidR="00CB753F">
        <w:rPr>
          <w:rFonts w:ascii="Times New Roman" w:eastAsia="Times New Roman" w:hAnsi="Times New Roman" w:cs="Times New Roman"/>
          <w:bCs/>
          <w:sz w:val="28"/>
          <w:szCs w:val="28"/>
          <w:lang w:val="kk-KZ" w:eastAsia="ru-RU"/>
        </w:rPr>
        <w:t> </w:t>
      </w:r>
      <w:r w:rsidRPr="001935D0">
        <w:rPr>
          <w:rFonts w:ascii="Times New Roman" w:eastAsia="Times New Roman" w:hAnsi="Times New Roman" w:cs="Times New Roman"/>
          <w:bCs/>
          <w:sz w:val="28"/>
          <w:szCs w:val="28"/>
          <w:lang w:eastAsia="ru-RU"/>
        </w:rPr>
        <w:t>3.9).</w:t>
      </w:r>
    </w:p>
    <w:p w14:paraId="49CD130F" w14:textId="77777777" w:rsidR="00E94B29" w:rsidRPr="001935D0" w:rsidRDefault="00E94B29" w:rsidP="00593711">
      <w:pPr>
        <w:spacing w:after="0" w:line="240" w:lineRule="auto"/>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noProof/>
          <w:sz w:val="28"/>
          <w:szCs w:val="28"/>
          <w:lang w:eastAsia="ru-RU"/>
        </w:rPr>
        <w:lastRenderedPageBreak/>
        <w:drawing>
          <wp:inline distT="0" distB="0" distL="0" distR="0" wp14:anchorId="38898710" wp14:editId="4DF6A27F">
            <wp:extent cx="6172200" cy="6765010"/>
            <wp:effectExtent l="19050" t="0" r="76200" b="74295"/>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5" r:lo="rId126" r:qs="rId127" r:cs="rId128"/>
              </a:graphicData>
            </a:graphic>
          </wp:inline>
        </w:drawing>
      </w:r>
    </w:p>
    <w:p w14:paraId="18042803" w14:textId="77777777" w:rsidR="00CB753F" w:rsidRPr="00CB753F" w:rsidRDefault="00CB753F" w:rsidP="00593711">
      <w:pPr>
        <w:pStyle w:val="NoSpacing"/>
        <w:ind w:firstLine="567"/>
        <w:jc w:val="both"/>
        <w:rPr>
          <w:rStyle w:val="Strong"/>
          <w:rFonts w:ascii="Times New Roman" w:hAnsi="Times New Roman" w:cs="Times New Roman"/>
          <w:b w:val="0"/>
          <w:bCs w:val="0"/>
          <w:sz w:val="16"/>
          <w:szCs w:val="16"/>
          <w:lang w:val="kk-KZ"/>
        </w:rPr>
      </w:pPr>
    </w:p>
    <w:p w14:paraId="5B611245" w14:textId="6D12AED7" w:rsidR="00E94B29" w:rsidRPr="001935D0" w:rsidRDefault="00E94B29" w:rsidP="00CB753F">
      <w:pPr>
        <w:pStyle w:val="NoSpacing"/>
        <w:jc w:val="center"/>
        <w:rPr>
          <w:rFonts w:ascii="Times New Roman" w:hAnsi="Times New Roman" w:cs="Times New Roman"/>
          <w:sz w:val="28"/>
          <w:szCs w:val="28"/>
        </w:rPr>
      </w:pPr>
      <w:r w:rsidRPr="001935D0">
        <w:rPr>
          <w:rStyle w:val="Strong"/>
          <w:rFonts w:ascii="Times New Roman" w:hAnsi="Times New Roman" w:cs="Times New Roman"/>
          <w:b w:val="0"/>
          <w:bCs w:val="0"/>
          <w:sz w:val="28"/>
          <w:szCs w:val="28"/>
        </w:rPr>
        <w:t>Рис</w:t>
      </w:r>
      <w:r w:rsidR="00CB753F">
        <w:rPr>
          <w:rStyle w:val="Strong"/>
          <w:rFonts w:ascii="Times New Roman" w:hAnsi="Times New Roman" w:cs="Times New Roman"/>
          <w:b w:val="0"/>
          <w:bCs w:val="0"/>
          <w:sz w:val="28"/>
          <w:szCs w:val="28"/>
          <w:lang w:val="kk-KZ"/>
        </w:rPr>
        <w:t>унок</w:t>
      </w:r>
      <w:r w:rsidRPr="001935D0">
        <w:rPr>
          <w:rStyle w:val="Strong"/>
          <w:rFonts w:ascii="Times New Roman" w:hAnsi="Times New Roman" w:cs="Times New Roman"/>
          <w:b w:val="0"/>
          <w:bCs w:val="0"/>
          <w:sz w:val="28"/>
          <w:szCs w:val="28"/>
        </w:rPr>
        <w:t xml:space="preserve"> 3.9 </w:t>
      </w:r>
      <w:r w:rsidR="00CB753F">
        <w:rPr>
          <w:rStyle w:val="Strong"/>
          <w:rFonts w:ascii="Times New Roman" w:hAnsi="Times New Roman" w:cs="Times New Roman"/>
          <w:b w:val="0"/>
          <w:bCs w:val="0"/>
          <w:sz w:val="28"/>
          <w:szCs w:val="28"/>
          <w:lang w:val="kk-KZ"/>
        </w:rPr>
        <w:t xml:space="preserve">– </w:t>
      </w:r>
      <w:r w:rsidRPr="001935D0">
        <w:rPr>
          <w:rStyle w:val="Strong"/>
          <w:rFonts w:ascii="Times New Roman" w:hAnsi="Times New Roman" w:cs="Times New Roman"/>
          <w:b w:val="0"/>
          <w:bCs w:val="0"/>
          <w:sz w:val="28"/>
          <w:szCs w:val="28"/>
        </w:rPr>
        <w:t>Модель имплементационного потенциала правозащитного партнёрства ЕС – Казахстан</w:t>
      </w:r>
    </w:p>
    <w:p w14:paraId="18F87319" w14:textId="77777777" w:rsidR="00CB753F" w:rsidRPr="00CB753F" w:rsidRDefault="00CB753F" w:rsidP="00593711">
      <w:pPr>
        <w:spacing w:after="0" w:line="240" w:lineRule="auto"/>
        <w:rPr>
          <w:rStyle w:val="Strong"/>
          <w:rFonts w:ascii="Times New Roman" w:hAnsi="Times New Roman" w:cs="Times New Roman"/>
          <w:b w:val="0"/>
          <w:sz w:val="16"/>
          <w:szCs w:val="16"/>
          <w:lang w:val="kk-KZ"/>
        </w:rPr>
      </w:pPr>
    </w:p>
    <w:p w14:paraId="3606C984" w14:textId="2E3A0BF4" w:rsidR="00E94B29" w:rsidRPr="001935D0" w:rsidRDefault="00CB753F" w:rsidP="00CB753F">
      <w:pPr>
        <w:spacing w:after="0" w:line="240" w:lineRule="auto"/>
        <w:ind w:firstLine="709"/>
        <w:rPr>
          <w:rStyle w:val="Strong"/>
          <w:rFonts w:ascii="Times New Roman" w:hAnsi="Times New Roman" w:cs="Times New Roman"/>
          <w:b w:val="0"/>
          <w:sz w:val="24"/>
          <w:szCs w:val="24"/>
        </w:rPr>
      </w:pPr>
      <w:r>
        <w:rPr>
          <w:rStyle w:val="Strong"/>
          <w:rFonts w:ascii="Times New Roman" w:hAnsi="Times New Roman" w:cs="Times New Roman"/>
          <w:b w:val="0"/>
          <w:sz w:val="24"/>
          <w:szCs w:val="24"/>
          <w:lang w:val="kk-KZ"/>
        </w:rPr>
        <w:t xml:space="preserve">Примечание – </w:t>
      </w:r>
      <w:r w:rsidRPr="001935D0">
        <w:rPr>
          <w:rStyle w:val="Strong"/>
          <w:rFonts w:ascii="Times New Roman" w:hAnsi="Times New Roman" w:cs="Times New Roman"/>
          <w:b w:val="0"/>
          <w:sz w:val="24"/>
          <w:szCs w:val="24"/>
        </w:rPr>
        <w:t>С</w:t>
      </w:r>
      <w:r w:rsidR="00E94B29" w:rsidRPr="001935D0">
        <w:rPr>
          <w:rStyle w:val="Strong"/>
          <w:rFonts w:ascii="Times New Roman" w:hAnsi="Times New Roman" w:cs="Times New Roman"/>
          <w:b w:val="0"/>
          <w:sz w:val="24"/>
          <w:szCs w:val="24"/>
        </w:rPr>
        <w:t xml:space="preserve">оставлено автором </w:t>
      </w:r>
    </w:p>
    <w:p w14:paraId="3D6DAEBC" w14:textId="77777777" w:rsidR="00E94B29" w:rsidRPr="001935D0" w:rsidRDefault="00E94B29" w:rsidP="00593711">
      <w:pPr>
        <w:pStyle w:val="NoSpacing"/>
        <w:ind w:firstLine="567"/>
        <w:jc w:val="both"/>
        <w:rPr>
          <w:rStyle w:val="Strong"/>
          <w:rFonts w:ascii="Times New Roman" w:hAnsi="Times New Roman" w:cs="Times New Roman"/>
          <w:b w:val="0"/>
          <w:sz w:val="28"/>
          <w:szCs w:val="28"/>
        </w:rPr>
      </w:pPr>
    </w:p>
    <w:p w14:paraId="33D53DB6" w14:textId="77777777"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 xml:space="preserve">Представленная модель имплементационного потенциала правозащитного партнёрства ЕС–Казахстан имеет прикладное значение как инструмент системного планирования и оценки результативности национальных реформ в области прав человека. Она позволяет перейти от формального мониторинга к выработке управленческих решений, основанных на измеримых индикаторах, </w:t>
      </w:r>
      <w:r w:rsidRPr="001935D0">
        <w:rPr>
          <w:rStyle w:val="Strong"/>
          <w:rFonts w:ascii="Times New Roman" w:hAnsi="Times New Roman" w:cs="Times New Roman"/>
          <w:b w:val="0"/>
          <w:sz w:val="28"/>
          <w:szCs w:val="28"/>
        </w:rPr>
        <w:lastRenderedPageBreak/>
        <w:t>институциональной подотчётности и взаимной ответственности между государственными органами и гражданским обществом.</w:t>
      </w:r>
    </w:p>
    <w:p w14:paraId="16AD39AC" w14:textId="77777777"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Для Казахстана данная структура выступает ориентиром перехода от внешней зависимости от международных оценок к формированию внутреннего механизма самооценки и устойчивого внедрения европейских стандартов в правоприменительную практику. Модель обеспечивает логическую взаимосвязь между судебной системой, институтом омбудсмена, исполнительной властью и гражданским обществом, создавая условия для повышения транспарентности, предсказуемости и доверия к государственным институтам.</w:t>
      </w:r>
    </w:p>
    <w:p w14:paraId="0E8A4B10" w14:textId="2D1B9E60"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Использование предложенной модели в рамках совместных программ ЕС и Казахстана – включая Rule of Law Programme for Central Asia (2020</w:t>
      </w:r>
      <w:r w:rsidR="00CB753F">
        <w:rPr>
          <w:rStyle w:val="Strong"/>
          <w:rFonts w:ascii="Times New Roman" w:hAnsi="Times New Roman" w:cs="Times New Roman"/>
          <w:b w:val="0"/>
          <w:sz w:val="28"/>
          <w:szCs w:val="28"/>
          <w:lang w:val="kk-KZ"/>
        </w:rPr>
        <w:t>-</w:t>
      </w:r>
      <w:r w:rsidRPr="001935D0">
        <w:rPr>
          <w:rStyle w:val="Strong"/>
          <w:rFonts w:ascii="Times New Roman" w:hAnsi="Times New Roman" w:cs="Times New Roman"/>
          <w:b w:val="0"/>
          <w:sz w:val="28"/>
          <w:szCs w:val="28"/>
        </w:rPr>
        <w:t>2024), EU Human Rights Dialogues, HELP-программу Совета Европы и Neighbourhood Co-operation Priorities 2024–2027 – позволит не только объективно измерять прогресс, но и укрепить институциональные механизмы подотчётности. Реализация индикаторных панелей и образовательных инициатив, предусмотренных на операционном уровне модели, формирует основу для устойчивого развития правовых институтов и повышения уровня политической инклюзивности.</w:t>
      </w:r>
    </w:p>
    <w:p w14:paraId="6A6E548A" w14:textId="0723B553"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 xml:space="preserve">Кроме того, структура модели создаёт предпосылки для институционализации долгосрочного партнёрства ЕС–Казахстан. Результаты мониторинга могут интегрироваться в Национальный план действий в области прав человека, антикоррупционную стратегию и в региональные программы Европейского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оюза для Центральной Азии. Это обеспечивает переход Казахстана от модели реагирования на внешние рекомендации к формированию собственной правозащитной политики, основанной на транспарентности, независимости институтов и верховенстве права.</w:t>
      </w:r>
    </w:p>
    <w:p w14:paraId="25AE2706" w14:textId="30C6CA4D"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 xml:space="preserve">В более широком контексте модель имплементационного потенциала служит дорожной картой правовой трансформации Казахстана, обеспечивающей переход от нормативного уровня взаимодействия с Европейским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оюзом к институциональной интеграции ценностей прав человека и демократии в национальную систему управления. Переход от формального следования международным обязательствам к реальной адаптации европейских стандартов требует комплексных и долгосрочных преобразований – как в сфере правоприменения, так и в области общественного участия.</w:t>
      </w:r>
    </w:p>
    <w:p w14:paraId="251BD272" w14:textId="241C58D1"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 xml:space="preserve">Ключевым направлением этого процесса остаётся укрепление независимости судебной системы и института омбудсмена, что формирует основу для практического обеспечения прав и свобод человека. В условиях сохраняющегося политического доминирования исполнительной власти имплементационный потенциал Казахстана носит промежуточный характер: достигнуты нормативные и институциональные результаты, однако сохраняются проблемы выборочного правоприменения и ограниченного гражданского участия. Активное участие Казахстана в программах Совета Европы, ОБСЕ и Европейского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 xml:space="preserve">оюза – включая Neighbourhood Co-operation Priorities 2024–2027, EU Human Rights Dialogues и Rule of Law Programme – создаёт возможности для </w:t>
      </w:r>
      <w:r w:rsidRPr="001935D0">
        <w:rPr>
          <w:rStyle w:val="Strong"/>
          <w:rFonts w:ascii="Times New Roman" w:hAnsi="Times New Roman" w:cs="Times New Roman"/>
          <w:b w:val="0"/>
          <w:sz w:val="28"/>
          <w:szCs w:val="28"/>
        </w:rPr>
        <w:lastRenderedPageBreak/>
        <w:t>поступательной институциональной конвергенции и адаптации европейских правовых стандартов к национальному контексту [19</w:t>
      </w:r>
      <w:r w:rsidR="00B04004">
        <w:rPr>
          <w:rStyle w:val="Strong"/>
          <w:rFonts w:ascii="Times New Roman" w:hAnsi="Times New Roman" w:cs="Times New Roman"/>
          <w:b w:val="0"/>
          <w:sz w:val="28"/>
          <w:szCs w:val="28"/>
          <w:lang w:val="kk-KZ"/>
        </w:rPr>
        <w:t>3</w:t>
      </w:r>
      <w:r w:rsidRPr="001935D0">
        <w:rPr>
          <w:rStyle w:val="Strong"/>
          <w:rFonts w:ascii="Times New Roman" w:hAnsi="Times New Roman" w:cs="Times New Roman"/>
          <w:b w:val="0"/>
          <w:sz w:val="28"/>
          <w:szCs w:val="28"/>
        </w:rPr>
        <w:t>].</w:t>
      </w:r>
    </w:p>
    <w:p w14:paraId="37651AE8" w14:textId="77777777" w:rsidR="00E94B29" w:rsidRPr="001935D0" w:rsidRDefault="00E94B29" w:rsidP="00CB753F">
      <w:pPr>
        <w:pStyle w:val="NoSpacing"/>
        <w:ind w:firstLine="709"/>
        <w:jc w:val="both"/>
        <w:rPr>
          <w:rStyle w:val="Strong"/>
          <w:rFonts w:ascii="Times New Roman" w:hAnsi="Times New Roman" w:cs="Times New Roman"/>
          <w:b w:val="0"/>
          <w:sz w:val="28"/>
          <w:szCs w:val="28"/>
        </w:rPr>
      </w:pPr>
      <w:r w:rsidRPr="001935D0">
        <w:rPr>
          <w:rStyle w:val="Strong"/>
          <w:rFonts w:ascii="Times New Roman" w:hAnsi="Times New Roman" w:cs="Times New Roman"/>
          <w:b w:val="0"/>
          <w:sz w:val="28"/>
          <w:szCs w:val="28"/>
        </w:rPr>
        <w:t>Реализация предложенной дорожной карты способствует формированию гибридной модели сотрудничества, в которой европейские механизмы мониторинга, индикаторов и правозащитного образования сочетаются с национальными инициативами – такими как Национальный план действий в области прав человека (2022), Антикоррупционная концепция (2022–2026) и цифровизация судебных процедур. Такой подход позволяет Казахстану перейти от внешней модели комплаенс-политики к внутренней институциональной модернизации, что укрепляет международную правосубъектность государства и повышает доверие со стороны европейских партнёров (таблица 3.13).</w:t>
      </w:r>
    </w:p>
    <w:p w14:paraId="3CC618AA" w14:textId="77777777" w:rsidR="00E94B29" w:rsidRPr="001935D0" w:rsidRDefault="00E94B29" w:rsidP="00593711">
      <w:pPr>
        <w:pStyle w:val="NoSpacing"/>
        <w:ind w:firstLine="567"/>
        <w:jc w:val="both"/>
        <w:rPr>
          <w:rFonts w:ascii="Times New Roman" w:hAnsi="Times New Roman" w:cs="Times New Roman"/>
          <w:sz w:val="28"/>
          <w:szCs w:val="28"/>
        </w:rPr>
      </w:pPr>
    </w:p>
    <w:p w14:paraId="16ACF831" w14:textId="2A9E4DF4" w:rsidR="00E94B29" w:rsidRDefault="00E94B29" w:rsidP="00CB753F">
      <w:pPr>
        <w:pStyle w:val="NoSpacing"/>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 xml:space="preserve">Таблица 3.13 </w:t>
      </w:r>
      <w:r w:rsidR="00CB753F">
        <w:rPr>
          <w:rFonts w:ascii="Times New Roman" w:hAnsi="Times New Roman" w:cs="Times New Roman"/>
          <w:sz w:val="28"/>
          <w:szCs w:val="28"/>
          <w:lang w:eastAsia="ru-RU"/>
        </w:rPr>
        <w:t>‒</w:t>
      </w:r>
      <w:r w:rsidR="00CB753F">
        <w:rPr>
          <w:rFonts w:ascii="Times New Roman" w:hAnsi="Times New Roman" w:cs="Times New Roman"/>
          <w:sz w:val="28"/>
          <w:szCs w:val="28"/>
          <w:lang w:val="kk-KZ" w:eastAsia="ru-RU"/>
        </w:rPr>
        <w:t xml:space="preserve"> </w:t>
      </w:r>
      <w:r w:rsidRPr="001935D0">
        <w:rPr>
          <w:rFonts w:ascii="Times New Roman" w:hAnsi="Times New Roman" w:cs="Times New Roman"/>
          <w:sz w:val="28"/>
          <w:szCs w:val="28"/>
          <w:lang w:eastAsia="ru-RU"/>
        </w:rPr>
        <w:t>Индикативная шкала оценки имплементационного потенциала стран Центральной Азии</w:t>
      </w:r>
    </w:p>
    <w:p w14:paraId="1621570B" w14:textId="77777777" w:rsidR="00CB753F" w:rsidRPr="00CB753F" w:rsidRDefault="00CB753F" w:rsidP="00CB753F">
      <w:pPr>
        <w:pStyle w:val="NoSpacing"/>
        <w:jc w:val="both"/>
        <w:rPr>
          <w:rFonts w:ascii="Times New Roman" w:hAnsi="Times New Roman" w:cs="Times New Roman"/>
          <w:sz w:val="16"/>
          <w:szCs w:val="16"/>
          <w:lang w:val="kk-KZ" w:eastAsia="ru-RU"/>
        </w:rPr>
      </w:pPr>
    </w:p>
    <w:tbl>
      <w:tblPr>
        <w:tblStyle w:val="TableGrid"/>
        <w:tblW w:w="9709" w:type="dxa"/>
        <w:jc w:val="center"/>
        <w:tblLook w:val="04A0" w:firstRow="1" w:lastRow="0" w:firstColumn="1" w:lastColumn="0" w:noHBand="0" w:noVBand="1"/>
      </w:tblPr>
      <w:tblGrid>
        <w:gridCol w:w="1980"/>
        <w:gridCol w:w="2835"/>
        <w:gridCol w:w="2403"/>
        <w:gridCol w:w="2491"/>
      </w:tblGrid>
      <w:tr w:rsidR="00E94B29" w:rsidRPr="001935D0" w14:paraId="6B9F3CC0" w14:textId="77777777" w:rsidTr="00CB753F">
        <w:trPr>
          <w:jc w:val="center"/>
        </w:trPr>
        <w:tc>
          <w:tcPr>
            <w:tcW w:w="1980" w:type="dxa"/>
            <w:vAlign w:val="center"/>
          </w:tcPr>
          <w:p w14:paraId="04BA3FC1" w14:textId="77777777" w:rsidR="00E94B29" w:rsidRPr="00CB753F" w:rsidRDefault="00E94B29" w:rsidP="00593711">
            <w:pPr>
              <w:jc w:val="center"/>
              <w:rPr>
                <w:rFonts w:ascii="Times New Roman" w:eastAsia="Times New Roman" w:hAnsi="Times New Roman" w:cs="Times New Roman"/>
                <w:bCs/>
                <w:sz w:val="24"/>
                <w:szCs w:val="24"/>
                <w:lang w:eastAsia="ru-RU"/>
              </w:rPr>
            </w:pPr>
            <w:r w:rsidRPr="00CB753F">
              <w:rPr>
                <w:rFonts w:ascii="Times New Roman" w:eastAsia="Times New Roman" w:hAnsi="Times New Roman" w:cs="Times New Roman"/>
                <w:bCs/>
                <w:sz w:val="24"/>
                <w:szCs w:val="24"/>
                <w:lang w:eastAsia="ru-RU"/>
              </w:rPr>
              <w:t>Уровень</w:t>
            </w:r>
          </w:p>
        </w:tc>
        <w:tc>
          <w:tcPr>
            <w:tcW w:w="2835" w:type="dxa"/>
            <w:vAlign w:val="center"/>
          </w:tcPr>
          <w:p w14:paraId="782C7B51" w14:textId="79714357" w:rsidR="00E94B29" w:rsidRPr="00CB753F" w:rsidRDefault="00E94B29" w:rsidP="00593711">
            <w:pPr>
              <w:jc w:val="center"/>
              <w:rPr>
                <w:rFonts w:ascii="Times New Roman" w:eastAsia="Times New Roman" w:hAnsi="Times New Roman" w:cs="Times New Roman"/>
                <w:bCs/>
                <w:sz w:val="24"/>
                <w:szCs w:val="24"/>
                <w:lang w:eastAsia="ru-RU"/>
              </w:rPr>
            </w:pPr>
            <w:r w:rsidRPr="00CB753F">
              <w:rPr>
                <w:rFonts w:ascii="Times New Roman" w:eastAsia="Times New Roman" w:hAnsi="Times New Roman" w:cs="Times New Roman"/>
                <w:bCs/>
                <w:sz w:val="24"/>
                <w:szCs w:val="24"/>
                <w:lang w:eastAsia="ru-RU"/>
              </w:rPr>
              <w:t>Характеристика состояния имплемента</w:t>
            </w:r>
            <w:r w:rsidR="00CB753F">
              <w:rPr>
                <w:rFonts w:ascii="Times New Roman" w:eastAsia="Times New Roman" w:hAnsi="Times New Roman" w:cs="Times New Roman"/>
                <w:bCs/>
                <w:sz w:val="24"/>
                <w:szCs w:val="24"/>
                <w:lang w:val="kk-KZ" w:eastAsia="ru-RU"/>
              </w:rPr>
              <w:t xml:space="preserve"> </w:t>
            </w:r>
            <w:r w:rsidRPr="00CB753F">
              <w:rPr>
                <w:rFonts w:ascii="Times New Roman" w:eastAsia="Times New Roman" w:hAnsi="Times New Roman" w:cs="Times New Roman"/>
                <w:bCs/>
                <w:sz w:val="24"/>
                <w:szCs w:val="24"/>
                <w:lang w:eastAsia="ru-RU"/>
              </w:rPr>
              <w:t>ционного потенциала</w:t>
            </w:r>
          </w:p>
        </w:tc>
        <w:tc>
          <w:tcPr>
            <w:tcW w:w="2403" w:type="dxa"/>
            <w:vAlign w:val="center"/>
          </w:tcPr>
          <w:p w14:paraId="5D83D912" w14:textId="77777777" w:rsidR="00E94B29" w:rsidRPr="00CB753F" w:rsidRDefault="00E94B29" w:rsidP="00593711">
            <w:pPr>
              <w:jc w:val="center"/>
              <w:rPr>
                <w:rFonts w:ascii="Times New Roman" w:eastAsia="Times New Roman" w:hAnsi="Times New Roman" w:cs="Times New Roman"/>
                <w:bCs/>
                <w:sz w:val="24"/>
                <w:szCs w:val="24"/>
                <w:lang w:eastAsia="ru-RU"/>
              </w:rPr>
            </w:pPr>
            <w:r w:rsidRPr="00CB753F">
              <w:rPr>
                <w:rFonts w:ascii="Times New Roman" w:eastAsia="Times New Roman" w:hAnsi="Times New Roman" w:cs="Times New Roman"/>
                <w:bCs/>
                <w:sz w:val="24"/>
                <w:szCs w:val="24"/>
                <w:lang w:eastAsia="ru-RU"/>
              </w:rPr>
              <w:t>Ключевые индикаторы и проявления</w:t>
            </w:r>
          </w:p>
        </w:tc>
        <w:tc>
          <w:tcPr>
            <w:tcW w:w="2491" w:type="dxa"/>
            <w:vAlign w:val="center"/>
          </w:tcPr>
          <w:p w14:paraId="262B711D" w14:textId="77777777" w:rsidR="00E94B29" w:rsidRPr="00CB753F" w:rsidRDefault="00E94B29" w:rsidP="00593711">
            <w:pPr>
              <w:jc w:val="center"/>
              <w:rPr>
                <w:rFonts w:ascii="Times New Roman" w:eastAsia="Times New Roman" w:hAnsi="Times New Roman" w:cs="Times New Roman"/>
                <w:bCs/>
                <w:sz w:val="24"/>
                <w:szCs w:val="24"/>
                <w:lang w:eastAsia="ru-RU"/>
              </w:rPr>
            </w:pPr>
            <w:r w:rsidRPr="00CB753F">
              <w:rPr>
                <w:rFonts w:ascii="Times New Roman" w:eastAsia="Times New Roman" w:hAnsi="Times New Roman" w:cs="Times New Roman"/>
                <w:bCs/>
                <w:sz w:val="24"/>
                <w:szCs w:val="24"/>
                <w:lang w:eastAsia="ru-RU"/>
              </w:rPr>
              <w:t>Типовые меры ЕС для поддержки</w:t>
            </w:r>
          </w:p>
        </w:tc>
      </w:tr>
      <w:tr w:rsidR="00CB753F" w:rsidRPr="001935D0" w14:paraId="1BDABCF4" w14:textId="77777777" w:rsidTr="00CB753F">
        <w:trPr>
          <w:jc w:val="center"/>
        </w:trPr>
        <w:tc>
          <w:tcPr>
            <w:tcW w:w="1980" w:type="dxa"/>
            <w:vAlign w:val="center"/>
          </w:tcPr>
          <w:p w14:paraId="36CC6A8B" w14:textId="318F900B" w:rsidR="00CB753F" w:rsidRPr="00CB753F" w:rsidRDefault="00CB753F"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w:t>
            </w:r>
          </w:p>
        </w:tc>
        <w:tc>
          <w:tcPr>
            <w:tcW w:w="2835" w:type="dxa"/>
            <w:vAlign w:val="center"/>
          </w:tcPr>
          <w:p w14:paraId="5B20302F" w14:textId="6B95C0B3" w:rsidR="00CB753F" w:rsidRPr="00CB753F" w:rsidRDefault="00CB753F"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w:t>
            </w:r>
          </w:p>
        </w:tc>
        <w:tc>
          <w:tcPr>
            <w:tcW w:w="2403" w:type="dxa"/>
            <w:vAlign w:val="center"/>
          </w:tcPr>
          <w:p w14:paraId="7CE5652B" w14:textId="6B0E7089" w:rsidR="00CB753F" w:rsidRPr="00CB753F" w:rsidRDefault="00CB753F"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3</w:t>
            </w:r>
          </w:p>
        </w:tc>
        <w:tc>
          <w:tcPr>
            <w:tcW w:w="2491" w:type="dxa"/>
            <w:vAlign w:val="center"/>
          </w:tcPr>
          <w:p w14:paraId="07672A9F" w14:textId="24002BFC" w:rsidR="00CB753F" w:rsidRPr="00CB753F" w:rsidRDefault="00CB753F" w:rsidP="00593711">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4</w:t>
            </w:r>
          </w:p>
        </w:tc>
      </w:tr>
      <w:tr w:rsidR="00E94B29" w:rsidRPr="001935D0" w14:paraId="02EB0B1A" w14:textId="77777777" w:rsidTr="00CB753F">
        <w:trPr>
          <w:jc w:val="center"/>
        </w:trPr>
        <w:tc>
          <w:tcPr>
            <w:tcW w:w="1980" w:type="dxa"/>
            <w:vAlign w:val="center"/>
          </w:tcPr>
          <w:p w14:paraId="56EA7C12" w14:textId="77777777" w:rsidR="00E94B29" w:rsidRPr="001935D0" w:rsidRDefault="00E94B29" w:rsidP="00CB753F">
            <w:pPr>
              <w:spacing w:line="228" w:lineRule="auto"/>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1. Минимальный</w:t>
            </w:r>
          </w:p>
        </w:tc>
        <w:tc>
          <w:tcPr>
            <w:tcW w:w="2835" w:type="dxa"/>
            <w:vAlign w:val="center"/>
          </w:tcPr>
          <w:p w14:paraId="7CA6B526" w14:textId="514F987E" w:rsidR="00E94B29" w:rsidRPr="001935D0" w:rsidRDefault="00E94B29" w:rsidP="00CB753F">
            <w:pPr>
              <w:spacing w:line="228"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Отсутствие политиче</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ской воли и институ</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циональных условий для внедрения международ</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ных стандартов. Права человека рассматрива</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ются как внешнеполити</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ческая риторика.</w:t>
            </w:r>
          </w:p>
        </w:tc>
        <w:tc>
          <w:tcPr>
            <w:tcW w:w="2403" w:type="dxa"/>
            <w:vAlign w:val="center"/>
          </w:tcPr>
          <w:p w14:paraId="22806140" w14:textId="7599F4A9" w:rsidR="00E94B29" w:rsidRPr="001935D0" w:rsidRDefault="00E94B29" w:rsidP="00CB753F">
            <w:pPr>
              <w:spacing w:line="228"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Закрытость судебной системы, отсутствие диалога с НПО, высокий уровень цензуры, примене</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ние репрессивного законодательства.</w:t>
            </w:r>
          </w:p>
        </w:tc>
        <w:tc>
          <w:tcPr>
            <w:tcW w:w="2491" w:type="dxa"/>
            <w:vAlign w:val="center"/>
          </w:tcPr>
          <w:p w14:paraId="321FA433" w14:textId="77777777" w:rsidR="00E94B29" w:rsidRPr="001935D0" w:rsidRDefault="00E94B29" w:rsidP="00CB753F">
            <w:pPr>
              <w:spacing w:line="228"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Гуманитарная помощь, правозащитные миссии, адресные адвокационные инициативы.</w:t>
            </w:r>
          </w:p>
        </w:tc>
      </w:tr>
      <w:tr w:rsidR="00E94B29" w:rsidRPr="001935D0" w14:paraId="5C146047" w14:textId="77777777" w:rsidTr="00CB753F">
        <w:trPr>
          <w:jc w:val="center"/>
        </w:trPr>
        <w:tc>
          <w:tcPr>
            <w:tcW w:w="1980" w:type="dxa"/>
            <w:vAlign w:val="center"/>
          </w:tcPr>
          <w:p w14:paraId="0E159E5E" w14:textId="77777777" w:rsidR="00E94B29" w:rsidRPr="001935D0" w:rsidRDefault="00E94B29" w:rsidP="00CB753F">
            <w:pPr>
              <w:spacing w:line="228" w:lineRule="auto"/>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2. Низкий</w:t>
            </w:r>
          </w:p>
        </w:tc>
        <w:tc>
          <w:tcPr>
            <w:tcW w:w="2835" w:type="dxa"/>
            <w:vAlign w:val="center"/>
          </w:tcPr>
          <w:p w14:paraId="6E693F49" w14:textId="4B5AEF51" w:rsidR="00E94B29" w:rsidRPr="00CB753F" w:rsidRDefault="00E94B29" w:rsidP="00CB753F">
            <w:pPr>
              <w:spacing w:line="228"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Формальное признание обязательств без их практической реализации; реформы ограничены символическими</w:t>
            </w:r>
            <w:r w:rsidR="00CB753F">
              <w:rPr>
                <w:rFonts w:ascii="Times New Roman" w:eastAsia="Times New Roman" w:hAnsi="Times New Roman" w:cs="Times New Roman"/>
                <w:sz w:val="24"/>
                <w:szCs w:val="24"/>
                <w:lang w:eastAsia="ru-RU"/>
              </w:rPr>
              <w:t xml:space="preserve"> шагами</w:t>
            </w:r>
          </w:p>
        </w:tc>
        <w:tc>
          <w:tcPr>
            <w:tcW w:w="2403" w:type="dxa"/>
            <w:vAlign w:val="center"/>
          </w:tcPr>
          <w:p w14:paraId="56ADBAC5" w14:textId="72F6A220" w:rsidR="00E94B29" w:rsidRPr="00CB753F" w:rsidRDefault="00E94B29" w:rsidP="00CB753F">
            <w:pPr>
              <w:spacing w:line="228"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Принятие деклара</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ций без механизмов исполнения, слабая автономия омбуд</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смена, выбороч</w:t>
            </w:r>
            <w:r w:rsidR="00CB753F">
              <w:rPr>
                <w:rFonts w:ascii="Times New Roman" w:eastAsia="Times New Roman" w:hAnsi="Times New Roman" w:cs="Times New Roman"/>
                <w:sz w:val="24"/>
                <w:szCs w:val="24"/>
                <w:lang w:eastAsia="ru-RU"/>
              </w:rPr>
              <w:t>ные репрессии против активистов</w:t>
            </w:r>
          </w:p>
        </w:tc>
        <w:tc>
          <w:tcPr>
            <w:tcW w:w="2491" w:type="dxa"/>
            <w:vAlign w:val="center"/>
          </w:tcPr>
          <w:p w14:paraId="61E2FD18" w14:textId="257EE4BE" w:rsidR="00E94B29" w:rsidRPr="00CB753F" w:rsidRDefault="00E94B29" w:rsidP="00CB753F">
            <w:pPr>
              <w:spacing w:line="228"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Программы технической помощи (TAIEX, Twinning), консультации по правовой гармониза</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ции, экспертные мис</w:t>
            </w:r>
            <w:r w:rsidR="00CB753F">
              <w:rPr>
                <w:rFonts w:ascii="Times New Roman" w:eastAsia="Times New Roman" w:hAnsi="Times New Roman" w:cs="Times New Roman"/>
                <w:sz w:val="24"/>
                <w:szCs w:val="24"/>
                <w:lang w:val="kk-KZ" w:eastAsia="ru-RU"/>
              </w:rPr>
              <w:t xml:space="preserve"> </w:t>
            </w:r>
            <w:r w:rsidR="00CB753F">
              <w:rPr>
                <w:rFonts w:ascii="Times New Roman" w:eastAsia="Times New Roman" w:hAnsi="Times New Roman" w:cs="Times New Roman"/>
                <w:sz w:val="24"/>
                <w:szCs w:val="24"/>
                <w:lang w:eastAsia="ru-RU"/>
              </w:rPr>
              <w:t>сии Совета Европы</w:t>
            </w:r>
          </w:p>
        </w:tc>
      </w:tr>
      <w:tr w:rsidR="00E94B29" w:rsidRPr="00AD6D54" w14:paraId="6ACE337F" w14:textId="77777777" w:rsidTr="00CB753F">
        <w:trPr>
          <w:jc w:val="center"/>
        </w:trPr>
        <w:tc>
          <w:tcPr>
            <w:tcW w:w="1980" w:type="dxa"/>
            <w:vAlign w:val="center"/>
          </w:tcPr>
          <w:p w14:paraId="14BE667A" w14:textId="77777777" w:rsidR="00E94B29" w:rsidRPr="001935D0" w:rsidRDefault="00E94B29" w:rsidP="00CB753F">
            <w:pPr>
              <w:spacing w:line="228" w:lineRule="auto"/>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3. Средний</w:t>
            </w:r>
          </w:p>
        </w:tc>
        <w:tc>
          <w:tcPr>
            <w:tcW w:w="2835" w:type="dxa"/>
            <w:vAlign w:val="center"/>
          </w:tcPr>
          <w:p w14:paraId="676E1243" w14:textId="51DDD27C" w:rsidR="00E94B29" w:rsidRPr="00CB753F" w:rsidRDefault="00E94B29" w:rsidP="00CB753F">
            <w:pPr>
              <w:spacing w:line="216"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Частичная институцио</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нальная адаптация при сохранении политиче</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ского контроля. Права человека интегрированы в дискурс, но приме</w:t>
            </w:r>
            <w:r w:rsidR="00CB753F">
              <w:rPr>
                <w:rFonts w:ascii="Times New Roman" w:eastAsia="Times New Roman" w:hAnsi="Times New Roman" w:cs="Times New Roman"/>
                <w:sz w:val="24"/>
                <w:szCs w:val="24"/>
                <w:lang w:val="kk-KZ" w:eastAsia="ru-RU"/>
              </w:rPr>
              <w:t xml:space="preserve"> </w:t>
            </w:r>
            <w:r w:rsidR="00CB753F">
              <w:rPr>
                <w:rFonts w:ascii="Times New Roman" w:eastAsia="Times New Roman" w:hAnsi="Times New Roman" w:cs="Times New Roman"/>
                <w:sz w:val="24"/>
                <w:szCs w:val="24"/>
                <w:lang w:eastAsia="ru-RU"/>
              </w:rPr>
              <w:t>няются избирательно</w:t>
            </w:r>
          </w:p>
        </w:tc>
        <w:tc>
          <w:tcPr>
            <w:tcW w:w="2403" w:type="dxa"/>
            <w:vAlign w:val="center"/>
          </w:tcPr>
          <w:p w14:paraId="04BF7A2C" w14:textId="54E159C2" w:rsidR="00E94B29" w:rsidRPr="00CB753F" w:rsidRDefault="00E94B29" w:rsidP="00CB753F">
            <w:pPr>
              <w:spacing w:line="216"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Национальные стратегии по правам человека, умеренная независимость суда, ограниченный дос</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туп СМИ, участие в о</w:t>
            </w:r>
            <w:r w:rsidR="00CB753F">
              <w:rPr>
                <w:rFonts w:ascii="Times New Roman" w:eastAsia="Times New Roman" w:hAnsi="Times New Roman" w:cs="Times New Roman"/>
                <w:sz w:val="24"/>
                <w:szCs w:val="24"/>
                <w:lang w:eastAsia="ru-RU"/>
              </w:rPr>
              <w:t>тдельных программах ЕС</w:t>
            </w:r>
          </w:p>
        </w:tc>
        <w:tc>
          <w:tcPr>
            <w:tcW w:w="2491" w:type="dxa"/>
            <w:vAlign w:val="center"/>
          </w:tcPr>
          <w:p w14:paraId="40BE97B1" w14:textId="77777777" w:rsidR="00E94B29" w:rsidRPr="001304F6" w:rsidRDefault="00E94B29" w:rsidP="00CB753F">
            <w:pPr>
              <w:spacing w:line="216" w:lineRule="auto"/>
              <w:jc w:val="both"/>
              <w:rPr>
                <w:rFonts w:ascii="Times New Roman" w:eastAsia="Times New Roman" w:hAnsi="Times New Roman" w:cs="Times New Roman"/>
                <w:sz w:val="24"/>
                <w:szCs w:val="24"/>
                <w:lang w:val="kk-KZ" w:eastAsia="ru-RU"/>
              </w:rPr>
            </w:pPr>
            <w:r w:rsidRPr="001304F6">
              <w:rPr>
                <w:rFonts w:ascii="Times New Roman" w:eastAsia="Times New Roman" w:hAnsi="Times New Roman" w:cs="Times New Roman"/>
                <w:sz w:val="24"/>
                <w:szCs w:val="24"/>
                <w:lang w:val="kk-KZ" w:eastAsia="ru-RU"/>
              </w:rPr>
              <w:t xml:space="preserve">Интеграция в NDICI – </w:t>
            </w:r>
            <w:r w:rsidRPr="001304F6">
              <w:rPr>
                <w:rFonts w:ascii="Times New Roman" w:eastAsia="Times New Roman" w:hAnsi="Times New Roman" w:cs="Times New Roman"/>
                <w:i/>
                <w:iCs/>
                <w:sz w:val="24"/>
                <w:szCs w:val="24"/>
                <w:lang w:val="kk-KZ" w:eastAsia="ru-RU"/>
              </w:rPr>
              <w:t>Global Europe</w:t>
            </w:r>
            <w:r w:rsidRPr="001304F6">
              <w:rPr>
                <w:rFonts w:ascii="Times New Roman" w:eastAsia="Times New Roman" w:hAnsi="Times New Roman" w:cs="Times New Roman"/>
                <w:sz w:val="24"/>
                <w:szCs w:val="24"/>
                <w:lang w:val="kk-KZ" w:eastAsia="ru-RU"/>
              </w:rPr>
              <w:t xml:space="preserve">, регулярные </w:t>
            </w:r>
            <w:r w:rsidRPr="001304F6">
              <w:rPr>
                <w:rFonts w:ascii="Times New Roman" w:eastAsia="Times New Roman" w:hAnsi="Times New Roman" w:cs="Times New Roman"/>
                <w:i/>
                <w:iCs/>
                <w:sz w:val="24"/>
                <w:szCs w:val="24"/>
                <w:lang w:val="kk-KZ" w:eastAsia="ru-RU"/>
              </w:rPr>
              <w:t>EU Human Rights Dialogues</w:t>
            </w:r>
            <w:r w:rsidRPr="001304F6">
              <w:rPr>
                <w:rFonts w:ascii="Times New Roman" w:eastAsia="Times New Roman" w:hAnsi="Times New Roman" w:cs="Times New Roman"/>
                <w:sz w:val="24"/>
                <w:szCs w:val="24"/>
                <w:lang w:val="kk-KZ" w:eastAsia="ru-RU"/>
              </w:rPr>
              <w:t xml:space="preserve">, поддержка правозащитных НПО и программ </w:t>
            </w:r>
            <w:r w:rsidRPr="001304F6">
              <w:rPr>
                <w:rFonts w:ascii="Times New Roman" w:eastAsia="Times New Roman" w:hAnsi="Times New Roman" w:cs="Times New Roman"/>
                <w:i/>
                <w:iCs/>
                <w:sz w:val="24"/>
                <w:szCs w:val="24"/>
                <w:lang w:val="kk-KZ" w:eastAsia="ru-RU"/>
              </w:rPr>
              <w:t>Rule of Law</w:t>
            </w:r>
            <w:r w:rsidRPr="001304F6">
              <w:rPr>
                <w:rFonts w:ascii="Times New Roman" w:eastAsia="Times New Roman" w:hAnsi="Times New Roman" w:cs="Times New Roman"/>
                <w:sz w:val="24"/>
                <w:szCs w:val="24"/>
                <w:lang w:val="kk-KZ" w:eastAsia="ru-RU"/>
              </w:rPr>
              <w:t>.</w:t>
            </w:r>
          </w:p>
        </w:tc>
      </w:tr>
      <w:tr w:rsidR="00E94B29" w:rsidRPr="001935D0" w14:paraId="2F707CE1" w14:textId="77777777" w:rsidTr="00367660">
        <w:trPr>
          <w:jc w:val="center"/>
        </w:trPr>
        <w:tc>
          <w:tcPr>
            <w:tcW w:w="1980" w:type="dxa"/>
            <w:tcBorders>
              <w:bottom w:val="nil"/>
            </w:tcBorders>
            <w:vAlign w:val="center"/>
          </w:tcPr>
          <w:p w14:paraId="039A72F2" w14:textId="77777777" w:rsidR="00E94B29" w:rsidRPr="001935D0" w:rsidRDefault="00E94B29" w:rsidP="00CB753F">
            <w:pPr>
              <w:spacing w:line="228" w:lineRule="auto"/>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4. Повышенный</w:t>
            </w:r>
          </w:p>
        </w:tc>
        <w:tc>
          <w:tcPr>
            <w:tcW w:w="2835" w:type="dxa"/>
            <w:tcBorders>
              <w:bottom w:val="nil"/>
            </w:tcBorders>
            <w:vAlign w:val="center"/>
          </w:tcPr>
          <w:p w14:paraId="57385F4A" w14:textId="77777777" w:rsidR="00E94B29" w:rsidRPr="001935D0" w:rsidRDefault="00E94B29" w:rsidP="00CB753F">
            <w:pPr>
              <w:spacing w:line="216" w:lineRule="auto"/>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Наличие устойчивых механизмов имплементации и участия гражданского общества.</w:t>
            </w:r>
          </w:p>
        </w:tc>
        <w:tc>
          <w:tcPr>
            <w:tcW w:w="2403" w:type="dxa"/>
            <w:tcBorders>
              <w:bottom w:val="nil"/>
            </w:tcBorders>
            <w:vAlign w:val="center"/>
          </w:tcPr>
          <w:p w14:paraId="28AC8E9F" w14:textId="4E0CE88E" w:rsidR="00E94B29" w:rsidRPr="00CB753F" w:rsidRDefault="00E94B29" w:rsidP="00CB753F">
            <w:pPr>
              <w:spacing w:line="216"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Функционирование независимого омбуд</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смена, развитие HELP-программ, открытые судебные данные, участие в GRECO и CEPEJ, </w:t>
            </w:r>
            <w:r w:rsidR="00CB753F">
              <w:rPr>
                <w:rFonts w:ascii="Times New Roman" w:eastAsia="Times New Roman" w:hAnsi="Times New Roman" w:cs="Times New Roman"/>
                <w:sz w:val="24"/>
                <w:szCs w:val="24"/>
                <w:lang w:eastAsia="ru-RU"/>
              </w:rPr>
              <w:t>регулярный мониторинг</w:t>
            </w:r>
          </w:p>
        </w:tc>
        <w:tc>
          <w:tcPr>
            <w:tcW w:w="2491" w:type="dxa"/>
            <w:tcBorders>
              <w:bottom w:val="nil"/>
            </w:tcBorders>
            <w:vAlign w:val="center"/>
          </w:tcPr>
          <w:p w14:paraId="7EE84373" w14:textId="02AE36E0" w:rsidR="00E94B29" w:rsidRPr="00CB753F" w:rsidRDefault="00E94B29" w:rsidP="00CB753F">
            <w:pPr>
              <w:spacing w:line="216" w:lineRule="auto"/>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Совместные индика</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торные панели ЕС–страна, институцио</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нальные соглашения, поддержка региональ</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ных правовых плат</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форм и образователь</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ных</w:t>
            </w:r>
            <w:r w:rsidR="00CB753F">
              <w:rPr>
                <w:rFonts w:ascii="Times New Roman" w:eastAsia="Times New Roman" w:hAnsi="Times New Roman" w:cs="Times New Roman"/>
                <w:sz w:val="24"/>
                <w:szCs w:val="24"/>
                <w:lang w:eastAsia="ru-RU"/>
              </w:rPr>
              <w:t xml:space="preserve"> инициатив</w:t>
            </w:r>
          </w:p>
        </w:tc>
      </w:tr>
      <w:tr w:rsidR="00367660" w:rsidRPr="001935D0" w14:paraId="6768363E" w14:textId="77777777" w:rsidTr="00367660">
        <w:trPr>
          <w:jc w:val="center"/>
        </w:trPr>
        <w:tc>
          <w:tcPr>
            <w:tcW w:w="9709" w:type="dxa"/>
            <w:gridSpan w:val="4"/>
            <w:tcBorders>
              <w:top w:val="nil"/>
              <w:left w:val="nil"/>
              <w:right w:val="nil"/>
            </w:tcBorders>
            <w:vAlign w:val="center"/>
          </w:tcPr>
          <w:p w14:paraId="6EBEE5CD" w14:textId="2C82E4A8" w:rsidR="00367660" w:rsidRPr="00367660" w:rsidRDefault="00367660" w:rsidP="00367660">
            <w:pPr>
              <w:ind w:hanging="114"/>
              <w:jc w:val="both"/>
              <w:rPr>
                <w:rFonts w:ascii="Times New Roman" w:eastAsia="Times New Roman" w:hAnsi="Times New Roman" w:cs="Times New Roman"/>
                <w:sz w:val="28"/>
                <w:szCs w:val="28"/>
                <w:lang w:val="kk-KZ" w:eastAsia="ru-RU"/>
              </w:rPr>
            </w:pPr>
            <w:r w:rsidRPr="00367660">
              <w:rPr>
                <w:rFonts w:ascii="Times New Roman" w:eastAsia="Times New Roman" w:hAnsi="Times New Roman" w:cs="Times New Roman"/>
                <w:sz w:val="28"/>
                <w:szCs w:val="28"/>
                <w:lang w:val="kk-KZ" w:eastAsia="ru-RU"/>
              </w:rPr>
              <w:t>Продолжение таблицы 3.13</w:t>
            </w:r>
          </w:p>
          <w:p w14:paraId="528585BB" w14:textId="2BB23599" w:rsidR="00367660" w:rsidRPr="00367660" w:rsidRDefault="00367660" w:rsidP="00367660">
            <w:pPr>
              <w:ind w:hanging="114"/>
              <w:jc w:val="both"/>
              <w:rPr>
                <w:rFonts w:ascii="Times New Roman" w:eastAsia="Times New Roman" w:hAnsi="Times New Roman" w:cs="Times New Roman"/>
                <w:sz w:val="16"/>
                <w:szCs w:val="16"/>
                <w:lang w:val="kk-KZ" w:eastAsia="ru-RU"/>
              </w:rPr>
            </w:pPr>
          </w:p>
        </w:tc>
      </w:tr>
      <w:tr w:rsidR="00CB753F" w:rsidRPr="001935D0" w14:paraId="05A30410" w14:textId="77777777" w:rsidTr="00CB753F">
        <w:trPr>
          <w:jc w:val="center"/>
        </w:trPr>
        <w:tc>
          <w:tcPr>
            <w:tcW w:w="1980" w:type="dxa"/>
            <w:vAlign w:val="center"/>
          </w:tcPr>
          <w:p w14:paraId="2E5F987B" w14:textId="54D66903" w:rsidR="00CB753F" w:rsidRPr="00CB753F" w:rsidRDefault="00CB753F" w:rsidP="00CB753F">
            <w:pPr>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lastRenderedPageBreak/>
              <w:t>1</w:t>
            </w:r>
          </w:p>
        </w:tc>
        <w:tc>
          <w:tcPr>
            <w:tcW w:w="2835" w:type="dxa"/>
            <w:vAlign w:val="center"/>
          </w:tcPr>
          <w:p w14:paraId="246976DC" w14:textId="40877527" w:rsidR="00CB753F" w:rsidRPr="00CB753F" w:rsidRDefault="00CB753F" w:rsidP="00CB753F">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403" w:type="dxa"/>
            <w:vAlign w:val="center"/>
          </w:tcPr>
          <w:p w14:paraId="7D019708" w14:textId="27A62393" w:rsidR="00CB753F" w:rsidRPr="00CB753F" w:rsidRDefault="00CB753F" w:rsidP="00CB753F">
            <w:pPr>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491" w:type="dxa"/>
            <w:vAlign w:val="center"/>
          </w:tcPr>
          <w:p w14:paraId="410C0831" w14:textId="77777777" w:rsidR="00CB753F" w:rsidRPr="00CB753F" w:rsidRDefault="00CB753F" w:rsidP="00CB753F">
            <w:pPr>
              <w:jc w:val="center"/>
              <w:rPr>
                <w:rFonts w:ascii="Times New Roman" w:eastAsia="Times New Roman" w:hAnsi="Times New Roman" w:cs="Times New Roman"/>
                <w:sz w:val="24"/>
                <w:szCs w:val="24"/>
                <w:lang w:eastAsia="ru-RU"/>
              </w:rPr>
            </w:pPr>
          </w:p>
        </w:tc>
      </w:tr>
      <w:tr w:rsidR="00E94B29" w:rsidRPr="001935D0" w14:paraId="284741FA" w14:textId="77777777" w:rsidTr="00CB753F">
        <w:trPr>
          <w:jc w:val="center"/>
        </w:trPr>
        <w:tc>
          <w:tcPr>
            <w:tcW w:w="1980" w:type="dxa"/>
            <w:vAlign w:val="center"/>
          </w:tcPr>
          <w:p w14:paraId="09737F03" w14:textId="77777777" w:rsidR="00E94B29" w:rsidRPr="001935D0" w:rsidRDefault="00E94B29" w:rsidP="00593711">
            <w:pPr>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5. Высокий (оптимальный)</w:t>
            </w:r>
          </w:p>
        </w:tc>
        <w:tc>
          <w:tcPr>
            <w:tcW w:w="2835" w:type="dxa"/>
            <w:vAlign w:val="center"/>
          </w:tcPr>
          <w:p w14:paraId="2EDC3D34" w14:textId="7777777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Полная институциональная интеграция международных стандартов и самоподдерживающаяся правовая культура.</w:t>
            </w:r>
          </w:p>
        </w:tc>
        <w:tc>
          <w:tcPr>
            <w:tcW w:w="2403" w:type="dxa"/>
            <w:vAlign w:val="center"/>
          </w:tcPr>
          <w:p w14:paraId="5224C6B0" w14:textId="1DEFF1D6" w:rsidR="00E94B29" w:rsidRPr="00CB753F" w:rsidRDefault="00E94B29" w:rsidP="00593711">
            <w:pPr>
              <w:jc w:val="both"/>
              <w:rPr>
                <w:rFonts w:ascii="Times New Roman" w:eastAsia="Times New Roman" w:hAnsi="Times New Roman" w:cs="Times New Roman"/>
                <w:sz w:val="24"/>
                <w:szCs w:val="24"/>
                <w:lang w:val="kk-KZ" w:eastAsia="ru-RU"/>
              </w:rPr>
            </w:pPr>
            <w:r w:rsidRPr="001935D0">
              <w:rPr>
                <w:rFonts w:ascii="Times New Roman" w:eastAsia="Times New Roman" w:hAnsi="Times New Roman" w:cs="Times New Roman"/>
                <w:sz w:val="24"/>
                <w:szCs w:val="24"/>
                <w:lang w:eastAsia="ru-RU"/>
              </w:rPr>
              <w:t>Системное примене</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ние норм ЕС и Совета Европы, открытость СМИ, прозрачность бюд</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жета, устойчивая по</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литическая конкурен</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ция, высокая граж</w:t>
            </w:r>
            <w:r w:rsidR="00CB753F">
              <w:rPr>
                <w:rFonts w:ascii="Times New Roman" w:eastAsia="Times New Roman" w:hAnsi="Times New Roman" w:cs="Times New Roman"/>
                <w:sz w:val="24"/>
                <w:szCs w:val="24"/>
                <w:lang w:val="kk-KZ" w:eastAsia="ru-RU"/>
              </w:rPr>
              <w:t xml:space="preserve"> </w:t>
            </w:r>
            <w:r w:rsidR="00CB753F">
              <w:rPr>
                <w:rFonts w:ascii="Times New Roman" w:eastAsia="Times New Roman" w:hAnsi="Times New Roman" w:cs="Times New Roman"/>
                <w:sz w:val="24"/>
                <w:szCs w:val="24"/>
                <w:lang w:eastAsia="ru-RU"/>
              </w:rPr>
              <w:t>данская вовлечён</w:t>
            </w:r>
            <w:r w:rsidR="00D65002">
              <w:rPr>
                <w:rFonts w:ascii="Times New Roman" w:eastAsia="Times New Roman" w:hAnsi="Times New Roman" w:cs="Times New Roman"/>
                <w:sz w:val="24"/>
                <w:szCs w:val="24"/>
                <w:lang w:val="kk-KZ" w:eastAsia="ru-RU"/>
              </w:rPr>
              <w:t xml:space="preserve"> </w:t>
            </w:r>
            <w:r w:rsidR="00CB753F">
              <w:rPr>
                <w:rFonts w:ascii="Times New Roman" w:eastAsia="Times New Roman" w:hAnsi="Times New Roman" w:cs="Times New Roman"/>
                <w:sz w:val="24"/>
                <w:szCs w:val="24"/>
                <w:lang w:eastAsia="ru-RU"/>
              </w:rPr>
              <w:t>ность</w:t>
            </w:r>
          </w:p>
        </w:tc>
        <w:tc>
          <w:tcPr>
            <w:tcW w:w="2491" w:type="dxa"/>
            <w:vAlign w:val="center"/>
          </w:tcPr>
          <w:p w14:paraId="67E71CC3" w14:textId="0A0882E7" w:rsidR="00E94B29" w:rsidRPr="001935D0" w:rsidRDefault="00E94B29" w:rsidP="00593711">
            <w:pPr>
              <w:jc w:val="both"/>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Комплексные финан</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сово-образователь</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ные механизмы ЕС, участие в обще</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европейских право</w:t>
            </w:r>
            <w:r w:rsidR="00CB753F">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вых пространствах и соглашениях.</w:t>
            </w:r>
          </w:p>
        </w:tc>
      </w:tr>
      <w:tr w:rsidR="00D65002" w:rsidRPr="001935D0" w14:paraId="48E6BA16" w14:textId="77777777" w:rsidTr="00187279">
        <w:trPr>
          <w:jc w:val="center"/>
        </w:trPr>
        <w:tc>
          <w:tcPr>
            <w:tcW w:w="9709" w:type="dxa"/>
            <w:gridSpan w:val="4"/>
            <w:vAlign w:val="center"/>
          </w:tcPr>
          <w:p w14:paraId="7AD7EE87" w14:textId="78306542" w:rsidR="00D65002" w:rsidRPr="00235963" w:rsidRDefault="009D7580" w:rsidP="00B04004">
            <w:pPr>
              <w:ind w:firstLine="637"/>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val="kk-KZ" w:eastAsia="ru-RU"/>
              </w:rPr>
              <w:t xml:space="preserve">Примечание – </w:t>
            </w:r>
            <w:r w:rsidRPr="001935D0">
              <w:rPr>
                <w:rFonts w:ascii="Times New Roman" w:eastAsia="Times New Roman" w:hAnsi="Times New Roman" w:cs="Times New Roman"/>
                <w:iCs/>
                <w:sz w:val="24"/>
                <w:szCs w:val="24"/>
                <w:lang w:eastAsia="ru-RU"/>
              </w:rPr>
              <w:t>Составл</w:t>
            </w:r>
            <w:r>
              <w:rPr>
                <w:rFonts w:ascii="Times New Roman" w:eastAsia="Times New Roman" w:hAnsi="Times New Roman" w:cs="Times New Roman"/>
                <w:iCs/>
                <w:sz w:val="24"/>
                <w:szCs w:val="24"/>
                <w:lang w:eastAsia="ru-RU"/>
              </w:rPr>
              <w:t>ено автором по данным [</w:t>
            </w:r>
            <w:r>
              <w:rPr>
                <w:rFonts w:ascii="Times New Roman" w:eastAsia="Times New Roman" w:hAnsi="Times New Roman" w:cs="Times New Roman"/>
                <w:iCs/>
                <w:sz w:val="24"/>
                <w:szCs w:val="24"/>
                <w:lang w:val="kk-KZ" w:eastAsia="ru-RU"/>
              </w:rPr>
              <w:t>186; 187; 188; 189; 190; 191; 192; 193; 194; 195; 196, р. 42-58; 197; 198; 199; 200</w:t>
            </w:r>
            <w:r>
              <w:rPr>
                <w:rFonts w:ascii="Times New Roman" w:eastAsia="Times New Roman" w:hAnsi="Times New Roman" w:cs="Times New Roman"/>
                <w:iCs/>
                <w:sz w:val="24"/>
                <w:szCs w:val="24"/>
                <w:lang w:eastAsia="ru-RU"/>
              </w:rPr>
              <w:t>]</w:t>
            </w:r>
          </w:p>
        </w:tc>
      </w:tr>
    </w:tbl>
    <w:p w14:paraId="4E815821" w14:textId="77777777" w:rsidR="00D65002" w:rsidRDefault="00D65002" w:rsidP="00593711">
      <w:pPr>
        <w:pStyle w:val="NoSpacing"/>
        <w:ind w:firstLine="567"/>
        <w:jc w:val="both"/>
        <w:rPr>
          <w:rFonts w:ascii="Times New Roman" w:hAnsi="Times New Roman" w:cs="Times New Roman"/>
          <w:sz w:val="28"/>
          <w:szCs w:val="28"/>
          <w:lang w:val="kk-KZ" w:eastAsia="ru-RU"/>
        </w:rPr>
      </w:pPr>
    </w:p>
    <w:p w14:paraId="2CF76CAF" w14:textId="77777777" w:rsidR="00E94B29" w:rsidRPr="001935D0" w:rsidRDefault="00E94B29" w:rsidP="00367660">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Шкала имплементационного потенциала представляет собой инструмент комплексной диагностики готовности государства к практической реализации международных стандартов прав человека. Она сочетает институциональные, политические и правовые показатели, отражающие степень зрелости национальной правозащитной системы и её способность к устойчивой адаптации внешних обязательств. В контексте Республики Казахстан текущий уровень имплементационного потенциала можно охарактеризовать как средний (уровень 3). Государство достигло заметных нормативных и институциональных результатов – принят Национальный план действий в области прав человека, создан Конституционный суд, укреплён статус Омбудсмена, активизированы регулярные Диалоги ЕС–Казахстан по правам человека. Вместе с тем сохраняются ограничения свободы слова, избирательное правоприменение и зависимость судебной системы от исполнительной власти.</w:t>
      </w:r>
    </w:p>
    <w:p w14:paraId="2B112DEC" w14:textId="77777777" w:rsidR="00E94B29" w:rsidRPr="001935D0" w:rsidRDefault="00E94B29" w:rsidP="00367660">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Переход к более высокому уровню (уровень 4) потребует институционального укрепления независимости судов и прокуратуры, внедрения системного ex ante анализа законодательства, а также развития каналов взаимодействия между гражданским обществом и государственными структурами через гибридные механизмы мониторинга и оценки. Ключевым направлением также остаётся расширение участия Казахстана в международных инициативах – GRECO, CEPEJ, HELP и программах ОБСЕ, направленных на повышение транспарентности правосудия и профессиональную подготовку юристов.</w:t>
      </w:r>
    </w:p>
    <w:p w14:paraId="4D1B80FD" w14:textId="77777777" w:rsidR="00E94B29" w:rsidRPr="001935D0" w:rsidRDefault="00E94B29" w:rsidP="00367660">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t>Внедрение индикативной шкалы в рамках дорожной карты ЕС–Казахстан придаёт партнёрству прикладной и стратегический характер. Такая методика позволяет не только фиксировать прогресс, но и выстраивать систему динамического мониторинга, в которой каждый институциональный барьер рассматривается как элемент управляемого изменения. В условиях посткризисной трансформации 2022–2025 годов шкала имплементационного потенциала становится инструментом обновления EU Action Plan on Human Rights and Democracy (2020–2027) и его адаптации к региональной специфике Центральной Азии.</w:t>
      </w:r>
    </w:p>
    <w:p w14:paraId="333043FA" w14:textId="3A971D75" w:rsidR="00E94B29" w:rsidRPr="001935D0" w:rsidRDefault="00E94B29" w:rsidP="00367660">
      <w:pPr>
        <w:pStyle w:val="NoSpacing"/>
        <w:ind w:firstLine="709"/>
        <w:jc w:val="both"/>
        <w:rPr>
          <w:rFonts w:ascii="Times New Roman" w:hAnsi="Times New Roman" w:cs="Times New Roman"/>
          <w:sz w:val="28"/>
          <w:szCs w:val="28"/>
          <w:lang w:eastAsia="ru-RU"/>
        </w:rPr>
      </w:pPr>
      <w:r w:rsidRPr="001935D0">
        <w:rPr>
          <w:rFonts w:ascii="Times New Roman" w:hAnsi="Times New Roman" w:cs="Times New Roman"/>
          <w:sz w:val="28"/>
          <w:szCs w:val="28"/>
          <w:lang w:eastAsia="ru-RU"/>
        </w:rPr>
        <w:lastRenderedPageBreak/>
        <w:t xml:space="preserve">Это обеспечивает долгосрочную вовлечённость Европейского </w:t>
      </w:r>
      <w:r w:rsidR="007C324F" w:rsidRPr="001935D0">
        <w:rPr>
          <w:rFonts w:ascii="Times New Roman" w:hAnsi="Times New Roman" w:cs="Times New Roman"/>
          <w:sz w:val="28"/>
          <w:szCs w:val="28"/>
          <w:lang w:val="uk-UA" w:eastAsia="ru-RU"/>
        </w:rPr>
        <w:t>С</w:t>
      </w:r>
      <w:r w:rsidRPr="001935D0">
        <w:rPr>
          <w:rFonts w:ascii="Times New Roman" w:hAnsi="Times New Roman" w:cs="Times New Roman"/>
          <w:sz w:val="28"/>
          <w:szCs w:val="28"/>
          <w:lang w:eastAsia="ru-RU"/>
        </w:rPr>
        <w:t>оюза в развитие правовых институтов и создаёт условия для институционального закрепления процессов демократизации и правового сближения Казахстана с европейским пространством.</w:t>
      </w:r>
    </w:p>
    <w:p w14:paraId="5DAC8E08" w14:textId="6CBD674F" w:rsidR="00E94B29" w:rsidRDefault="00E94B29" w:rsidP="00367660">
      <w:pPr>
        <w:pStyle w:val="NoSpacing"/>
        <w:ind w:firstLine="709"/>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Дальнейший анализ предполагает не только фиксацию текущего состояния, но и отслеживание эволюции имплементационного потенциала во времени. Если таблица 3.</w:t>
      </w:r>
      <w:r w:rsidR="00CB436A" w:rsidRPr="001935D0">
        <w:rPr>
          <w:rFonts w:ascii="Times New Roman" w:hAnsi="Times New Roman" w:cs="Times New Roman"/>
          <w:sz w:val="28"/>
          <w:szCs w:val="28"/>
          <w:lang w:val="uk-UA" w:eastAsia="ru-RU"/>
        </w:rPr>
        <w:t>13</w:t>
      </w:r>
      <w:r w:rsidRPr="001935D0">
        <w:rPr>
          <w:rFonts w:ascii="Times New Roman" w:hAnsi="Times New Roman" w:cs="Times New Roman"/>
          <w:sz w:val="28"/>
          <w:szCs w:val="28"/>
          <w:lang w:eastAsia="ru-RU"/>
        </w:rPr>
        <w:t xml:space="preserve"> отражает институциональный уровень развития правозащитной системы, то последующий рисунок иллюстрирует её траекторию поступательного перехода – от нормативных обязательств и декларативных реформ к устойчивой интеграции европейских стандартов к 2027 году. Такая временная перспектива позволяет рассматривать взаимодействие ЕС и Казахстана как процесс постепенной институциональной конвергенции и формирования устойчивых правовых механизмов сотрудничества (рисунок 3.10).</w:t>
      </w:r>
    </w:p>
    <w:p w14:paraId="0795B994" w14:textId="77777777" w:rsidR="00367660" w:rsidRPr="00367660" w:rsidRDefault="00367660" w:rsidP="00367660">
      <w:pPr>
        <w:pStyle w:val="NoSpacing"/>
        <w:ind w:firstLine="709"/>
        <w:jc w:val="both"/>
        <w:rPr>
          <w:rFonts w:ascii="Times New Roman" w:hAnsi="Times New Roman" w:cs="Times New Roman"/>
          <w:sz w:val="28"/>
          <w:szCs w:val="28"/>
          <w:lang w:val="kk-KZ" w:eastAsia="ru-RU"/>
        </w:rPr>
      </w:pPr>
    </w:p>
    <w:p w14:paraId="3FD1BC4C" w14:textId="77777777" w:rsidR="00E94B29" w:rsidRPr="001935D0" w:rsidRDefault="00E94B29" w:rsidP="00593711">
      <w:pPr>
        <w:spacing w:after="0" w:line="240" w:lineRule="auto"/>
        <w:rPr>
          <w:rFonts w:ascii="Times New Roman" w:hAnsi="Times New Roman" w:cs="Times New Roman"/>
        </w:rPr>
      </w:pPr>
      <w:r w:rsidRPr="001935D0">
        <w:rPr>
          <w:rFonts w:ascii="Times New Roman" w:hAnsi="Times New Roman" w:cs="Times New Roman"/>
          <w:noProof/>
          <w:lang w:eastAsia="ru-RU"/>
        </w:rPr>
        <w:drawing>
          <wp:inline distT="0" distB="0" distL="0" distR="0" wp14:anchorId="58763CED" wp14:editId="27E80F10">
            <wp:extent cx="6086247" cy="5047488"/>
            <wp:effectExtent l="57150" t="19050" r="29210" b="0"/>
            <wp:docPr id="47" name="Схема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0" r:lo="rId131" r:qs="rId132" r:cs="rId133"/>
              </a:graphicData>
            </a:graphic>
          </wp:inline>
        </w:drawing>
      </w:r>
    </w:p>
    <w:p w14:paraId="439DCFC2" w14:textId="77777777" w:rsidR="00367660" w:rsidRPr="00367660" w:rsidRDefault="00367660" w:rsidP="00593711">
      <w:pPr>
        <w:pStyle w:val="NoSpacing"/>
        <w:ind w:firstLine="567"/>
        <w:jc w:val="both"/>
        <w:rPr>
          <w:rStyle w:val="Strong"/>
          <w:rFonts w:ascii="Times New Roman" w:hAnsi="Times New Roman" w:cs="Times New Roman"/>
          <w:b w:val="0"/>
          <w:bCs w:val="0"/>
          <w:sz w:val="16"/>
          <w:szCs w:val="16"/>
          <w:lang w:val="kk-KZ"/>
        </w:rPr>
      </w:pPr>
    </w:p>
    <w:p w14:paraId="6C317EF5" w14:textId="09D0D73C" w:rsidR="00E94B29" w:rsidRPr="001935D0" w:rsidRDefault="00E94B29" w:rsidP="00367660">
      <w:pPr>
        <w:pStyle w:val="NoSpacing"/>
        <w:jc w:val="center"/>
        <w:rPr>
          <w:rStyle w:val="Strong"/>
          <w:rFonts w:ascii="Times New Roman" w:hAnsi="Times New Roman" w:cs="Times New Roman"/>
          <w:b w:val="0"/>
          <w:sz w:val="28"/>
          <w:szCs w:val="28"/>
        </w:rPr>
      </w:pPr>
      <w:r w:rsidRPr="001935D0">
        <w:rPr>
          <w:rStyle w:val="Strong"/>
          <w:rFonts w:ascii="Times New Roman" w:hAnsi="Times New Roman" w:cs="Times New Roman"/>
          <w:b w:val="0"/>
          <w:bCs w:val="0"/>
          <w:sz w:val="28"/>
          <w:szCs w:val="28"/>
        </w:rPr>
        <w:t>Рис</w:t>
      </w:r>
      <w:r w:rsidR="00367660">
        <w:rPr>
          <w:rStyle w:val="Strong"/>
          <w:rFonts w:ascii="Times New Roman" w:hAnsi="Times New Roman" w:cs="Times New Roman"/>
          <w:b w:val="0"/>
          <w:bCs w:val="0"/>
          <w:sz w:val="28"/>
          <w:szCs w:val="28"/>
          <w:lang w:val="kk-KZ"/>
        </w:rPr>
        <w:t>унок</w:t>
      </w:r>
      <w:r w:rsidRPr="001935D0">
        <w:rPr>
          <w:rStyle w:val="Strong"/>
          <w:rFonts w:ascii="Times New Roman" w:hAnsi="Times New Roman" w:cs="Times New Roman"/>
          <w:b w:val="0"/>
          <w:bCs w:val="0"/>
          <w:sz w:val="28"/>
          <w:szCs w:val="28"/>
        </w:rPr>
        <w:t xml:space="preserve"> 3.10 </w:t>
      </w:r>
      <w:r w:rsidR="00367660">
        <w:rPr>
          <w:rStyle w:val="Strong"/>
          <w:rFonts w:ascii="Times New Roman" w:hAnsi="Times New Roman" w:cs="Times New Roman"/>
          <w:b w:val="0"/>
          <w:bCs w:val="0"/>
          <w:sz w:val="28"/>
          <w:szCs w:val="28"/>
          <w:lang w:val="kk-KZ"/>
        </w:rPr>
        <w:t xml:space="preserve">– </w:t>
      </w:r>
      <w:r w:rsidRPr="001935D0">
        <w:rPr>
          <w:rStyle w:val="Strong"/>
          <w:rFonts w:ascii="Times New Roman" w:hAnsi="Times New Roman" w:cs="Times New Roman"/>
          <w:b w:val="0"/>
          <w:sz w:val="28"/>
          <w:szCs w:val="28"/>
        </w:rPr>
        <w:t xml:space="preserve">Траектория роста имплементационного потенциала Республики Казахстан в контексте правозащитного партнёрства с Европейским </w:t>
      </w:r>
      <w:r w:rsidR="007C324F" w:rsidRPr="001935D0">
        <w:rPr>
          <w:rStyle w:val="Strong"/>
          <w:rFonts w:ascii="Times New Roman" w:hAnsi="Times New Roman" w:cs="Times New Roman"/>
          <w:b w:val="0"/>
          <w:sz w:val="28"/>
          <w:szCs w:val="28"/>
          <w:lang w:val="uk-UA"/>
        </w:rPr>
        <w:t>С</w:t>
      </w:r>
      <w:r w:rsidRPr="001935D0">
        <w:rPr>
          <w:rStyle w:val="Strong"/>
          <w:rFonts w:ascii="Times New Roman" w:hAnsi="Times New Roman" w:cs="Times New Roman"/>
          <w:b w:val="0"/>
          <w:sz w:val="28"/>
          <w:szCs w:val="28"/>
        </w:rPr>
        <w:t>оюзом (2020–2027)</w:t>
      </w:r>
    </w:p>
    <w:p w14:paraId="14BCE84E" w14:textId="77777777" w:rsidR="00367660" w:rsidRPr="00367660" w:rsidRDefault="00367660" w:rsidP="00593711">
      <w:pPr>
        <w:spacing w:after="0" w:line="240" w:lineRule="auto"/>
        <w:rPr>
          <w:rFonts w:ascii="Times New Roman" w:hAnsi="Times New Roman" w:cs="Times New Roman"/>
          <w:sz w:val="16"/>
          <w:szCs w:val="16"/>
          <w:lang w:val="kk-KZ"/>
        </w:rPr>
      </w:pPr>
    </w:p>
    <w:p w14:paraId="41E0648E" w14:textId="71AFE49F" w:rsidR="00E94B29" w:rsidRPr="001935D0" w:rsidRDefault="00367660" w:rsidP="0036766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lang w:val="kk-KZ"/>
        </w:rPr>
        <w:t>Примечание –</w:t>
      </w:r>
      <w:r w:rsidR="00E94B29" w:rsidRPr="001935D0">
        <w:rPr>
          <w:rFonts w:ascii="Times New Roman" w:hAnsi="Times New Roman" w:cs="Times New Roman"/>
          <w:sz w:val="24"/>
          <w:szCs w:val="24"/>
        </w:rPr>
        <w:t xml:space="preserve"> </w:t>
      </w:r>
      <w:r w:rsidRPr="001935D0">
        <w:rPr>
          <w:rFonts w:ascii="Times New Roman" w:hAnsi="Times New Roman" w:cs="Times New Roman"/>
          <w:sz w:val="24"/>
          <w:szCs w:val="24"/>
        </w:rPr>
        <w:t xml:space="preserve">Составлено </w:t>
      </w:r>
      <w:r w:rsidR="00E94B29" w:rsidRPr="001935D0">
        <w:rPr>
          <w:rFonts w:ascii="Times New Roman" w:hAnsi="Times New Roman" w:cs="Times New Roman"/>
          <w:sz w:val="24"/>
          <w:szCs w:val="24"/>
        </w:rPr>
        <w:t xml:space="preserve">автором </w:t>
      </w:r>
    </w:p>
    <w:p w14:paraId="0699A634" w14:textId="555159EC" w:rsidR="00E94B29" w:rsidRPr="001935D0" w:rsidRDefault="00E94B29" w:rsidP="00367660">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lastRenderedPageBreak/>
        <w:t xml:space="preserve">Представленная временная модель демонстрирует, что повышение имплементационного потенциала Казахстана не является линейным процессом, а зависит от устойчивости политической воли, зрелости институтов и уровня взаимодействия с Европейским </w:t>
      </w:r>
      <w:r w:rsidR="007C324F"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оюзом. Переход от нормативной адаптации к системной интеграции стандартов ЕС в национальную правовую практику предполагает не просто заимствование норм, но и формирование новой управленческой культуры, основанной на транспарентности, подотчётности и общественном участии.</w:t>
      </w:r>
    </w:p>
    <w:p w14:paraId="4F89D6B5" w14:textId="77777777" w:rsidR="00E94B29" w:rsidRPr="001935D0" w:rsidRDefault="00E94B29" w:rsidP="00367660">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Для Казахстана траектория роста имплементационного потенциала означает перестройку модели государственности в направлении правового и инклюзивного управления. Реализация реформ, начатых после 2022 года, в сочетании с долгосрочными программами ЕС (NDICI – Global Europe, Rule of Law Programme, HELP) способна создать устойчивую институциональную основу, где европейские стандарты становятся частью национального правового порядка, а не внешним ориентиром.</w:t>
      </w:r>
    </w:p>
    <w:p w14:paraId="75FEB1F8" w14:textId="16CC306C" w:rsidR="00E94B29" w:rsidRPr="001935D0" w:rsidRDefault="00E94B29" w:rsidP="00367660">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Практическое значение данной динамики заключается в возможности перехода от политики соответствия («compliance-based governance») к модели внутренней институциональной совместимости с правовыми механизмами Европейского </w:t>
      </w:r>
      <w:r w:rsidR="007C324F"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оюза. Такой формат партнёрства усиливает международную субъектность Казахстана, укрепляет доверие со стороны европейских институтов и создаёт предпосылки для его интеграции в расширенное правовое пространство Совета Европы и ЕС.</w:t>
      </w:r>
    </w:p>
    <w:p w14:paraId="46FE7D97" w14:textId="77777777" w:rsidR="00E94B29" w:rsidRPr="001935D0" w:rsidRDefault="00E94B29" w:rsidP="00367660">
      <w:pPr>
        <w:pStyle w:val="NoSpacing"/>
        <w:ind w:firstLine="709"/>
        <w:jc w:val="both"/>
        <w:rPr>
          <w:rFonts w:ascii="Times New Roman" w:hAnsi="Times New Roman" w:cs="Times New Roman"/>
          <w:bCs/>
          <w:sz w:val="28"/>
          <w:szCs w:val="28"/>
          <w:lang w:eastAsia="ru-RU"/>
        </w:rPr>
      </w:pPr>
    </w:p>
    <w:p w14:paraId="2C24E57F" w14:textId="77777777" w:rsidR="00E94B29" w:rsidRPr="001935D0" w:rsidRDefault="00E94B29" w:rsidP="00367660">
      <w:pPr>
        <w:pStyle w:val="NoSpacing"/>
        <w:ind w:firstLine="709"/>
        <w:jc w:val="both"/>
        <w:rPr>
          <w:rFonts w:ascii="Times New Roman" w:hAnsi="Times New Roman" w:cs="Times New Roman"/>
          <w:b/>
          <w:sz w:val="28"/>
          <w:szCs w:val="28"/>
          <w:lang w:eastAsia="ru-RU"/>
        </w:rPr>
      </w:pPr>
      <w:r w:rsidRPr="001935D0">
        <w:rPr>
          <w:rFonts w:ascii="Times New Roman" w:hAnsi="Times New Roman" w:cs="Times New Roman"/>
          <w:b/>
          <w:bCs/>
          <w:sz w:val="28"/>
          <w:szCs w:val="28"/>
          <w:lang w:eastAsia="ru-RU"/>
        </w:rPr>
        <w:t>3.4</w:t>
      </w:r>
      <w:r w:rsidRPr="001935D0">
        <w:rPr>
          <w:rFonts w:ascii="Times New Roman" w:hAnsi="Times New Roman" w:cs="Times New Roman"/>
          <w:b/>
          <w:sz w:val="28"/>
          <w:szCs w:val="28"/>
          <w:lang w:eastAsia="ru-RU"/>
        </w:rPr>
        <w:t xml:space="preserve"> Стратегические рекомендации по совершенствованию прав человека в Казахстане с учётом опыта ЕС</w:t>
      </w:r>
    </w:p>
    <w:p w14:paraId="6D4DAB01" w14:textId="77777777" w:rsidR="00E94B29" w:rsidRPr="001935D0" w:rsidRDefault="00E94B29" w:rsidP="0036766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Развитие национальной правозащитной системы Республики Казахстан вступает в этап, когда определяющим фактором становится не формальное признание международных обязательств, а институциональная способность обеспечивать их устойчивую реализацию. Анализ динамики реформ показывает, что ключевая задача современного периода заключается в согласовании процессов внутренней правовой модернизации с европейскими принципами верховенства права, независимости судебной власти и участия гражданского общества в механизмах контроля и принятия решений.</w:t>
      </w:r>
    </w:p>
    <w:p w14:paraId="57A642F1" w14:textId="34A619C6" w:rsidR="00E94B29" w:rsidRPr="001935D0" w:rsidRDefault="00E94B29" w:rsidP="0036766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Европейский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в данном контексте выступает не как модель прямого копирования, а как методологическая основа для разработки контекстно адаптированных решений, учитывающих национальную специфику Казахстана. Имплементация положений EU Action Plan on Human Rights and Democracy (2020–2027) в национальную практику требует комплексного подхода, который сочетает институциональное укрепление, развитие механизмов правового мониторинга, образовательные инициативы и расширение партнёрских форм взаимодействия с европейскими структурами.</w:t>
      </w:r>
    </w:p>
    <w:p w14:paraId="206301E0" w14:textId="635C75B9" w:rsidR="00E94B29" w:rsidRPr="001935D0" w:rsidRDefault="00E94B29" w:rsidP="0036766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Одним из приоритетных направлений сближения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является совершенствование институциональной архитектуры защиты прав человека – судебной системы, прокуратуры и института омбудсмена. В этой сфере ключевое значение имеют стандарты и рекомендации Совета Европы, </w:t>
      </w:r>
      <w:r w:rsidRPr="001935D0">
        <w:rPr>
          <w:rFonts w:ascii="Times New Roman" w:hAnsi="Times New Roman" w:cs="Times New Roman"/>
          <w:sz w:val="28"/>
          <w:szCs w:val="28"/>
        </w:rPr>
        <w:lastRenderedPageBreak/>
        <w:t>разработанные в рамках GRECO, CEPEJ и Венецианской комиссии, которые формируют нормативную основу независимости, подотчётности и транспарентности судебной власти. Практическая имплементация этих стандартов предполагает дальнейшее развитие Конституционного суда, повышение автономии офиса Уполномоченного по правам человека и институционализацию парламентского и общественного контроля за соблюдением правовых принципов.</w:t>
      </w:r>
    </w:p>
    <w:p w14:paraId="114BBE8D" w14:textId="77777777" w:rsidR="00E94B29" w:rsidRPr="001935D0" w:rsidRDefault="00E94B29" w:rsidP="0036766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контексте правовой реформы особую роль играют экспертные инициативы Совета Европы, направленные на совершенствование судопроизводства, антикоррупционного законодательства и механизмов процедурного контроля за соблюдением прав личности. Продолжение сотрудничества с Венецианской комиссией и CEPEJ рассматривается как эффективный инструмент юридической гармонизации и укрепления общественного доверия к судебной системе – одного из ключевых индикаторов верховенства права.</w:t>
      </w:r>
    </w:p>
    <w:p w14:paraId="21D9E856" w14:textId="77777777" w:rsidR="00E94B29" w:rsidRPr="001935D0" w:rsidRDefault="00E94B29" w:rsidP="0036766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Одним из устойчивых направлений правового сближения с европейским пространством остаётся повышение транспарентности и подотчётности деятельности государственных институтов. Повышение качества правотворчества требует внедрения процедур ex ante анализа законопроектов с точки зрения их соответствия международным стандартам в области прав человека. Введение совместных индикаторных панелей ЕС–Казахстан позволит перейти от формального отчётного подхода к системному мониторингу эффективности реформ.</w:t>
      </w:r>
    </w:p>
    <w:p w14:paraId="3FB2FF2A" w14:textId="7246FA21" w:rsidR="00E94B29" w:rsidRPr="001935D0" w:rsidRDefault="00E94B29" w:rsidP="0036766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Развитие правовой культуры и повышение профессиональной компетентности специалистов является важнейшим условием устойчивости правозащитных институтов. В рамках программы HELP (Human Rights Education for Legal Professionals) реализуются обучающие модули для судей, прокуроров и юристов по стандартам Совета Европы в области прав человека [2</w:t>
      </w:r>
      <w:r w:rsidR="00B04004">
        <w:rPr>
          <w:rFonts w:ascii="Times New Roman" w:hAnsi="Times New Roman" w:cs="Times New Roman"/>
          <w:sz w:val="28"/>
          <w:szCs w:val="28"/>
          <w:lang w:val="kk-KZ"/>
        </w:rPr>
        <w:t>05</w:t>
      </w:r>
      <w:r w:rsidRPr="001935D0">
        <w:rPr>
          <w:rFonts w:ascii="Times New Roman" w:hAnsi="Times New Roman" w:cs="Times New Roman"/>
          <w:sz w:val="28"/>
          <w:szCs w:val="28"/>
        </w:rPr>
        <w:t>]. Расширение таких инициатив, формирование совместных образовательных программ и укрепление партнёрства с университетами и некоммерческими организациями создают предпосылки для формирования профессионального корпуса, ориентированного на ценности достоинства, верховенства права и правовой ответственности.</w:t>
      </w:r>
    </w:p>
    <w:p w14:paraId="50F3B284" w14:textId="41D9586A" w:rsidR="00E94B29" w:rsidRPr="001935D0" w:rsidRDefault="00E94B29" w:rsidP="0036766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На международно-правовом уровне стратегическое сближение предусматривает поступательное приближение к конвенционным стандартам Совета Европы и активизацию участия в EU–Kazakhstan Human Rights Dialogues. Приоритетными направлениями являются продвижение к ратификации Стамбульской конвенции (CETS №210) [2</w:t>
      </w:r>
      <w:r w:rsidR="00B04004">
        <w:rPr>
          <w:rFonts w:ascii="Times New Roman" w:hAnsi="Times New Roman" w:cs="Times New Roman"/>
          <w:sz w:val="28"/>
          <w:szCs w:val="28"/>
          <w:lang w:val="kk-KZ"/>
        </w:rPr>
        <w:t>15</w:t>
      </w:r>
      <w:r w:rsidRPr="001935D0">
        <w:rPr>
          <w:rFonts w:ascii="Times New Roman" w:hAnsi="Times New Roman" w:cs="Times New Roman"/>
          <w:sz w:val="28"/>
          <w:szCs w:val="28"/>
        </w:rPr>
        <w:t>] и Ланцаротской конвенции (CETS №201) [2</w:t>
      </w:r>
      <w:r w:rsidR="00B04004">
        <w:rPr>
          <w:rFonts w:ascii="Times New Roman" w:hAnsi="Times New Roman" w:cs="Times New Roman"/>
          <w:sz w:val="28"/>
          <w:szCs w:val="28"/>
          <w:lang w:val="kk-KZ"/>
        </w:rPr>
        <w:t>16</w:t>
      </w:r>
      <w:r w:rsidRPr="001935D0">
        <w:rPr>
          <w:rFonts w:ascii="Times New Roman" w:hAnsi="Times New Roman" w:cs="Times New Roman"/>
          <w:sz w:val="28"/>
          <w:szCs w:val="28"/>
        </w:rPr>
        <w:t>], а также интеграция в европейские инициативы по противодействию торговле людьми, киберпреступности и дискриминации.</w:t>
      </w:r>
    </w:p>
    <w:p w14:paraId="30145E00" w14:textId="7AFB0191" w:rsidR="00E94B29" w:rsidRPr="001935D0" w:rsidRDefault="00E94B29" w:rsidP="00367660">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В целом стратегическое сближение Республики Казахстан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 xml:space="preserve">оюзом в сфере прав человека представляет собой процесс институциональной адаптации, направленный на формирование устойчивой национальной системы, способной не только воспроизводить, но и развивать международные правовые стандарты. Реализация данного подхода повышает имплементационный </w:t>
      </w:r>
      <w:r w:rsidRPr="001935D0">
        <w:rPr>
          <w:rFonts w:ascii="Times New Roman" w:hAnsi="Times New Roman" w:cs="Times New Roman"/>
          <w:sz w:val="28"/>
          <w:szCs w:val="28"/>
        </w:rPr>
        <w:lastRenderedPageBreak/>
        <w:t xml:space="preserve">потенциал государства, способствует укреплению верховенства права и создаёт предпосылки для устойчивого партнёрства с Европейским </w:t>
      </w:r>
      <w:r w:rsidR="007C324F"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оюзом на основе взаимной ответственности и доверия (таблица 3.14).</w:t>
      </w:r>
    </w:p>
    <w:p w14:paraId="0C96B2E1" w14:textId="77777777" w:rsidR="00367660" w:rsidRDefault="00367660" w:rsidP="00593711">
      <w:pPr>
        <w:pStyle w:val="NoSpacing"/>
        <w:ind w:firstLine="567"/>
        <w:jc w:val="both"/>
        <w:rPr>
          <w:rStyle w:val="Strong"/>
          <w:rFonts w:ascii="Times New Roman" w:hAnsi="Times New Roman" w:cs="Times New Roman"/>
          <w:b w:val="0"/>
          <w:bCs w:val="0"/>
          <w:sz w:val="28"/>
          <w:szCs w:val="28"/>
          <w:lang w:val="kk-KZ"/>
        </w:rPr>
      </w:pPr>
    </w:p>
    <w:p w14:paraId="1866FCFF" w14:textId="36779159" w:rsidR="00E94B29" w:rsidRDefault="00E94B29" w:rsidP="00367660">
      <w:pPr>
        <w:pStyle w:val="NoSpacing"/>
        <w:jc w:val="both"/>
        <w:rPr>
          <w:rStyle w:val="Strong"/>
          <w:rFonts w:ascii="Times New Roman" w:hAnsi="Times New Roman" w:cs="Times New Roman"/>
          <w:b w:val="0"/>
          <w:bCs w:val="0"/>
          <w:sz w:val="28"/>
          <w:szCs w:val="28"/>
          <w:lang w:val="kk-KZ"/>
        </w:rPr>
      </w:pPr>
      <w:r w:rsidRPr="001935D0">
        <w:rPr>
          <w:rStyle w:val="Strong"/>
          <w:rFonts w:ascii="Times New Roman" w:hAnsi="Times New Roman" w:cs="Times New Roman"/>
          <w:b w:val="0"/>
          <w:bCs w:val="0"/>
          <w:sz w:val="28"/>
          <w:szCs w:val="28"/>
        </w:rPr>
        <w:t xml:space="preserve">Таблица 3.14 </w:t>
      </w:r>
      <w:r w:rsidR="00367660">
        <w:rPr>
          <w:rStyle w:val="Strong"/>
          <w:rFonts w:ascii="Times New Roman" w:hAnsi="Times New Roman" w:cs="Times New Roman"/>
          <w:b w:val="0"/>
          <w:bCs w:val="0"/>
          <w:sz w:val="28"/>
          <w:szCs w:val="28"/>
        </w:rPr>
        <w:t>‒</w:t>
      </w:r>
      <w:r w:rsidR="00367660">
        <w:rPr>
          <w:rStyle w:val="Strong"/>
          <w:rFonts w:ascii="Times New Roman" w:hAnsi="Times New Roman" w:cs="Times New Roman"/>
          <w:b w:val="0"/>
          <w:bCs w:val="0"/>
          <w:sz w:val="28"/>
          <w:szCs w:val="28"/>
          <w:lang w:val="kk-KZ"/>
        </w:rPr>
        <w:t xml:space="preserve"> </w:t>
      </w:r>
      <w:r w:rsidRPr="001935D0">
        <w:rPr>
          <w:rStyle w:val="Strong"/>
          <w:rFonts w:ascii="Times New Roman" w:hAnsi="Times New Roman" w:cs="Times New Roman"/>
          <w:b w:val="0"/>
          <w:bCs w:val="0"/>
          <w:sz w:val="28"/>
          <w:szCs w:val="28"/>
        </w:rPr>
        <w:t xml:space="preserve">Стратегическая дорожная карта сближения Казахстана с правозащитными практиками Европейского </w:t>
      </w:r>
      <w:r w:rsidR="007C324F" w:rsidRPr="001935D0">
        <w:rPr>
          <w:rStyle w:val="Strong"/>
          <w:rFonts w:ascii="Times New Roman" w:hAnsi="Times New Roman" w:cs="Times New Roman"/>
          <w:b w:val="0"/>
          <w:bCs w:val="0"/>
          <w:sz w:val="28"/>
          <w:szCs w:val="28"/>
          <w:lang w:val="uk-UA"/>
        </w:rPr>
        <w:t>С</w:t>
      </w:r>
      <w:r w:rsidRPr="001935D0">
        <w:rPr>
          <w:rStyle w:val="Strong"/>
          <w:rFonts w:ascii="Times New Roman" w:hAnsi="Times New Roman" w:cs="Times New Roman"/>
          <w:b w:val="0"/>
          <w:bCs w:val="0"/>
          <w:sz w:val="28"/>
          <w:szCs w:val="28"/>
        </w:rPr>
        <w:t>оюза (2024</w:t>
      </w:r>
      <w:r w:rsidR="00367660">
        <w:rPr>
          <w:rStyle w:val="Strong"/>
          <w:rFonts w:ascii="Times New Roman" w:hAnsi="Times New Roman" w:cs="Times New Roman"/>
          <w:b w:val="0"/>
          <w:bCs w:val="0"/>
          <w:sz w:val="28"/>
          <w:szCs w:val="28"/>
          <w:lang w:val="kk-KZ"/>
        </w:rPr>
        <w:t>-</w:t>
      </w:r>
      <w:r w:rsidRPr="001935D0">
        <w:rPr>
          <w:rStyle w:val="Strong"/>
          <w:rFonts w:ascii="Times New Roman" w:hAnsi="Times New Roman" w:cs="Times New Roman"/>
          <w:b w:val="0"/>
          <w:bCs w:val="0"/>
          <w:sz w:val="28"/>
          <w:szCs w:val="28"/>
        </w:rPr>
        <w:t>2027)</w:t>
      </w:r>
    </w:p>
    <w:p w14:paraId="6E3B2178" w14:textId="77777777" w:rsidR="00367660" w:rsidRPr="00367660" w:rsidRDefault="00367660" w:rsidP="00367660">
      <w:pPr>
        <w:pStyle w:val="NoSpacing"/>
        <w:jc w:val="right"/>
        <w:rPr>
          <w:rStyle w:val="Strong"/>
          <w:rFonts w:ascii="Times New Roman" w:hAnsi="Times New Roman" w:cs="Times New Roman"/>
          <w:b w:val="0"/>
          <w:bCs w:val="0"/>
          <w:sz w:val="16"/>
          <w:szCs w:val="16"/>
          <w:lang w:val="kk-KZ"/>
        </w:rPr>
      </w:pPr>
    </w:p>
    <w:tbl>
      <w:tblPr>
        <w:tblStyle w:val="TableGrid"/>
        <w:tblW w:w="9623" w:type="dxa"/>
        <w:jc w:val="center"/>
        <w:tblLook w:val="04A0" w:firstRow="1" w:lastRow="0" w:firstColumn="1" w:lastColumn="0" w:noHBand="0" w:noVBand="1"/>
      </w:tblPr>
      <w:tblGrid>
        <w:gridCol w:w="1685"/>
        <w:gridCol w:w="3119"/>
        <w:gridCol w:w="1876"/>
        <w:gridCol w:w="2943"/>
      </w:tblGrid>
      <w:tr w:rsidR="00E94B29" w:rsidRPr="00367660" w14:paraId="548CC49A" w14:textId="77777777" w:rsidTr="00367660">
        <w:trPr>
          <w:jc w:val="center"/>
        </w:trPr>
        <w:tc>
          <w:tcPr>
            <w:tcW w:w="1685" w:type="dxa"/>
            <w:vAlign w:val="center"/>
          </w:tcPr>
          <w:p w14:paraId="420471B1" w14:textId="77777777" w:rsidR="00E94B29" w:rsidRPr="00367660" w:rsidRDefault="00E94B29" w:rsidP="00593711">
            <w:pPr>
              <w:jc w:val="center"/>
              <w:rPr>
                <w:rFonts w:ascii="Times New Roman" w:eastAsia="Times New Roman" w:hAnsi="Times New Roman" w:cs="Times New Roman"/>
                <w:bCs/>
                <w:sz w:val="24"/>
                <w:szCs w:val="24"/>
                <w:lang w:eastAsia="ru-RU"/>
              </w:rPr>
            </w:pPr>
            <w:r w:rsidRPr="00367660">
              <w:rPr>
                <w:rFonts w:ascii="Times New Roman" w:eastAsia="Times New Roman" w:hAnsi="Times New Roman" w:cs="Times New Roman"/>
                <w:bCs/>
                <w:sz w:val="24"/>
                <w:szCs w:val="24"/>
                <w:lang w:eastAsia="ru-RU"/>
              </w:rPr>
              <w:t>Этап</w:t>
            </w:r>
          </w:p>
        </w:tc>
        <w:tc>
          <w:tcPr>
            <w:tcW w:w="3119" w:type="dxa"/>
            <w:vAlign w:val="center"/>
          </w:tcPr>
          <w:p w14:paraId="3F8A6FD6" w14:textId="77777777" w:rsidR="00E94B29" w:rsidRPr="00367660" w:rsidRDefault="00E94B29" w:rsidP="00593711">
            <w:pPr>
              <w:jc w:val="center"/>
              <w:rPr>
                <w:rFonts w:ascii="Times New Roman" w:eastAsia="Times New Roman" w:hAnsi="Times New Roman" w:cs="Times New Roman"/>
                <w:bCs/>
                <w:sz w:val="24"/>
                <w:szCs w:val="24"/>
                <w:lang w:eastAsia="ru-RU"/>
              </w:rPr>
            </w:pPr>
            <w:r w:rsidRPr="00367660">
              <w:rPr>
                <w:rFonts w:ascii="Times New Roman" w:eastAsia="Times New Roman" w:hAnsi="Times New Roman" w:cs="Times New Roman"/>
                <w:bCs/>
                <w:sz w:val="24"/>
                <w:szCs w:val="24"/>
                <w:lang w:eastAsia="ru-RU"/>
              </w:rPr>
              <w:t>Целевые ориентиры и приоритетные направления</w:t>
            </w:r>
          </w:p>
        </w:tc>
        <w:tc>
          <w:tcPr>
            <w:tcW w:w="1876" w:type="dxa"/>
            <w:vAlign w:val="center"/>
          </w:tcPr>
          <w:p w14:paraId="3CF14B18" w14:textId="77777777" w:rsidR="00E94B29" w:rsidRPr="00367660" w:rsidRDefault="00E94B29" w:rsidP="00593711">
            <w:pPr>
              <w:jc w:val="center"/>
              <w:rPr>
                <w:rFonts w:ascii="Times New Roman" w:eastAsia="Times New Roman" w:hAnsi="Times New Roman" w:cs="Times New Roman"/>
                <w:bCs/>
                <w:sz w:val="24"/>
                <w:szCs w:val="24"/>
                <w:lang w:eastAsia="ru-RU"/>
              </w:rPr>
            </w:pPr>
            <w:r w:rsidRPr="00367660">
              <w:rPr>
                <w:rFonts w:ascii="Times New Roman" w:eastAsia="Times New Roman" w:hAnsi="Times New Roman" w:cs="Times New Roman"/>
                <w:bCs/>
                <w:sz w:val="24"/>
                <w:szCs w:val="24"/>
                <w:lang w:eastAsia="ru-RU"/>
              </w:rPr>
              <w:t>Ключевые инструменты ЕС и Совета Европы</w:t>
            </w:r>
          </w:p>
        </w:tc>
        <w:tc>
          <w:tcPr>
            <w:tcW w:w="2943" w:type="dxa"/>
            <w:vAlign w:val="center"/>
          </w:tcPr>
          <w:p w14:paraId="0FDAB635" w14:textId="77777777" w:rsidR="00E94B29" w:rsidRPr="00367660" w:rsidRDefault="00E94B29" w:rsidP="00593711">
            <w:pPr>
              <w:jc w:val="center"/>
              <w:rPr>
                <w:rFonts w:ascii="Times New Roman" w:eastAsia="Times New Roman" w:hAnsi="Times New Roman" w:cs="Times New Roman"/>
                <w:bCs/>
                <w:sz w:val="24"/>
                <w:szCs w:val="24"/>
                <w:lang w:eastAsia="ru-RU"/>
              </w:rPr>
            </w:pPr>
            <w:r w:rsidRPr="00367660">
              <w:rPr>
                <w:rFonts w:ascii="Times New Roman" w:eastAsia="Times New Roman" w:hAnsi="Times New Roman" w:cs="Times New Roman"/>
                <w:bCs/>
                <w:sz w:val="24"/>
                <w:szCs w:val="24"/>
                <w:lang w:eastAsia="ru-RU"/>
              </w:rPr>
              <w:t>Ожидаемые результаты для Казахстана</w:t>
            </w:r>
          </w:p>
        </w:tc>
      </w:tr>
      <w:tr w:rsidR="00E94B29" w:rsidRPr="001935D0" w14:paraId="6AC418C9" w14:textId="77777777" w:rsidTr="00367660">
        <w:trPr>
          <w:cantSplit/>
          <w:trHeight w:val="1134"/>
          <w:jc w:val="center"/>
        </w:trPr>
        <w:tc>
          <w:tcPr>
            <w:tcW w:w="1685" w:type="dxa"/>
            <w:textDirection w:val="btLr"/>
            <w:vAlign w:val="center"/>
          </w:tcPr>
          <w:p w14:paraId="375F2E60" w14:textId="59A130C0" w:rsidR="00E94B29" w:rsidRPr="001935D0" w:rsidRDefault="00E94B29" w:rsidP="00FC7EB8">
            <w:pPr>
              <w:ind w:left="113" w:right="113"/>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I. Институциональный уровень – текущий этап реформ (2024</w:t>
            </w:r>
            <w:r w:rsidR="00FC7EB8">
              <w:rPr>
                <w:rFonts w:ascii="Times New Roman" w:eastAsia="Times New Roman" w:hAnsi="Times New Roman" w:cs="Times New Roman"/>
                <w:bCs/>
                <w:i/>
                <w:sz w:val="24"/>
                <w:szCs w:val="24"/>
                <w:lang w:val="kk-KZ" w:eastAsia="ru-RU"/>
              </w:rPr>
              <w:t>-</w:t>
            </w:r>
            <w:r w:rsidRPr="001935D0">
              <w:rPr>
                <w:rFonts w:ascii="Times New Roman" w:eastAsia="Times New Roman" w:hAnsi="Times New Roman" w:cs="Times New Roman"/>
                <w:bCs/>
                <w:i/>
                <w:sz w:val="24"/>
                <w:szCs w:val="24"/>
                <w:lang w:eastAsia="ru-RU"/>
              </w:rPr>
              <w:t>2025)</w:t>
            </w:r>
          </w:p>
        </w:tc>
        <w:tc>
          <w:tcPr>
            <w:tcW w:w="3119" w:type="dxa"/>
            <w:vAlign w:val="center"/>
          </w:tcPr>
          <w:p w14:paraId="5982D7F7" w14:textId="71220C63"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 </w:t>
            </w:r>
            <w:r w:rsidR="00FC7EB8" w:rsidRPr="001935D0">
              <w:rPr>
                <w:rFonts w:ascii="Times New Roman" w:eastAsia="Times New Roman" w:hAnsi="Times New Roman" w:cs="Times New Roman"/>
                <w:sz w:val="24"/>
                <w:szCs w:val="24"/>
                <w:lang w:eastAsia="ru-RU"/>
              </w:rPr>
              <w:t xml:space="preserve">укрепление </w:t>
            </w:r>
            <w:r w:rsidRPr="001935D0">
              <w:rPr>
                <w:rFonts w:ascii="Times New Roman" w:eastAsia="Times New Roman" w:hAnsi="Times New Roman" w:cs="Times New Roman"/>
                <w:sz w:val="24"/>
                <w:szCs w:val="24"/>
                <w:lang w:eastAsia="ru-RU"/>
              </w:rPr>
              <w:t>независимости судебной системы и прокуратуры– Повышение подотчётности исполнительных органов– Расширение полномочий Омбудсмена и его региональных представительств</w:t>
            </w:r>
          </w:p>
        </w:tc>
        <w:tc>
          <w:tcPr>
            <w:tcW w:w="1876" w:type="dxa"/>
            <w:vAlign w:val="center"/>
          </w:tcPr>
          <w:p w14:paraId="0BA3F653" w14:textId="77777777" w:rsidR="00E94B29" w:rsidRPr="001935D0" w:rsidRDefault="00E94B29" w:rsidP="00593711">
            <w:pPr>
              <w:rPr>
                <w:rFonts w:ascii="Times New Roman" w:eastAsia="Times New Roman" w:hAnsi="Times New Roman" w:cs="Times New Roman"/>
                <w:sz w:val="24"/>
                <w:szCs w:val="24"/>
                <w:lang w:val="en-US" w:eastAsia="ru-RU"/>
              </w:rPr>
            </w:pPr>
            <w:r w:rsidRPr="001935D0">
              <w:rPr>
                <w:rFonts w:ascii="Times New Roman" w:eastAsia="Times New Roman" w:hAnsi="Times New Roman" w:cs="Times New Roman"/>
                <w:i/>
                <w:iCs/>
                <w:sz w:val="24"/>
                <w:szCs w:val="24"/>
                <w:lang w:val="en-US" w:eastAsia="ru-RU"/>
              </w:rPr>
              <w:t>GRECO</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CEPEJ</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Venice Commission</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Rule of Law Programme for Central Asia 2020–2027</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Neighbourhood Co-operation Priorities</w:t>
            </w:r>
          </w:p>
        </w:tc>
        <w:tc>
          <w:tcPr>
            <w:tcW w:w="2943" w:type="dxa"/>
            <w:vAlign w:val="center"/>
          </w:tcPr>
          <w:p w14:paraId="2C2D8E98"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Повышение общественного доверия к судам– Расширение институциональных гарантий прав человека– Формирование устойчивых механизмов правовой защиты</w:t>
            </w:r>
          </w:p>
        </w:tc>
      </w:tr>
      <w:tr w:rsidR="00E94B29" w:rsidRPr="001935D0" w14:paraId="3588C595" w14:textId="77777777" w:rsidTr="00367660">
        <w:trPr>
          <w:cantSplit/>
          <w:trHeight w:val="1134"/>
          <w:jc w:val="center"/>
        </w:trPr>
        <w:tc>
          <w:tcPr>
            <w:tcW w:w="1685" w:type="dxa"/>
            <w:textDirection w:val="btLr"/>
            <w:vAlign w:val="center"/>
          </w:tcPr>
          <w:p w14:paraId="7FF7C05D" w14:textId="57FD3877" w:rsidR="00E94B29" w:rsidRPr="001935D0" w:rsidRDefault="00E94B29" w:rsidP="00FC7EB8">
            <w:pPr>
              <w:ind w:left="113" w:right="113"/>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II. Политико-административный уровень – этап системной адаптации (2025</w:t>
            </w:r>
            <w:r w:rsidR="00FC7EB8">
              <w:rPr>
                <w:rFonts w:ascii="Times New Roman" w:eastAsia="Times New Roman" w:hAnsi="Times New Roman" w:cs="Times New Roman"/>
                <w:bCs/>
                <w:i/>
                <w:sz w:val="24"/>
                <w:szCs w:val="24"/>
                <w:lang w:val="kk-KZ" w:eastAsia="ru-RU"/>
              </w:rPr>
              <w:t>-</w:t>
            </w:r>
            <w:r w:rsidRPr="001935D0">
              <w:rPr>
                <w:rFonts w:ascii="Times New Roman" w:eastAsia="Times New Roman" w:hAnsi="Times New Roman" w:cs="Times New Roman"/>
                <w:bCs/>
                <w:i/>
                <w:sz w:val="24"/>
                <w:szCs w:val="24"/>
                <w:lang w:eastAsia="ru-RU"/>
              </w:rPr>
              <w:t>2026)</w:t>
            </w:r>
          </w:p>
        </w:tc>
        <w:tc>
          <w:tcPr>
            <w:tcW w:w="3119" w:type="dxa"/>
            <w:vAlign w:val="center"/>
          </w:tcPr>
          <w:p w14:paraId="5E9BBED2" w14:textId="42422CFF"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xml:space="preserve">– </w:t>
            </w:r>
            <w:r w:rsidR="00FC7EB8" w:rsidRPr="001935D0">
              <w:rPr>
                <w:rFonts w:ascii="Times New Roman" w:eastAsia="Times New Roman" w:hAnsi="Times New Roman" w:cs="Times New Roman"/>
                <w:sz w:val="24"/>
                <w:szCs w:val="24"/>
                <w:lang w:eastAsia="ru-RU"/>
              </w:rPr>
              <w:t xml:space="preserve">совершенствование </w:t>
            </w:r>
            <w:r w:rsidRPr="001935D0">
              <w:rPr>
                <w:rFonts w:ascii="Times New Roman" w:eastAsia="Times New Roman" w:hAnsi="Times New Roman" w:cs="Times New Roman"/>
                <w:sz w:val="24"/>
                <w:szCs w:val="24"/>
                <w:lang w:eastAsia="ru-RU"/>
              </w:rPr>
              <w:t>адми</w:t>
            </w:r>
            <w:r w:rsidR="00FC7EB8">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нистративных процедур и нормотворчества– Внедрение </w:t>
            </w:r>
            <w:r w:rsidRPr="001935D0">
              <w:rPr>
                <w:rFonts w:ascii="Times New Roman" w:eastAsia="Times New Roman" w:hAnsi="Times New Roman" w:cs="Times New Roman"/>
                <w:i/>
                <w:iCs/>
                <w:sz w:val="24"/>
                <w:szCs w:val="24"/>
                <w:lang w:eastAsia="ru-RU"/>
              </w:rPr>
              <w:t>ex ante</w:t>
            </w:r>
            <w:r w:rsidRPr="001935D0">
              <w:rPr>
                <w:rFonts w:ascii="Times New Roman" w:eastAsia="Times New Roman" w:hAnsi="Times New Roman" w:cs="Times New Roman"/>
                <w:sz w:val="24"/>
                <w:szCs w:val="24"/>
                <w:lang w:eastAsia="ru-RU"/>
              </w:rPr>
              <w:t>-анализа законопроектов на соответствие стандартам прав человека– Создание совместных индикаторных панелей ЕС–Казахстан</w:t>
            </w:r>
          </w:p>
        </w:tc>
        <w:tc>
          <w:tcPr>
            <w:tcW w:w="1876" w:type="dxa"/>
            <w:vAlign w:val="center"/>
          </w:tcPr>
          <w:p w14:paraId="17F4750E" w14:textId="77777777" w:rsidR="00E94B29" w:rsidRPr="001935D0" w:rsidRDefault="00E94B29" w:rsidP="00593711">
            <w:pPr>
              <w:rPr>
                <w:rFonts w:ascii="Times New Roman" w:eastAsia="Times New Roman" w:hAnsi="Times New Roman" w:cs="Times New Roman"/>
                <w:sz w:val="24"/>
                <w:szCs w:val="24"/>
                <w:lang w:val="en-US" w:eastAsia="ru-RU"/>
              </w:rPr>
            </w:pPr>
            <w:r w:rsidRPr="001935D0">
              <w:rPr>
                <w:rFonts w:ascii="Times New Roman" w:eastAsia="Times New Roman" w:hAnsi="Times New Roman" w:cs="Times New Roman"/>
                <w:i/>
                <w:iCs/>
                <w:sz w:val="24"/>
                <w:szCs w:val="24"/>
                <w:lang w:val="en-US" w:eastAsia="ru-RU"/>
              </w:rPr>
              <w:t>EU Action Plan on Human Rights and Democracy 2020–2027</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NDICI – Global Europe</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EIDHR</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TAIEX</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Twinning</w:t>
            </w:r>
          </w:p>
        </w:tc>
        <w:tc>
          <w:tcPr>
            <w:tcW w:w="2943" w:type="dxa"/>
            <w:vAlign w:val="center"/>
          </w:tcPr>
          <w:p w14:paraId="183B49BE"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Повышение прозрачности нормотворчества– Формирование единой базы мониторинга прав человека– Сближение процедурных практик с европейскими стандартами</w:t>
            </w:r>
          </w:p>
        </w:tc>
      </w:tr>
      <w:tr w:rsidR="00E94B29" w:rsidRPr="001935D0" w14:paraId="28D347F2" w14:textId="77777777" w:rsidTr="00367660">
        <w:trPr>
          <w:cantSplit/>
          <w:trHeight w:val="1134"/>
          <w:jc w:val="center"/>
        </w:trPr>
        <w:tc>
          <w:tcPr>
            <w:tcW w:w="1685" w:type="dxa"/>
            <w:textDirection w:val="btLr"/>
            <w:vAlign w:val="center"/>
          </w:tcPr>
          <w:p w14:paraId="5B10AA83" w14:textId="54242607" w:rsidR="00E94B29" w:rsidRPr="001935D0" w:rsidRDefault="00E94B29" w:rsidP="00FC7EB8">
            <w:pPr>
              <w:ind w:left="113" w:right="113"/>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III. Образовательно-коммуникационный уровень – этап институционализации правовой культуры (2025</w:t>
            </w:r>
            <w:r w:rsidR="00FC7EB8">
              <w:rPr>
                <w:rFonts w:ascii="Times New Roman" w:eastAsia="Times New Roman" w:hAnsi="Times New Roman" w:cs="Times New Roman"/>
                <w:bCs/>
                <w:i/>
                <w:sz w:val="24"/>
                <w:szCs w:val="24"/>
                <w:lang w:val="kk-KZ" w:eastAsia="ru-RU"/>
              </w:rPr>
              <w:t>-</w:t>
            </w:r>
            <w:r w:rsidRPr="001935D0">
              <w:rPr>
                <w:rFonts w:ascii="Times New Roman" w:eastAsia="Times New Roman" w:hAnsi="Times New Roman" w:cs="Times New Roman"/>
                <w:bCs/>
                <w:i/>
                <w:sz w:val="24"/>
                <w:szCs w:val="24"/>
                <w:lang w:eastAsia="ru-RU"/>
              </w:rPr>
              <w:t>2027)</w:t>
            </w:r>
          </w:p>
        </w:tc>
        <w:tc>
          <w:tcPr>
            <w:tcW w:w="3119" w:type="dxa"/>
            <w:vAlign w:val="center"/>
          </w:tcPr>
          <w:p w14:paraId="296A4513" w14:textId="77777777" w:rsidR="00E94B29" w:rsidRPr="001935D0" w:rsidRDefault="00E94B29" w:rsidP="00593711">
            <w:pPr>
              <w:rPr>
                <w:rFonts w:ascii="Times New Roman" w:eastAsia="Times New Roman" w:hAnsi="Times New Roman" w:cs="Times New Roman"/>
                <w:i/>
                <w:iCs/>
                <w:sz w:val="24"/>
                <w:szCs w:val="24"/>
                <w:lang w:eastAsia="ru-RU"/>
              </w:rPr>
            </w:pPr>
            <w:r w:rsidRPr="001935D0">
              <w:rPr>
                <w:rFonts w:ascii="Times New Roman" w:eastAsia="Times New Roman" w:hAnsi="Times New Roman" w:cs="Times New Roman"/>
                <w:sz w:val="24"/>
                <w:szCs w:val="24"/>
                <w:lang w:eastAsia="ru-RU"/>
              </w:rPr>
              <w:t xml:space="preserve">– Расширение программы </w:t>
            </w:r>
            <w:r w:rsidRPr="001935D0">
              <w:rPr>
                <w:rFonts w:ascii="Times New Roman" w:eastAsia="Times New Roman" w:hAnsi="Times New Roman" w:cs="Times New Roman"/>
                <w:i/>
                <w:iCs/>
                <w:sz w:val="24"/>
                <w:szCs w:val="24"/>
                <w:lang w:eastAsia="ru-RU"/>
              </w:rPr>
              <w:t>HELP)</w:t>
            </w:r>
          </w:p>
          <w:p w14:paraId="6CE8A970"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Подготовка судей, прокуроров и госслужащих</w:t>
            </w:r>
          </w:p>
          <w:p w14:paraId="34B92F17"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Проведение правопросветительских кампаний и университетских партнёрств</w:t>
            </w:r>
          </w:p>
        </w:tc>
        <w:tc>
          <w:tcPr>
            <w:tcW w:w="1876" w:type="dxa"/>
            <w:vAlign w:val="center"/>
          </w:tcPr>
          <w:p w14:paraId="3F505382" w14:textId="77777777" w:rsidR="00E94B29" w:rsidRPr="001935D0" w:rsidRDefault="00E94B29" w:rsidP="00593711">
            <w:pPr>
              <w:rPr>
                <w:rFonts w:ascii="Times New Roman" w:eastAsia="Times New Roman" w:hAnsi="Times New Roman" w:cs="Times New Roman"/>
                <w:sz w:val="24"/>
                <w:szCs w:val="24"/>
                <w:lang w:val="en-US" w:eastAsia="ru-RU"/>
              </w:rPr>
            </w:pPr>
            <w:r w:rsidRPr="001935D0">
              <w:rPr>
                <w:rFonts w:ascii="Times New Roman" w:eastAsia="Times New Roman" w:hAnsi="Times New Roman" w:cs="Times New Roman"/>
                <w:i/>
                <w:iCs/>
                <w:sz w:val="24"/>
                <w:szCs w:val="24"/>
                <w:lang w:val="en-US" w:eastAsia="ru-RU"/>
              </w:rPr>
              <w:t>HELP Programme</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Academy of Justice</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CEPEJ</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ODIHR</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Erasmus+</w:t>
            </w:r>
          </w:p>
        </w:tc>
        <w:tc>
          <w:tcPr>
            <w:tcW w:w="2943" w:type="dxa"/>
            <w:vAlign w:val="center"/>
          </w:tcPr>
          <w:p w14:paraId="07A06704" w14:textId="77777777"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Повышение уровня правовой грамотности– Формирование устойчивой правозащитной культуры</w:t>
            </w:r>
          </w:p>
          <w:p w14:paraId="2F9CAE31" w14:textId="2003C32C"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–Институционализация взаимодействия «государ</w:t>
            </w:r>
            <w:r w:rsidR="00FC7EB8">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ство – гражданское общество – ЕС»</w:t>
            </w:r>
          </w:p>
        </w:tc>
      </w:tr>
      <w:tr w:rsidR="00E94B29" w:rsidRPr="001935D0" w14:paraId="5DAECA68" w14:textId="77777777" w:rsidTr="00367660">
        <w:trPr>
          <w:cantSplit/>
          <w:trHeight w:val="1134"/>
          <w:jc w:val="center"/>
        </w:trPr>
        <w:tc>
          <w:tcPr>
            <w:tcW w:w="1685" w:type="dxa"/>
            <w:textDirection w:val="btLr"/>
            <w:vAlign w:val="center"/>
          </w:tcPr>
          <w:p w14:paraId="4C7BE6F4" w14:textId="3D54456C" w:rsidR="00E94B29" w:rsidRPr="001935D0" w:rsidRDefault="00E94B29" w:rsidP="00FC7EB8">
            <w:pPr>
              <w:ind w:left="113" w:right="113"/>
              <w:rPr>
                <w:rFonts w:ascii="Times New Roman" w:eastAsia="Times New Roman" w:hAnsi="Times New Roman" w:cs="Times New Roman"/>
                <w:i/>
                <w:sz w:val="24"/>
                <w:szCs w:val="24"/>
                <w:lang w:eastAsia="ru-RU"/>
              </w:rPr>
            </w:pPr>
            <w:r w:rsidRPr="001935D0">
              <w:rPr>
                <w:rFonts w:ascii="Times New Roman" w:eastAsia="Times New Roman" w:hAnsi="Times New Roman" w:cs="Times New Roman"/>
                <w:bCs/>
                <w:i/>
                <w:sz w:val="24"/>
                <w:szCs w:val="24"/>
                <w:lang w:eastAsia="ru-RU"/>
              </w:rPr>
              <w:t>IV. Международно-правовой уровень – этап интеграции и устойчивого партнёрства (2026</w:t>
            </w:r>
            <w:r w:rsidR="00FC7EB8">
              <w:rPr>
                <w:rFonts w:ascii="Times New Roman" w:eastAsia="Times New Roman" w:hAnsi="Times New Roman" w:cs="Times New Roman"/>
                <w:bCs/>
                <w:i/>
                <w:sz w:val="24"/>
                <w:szCs w:val="24"/>
                <w:lang w:val="kk-KZ" w:eastAsia="ru-RU"/>
              </w:rPr>
              <w:t>-</w:t>
            </w:r>
            <w:r w:rsidRPr="001935D0">
              <w:rPr>
                <w:rFonts w:ascii="Times New Roman" w:eastAsia="Times New Roman" w:hAnsi="Times New Roman" w:cs="Times New Roman"/>
                <w:bCs/>
                <w:i/>
                <w:sz w:val="24"/>
                <w:szCs w:val="24"/>
                <w:lang w:eastAsia="ru-RU"/>
              </w:rPr>
              <w:t>2027)</w:t>
            </w:r>
          </w:p>
        </w:tc>
        <w:tc>
          <w:tcPr>
            <w:tcW w:w="3119" w:type="dxa"/>
            <w:vAlign w:val="center"/>
          </w:tcPr>
          <w:p w14:paraId="485808E4" w14:textId="7FC51636"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Подготовка к ратифика</w:t>
            </w:r>
            <w:r w:rsidR="00FC7EB8">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ции ключевых конвенций (</w:t>
            </w:r>
            <w:r w:rsidRPr="001935D0">
              <w:rPr>
                <w:rFonts w:ascii="Times New Roman" w:eastAsia="Times New Roman" w:hAnsi="Times New Roman" w:cs="Times New Roman"/>
                <w:i/>
                <w:iCs/>
                <w:sz w:val="24"/>
                <w:szCs w:val="24"/>
                <w:lang w:eastAsia="ru-RU"/>
              </w:rPr>
              <w:t>Istanbul, Lanzarote, Macolin, Saint-Denis</w:t>
            </w:r>
            <w:r w:rsidRPr="001935D0">
              <w:rPr>
                <w:rFonts w:ascii="Times New Roman" w:eastAsia="Times New Roman" w:hAnsi="Times New Roman" w:cs="Times New Roman"/>
                <w:sz w:val="24"/>
                <w:szCs w:val="24"/>
                <w:lang w:eastAsia="ru-RU"/>
              </w:rPr>
              <w:t>)</w:t>
            </w:r>
            <w:r w:rsidR="00FC7EB8">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Развитие парламентской и межинституциональной кооперации с ЕС и Советом Европы</w:t>
            </w:r>
            <w:r w:rsidR="00FC7EB8">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xml:space="preserve">– Расширение участия Казахстана в проектах </w:t>
            </w:r>
            <w:r w:rsidRPr="001935D0">
              <w:rPr>
                <w:rFonts w:ascii="Times New Roman" w:eastAsia="Times New Roman" w:hAnsi="Times New Roman" w:cs="Times New Roman"/>
                <w:i/>
                <w:iCs/>
                <w:sz w:val="24"/>
                <w:szCs w:val="24"/>
                <w:lang w:eastAsia="ru-RU"/>
              </w:rPr>
              <w:t>GRECO</w:t>
            </w:r>
            <w:r w:rsidRPr="001935D0">
              <w:rPr>
                <w:rFonts w:ascii="Times New Roman" w:eastAsia="Times New Roman" w:hAnsi="Times New Roman" w:cs="Times New Roman"/>
                <w:sz w:val="24"/>
                <w:szCs w:val="24"/>
                <w:lang w:eastAsia="ru-RU"/>
              </w:rPr>
              <w:t xml:space="preserve">, </w:t>
            </w:r>
            <w:r w:rsidRPr="001935D0">
              <w:rPr>
                <w:rFonts w:ascii="Times New Roman" w:eastAsia="Times New Roman" w:hAnsi="Times New Roman" w:cs="Times New Roman"/>
                <w:i/>
                <w:iCs/>
                <w:sz w:val="24"/>
                <w:szCs w:val="24"/>
                <w:lang w:eastAsia="ru-RU"/>
              </w:rPr>
              <w:t>CEPEJ</w:t>
            </w:r>
            <w:r w:rsidRPr="001935D0">
              <w:rPr>
                <w:rFonts w:ascii="Times New Roman" w:eastAsia="Times New Roman" w:hAnsi="Times New Roman" w:cs="Times New Roman"/>
                <w:sz w:val="24"/>
                <w:szCs w:val="24"/>
                <w:lang w:eastAsia="ru-RU"/>
              </w:rPr>
              <w:t xml:space="preserve">, </w:t>
            </w:r>
            <w:r w:rsidRPr="001935D0">
              <w:rPr>
                <w:rFonts w:ascii="Times New Roman" w:eastAsia="Times New Roman" w:hAnsi="Times New Roman" w:cs="Times New Roman"/>
                <w:i/>
                <w:iCs/>
                <w:sz w:val="24"/>
                <w:szCs w:val="24"/>
                <w:lang w:eastAsia="ru-RU"/>
              </w:rPr>
              <w:t>HELP</w:t>
            </w:r>
          </w:p>
        </w:tc>
        <w:tc>
          <w:tcPr>
            <w:tcW w:w="1876" w:type="dxa"/>
            <w:vAlign w:val="center"/>
          </w:tcPr>
          <w:p w14:paraId="7459DC08" w14:textId="77777777" w:rsidR="00E94B29" w:rsidRPr="001935D0" w:rsidRDefault="00E94B29" w:rsidP="00593711">
            <w:pPr>
              <w:rPr>
                <w:rFonts w:ascii="Times New Roman" w:eastAsia="Times New Roman" w:hAnsi="Times New Roman" w:cs="Times New Roman"/>
                <w:sz w:val="24"/>
                <w:szCs w:val="24"/>
                <w:lang w:val="en-US" w:eastAsia="ru-RU"/>
              </w:rPr>
            </w:pPr>
            <w:r w:rsidRPr="001935D0">
              <w:rPr>
                <w:rFonts w:ascii="Times New Roman" w:eastAsia="Times New Roman" w:hAnsi="Times New Roman" w:cs="Times New Roman"/>
                <w:i/>
                <w:iCs/>
                <w:sz w:val="24"/>
                <w:szCs w:val="24"/>
                <w:lang w:val="en-US" w:eastAsia="ru-RU"/>
              </w:rPr>
              <w:t>Council of Europe Conventions (ETS)</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PACE</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ODIHR</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EEAS</w:t>
            </w:r>
            <w:r w:rsidRPr="001935D0">
              <w:rPr>
                <w:rFonts w:ascii="Times New Roman" w:eastAsia="Times New Roman" w:hAnsi="Times New Roman" w:cs="Times New Roman"/>
                <w:sz w:val="24"/>
                <w:szCs w:val="24"/>
                <w:lang w:val="en-US" w:eastAsia="ru-RU"/>
              </w:rPr>
              <w:t xml:space="preserve">, </w:t>
            </w:r>
            <w:r w:rsidRPr="001935D0">
              <w:rPr>
                <w:rFonts w:ascii="Times New Roman" w:eastAsia="Times New Roman" w:hAnsi="Times New Roman" w:cs="Times New Roman"/>
                <w:i/>
                <w:iCs/>
                <w:sz w:val="24"/>
                <w:szCs w:val="24"/>
                <w:lang w:val="en-US" w:eastAsia="ru-RU"/>
              </w:rPr>
              <w:t>DG NEAR</w:t>
            </w:r>
          </w:p>
        </w:tc>
        <w:tc>
          <w:tcPr>
            <w:tcW w:w="2943" w:type="dxa"/>
            <w:vAlign w:val="center"/>
          </w:tcPr>
          <w:p w14:paraId="365B0A81" w14:textId="46F2252E" w:rsidR="00E94B29" w:rsidRPr="001935D0" w:rsidRDefault="00E94B29" w:rsidP="00593711">
            <w:pPr>
              <w:rPr>
                <w:rFonts w:ascii="Times New Roman" w:eastAsia="Times New Roman" w:hAnsi="Times New Roman" w:cs="Times New Roman"/>
                <w:sz w:val="24"/>
                <w:szCs w:val="24"/>
                <w:lang w:eastAsia="ru-RU"/>
              </w:rPr>
            </w:pPr>
            <w:r w:rsidRPr="001935D0">
              <w:rPr>
                <w:rFonts w:ascii="Times New Roman" w:eastAsia="Times New Roman" w:hAnsi="Times New Roman" w:cs="Times New Roman"/>
                <w:sz w:val="24"/>
                <w:szCs w:val="24"/>
                <w:lang w:eastAsia="ru-RU"/>
              </w:rPr>
              <w:t>– Формирование интегрированной правовой архитектуры</w:t>
            </w:r>
            <w:r w:rsidR="00FC7EB8">
              <w:rPr>
                <w:rFonts w:ascii="Times New Roman" w:eastAsia="Times New Roman" w:hAnsi="Times New Roman" w:cs="Times New Roman"/>
                <w:sz w:val="24"/>
                <w:szCs w:val="24"/>
                <w:lang w:val="kk-KZ" w:eastAsia="ru-RU"/>
              </w:rPr>
              <w:t xml:space="preserve"> </w:t>
            </w:r>
            <w:r w:rsidRPr="001935D0">
              <w:rPr>
                <w:rFonts w:ascii="Times New Roman" w:eastAsia="Times New Roman" w:hAnsi="Times New Roman" w:cs="Times New Roman"/>
                <w:sz w:val="24"/>
                <w:szCs w:val="24"/>
                <w:lang w:eastAsia="ru-RU"/>
              </w:rPr>
              <w:t>– Повышение международного авторитета Казахстана</w:t>
            </w:r>
          </w:p>
        </w:tc>
      </w:tr>
      <w:tr w:rsidR="00FC7EB8" w:rsidRPr="001935D0" w14:paraId="3BE2FD81" w14:textId="77777777" w:rsidTr="00FC7EB8">
        <w:trPr>
          <w:cantSplit/>
          <w:trHeight w:val="205"/>
          <w:jc w:val="center"/>
        </w:trPr>
        <w:tc>
          <w:tcPr>
            <w:tcW w:w="9623" w:type="dxa"/>
            <w:gridSpan w:val="4"/>
            <w:vAlign w:val="center"/>
          </w:tcPr>
          <w:p w14:paraId="4434E286" w14:textId="3A35543B" w:rsidR="00FC7EB8" w:rsidRPr="001935D0" w:rsidRDefault="00FC7EB8" w:rsidP="00FC7EB8">
            <w:pPr>
              <w:ind w:firstLine="594"/>
              <w:rPr>
                <w:rFonts w:ascii="Times New Roman" w:eastAsia="Times New Roman" w:hAnsi="Times New Roman" w:cs="Times New Roman"/>
                <w:sz w:val="24"/>
                <w:szCs w:val="24"/>
                <w:lang w:eastAsia="ru-RU"/>
              </w:rPr>
            </w:pPr>
            <w:r>
              <w:rPr>
                <w:rFonts w:ascii="Times New Roman" w:hAnsi="Times New Roman" w:cs="Times New Roman"/>
                <w:sz w:val="24"/>
                <w:szCs w:val="24"/>
                <w:lang w:val="kk-KZ"/>
              </w:rPr>
              <w:t xml:space="preserve">Примечание – </w:t>
            </w:r>
            <w:r w:rsidRPr="001935D0">
              <w:rPr>
                <w:rFonts w:ascii="Times New Roman" w:hAnsi="Times New Roman" w:cs="Times New Roman"/>
                <w:sz w:val="24"/>
                <w:szCs w:val="24"/>
              </w:rPr>
              <w:t>Составлено автором</w:t>
            </w:r>
          </w:p>
        </w:tc>
      </w:tr>
    </w:tbl>
    <w:p w14:paraId="7F5C8F62" w14:textId="7A4C8537"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Период 2025–2027 годов представляет для Республики Казахстан ключевую фазу институциональной трансформации, в рамках которой формальные обязательства в сфере прав человека должны перейти в стадию устойчивой и воспроизводимой имплементации. Проведённый анализ подтвердил, что устойчивое сближение с правозащи</w:t>
      </w:r>
      <w:r w:rsidR="007C324F" w:rsidRPr="001935D0">
        <w:rPr>
          <w:rFonts w:ascii="Times New Roman" w:hAnsi="Times New Roman" w:cs="Times New Roman"/>
          <w:sz w:val="28"/>
          <w:szCs w:val="28"/>
        </w:rPr>
        <w:t>тными стандартами Европейского С</w:t>
      </w:r>
      <w:r w:rsidRPr="001935D0">
        <w:rPr>
          <w:rFonts w:ascii="Times New Roman" w:hAnsi="Times New Roman" w:cs="Times New Roman"/>
          <w:sz w:val="28"/>
          <w:szCs w:val="28"/>
        </w:rPr>
        <w:t>оюза требует не только нормативной гармонизации, но и глубокого пересмотра управленческих принципов, институциональной логики и ценностных ориентиров государственного аппарата.</w:t>
      </w:r>
    </w:p>
    <w:p w14:paraId="1CF59E16" w14:textId="14CC13DD"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На первом этапе (2025) приоритетное значение приобретает формирование целостной системы мониторинга и оценки состояния прав человека. Создание совместной панели индикаторов ЕС–Казахстан, основанной на количественных и качественных показателях – независимости судебной власти, транспарентности законодательства, гарантиях свободы выражения и участии гражданского общества, – станет основой перехода от декларативной отчётности к доказательному мониторингу прогресса. Такая система позволит не только фиксировать динамику институциональных изменений, но и выполнять функцию раннего предупреждения рисков нарушения прав человека.</w:t>
      </w:r>
    </w:p>
    <w:p w14:paraId="15BE72A9" w14:textId="5BBD695D"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Второй этап (2026) связан с углублением нормативной интеграции и правовой конвергенции Казахстана с европейскими стандартами. Ключевым направлением становится ратификация основных конвенций Совета Европы – Стамбульской (CETS №210) и Ланцаротской (CETS №201), а также институционализация процедур ex ante анализа законопроектов. Это обеспечит переход от фрагментарных реформ к комплексной правовой гармонизации, включающей не только техническую помощь со стороны ЕС, но и развитие внутреннего экспертного потенциала – парламента, судебных органов и института Омбудсмена.</w:t>
      </w:r>
    </w:p>
    <w:p w14:paraId="46416781" w14:textId="08AE299D"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Третий этап (2027) представляет собой фазу институционализации подотчётности и транспарентности, когда правозащитные механизмы становятся не внешним требованием, а внутренним стандартом государственного управления. Казахстану предстоит закрепить устойчивые формы взаимодействия государства, гражданского общества и международных партнёров через регулярное представление национальных отчётов по правам человека, интеграцию в систему Country Reports Европейской службы внешних связей (EEAS), а также развитие цифровых платформ открытых данных и общественной обратной связи. Такая институциональная открытость укрепляет доверие граждан к власти и повышает качество государственного управления.</w:t>
      </w:r>
    </w:p>
    <w:p w14:paraId="562C9CD9" w14:textId="77777777" w:rsidR="00E94B29" w:rsidRPr="001935D0" w:rsidRDefault="00E94B29" w:rsidP="00FC7EB8">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аналитическом измерении данная траектория отражает переход от реактивной модели политической стабильности к проактивной модели правового государства, где права человека рассматриваются как системообразующий элемент государственной политики. Для Казахстана это означает изменение характера взаимодействия власти и общества – от управляемой стабильности к институционализированной подотчётности и взаимной ответственности.</w:t>
      </w:r>
    </w:p>
    <w:p w14:paraId="088A1AA2" w14:textId="5FE9D1E3" w:rsidR="00E94B29" w:rsidRDefault="00E94B29" w:rsidP="00FC7EB8">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 xml:space="preserve">В долгосрочной перспективе реализация предложенной дорожной траектории обеспечивает синергетическое взаимодействие между </w:t>
      </w:r>
      <w:r w:rsidRPr="001935D0">
        <w:rPr>
          <w:rFonts w:ascii="Times New Roman" w:hAnsi="Times New Roman" w:cs="Times New Roman"/>
          <w:sz w:val="28"/>
          <w:szCs w:val="28"/>
        </w:rPr>
        <w:lastRenderedPageBreak/>
        <w:t xml:space="preserve">национальными и европейскими институтами. С одной стороны, Казахстан получает доступ к экспертным, образовательным и финансовым ресурсам Европейского </w:t>
      </w:r>
      <w:r w:rsidR="005672CE"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(NDICI – Global Europe, EIDHR, HELP), а с другой – формирует собственные адаптированные правовые механизмы, учитывающие национальный контекст и социально-культурные особенности. Это создаёт условия для устойчивого партнёрства и взаимного доверия в правозащитной сфере (рисунок 3.11).</w:t>
      </w:r>
    </w:p>
    <w:p w14:paraId="2FC13172" w14:textId="77777777" w:rsidR="00643325" w:rsidRPr="00643325" w:rsidRDefault="00643325" w:rsidP="00593711">
      <w:pPr>
        <w:pStyle w:val="NoSpacing"/>
        <w:ind w:firstLine="567"/>
        <w:jc w:val="both"/>
        <w:rPr>
          <w:rFonts w:ascii="Times New Roman" w:hAnsi="Times New Roman" w:cs="Times New Roman"/>
          <w:sz w:val="28"/>
          <w:szCs w:val="28"/>
          <w:lang w:val="kk-KZ"/>
        </w:rPr>
      </w:pPr>
    </w:p>
    <w:p w14:paraId="352C7E9C" w14:textId="77777777" w:rsidR="00E94B29" w:rsidRPr="001935D0" w:rsidRDefault="00E94B29" w:rsidP="00593711">
      <w:pPr>
        <w:spacing w:after="0" w:line="240" w:lineRule="auto"/>
        <w:rPr>
          <w:rFonts w:ascii="Times New Roman" w:eastAsia="Times New Roman" w:hAnsi="Times New Roman" w:cs="Times New Roman"/>
          <w:b/>
          <w:bCs/>
          <w:sz w:val="24"/>
          <w:szCs w:val="24"/>
          <w:lang w:eastAsia="ru-RU"/>
        </w:rPr>
      </w:pPr>
      <w:r w:rsidRPr="001935D0">
        <w:rPr>
          <w:rFonts w:ascii="Times New Roman" w:eastAsia="Times New Roman" w:hAnsi="Times New Roman" w:cs="Times New Roman"/>
          <w:b/>
          <w:bCs/>
          <w:noProof/>
          <w:sz w:val="24"/>
          <w:szCs w:val="24"/>
          <w:lang w:eastAsia="ru-RU"/>
        </w:rPr>
        <w:drawing>
          <wp:inline distT="0" distB="0" distL="0" distR="0" wp14:anchorId="2D7AE4CF" wp14:editId="04403F18">
            <wp:extent cx="5865495" cy="4835471"/>
            <wp:effectExtent l="57150" t="57150" r="0" b="22860"/>
            <wp:docPr id="48" name="Схема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5" r:lo="rId136" r:qs="rId137" r:cs="rId138"/>
              </a:graphicData>
            </a:graphic>
          </wp:inline>
        </w:drawing>
      </w:r>
    </w:p>
    <w:p w14:paraId="3F15F742" w14:textId="77777777" w:rsidR="00643325" w:rsidRPr="00643325" w:rsidRDefault="00643325" w:rsidP="00593711">
      <w:pPr>
        <w:pStyle w:val="NoSpacing"/>
        <w:ind w:firstLine="567"/>
        <w:jc w:val="both"/>
        <w:rPr>
          <w:rFonts w:ascii="Times New Roman" w:hAnsi="Times New Roman" w:cs="Times New Roman"/>
          <w:sz w:val="16"/>
          <w:szCs w:val="16"/>
          <w:lang w:val="kk-KZ" w:eastAsia="ru-RU"/>
        </w:rPr>
      </w:pPr>
    </w:p>
    <w:p w14:paraId="070204A3" w14:textId="6917ACAF" w:rsidR="00E94B29" w:rsidRPr="001935D0" w:rsidRDefault="00E94B29" w:rsidP="00643325">
      <w:pPr>
        <w:pStyle w:val="NoSpacing"/>
        <w:jc w:val="center"/>
        <w:rPr>
          <w:rFonts w:ascii="Times New Roman" w:hAnsi="Times New Roman" w:cs="Times New Roman"/>
          <w:sz w:val="28"/>
          <w:szCs w:val="28"/>
          <w:lang w:eastAsia="ru-RU"/>
        </w:rPr>
      </w:pPr>
      <w:r w:rsidRPr="001935D0">
        <w:rPr>
          <w:rFonts w:ascii="Times New Roman" w:hAnsi="Times New Roman" w:cs="Times New Roman"/>
          <w:sz w:val="28"/>
          <w:szCs w:val="28"/>
          <w:lang w:eastAsia="ru-RU"/>
        </w:rPr>
        <w:t>Рис</w:t>
      </w:r>
      <w:r w:rsidR="00643325">
        <w:rPr>
          <w:rFonts w:ascii="Times New Roman" w:hAnsi="Times New Roman" w:cs="Times New Roman"/>
          <w:sz w:val="28"/>
          <w:szCs w:val="28"/>
          <w:lang w:val="kk-KZ" w:eastAsia="ru-RU"/>
        </w:rPr>
        <w:t>унок</w:t>
      </w:r>
      <w:r w:rsidRPr="001935D0">
        <w:rPr>
          <w:rFonts w:ascii="Times New Roman" w:hAnsi="Times New Roman" w:cs="Times New Roman"/>
          <w:sz w:val="28"/>
          <w:szCs w:val="28"/>
          <w:lang w:eastAsia="ru-RU"/>
        </w:rPr>
        <w:t xml:space="preserve"> 3.11 </w:t>
      </w:r>
      <w:r w:rsidR="00643325">
        <w:rPr>
          <w:rFonts w:ascii="Times New Roman" w:hAnsi="Times New Roman" w:cs="Times New Roman"/>
          <w:sz w:val="28"/>
          <w:szCs w:val="28"/>
          <w:lang w:val="kk-KZ" w:eastAsia="ru-RU"/>
        </w:rPr>
        <w:t xml:space="preserve">– </w:t>
      </w:r>
      <w:r w:rsidRPr="001935D0">
        <w:rPr>
          <w:rFonts w:ascii="Times New Roman" w:hAnsi="Times New Roman" w:cs="Times New Roman"/>
          <w:sz w:val="28"/>
          <w:szCs w:val="28"/>
          <w:lang w:eastAsia="ru-RU"/>
        </w:rPr>
        <w:t>Модель институциональной архитектуры мониторинга прав человека в Республике Казахстан в контексте партнёрства с ЕС и Советом Европы</w:t>
      </w:r>
    </w:p>
    <w:p w14:paraId="4C48B58D" w14:textId="77777777" w:rsidR="00643325" w:rsidRDefault="00643325" w:rsidP="00593711">
      <w:pPr>
        <w:spacing w:after="0" w:line="240" w:lineRule="auto"/>
        <w:rPr>
          <w:rFonts w:ascii="Times New Roman" w:hAnsi="Times New Roman" w:cs="Times New Roman"/>
          <w:sz w:val="24"/>
          <w:szCs w:val="24"/>
          <w:lang w:val="kk-KZ" w:eastAsia="ru-RU"/>
        </w:rPr>
      </w:pPr>
    </w:p>
    <w:p w14:paraId="73788C25" w14:textId="413A38FF" w:rsidR="00E94B29" w:rsidRPr="001935D0" w:rsidRDefault="00643325" w:rsidP="00643325">
      <w:pPr>
        <w:spacing w:after="0" w:line="240" w:lineRule="auto"/>
        <w:ind w:firstLine="709"/>
        <w:rPr>
          <w:rFonts w:ascii="Times New Roman" w:hAnsi="Times New Roman" w:cs="Times New Roman"/>
          <w:sz w:val="24"/>
          <w:szCs w:val="24"/>
          <w:lang w:eastAsia="ru-RU"/>
        </w:rPr>
      </w:pPr>
      <w:r>
        <w:rPr>
          <w:rFonts w:ascii="Times New Roman" w:hAnsi="Times New Roman" w:cs="Times New Roman"/>
          <w:sz w:val="24"/>
          <w:szCs w:val="24"/>
          <w:lang w:val="kk-KZ" w:eastAsia="ru-RU"/>
        </w:rPr>
        <w:t xml:space="preserve">Примечание – </w:t>
      </w:r>
      <w:r w:rsidRPr="001935D0">
        <w:rPr>
          <w:rFonts w:ascii="Times New Roman" w:hAnsi="Times New Roman" w:cs="Times New Roman"/>
          <w:sz w:val="24"/>
          <w:szCs w:val="24"/>
          <w:lang w:eastAsia="ru-RU"/>
        </w:rPr>
        <w:t>С</w:t>
      </w:r>
      <w:r w:rsidR="00E94B29" w:rsidRPr="001935D0">
        <w:rPr>
          <w:rFonts w:ascii="Times New Roman" w:hAnsi="Times New Roman" w:cs="Times New Roman"/>
          <w:sz w:val="24"/>
          <w:szCs w:val="24"/>
          <w:lang w:eastAsia="ru-RU"/>
        </w:rPr>
        <w:t xml:space="preserve">оставлено автором </w:t>
      </w:r>
    </w:p>
    <w:p w14:paraId="048A0CB4" w14:textId="77777777" w:rsidR="00643325" w:rsidRDefault="00643325" w:rsidP="00643325">
      <w:pPr>
        <w:pStyle w:val="NoSpacing"/>
        <w:ind w:firstLine="709"/>
        <w:jc w:val="both"/>
        <w:rPr>
          <w:rFonts w:ascii="Times New Roman" w:hAnsi="Times New Roman" w:cs="Times New Roman"/>
          <w:sz w:val="28"/>
          <w:szCs w:val="28"/>
          <w:lang w:val="kk-KZ"/>
        </w:rPr>
      </w:pPr>
    </w:p>
    <w:p w14:paraId="72A56AB7" w14:textId="77777777"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Представленная модель отражает институциональную логику взаимодействия между ключевыми субъектами мониторинга и оценки правозащитной политики. В отличие от прежней фрагментарной системы отчётности, новая архитектура формирует вертикаль подотчётности и горизонт координации, обеспечивая согласованность действий между национальными и международными структурами.</w:t>
      </w:r>
    </w:p>
    <w:p w14:paraId="4EFBD14F" w14:textId="77777777"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Верхний уровень (Комитет министров и Директорат программной координации Совета Европы) осуществляет стратегическое руководство и обеспечивает методологическое единство правозащитных процессов. Средний уровень, представленный Делегацией ЕС, Министерством юстиции и Институтом (Офисом) Омбудсмена, отвечает за реализацию программных приоритетов, контроль и согласование национальных и международных инициатив. На операционном уровне функционирует Единая цифровая платформа мониторинга, объединяющая Совместную индикаторную панель ЕС–Казахстан, Национальный центр по правам человека и сеть гражданских, академических и медийных партнёров.</w:t>
      </w:r>
    </w:p>
    <w:p w14:paraId="2D99B405" w14:textId="382CA5B1" w:rsidR="00E94B29" w:rsidRPr="001935D0" w:rsidRDefault="00E94B29" w:rsidP="00643325">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Эта платформа выступает интерфейсом обмена информацией между государством, гражданским обществом и международными организациями, обеспечивая непрерывный цикл обратной связи (feedback loop). Ежегодная корректировка стратегий, бюджетов и индикаторов – на основе цифровой аналитики и SMART-показателей – позволяет гибко адаптировать правозащитную политику к новым вызовам и рекомендациям международных партнёров, включая GRECO, CEPEJ и ODIHR (таблица 3.15).</w:t>
      </w:r>
    </w:p>
    <w:p w14:paraId="23DD4335" w14:textId="77777777" w:rsidR="00EA730D" w:rsidRPr="001935D0" w:rsidRDefault="00EA730D" w:rsidP="00593711">
      <w:pPr>
        <w:pStyle w:val="NoSpacing"/>
        <w:ind w:firstLine="567"/>
        <w:jc w:val="both"/>
        <w:rPr>
          <w:rFonts w:ascii="Times New Roman" w:hAnsi="Times New Roman" w:cs="Times New Roman"/>
          <w:sz w:val="28"/>
          <w:szCs w:val="28"/>
        </w:rPr>
      </w:pPr>
    </w:p>
    <w:p w14:paraId="7C9BE201" w14:textId="427102ED" w:rsidR="00E94B29" w:rsidRDefault="00E94B29" w:rsidP="00643325">
      <w:pPr>
        <w:pStyle w:val="NoSpacing"/>
        <w:jc w:val="both"/>
        <w:rPr>
          <w:rFonts w:ascii="Times New Roman" w:hAnsi="Times New Roman" w:cs="Times New Roman"/>
          <w:sz w:val="28"/>
          <w:szCs w:val="28"/>
          <w:lang w:val="kk-KZ" w:eastAsia="ru-RU"/>
        </w:rPr>
      </w:pPr>
      <w:r w:rsidRPr="001935D0">
        <w:rPr>
          <w:rFonts w:ascii="Times New Roman" w:hAnsi="Times New Roman" w:cs="Times New Roman"/>
          <w:sz w:val="28"/>
          <w:szCs w:val="28"/>
          <w:lang w:eastAsia="ru-RU"/>
        </w:rPr>
        <w:t xml:space="preserve">Таблица 3.15 </w:t>
      </w:r>
      <w:r w:rsidR="00643325">
        <w:rPr>
          <w:rFonts w:ascii="Times New Roman" w:hAnsi="Times New Roman" w:cs="Times New Roman"/>
          <w:sz w:val="28"/>
          <w:szCs w:val="28"/>
          <w:lang w:eastAsia="ru-RU"/>
        </w:rPr>
        <w:t>‒</w:t>
      </w:r>
      <w:r w:rsidR="00643325">
        <w:rPr>
          <w:rFonts w:ascii="Times New Roman" w:hAnsi="Times New Roman" w:cs="Times New Roman"/>
          <w:sz w:val="28"/>
          <w:szCs w:val="28"/>
          <w:lang w:val="kk-KZ" w:eastAsia="ru-RU"/>
        </w:rPr>
        <w:t xml:space="preserve"> </w:t>
      </w:r>
      <w:r w:rsidRPr="001935D0">
        <w:rPr>
          <w:rFonts w:ascii="Times New Roman" w:hAnsi="Times New Roman" w:cs="Times New Roman"/>
          <w:sz w:val="28"/>
          <w:szCs w:val="28"/>
          <w:lang w:eastAsia="ru-RU"/>
        </w:rPr>
        <w:t>Соответствие механизмов правозащитной политики Казахстана Целям устойчивого развития (SDGs)</w:t>
      </w:r>
    </w:p>
    <w:p w14:paraId="277D5882" w14:textId="77777777" w:rsidR="00643325" w:rsidRPr="00643325" w:rsidRDefault="00643325" w:rsidP="00643325">
      <w:pPr>
        <w:pStyle w:val="NoSpacing"/>
        <w:jc w:val="right"/>
        <w:rPr>
          <w:rFonts w:ascii="Times New Roman" w:hAnsi="Times New Roman" w:cs="Times New Roman"/>
          <w:i/>
          <w:sz w:val="16"/>
          <w:szCs w:val="16"/>
          <w:lang w:val="kk-KZ" w:eastAsia="ru-RU"/>
        </w:rPr>
      </w:pPr>
    </w:p>
    <w:tbl>
      <w:tblPr>
        <w:tblStyle w:val="TableGrid"/>
        <w:tblW w:w="0" w:type="auto"/>
        <w:jc w:val="center"/>
        <w:tblLook w:val="04A0" w:firstRow="1" w:lastRow="0" w:firstColumn="1" w:lastColumn="0" w:noHBand="0" w:noVBand="1"/>
      </w:tblPr>
      <w:tblGrid>
        <w:gridCol w:w="3100"/>
        <w:gridCol w:w="3685"/>
        <w:gridCol w:w="2814"/>
      </w:tblGrid>
      <w:tr w:rsidR="00E94B29" w:rsidRPr="001935D0" w14:paraId="482D0EAA" w14:textId="77777777" w:rsidTr="00643325">
        <w:trPr>
          <w:jc w:val="center"/>
        </w:trPr>
        <w:tc>
          <w:tcPr>
            <w:tcW w:w="3100" w:type="dxa"/>
          </w:tcPr>
          <w:p w14:paraId="033A376E" w14:textId="77777777" w:rsidR="00E94B29" w:rsidRPr="00643325" w:rsidRDefault="00E94B29" w:rsidP="00643325">
            <w:pPr>
              <w:pStyle w:val="NoSpacing"/>
              <w:jc w:val="center"/>
              <w:rPr>
                <w:rFonts w:ascii="Times New Roman" w:hAnsi="Times New Roman" w:cs="Times New Roman"/>
                <w:sz w:val="24"/>
                <w:szCs w:val="24"/>
                <w:lang w:eastAsia="ru-RU"/>
              </w:rPr>
            </w:pPr>
            <w:r w:rsidRPr="00643325">
              <w:rPr>
                <w:rFonts w:ascii="Times New Roman" w:hAnsi="Times New Roman" w:cs="Times New Roman"/>
                <w:sz w:val="24"/>
                <w:szCs w:val="24"/>
                <w:lang w:eastAsia="ru-RU"/>
              </w:rPr>
              <w:t>Цель SDG</w:t>
            </w:r>
          </w:p>
        </w:tc>
        <w:tc>
          <w:tcPr>
            <w:tcW w:w="3685" w:type="dxa"/>
          </w:tcPr>
          <w:p w14:paraId="6B6D1C33" w14:textId="77777777" w:rsidR="00E94B29" w:rsidRPr="00643325" w:rsidRDefault="00E94B29" w:rsidP="00643325">
            <w:pPr>
              <w:pStyle w:val="NoSpacing"/>
              <w:jc w:val="center"/>
              <w:rPr>
                <w:rFonts w:ascii="Times New Roman" w:hAnsi="Times New Roman" w:cs="Times New Roman"/>
                <w:sz w:val="24"/>
                <w:szCs w:val="24"/>
                <w:lang w:eastAsia="ru-RU"/>
              </w:rPr>
            </w:pPr>
            <w:r w:rsidRPr="00643325">
              <w:rPr>
                <w:rFonts w:ascii="Times New Roman" w:hAnsi="Times New Roman" w:cs="Times New Roman"/>
                <w:sz w:val="24"/>
                <w:szCs w:val="24"/>
                <w:lang w:eastAsia="ru-RU"/>
              </w:rPr>
              <w:t>Направление деятельности</w:t>
            </w:r>
          </w:p>
        </w:tc>
        <w:tc>
          <w:tcPr>
            <w:tcW w:w="2814" w:type="dxa"/>
          </w:tcPr>
          <w:p w14:paraId="53DFB4EF" w14:textId="77777777" w:rsidR="00E94B29" w:rsidRPr="00643325" w:rsidRDefault="00E94B29" w:rsidP="00643325">
            <w:pPr>
              <w:pStyle w:val="NoSpacing"/>
              <w:jc w:val="center"/>
              <w:rPr>
                <w:rFonts w:ascii="Times New Roman" w:hAnsi="Times New Roman" w:cs="Times New Roman"/>
                <w:sz w:val="24"/>
                <w:szCs w:val="24"/>
                <w:lang w:eastAsia="ru-RU"/>
              </w:rPr>
            </w:pPr>
            <w:r w:rsidRPr="00643325">
              <w:rPr>
                <w:rFonts w:ascii="Times New Roman" w:hAnsi="Times New Roman" w:cs="Times New Roman"/>
                <w:sz w:val="24"/>
                <w:szCs w:val="24"/>
                <w:lang w:eastAsia="ru-RU"/>
              </w:rPr>
              <w:t>Механизмы реализации</w:t>
            </w:r>
          </w:p>
        </w:tc>
      </w:tr>
      <w:tr w:rsidR="00E94B29" w:rsidRPr="001935D0" w14:paraId="4843AD7D" w14:textId="77777777" w:rsidTr="00643325">
        <w:trPr>
          <w:jc w:val="center"/>
        </w:trPr>
        <w:tc>
          <w:tcPr>
            <w:tcW w:w="3100" w:type="dxa"/>
            <w:vAlign w:val="center"/>
          </w:tcPr>
          <w:p w14:paraId="0398616F" w14:textId="77777777" w:rsidR="00E94B29" w:rsidRPr="001935D0" w:rsidRDefault="00E94B29" w:rsidP="00643325">
            <w:pPr>
              <w:pStyle w:val="NoSpacing"/>
              <w:rPr>
                <w:rFonts w:ascii="Times New Roman" w:hAnsi="Times New Roman" w:cs="Times New Roman"/>
                <w:i/>
                <w:sz w:val="24"/>
                <w:szCs w:val="24"/>
                <w:lang w:eastAsia="ru-RU"/>
              </w:rPr>
            </w:pPr>
            <w:r w:rsidRPr="001935D0">
              <w:rPr>
                <w:rFonts w:ascii="Times New Roman" w:hAnsi="Times New Roman" w:cs="Times New Roman"/>
                <w:i/>
                <w:sz w:val="24"/>
                <w:szCs w:val="24"/>
                <w:lang w:eastAsia="ru-RU"/>
              </w:rPr>
              <w:t>SDG 4 – Качественное образование</w:t>
            </w:r>
          </w:p>
        </w:tc>
        <w:tc>
          <w:tcPr>
            <w:tcW w:w="3685" w:type="dxa"/>
            <w:vAlign w:val="center"/>
          </w:tcPr>
          <w:p w14:paraId="07DE925B" w14:textId="77777777" w:rsidR="00E94B29" w:rsidRPr="001935D0" w:rsidRDefault="00E94B29" w:rsidP="00643325">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Повышение квалификации судей и прокуроров, развитие правового просвещения</w:t>
            </w:r>
          </w:p>
        </w:tc>
        <w:tc>
          <w:tcPr>
            <w:tcW w:w="2814" w:type="dxa"/>
            <w:vAlign w:val="center"/>
          </w:tcPr>
          <w:p w14:paraId="00A154ED"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HELP, CEPEJ, TAIEX</w:t>
            </w:r>
          </w:p>
        </w:tc>
      </w:tr>
      <w:tr w:rsidR="00E94B29" w:rsidRPr="00AD6D54" w14:paraId="6DEFB69B" w14:textId="77777777" w:rsidTr="00643325">
        <w:trPr>
          <w:jc w:val="center"/>
        </w:trPr>
        <w:tc>
          <w:tcPr>
            <w:tcW w:w="3100" w:type="dxa"/>
            <w:vAlign w:val="center"/>
          </w:tcPr>
          <w:p w14:paraId="67636063" w14:textId="77777777" w:rsidR="00E94B29" w:rsidRPr="001935D0" w:rsidRDefault="00E94B29" w:rsidP="00643325">
            <w:pPr>
              <w:pStyle w:val="NoSpacing"/>
              <w:rPr>
                <w:rFonts w:ascii="Times New Roman" w:hAnsi="Times New Roman" w:cs="Times New Roman"/>
                <w:i/>
                <w:sz w:val="24"/>
                <w:szCs w:val="24"/>
                <w:lang w:eastAsia="ru-RU"/>
              </w:rPr>
            </w:pPr>
            <w:r w:rsidRPr="001935D0">
              <w:rPr>
                <w:rFonts w:ascii="Times New Roman" w:hAnsi="Times New Roman" w:cs="Times New Roman"/>
                <w:i/>
                <w:sz w:val="24"/>
                <w:szCs w:val="24"/>
                <w:lang w:eastAsia="ru-RU"/>
              </w:rPr>
              <w:t>SDG 5 – Гендерное равенство</w:t>
            </w:r>
          </w:p>
        </w:tc>
        <w:tc>
          <w:tcPr>
            <w:tcW w:w="3685" w:type="dxa"/>
            <w:vAlign w:val="center"/>
          </w:tcPr>
          <w:p w14:paraId="6A75A24F" w14:textId="77777777" w:rsidR="00E94B29" w:rsidRPr="001935D0" w:rsidRDefault="00E94B29" w:rsidP="00643325">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Поддержка жертв насилия, продвижение Стамбульской конвенции</w:t>
            </w:r>
          </w:p>
        </w:tc>
        <w:tc>
          <w:tcPr>
            <w:tcW w:w="2814" w:type="dxa"/>
          </w:tcPr>
          <w:p w14:paraId="3DE0A391" w14:textId="77777777" w:rsidR="00E94B29" w:rsidRPr="001935D0" w:rsidRDefault="00E94B29" w:rsidP="00593711">
            <w:pPr>
              <w:pStyle w:val="NoSpacing"/>
              <w:rPr>
                <w:rFonts w:ascii="Times New Roman" w:hAnsi="Times New Roman" w:cs="Times New Roman"/>
                <w:sz w:val="24"/>
                <w:szCs w:val="24"/>
                <w:lang w:val="en-US" w:eastAsia="ru-RU"/>
              </w:rPr>
            </w:pPr>
            <w:r w:rsidRPr="001935D0">
              <w:rPr>
                <w:rFonts w:ascii="Times New Roman" w:hAnsi="Times New Roman" w:cs="Times New Roman"/>
                <w:sz w:val="24"/>
                <w:szCs w:val="24"/>
                <w:lang w:val="en-US" w:eastAsia="ru-RU"/>
              </w:rPr>
              <w:t>Istanbul Convention, Gender Mainstreaming Toolkit</w:t>
            </w:r>
          </w:p>
        </w:tc>
      </w:tr>
      <w:tr w:rsidR="00E94B29" w:rsidRPr="001935D0" w14:paraId="2377438E" w14:textId="77777777" w:rsidTr="00643325">
        <w:trPr>
          <w:jc w:val="center"/>
        </w:trPr>
        <w:tc>
          <w:tcPr>
            <w:tcW w:w="3100" w:type="dxa"/>
            <w:vAlign w:val="center"/>
          </w:tcPr>
          <w:p w14:paraId="203D5CB6" w14:textId="77777777" w:rsidR="00E94B29" w:rsidRPr="001935D0" w:rsidRDefault="00E94B29" w:rsidP="00643325">
            <w:pPr>
              <w:pStyle w:val="NoSpacing"/>
              <w:rPr>
                <w:rFonts w:ascii="Times New Roman" w:hAnsi="Times New Roman" w:cs="Times New Roman"/>
                <w:i/>
                <w:sz w:val="24"/>
                <w:szCs w:val="24"/>
                <w:lang w:eastAsia="ru-RU"/>
              </w:rPr>
            </w:pPr>
            <w:r w:rsidRPr="001935D0">
              <w:rPr>
                <w:rFonts w:ascii="Times New Roman" w:hAnsi="Times New Roman" w:cs="Times New Roman"/>
                <w:i/>
                <w:sz w:val="24"/>
                <w:szCs w:val="24"/>
                <w:lang w:eastAsia="ru-RU"/>
              </w:rPr>
              <w:t>SDG 8 – Достойная занятость и экономический рост</w:t>
            </w:r>
          </w:p>
        </w:tc>
        <w:tc>
          <w:tcPr>
            <w:tcW w:w="3685" w:type="dxa"/>
            <w:vAlign w:val="center"/>
          </w:tcPr>
          <w:p w14:paraId="6D1A6418" w14:textId="77777777" w:rsidR="00E94B29" w:rsidRPr="001935D0" w:rsidRDefault="00E94B29" w:rsidP="00643325">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Противодействие торговле людьми и трудовой эксплуатации</w:t>
            </w:r>
          </w:p>
        </w:tc>
        <w:tc>
          <w:tcPr>
            <w:tcW w:w="2814" w:type="dxa"/>
          </w:tcPr>
          <w:p w14:paraId="287ECC7B"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GRETA, Lanzarote Convention</w:t>
            </w:r>
          </w:p>
        </w:tc>
      </w:tr>
      <w:tr w:rsidR="00E94B29" w:rsidRPr="001935D0" w14:paraId="1D8D1FBE" w14:textId="77777777" w:rsidTr="00643325">
        <w:trPr>
          <w:jc w:val="center"/>
        </w:trPr>
        <w:tc>
          <w:tcPr>
            <w:tcW w:w="3100" w:type="dxa"/>
            <w:vAlign w:val="center"/>
          </w:tcPr>
          <w:p w14:paraId="31677342" w14:textId="77777777" w:rsidR="00E94B29" w:rsidRPr="001935D0" w:rsidRDefault="00E94B29" w:rsidP="00643325">
            <w:pPr>
              <w:pStyle w:val="NoSpacing"/>
              <w:rPr>
                <w:rFonts w:ascii="Times New Roman" w:hAnsi="Times New Roman" w:cs="Times New Roman"/>
                <w:i/>
                <w:sz w:val="24"/>
                <w:szCs w:val="24"/>
                <w:lang w:eastAsia="ru-RU"/>
              </w:rPr>
            </w:pPr>
            <w:r w:rsidRPr="001935D0">
              <w:rPr>
                <w:rFonts w:ascii="Times New Roman" w:hAnsi="Times New Roman" w:cs="Times New Roman"/>
                <w:i/>
                <w:sz w:val="24"/>
                <w:szCs w:val="24"/>
                <w:lang w:eastAsia="ru-RU"/>
              </w:rPr>
              <w:t>SDG 10 – Снижение неравенства</w:t>
            </w:r>
          </w:p>
        </w:tc>
        <w:tc>
          <w:tcPr>
            <w:tcW w:w="3685" w:type="dxa"/>
            <w:vAlign w:val="center"/>
          </w:tcPr>
          <w:p w14:paraId="68BD6831" w14:textId="77777777" w:rsidR="00E94B29" w:rsidRPr="001935D0" w:rsidRDefault="00E94B29" w:rsidP="00643325">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Расширение полномочий Института Омбудсмена, защита уязвимых групп</w:t>
            </w:r>
          </w:p>
        </w:tc>
        <w:tc>
          <w:tcPr>
            <w:tcW w:w="2814" w:type="dxa"/>
          </w:tcPr>
          <w:p w14:paraId="45530900" w14:textId="77777777" w:rsidR="00E94B29" w:rsidRPr="001935D0" w:rsidRDefault="00E94B29" w:rsidP="00593711">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NDICI – Global Europe, Национальный Омбудсмен</w:t>
            </w:r>
          </w:p>
        </w:tc>
      </w:tr>
      <w:tr w:rsidR="00E94B29" w:rsidRPr="00AD6D54" w14:paraId="6820A15C" w14:textId="77777777" w:rsidTr="00643325">
        <w:trPr>
          <w:jc w:val="center"/>
        </w:trPr>
        <w:tc>
          <w:tcPr>
            <w:tcW w:w="3100" w:type="dxa"/>
            <w:vAlign w:val="center"/>
          </w:tcPr>
          <w:p w14:paraId="4A076E3A" w14:textId="77777777" w:rsidR="00E94B29" w:rsidRPr="001935D0" w:rsidRDefault="00E94B29" w:rsidP="00643325">
            <w:pPr>
              <w:pStyle w:val="NoSpacing"/>
              <w:rPr>
                <w:rFonts w:ascii="Times New Roman" w:hAnsi="Times New Roman" w:cs="Times New Roman"/>
                <w:i/>
                <w:sz w:val="24"/>
                <w:szCs w:val="24"/>
                <w:lang w:eastAsia="ru-RU"/>
              </w:rPr>
            </w:pPr>
            <w:r w:rsidRPr="001935D0">
              <w:rPr>
                <w:rFonts w:ascii="Times New Roman" w:hAnsi="Times New Roman" w:cs="Times New Roman"/>
                <w:i/>
                <w:sz w:val="24"/>
                <w:szCs w:val="24"/>
                <w:lang w:eastAsia="ru-RU"/>
              </w:rPr>
              <w:t>SDG 16 – Мир, правосудие и верховенство права</w:t>
            </w:r>
          </w:p>
        </w:tc>
        <w:tc>
          <w:tcPr>
            <w:tcW w:w="3685" w:type="dxa"/>
            <w:vAlign w:val="center"/>
          </w:tcPr>
          <w:p w14:paraId="1A1C755F" w14:textId="77777777" w:rsidR="00E94B29" w:rsidRPr="001935D0" w:rsidRDefault="00E94B29" w:rsidP="00643325">
            <w:pPr>
              <w:pStyle w:val="NoSpacing"/>
              <w:rPr>
                <w:rFonts w:ascii="Times New Roman" w:hAnsi="Times New Roman" w:cs="Times New Roman"/>
                <w:sz w:val="24"/>
                <w:szCs w:val="24"/>
                <w:lang w:eastAsia="ru-RU"/>
              </w:rPr>
            </w:pPr>
            <w:r w:rsidRPr="001935D0">
              <w:rPr>
                <w:rFonts w:ascii="Times New Roman" w:hAnsi="Times New Roman" w:cs="Times New Roman"/>
                <w:sz w:val="24"/>
                <w:szCs w:val="24"/>
                <w:lang w:eastAsia="ru-RU"/>
              </w:rPr>
              <w:t>Независимый суд, антикоррупционные меры, транспарентное управление</w:t>
            </w:r>
          </w:p>
        </w:tc>
        <w:tc>
          <w:tcPr>
            <w:tcW w:w="2814" w:type="dxa"/>
          </w:tcPr>
          <w:p w14:paraId="7BEA5736" w14:textId="3E4D6BE5" w:rsidR="00E94B29" w:rsidRPr="001935D0" w:rsidRDefault="009E3B02" w:rsidP="00593711">
            <w:pPr>
              <w:pStyle w:val="NoSpacing"/>
              <w:rPr>
                <w:rFonts w:ascii="Times New Roman" w:hAnsi="Times New Roman" w:cs="Times New Roman"/>
                <w:sz w:val="24"/>
                <w:szCs w:val="24"/>
                <w:lang w:val="en-US" w:eastAsia="ru-RU"/>
              </w:rPr>
            </w:pPr>
            <w:r w:rsidRPr="001935D0">
              <w:rPr>
                <w:rFonts w:ascii="Times New Roman" w:hAnsi="Times New Roman" w:cs="Times New Roman"/>
                <w:sz w:val="24"/>
                <w:szCs w:val="24"/>
                <w:lang w:val="en-US" w:eastAsia="ru-RU"/>
              </w:rPr>
              <w:t>GRECO, Venice Commission, CEPEJ, ODIHR</w:t>
            </w:r>
          </w:p>
        </w:tc>
      </w:tr>
      <w:tr w:rsidR="009E3B02" w:rsidRPr="00B04004" w14:paraId="5E659FE5" w14:textId="77777777" w:rsidTr="00643325">
        <w:trPr>
          <w:jc w:val="center"/>
        </w:trPr>
        <w:tc>
          <w:tcPr>
            <w:tcW w:w="9599" w:type="dxa"/>
            <w:gridSpan w:val="3"/>
          </w:tcPr>
          <w:p w14:paraId="24AEBBC1" w14:textId="284F9078" w:rsidR="009E3B02" w:rsidRPr="00235963" w:rsidRDefault="009D7580" w:rsidP="00643325">
            <w:pPr>
              <w:pStyle w:val="NoSpacing"/>
              <w:ind w:firstLine="709"/>
              <w:rPr>
                <w:rFonts w:ascii="Times New Roman" w:hAnsi="Times New Roman" w:cs="Times New Roman"/>
                <w:sz w:val="24"/>
                <w:szCs w:val="24"/>
                <w:lang w:eastAsia="ru-RU"/>
              </w:rPr>
            </w:pPr>
            <w:r w:rsidRPr="00B04004">
              <w:rPr>
                <w:rFonts w:ascii="Times New Roman" w:hAnsi="Times New Roman" w:cs="Times New Roman"/>
                <w:sz w:val="24"/>
                <w:szCs w:val="24"/>
                <w:lang w:val="kk-KZ" w:eastAsia="ru-RU"/>
              </w:rPr>
              <w:t xml:space="preserve">Примечание – </w:t>
            </w:r>
            <w:r w:rsidRPr="00B04004">
              <w:rPr>
                <w:rFonts w:ascii="Times New Roman" w:hAnsi="Times New Roman" w:cs="Times New Roman"/>
                <w:sz w:val="24"/>
                <w:szCs w:val="24"/>
                <w:lang w:eastAsia="ru-RU"/>
              </w:rPr>
              <w:t xml:space="preserve">Составлено автором по данным </w:t>
            </w:r>
            <w:r w:rsidRPr="00B04004">
              <w:rPr>
                <w:rFonts w:ascii="Times New Roman" w:hAnsi="Times New Roman" w:cs="Times New Roman"/>
                <w:sz w:val="24"/>
                <w:szCs w:val="24"/>
                <w:lang w:val="kk-KZ" w:eastAsia="ru-RU"/>
              </w:rPr>
              <w:t xml:space="preserve">источников </w:t>
            </w:r>
            <w:r w:rsidRPr="00B04004">
              <w:rPr>
                <w:rFonts w:ascii="Times New Roman" w:hAnsi="Times New Roman" w:cs="Times New Roman"/>
                <w:sz w:val="24"/>
                <w:szCs w:val="24"/>
                <w:lang w:eastAsia="ru-RU"/>
              </w:rPr>
              <w:t>[</w:t>
            </w:r>
            <w:r w:rsidRPr="00B04004">
              <w:rPr>
                <w:rFonts w:ascii="Times New Roman" w:hAnsi="Times New Roman" w:cs="Times New Roman"/>
                <w:sz w:val="24"/>
                <w:szCs w:val="24"/>
                <w:lang w:val="kk-KZ"/>
              </w:rPr>
              <w:t>101; 183; 184; 185; 186; 187; 188; 189; 190; 191; 192; 193; 194; 195; 196, р. 42-58; 197; 198; 199; 200; 201; 202; 203; 204; 205; 206; 207; 208; 209; 210; 211; 212; 213; 214; 215; 216</w:t>
            </w:r>
            <w:r w:rsidRPr="00B04004">
              <w:rPr>
                <w:rFonts w:ascii="Times New Roman" w:hAnsi="Times New Roman" w:cs="Times New Roman"/>
                <w:sz w:val="24"/>
                <w:szCs w:val="24"/>
                <w:lang w:eastAsia="ru-RU"/>
              </w:rPr>
              <w:t>]</w:t>
            </w:r>
          </w:p>
        </w:tc>
      </w:tr>
    </w:tbl>
    <w:p w14:paraId="27829A55" w14:textId="0B6E9AE5" w:rsidR="009E3B02" w:rsidRDefault="009E3B02" w:rsidP="009E3B02">
      <w:pPr>
        <w:pStyle w:val="NoSpacing"/>
        <w:ind w:firstLine="709"/>
        <w:jc w:val="both"/>
        <w:rPr>
          <w:rFonts w:ascii="Times New Roman" w:hAnsi="Times New Roman" w:cs="Times New Roman"/>
          <w:sz w:val="28"/>
          <w:szCs w:val="28"/>
          <w:lang w:val="kk-KZ"/>
        </w:rPr>
      </w:pPr>
    </w:p>
    <w:p w14:paraId="62235CF9" w14:textId="77777777" w:rsidR="00E94B29" w:rsidRPr="001935D0" w:rsidRDefault="00E94B29"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Связь национальных правозащитных реформ с Повесткой ООН-2030 превращает их в часть комплексной стратегии устойчивого развития. Реализация целей SDG 4, 5, 8, 10 и 16 обеспечивает взаимосвязь между образованием, равенством, справедливостью и эффективностью государственного управления. Включение Казахстана в региональные обзоры SDG Progress for Central Asia (UNDP, 2024) позволяет соотносить национальные правозащитные реформы с глобальными целями и оценивать их влияние на качество управления.</w:t>
      </w:r>
    </w:p>
    <w:p w14:paraId="01B29E3E" w14:textId="77777777" w:rsidR="00E94B29" w:rsidRPr="001935D0" w:rsidRDefault="00E94B29"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lastRenderedPageBreak/>
        <w:t>Контроль за результативностью стратегии осуществляется через трёхуровневую систему мониторинга:</w:t>
      </w:r>
    </w:p>
    <w:p w14:paraId="3C6D6593" w14:textId="77777777" w:rsidR="00E94B29" w:rsidRPr="001935D0" w:rsidRDefault="00E94B29" w:rsidP="009E3B02">
      <w:pPr>
        <w:pStyle w:val="NoSpacing"/>
        <w:numPr>
          <w:ilvl w:val="0"/>
          <w:numId w:val="11"/>
        </w:numPr>
        <w:tabs>
          <w:tab w:val="left" w:pos="851"/>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Текущий мониторинг – постоянный сбор данных на основе индикаторов имплементационного потенциала (по правосудию, СМИ, гражданскому участию, гендерному равенству) под руководством Национального центра и Офиса Омбудсмена.</w:t>
      </w:r>
    </w:p>
    <w:p w14:paraId="4BDE82F5" w14:textId="77777777" w:rsidR="00E94B29" w:rsidRPr="001935D0" w:rsidRDefault="00E94B29" w:rsidP="009E3B02">
      <w:pPr>
        <w:pStyle w:val="NoSpacing"/>
        <w:numPr>
          <w:ilvl w:val="0"/>
          <w:numId w:val="11"/>
        </w:numPr>
        <w:tabs>
          <w:tab w:val="left" w:pos="851"/>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Промежуточная оценка (Progress Review) – проводится раз в два года при участии Директората программной координации (CoE DPC) и Делегации ЕС; по итогам корректируются приоритеты и планы действий.</w:t>
      </w:r>
    </w:p>
    <w:p w14:paraId="3252D795" w14:textId="77777777" w:rsidR="00E94B29" w:rsidRPr="001935D0" w:rsidRDefault="00E94B29" w:rsidP="009E3B02">
      <w:pPr>
        <w:pStyle w:val="NoSpacing"/>
        <w:numPr>
          <w:ilvl w:val="0"/>
          <w:numId w:val="11"/>
        </w:numPr>
        <w:tabs>
          <w:tab w:val="left" w:pos="851"/>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Финальная оценка (Final Review) – назначена на 2027 год, включает индикаторы SDG и Human Rights Performance Matrix (EEAS, 2027), с участием экспертов GRECO и ODIHR.</w:t>
      </w:r>
    </w:p>
    <w:p w14:paraId="2F253C28" w14:textId="77777777" w:rsidR="00E94B29" w:rsidRPr="001935D0" w:rsidRDefault="00E94B29" w:rsidP="009E3B02">
      <w:pPr>
        <w:pStyle w:val="NoSpacing"/>
        <w:numPr>
          <w:ilvl w:val="0"/>
          <w:numId w:val="11"/>
        </w:numPr>
        <w:tabs>
          <w:tab w:val="left" w:pos="851"/>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Механизм обратной связи (feedback loop) обеспечивает адаптацию политики в реальном времени на основе country reports и общественных консультаций.</w:t>
      </w:r>
    </w:p>
    <w:p w14:paraId="428199E1" w14:textId="77777777" w:rsidR="00E94B29" w:rsidRPr="001935D0" w:rsidRDefault="00E94B29"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Такая модель создаёт новый тип адаптивного правового управления, основанного на транспарентности, подотчётности и доказательном анализе.</w:t>
      </w:r>
    </w:p>
    <w:p w14:paraId="00F9344B" w14:textId="77777777" w:rsidR="00E94B29" w:rsidRPr="001935D0" w:rsidRDefault="00E94B29"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Для Республики Казахстан формирование этой архитектуры имеет системное значение. Во-первых, она позволяет перейти от внешнеполитической декларативности к реальной институциональной подотчётности, подкреплённой верифицируемыми данными и международной экспертизой. Во-вторых, участие Омбудсмена и НПО в Единой платформе усиливает социальный капитал доверия между властью и обществом, превращая правозащитную сферу в пространство совместного управления. В-третьих, интеграция правозащитной политики с целями устойчивого развития делает её частью долгосрочной стратегии государственной модернизации.</w:t>
      </w:r>
    </w:p>
    <w:p w14:paraId="7357D5C5" w14:textId="0EEF363D" w:rsidR="00E94B29" w:rsidRPr="001935D0" w:rsidRDefault="00E94B29"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Реализация предложенной модели укрепляет независимость судебной власти, институционализирует антикоррупционные механизмы и повышает прозрачность государственного управления. Включение Казахстана в программы GRECO, CEPEJ и Venice Commission создаёт формат диалоговой интеграции, при котором Европейский </w:t>
      </w:r>
      <w:r w:rsidR="005672CE"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 выступает не арбитром, а партнёром и соразработчиком реформ.</w:t>
      </w:r>
    </w:p>
    <w:p w14:paraId="0EF8A38F" w14:textId="2DCE04C7" w:rsidR="00C40E97" w:rsidRPr="004940CA" w:rsidRDefault="00E94B29" w:rsidP="00235963">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Таким образом, интегрированная система мониторинга и оценки становится правовым мостом м</w:t>
      </w:r>
      <w:r w:rsidR="005672CE" w:rsidRPr="001935D0">
        <w:rPr>
          <w:rFonts w:ascii="Times New Roman" w:hAnsi="Times New Roman" w:cs="Times New Roman"/>
          <w:sz w:val="28"/>
          <w:szCs w:val="28"/>
        </w:rPr>
        <w:t>ежду Казахстаном и Европейским С</w:t>
      </w:r>
      <w:r w:rsidRPr="001935D0">
        <w:rPr>
          <w:rFonts w:ascii="Times New Roman" w:hAnsi="Times New Roman" w:cs="Times New Roman"/>
          <w:sz w:val="28"/>
          <w:szCs w:val="28"/>
        </w:rPr>
        <w:t>оюзом. Она обеспечивает не только нормативное сближение, но и качественное изменение управленческой культуры – переход от реактивного регулирования к проактивной модели правового государства, где защита прав человека рассматривается как центральный элемент устойчивого развития и демократической консолидации.</w:t>
      </w:r>
    </w:p>
    <w:p w14:paraId="10A96C1A" w14:textId="439C7594" w:rsidR="00E94B29" w:rsidRPr="001935D0" w:rsidRDefault="00E94B29" w:rsidP="009E3B02">
      <w:pPr>
        <w:pStyle w:val="NoSpacing"/>
        <w:ind w:firstLine="709"/>
        <w:rPr>
          <w:rStyle w:val="Strong"/>
          <w:rFonts w:ascii="Times New Roman" w:hAnsi="Times New Roman" w:cs="Times New Roman"/>
          <w:bCs w:val="0"/>
          <w:sz w:val="28"/>
          <w:szCs w:val="28"/>
        </w:rPr>
      </w:pPr>
      <w:r w:rsidRPr="001935D0">
        <w:rPr>
          <w:rStyle w:val="Strong"/>
          <w:rFonts w:ascii="Times New Roman" w:hAnsi="Times New Roman" w:cs="Times New Roman"/>
          <w:sz w:val="28"/>
          <w:szCs w:val="28"/>
        </w:rPr>
        <w:t xml:space="preserve">Выводы к </w:t>
      </w:r>
      <w:r w:rsidR="009E3B02">
        <w:rPr>
          <w:rStyle w:val="Strong"/>
          <w:rFonts w:ascii="Times New Roman" w:hAnsi="Times New Roman" w:cs="Times New Roman"/>
          <w:sz w:val="28"/>
          <w:szCs w:val="28"/>
          <w:lang w:val="kk-KZ"/>
        </w:rPr>
        <w:t>разделу</w:t>
      </w:r>
      <w:r w:rsidRPr="001935D0">
        <w:rPr>
          <w:rStyle w:val="Strong"/>
          <w:rFonts w:ascii="Times New Roman" w:hAnsi="Times New Roman" w:cs="Times New Roman"/>
          <w:sz w:val="28"/>
          <w:szCs w:val="28"/>
        </w:rPr>
        <w:t xml:space="preserve"> 3</w:t>
      </w:r>
    </w:p>
    <w:p w14:paraId="4EA4CDBA" w14:textId="77777777" w:rsidR="00E94B29" w:rsidRPr="001935D0" w:rsidRDefault="00E94B29" w:rsidP="009E3B02">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Проведённое исследование подтвердило, что правовая и институциональная адаптация европейских стандартов в Республике Казахстан представляет собой сложный и многоуровневый процесс, отражающий постепенный переход от декларативного принятия международных обязательств к их устойчивой реализации. На современном этапе развитие национальной </w:t>
      </w:r>
      <w:r w:rsidRPr="001935D0">
        <w:rPr>
          <w:rFonts w:ascii="Times New Roman" w:eastAsia="Times New Roman" w:hAnsi="Times New Roman" w:cs="Times New Roman"/>
          <w:sz w:val="28"/>
          <w:szCs w:val="28"/>
          <w:lang w:eastAsia="ru-RU"/>
        </w:rPr>
        <w:lastRenderedPageBreak/>
        <w:t>правозащитной системы определяется не столько политической волей, сколько институциональной способностью государства обеспечивать эффективное исполнение международных норм в области прав человека.</w:t>
      </w:r>
    </w:p>
    <w:p w14:paraId="23753FD3" w14:textId="6DBDBF57" w:rsidR="00E94B29" w:rsidRPr="001935D0" w:rsidRDefault="00E94B29" w:rsidP="009E3B02">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Анализ теоретико-методологических основ взаимодействия Казахстана и Европейского </w:t>
      </w:r>
      <w:r w:rsidR="005672CE"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оюза показал, что модель ЕС строится на триаде взаимосвязанных принципов верховенстве права, институциональной независимости и участии гражданского общества в процессах принятия решений. Для Казахстана европейский опыт выступает не как схема прямого заимствования, а как методологический ориентир для выработки национальных механизмов правового регулирования, способных сочетать международные стандарты с внутренними социально-культурными и правовыми особенностями.</w:t>
      </w:r>
    </w:p>
    <w:p w14:paraId="641E40AA" w14:textId="0E0CBFF4" w:rsidR="00E94B29" w:rsidRPr="001935D0" w:rsidRDefault="00E94B29" w:rsidP="009E3B02">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Сопоставление Копенгагенских критериев Европейского </w:t>
      </w:r>
      <w:r w:rsidR="005672CE"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оюза с динамикой реформ в Казахстане позволило определить степень приближения страны к европейским стандартам. Казахстан демонстрирует нормативный прогресс и институциональную активность в области правосудия и антикоррупционной политики, при этом сохраняются ограничения в сфере демократических прав и гражданских свобод. Это указывает на необходимость углубления судебной и институциональной независимости, расширения механизмов общественного участия и повышения транспарентности государственного управления. Несмотря на структурные барьеры, отмечается поступательное движение в направлении европейской правовой модели и формирование предпосылок для устойчивого правового развития.</w:t>
      </w:r>
    </w:p>
    <w:p w14:paraId="77A3B0BE" w14:textId="77777777" w:rsidR="00E94B29" w:rsidRPr="001935D0" w:rsidRDefault="00E94B29" w:rsidP="009E3B02">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Изучение институциональных и нормативных барьеров имплементации европейских стандартов показало, что ключевыми проблемами остаются ограниченная автономия судебной системы, недостаточная транспарентность административных процедур, слабая институционализация правовой экспертизы законопроектов и низкий уровень вовлечённости гражданского общества. Для их преодоления предложен комплекс мер политико-институционального, экономического и правового характера, направленных на укрепление независимости судебной власти, развитие электронного управления, совершенствование антикоррупционной инфраструктуры и расширение общественного контроля за реализацией реформ.</w:t>
      </w:r>
    </w:p>
    <w:p w14:paraId="5DC053F2" w14:textId="074D138D" w:rsidR="00E94B29" w:rsidRPr="001935D0" w:rsidRDefault="00E94B29"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С этой целью разработана стратегическая дорожная карта сближения Казахстана с правозащ</w:t>
      </w:r>
      <w:r w:rsidR="005672CE" w:rsidRPr="001935D0">
        <w:rPr>
          <w:rFonts w:ascii="Times New Roman" w:hAnsi="Times New Roman" w:cs="Times New Roman"/>
          <w:sz w:val="28"/>
          <w:szCs w:val="28"/>
        </w:rPr>
        <w:t>итными практиками Европейского С</w:t>
      </w:r>
      <w:r w:rsidRPr="001935D0">
        <w:rPr>
          <w:rFonts w:ascii="Times New Roman" w:hAnsi="Times New Roman" w:cs="Times New Roman"/>
          <w:sz w:val="28"/>
          <w:szCs w:val="28"/>
        </w:rPr>
        <w:t>оюза (2024–2027), определяющая этапы поступательного развития национальной правозащитной системы. На первом этапе приоритетом является укрепление судебной независимости, института Омбудсмена и подотчётности исполнительных органов. На втором этапе предусматривается внедрение процедуры ex ante-анализа законопроектов и создание Совместной индикаторной панели ЕС–Казахстан для постоянного мониторинга состояния прав человека. Третий этап ориентирован на развитие правового образования, расширение программы HELP (Human Rights Education for Legal Professionals) и институционализацию профессиональной подготовки судей и прокуроров.</w:t>
      </w:r>
    </w:p>
    <w:p w14:paraId="36614C8C" w14:textId="77777777" w:rsidR="00E94B29" w:rsidRPr="001935D0" w:rsidRDefault="00E94B29"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Заключительный этап предполагает подготовку к ратификации ключевых международных конвенций Совета Европы, углубление участия Казахстана в </w:t>
      </w:r>
      <w:r w:rsidRPr="001935D0">
        <w:rPr>
          <w:rFonts w:ascii="Times New Roman" w:hAnsi="Times New Roman" w:cs="Times New Roman"/>
          <w:sz w:val="28"/>
          <w:szCs w:val="28"/>
        </w:rPr>
        <w:lastRenderedPageBreak/>
        <w:t>программах GRECO, CEPEJ и Venice Commission, а также интеграцию правозащитной политики с Целями устойчивого развития ООН-2030 (SDG 4, 5, 8, 10, 16).</w:t>
      </w:r>
    </w:p>
    <w:p w14:paraId="4DC26456" w14:textId="77777777" w:rsidR="00E94B29" w:rsidRPr="001935D0" w:rsidRDefault="00E94B29"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Практическая реализация предложенной модели институционального мониторинга обеспечивает переход от декларативных отчётных практик к доказательному и постоянному контролю за эффективностью реформ. Создание Единой цифровой платформы мониторинга, объединяющей государственные органы, Институт Омбудсмена, академические структуры и неправительственные организации, формирует систему обратной связи между государством и обществом. Эта система не только повышает качество правового регулирования, но и укрепляет доверие граждан к институтам власти, превращая правозащитную политику в механизм общественного участия и подотчётности.</w:t>
      </w:r>
    </w:p>
    <w:p w14:paraId="35900A0A" w14:textId="77777777" w:rsidR="00E94B29" w:rsidRPr="001935D0" w:rsidRDefault="00E94B29" w:rsidP="009E3B02">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Важным направлением является развитие правовой культуры и профессиональной компетентности специалистов. Расширение программы HELP и интеграция её в национальную систему подготовки кадров способствуют формированию нового поколения юристов и судей, ориентированных на ценности верховенства права, предсказуемость и уважение человеческого достоинства.</w:t>
      </w:r>
    </w:p>
    <w:p w14:paraId="71DDF074" w14:textId="77777777" w:rsidR="00E94B29" w:rsidRPr="001935D0" w:rsidRDefault="00E94B29" w:rsidP="009E3B02">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Авторские предложения включают: внедрение системы предварительной правовой экспертизы законопроектов на соответствие международным стандартам; укрепление института Омбудсмена с расширением региональной сети представительств; разработку национальной индикаторной панели прав человека; усиление антикоррупционных механизмов с использованием инструментов GRECO и CEPEJ; а также создание цифровой платформы мониторинга и обратной связи. Эти меры формируют институциональную основу для согласования национальных реформ с общеевропейскими нормами и практиками.</w:t>
      </w:r>
    </w:p>
    <w:p w14:paraId="6A5E95A3" w14:textId="6C91449C" w:rsidR="00E94B29" w:rsidRPr="001935D0" w:rsidRDefault="00E94B29" w:rsidP="009E3B02">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Практическое значение предложений заключается в формировании научно обоснованного алгоритма модернизации правовой системы Казахстана, обеспечивающего переход к функциональной совместимости с европейскими правовыми механизмами. Для государственной политики они открывают возможности системного повышения эффективности институтов власти и укрепления их подотчётности; для правовой системы –  способствуют улучшению качества законодательства и судебной практики; для гражданского общества – создают реальные инструменты участия и общественного контроля; для международного сотрудничества </w:t>
      </w:r>
      <w:r w:rsidR="00593711">
        <w:rPr>
          <w:rFonts w:ascii="Times New Roman" w:eastAsia="Times New Roman" w:hAnsi="Times New Roman" w:cs="Times New Roman"/>
          <w:sz w:val="28"/>
          <w:szCs w:val="28"/>
          <w:lang w:eastAsia="ru-RU"/>
        </w:rPr>
        <w:t>–</w:t>
      </w:r>
      <w:r w:rsidRPr="001935D0">
        <w:rPr>
          <w:rFonts w:ascii="Times New Roman" w:eastAsia="Times New Roman" w:hAnsi="Times New Roman" w:cs="Times New Roman"/>
          <w:sz w:val="28"/>
          <w:szCs w:val="28"/>
          <w:lang w:eastAsia="ru-RU"/>
        </w:rPr>
        <w:t xml:space="preserve"> формируют устойчивое партнёрство с ЕС и Советом Европы.</w:t>
      </w:r>
    </w:p>
    <w:p w14:paraId="499F8606" w14:textId="06B29893" w:rsidR="00E94B29" w:rsidRPr="001935D0" w:rsidRDefault="00E94B29" w:rsidP="009E3B02">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t xml:space="preserve">Комплексная реализация предложенных мер обеспечивает формирование в Казахстане устойчивой архитектуры правового государства, где принципы верховенства права, транспарентности и участия граждан становятся внутренними стандартами государственного управления. В долгосрочной перспективе это создаёт условия для укрепления демократических институтов, повышения доверия между государством и обществом и построения прочного «правового моста» между Казахстаном и Европейским </w:t>
      </w:r>
      <w:r w:rsidR="005672CE" w:rsidRPr="001935D0">
        <w:rPr>
          <w:rFonts w:ascii="Times New Roman" w:eastAsia="Times New Roman" w:hAnsi="Times New Roman" w:cs="Times New Roman"/>
          <w:sz w:val="28"/>
          <w:szCs w:val="28"/>
          <w:lang w:val="uk-UA" w:eastAsia="ru-RU"/>
        </w:rPr>
        <w:t>С</w:t>
      </w:r>
      <w:r w:rsidRPr="001935D0">
        <w:rPr>
          <w:rFonts w:ascii="Times New Roman" w:eastAsia="Times New Roman" w:hAnsi="Times New Roman" w:cs="Times New Roman"/>
          <w:sz w:val="28"/>
          <w:szCs w:val="28"/>
          <w:lang w:eastAsia="ru-RU"/>
        </w:rPr>
        <w:t>оюзом.</w:t>
      </w:r>
    </w:p>
    <w:p w14:paraId="07E57F08" w14:textId="77777777" w:rsidR="00E94B29" w:rsidRPr="001935D0" w:rsidRDefault="00E94B29" w:rsidP="009E3B02">
      <w:pPr>
        <w:pStyle w:val="NoSpacing"/>
        <w:ind w:firstLine="709"/>
        <w:jc w:val="both"/>
        <w:rPr>
          <w:rFonts w:ascii="Times New Roman" w:eastAsia="Times New Roman" w:hAnsi="Times New Roman" w:cs="Times New Roman"/>
          <w:sz w:val="28"/>
          <w:szCs w:val="28"/>
          <w:lang w:eastAsia="ru-RU"/>
        </w:rPr>
      </w:pPr>
      <w:r w:rsidRPr="001935D0">
        <w:rPr>
          <w:rFonts w:ascii="Times New Roman" w:eastAsia="Times New Roman" w:hAnsi="Times New Roman" w:cs="Times New Roman"/>
          <w:sz w:val="28"/>
          <w:szCs w:val="28"/>
          <w:lang w:eastAsia="ru-RU"/>
        </w:rPr>
        <w:lastRenderedPageBreak/>
        <w:t>Таким образом, результаты третьей главы подтверждают, что адаптация европейских стандартов прав человека в Казахстане является не только процессом правовой гармонизации, но и фактором глубокой институциональной трансформации. Сочетание нормативных реформ, образовательных инициатив и международного партнёрства обеспечивает переход от формального соответствия международным обязательствам к устойчивому развитию национальной правовой системы, ориентированной на ценности демократии, верховенства права и уважения человеческого достоинства.</w:t>
      </w:r>
    </w:p>
    <w:p w14:paraId="66DAA09E" w14:textId="77777777" w:rsidR="00E94B29" w:rsidRPr="001935D0" w:rsidRDefault="00E94B29" w:rsidP="00593711">
      <w:pPr>
        <w:pStyle w:val="NoSpacing"/>
        <w:ind w:firstLine="567"/>
        <w:jc w:val="center"/>
        <w:rPr>
          <w:rFonts w:ascii="Times New Roman" w:hAnsi="Times New Roman" w:cs="Times New Roman"/>
          <w:b/>
          <w:sz w:val="28"/>
          <w:szCs w:val="28"/>
        </w:rPr>
      </w:pPr>
    </w:p>
    <w:p w14:paraId="29405630" w14:textId="77777777" w:rsidR="006076B4" w:rsidRPr="001935D0" w:rsidRDefault="006076B4" w:rsidP="00593711">
      <w:pPr>
        <w:pStyle w:val="NoSpacing"/>
        <w:ind w:firstLine="567"/>
        <w:jc w:val="center"/>
        <w:rPr>
          <w:rFonts w:ascii="Times New Roman" w:hAnsi="Times New Roman" w:cs="Times New Roman"/>
          <w:b/>
          <w:sz w:val="28"/>
          <w:szCs w:val="28"/>
        </w:rPr>
      </w:pPr>
    </w:p>
    <w:p w14:paraId="24373798" w14:textId="77777777" w:rsidR="006076B4" w:rsidRPr="001935D0" w:rsidRDefault="006076B4" w:rsidP="00593711">
      <w:pPr>
        <w:pStyle w:val="NoSpacing"/>
        <w:ind w:firstLine="567"/>
        <w:jc w:val="center"/>
        <w:rPr>
          <w:rFonts w:ascii="Times New Roman" w:hAnsi="Times New Roman" w:cs="Times New Roman"/>
          <w:b/>
          <w:sz w:val="28"/>
          <w:szCs w:val="28"/>
        </w:rPr>
      </w:pPr>
    </w:p>
    <w:p w14:paraId="755C98FC" w14:textId="77777777" w:rsidR="006076B4" w:rsidRPr="001935D0" w:rsidRDefault="006076B4" w:rsidP="00593711">
      <w:pPr>
        <w:pStyle w:val="NoSpacing"/>
        <w:ind w:firstLine="567"/>
        <w:jc w:val="center"/>
        <w:rPr>
          <w:rFonts w:ascii="Times New Roman" w:hAnsi="Times New Roman" w:cs="Times New Roman"/>
          <w:b/>
          <w:sz w:val="28"/>
          <w:szCs w:val="28"/>
        </w:rPr>
      </w:pPr>
    </w:p>
    <w:p w14:paraId="7C65E26C" w14:textId="77777777" w:rsidR="006076B4" w:rsidRPr="001935D0" w:rsidRDefault="006076B4" w:rsidP="00593711">
      <w:pPr>
        <w:pStyle w:val="NoSpacing"/>
        <w:ind w:firstLine="567"/>
        <w:jc w:val="center"/>
        <w:rPr>
          <w:rFonts w:ascii="Times New Roman" w:hAnsi="Times New Roman" w:cs="Times New Roman"/>
          <w:b/>
          <w:sz w:val="28"/>
          <w:szCs w:val="28"/>
        </w:rPr>
      </w:pPr>
    </w:p>
    <w:p w14:paraId="6BAC3235" w14:textId="77777777" w:rsidR="006076B4" w:rsidRPr="001935D0" w:rsidRDefault="006076B4" w:rsidP="00593711">
      <w:pPr>
        <w:pStyle w:val="NoSpacing"/>
        <w:ind w:firstLine="567"/>
        <w:jc w:val="center"/>
        <w:rPr>
          <w:rFonts w:ascii="Times New Roman" w:hAnsi="Times New Roman" w:cs="Times New Roman"/>
          <w:b/>
          <w:sz w:val="28"/>
          <w:szCs w:val="28"/>
        </w:rPr>
      </w:pPr>
    </w:p>
    <w:p w14:paraId="480F0786" w14:textId="77777777" w:rsidR="006076B4" w:rsidRPr="001935D0" w:rsidRDefault="006076B4" w:rsidP="00593711">
      <w:pPr>
        <w:pStyle w:val="NoSpacing"/>
        <w:ind w:firstLine="567"/>
        <w:jc w:val="center"/>
        <w:rPr>
          <w:rFonts w:ascii="Times New Roman" w:hAnsi="Times New Roman" w:cs="Times New Roman"/>
          <w:b/>
          <w:sz w:val="28"/>
          <w:szCs w:val="28"/>
        </w:rPr>
      </w:pPr>
    </w:p>
    <w:p w14:paraId="03A08BA8" w14:textId="77777777" w:rsidR="006076B4" w:rsidRPr="001935D0" w:rsidRDefault="006076B4" w:rsidP="00593711">
      <w:pPr>
        <w:pStyle w:val="NoSpacing"/>
        <w:ind w:firstLine="567"/>
        <w:jc w:val="center"/>
        <w:rPr>
          <w:rFonts w:ascii="Times New Roman" w:hAnsi="Times New Roman" w:cs="Times New Roman"/>
          <w:b/>
          <w:sz w:val="28"/>
          <w:szCs w:val="28"/>
        </w:rPr>
      </w:pPr>
    </w:p>
    <w:p w14:paraId="411A55B1" w14:textId="77777777" w:rsidR="006076B4" w:rsidRPr="001935D0" w:rsidRDefault="006076B4" w:rsidP="00593711">
      <w:pPr>
        <w:pStyle w:val="NoSpacing"/>
        <w:ind w:firstLine="567"/>
        <w:jc w:val="center"/>
        <w:rPr>
          <w:rFonts w:ascii="Times New Roman" w:hAnsi="Times New Roman" w:cs="Times New Roman"/>
          <w:b/>
          <w:sz w:val="28"/>
          <w:szCs w:val="28"/>
        </w:rPr>
      </w:pPr>
    </w:p>
    <w:p w14:paraId="2A5640D7" w14:textId="77777777" w:rsidR="006076B4" w:rsidRPr="001935D0" w:rsidRDefault="006076B4" w:rsidP="00593711">
      <w:pPr>
        <w:pStyle w:val="NoSpacing"/>
        <w:ind w:firstLine="567"/>
        <w:jc w:val="center"/>
        <w:rPr>
          <w:rFonts w:ascii="Times New Roman" w:hAnsi="Times New Roman" w:cs="Times New Roman"/>
          <w:b/>
          <w:sz w:val="28"/>
          <w:szCs w:val="28"/>
        </w:rPr>
      </w:pPr>
    </w:p>
    <w:p w14:paraId="4A025444" w14:textId="77777777" w:rsidR="006076B4" w:rsidRPr="001935D0" w:rsidRDefault="006076B4" w:rsidP="00593711">
      <w:pPr>
        <w:pStyle w:val="NoSpacing"/>
        <w:ind w:firstLine="567"/>
        <w:jc w:val="center"/>
        <w:rPr>
          <w:rFonts w:ascii="Times New Roman" w:hAnsi="Times New Roman" w:cs="Times New Roman"/>
          <w:b/>
          <w:sz w:val="28"/>
          <w:szCs w:val="28"/>
        </w:rPr>
      </w:pPr>
    </w:p>
    <w:p w14:paraId="56679E93" w14:textId="77777777" w:rsidR="006076B4" w:rsidRPr="001935D0" w:rsidRDefault="006076B4" w:rsidP="00593711">
      <w:pPr>
        <w:pStyle w:val="NoSpacing"/>
        <w:ind w:firstLine="567"/>
        <w:jc w:val="center"/>
        <w:rPr>
          <w:rFonts w:ascii="Times New Roman" w:hAnsi="Times New Roman" w:cs="Times New Roman"/>
          <w:b/>
          <w:sz w:val="28"/>
          <w:szCs w:val="28"/>
        </w:rPr>
      </w:pPr>
    </w:p>
    <w:p w14:paraId="603B607E" w14:textId="77777777" w:rsidR="006076B4" w:rsidRPr="001935D0" w:rsidRDefault="006076B4" w:rsidP="00593711">
      <w:pPr>
        <w:pStyle w:val="NoSpacing"/>
        <w:ind w:firstLine="567"/>
        <w:jc w:val="center"/>
        <w:rPr>
          <w:rFonts w:ascii="Times New Roman" w:hAnsi="Times New Roman" w:cs="Times New Roman"/>
          <w:b/>
          <w:sz w:val="28"/>
          <w:szCs w:val="28"/>
        </w:rPr>
      </w:pPr>
    </w:p>
    <w:p w14:paraId="60F19B9C" w14:textId="77777777" w:rsidR="006076B4" w:rsidRPr="001935D0" w:rsidRDefault="006076B4" w:rsidP="00593711">
      <w:pPr>
        <w:pStyle w:val="NoSpacing"/>
        <w:ind w:firstLine="567"/>
        <w:jc w:val="center"/>
        <w:rPr>
          <w:rFonts w:ascii="Times New Roman" w:hAnsi="Times New Roman" w:cs="Times New Roman"/>
          <w:b/>
          <w:sz w:val="28"/>
          <w:szCs w:val="28"/>
        </w:rPr>
      </w:pPr>
    </w:p>
    <w:p w14:paraId="2FEBA7B5" w14:textId="77777777" w:rsidR="006076B4" w:rsidRPr="001935D0" w:rsidRDefault="006076B4" w:rsidP="00593711">
      <w:pPr>
        <w:pStyle w:val="NoSpacing"/>
        <w:ind w:firstLine="567"/>
        <w:jc w:val="center"/>
        <w:rPr>
          <w:rFonts w:ascii="Times New Roman" w:hAnsi="Times New Roman" w:cs="Times New Roman"/>
          <w:b/>
          <w:sz w:val="28"/>
          <w:szCs w:val="28"/>
        </w:rPr>
      </w:pPr>
    </w:p>
    <w:p w14:paraId="7E8DA424" w14:textId="77777777" w:rsidR="006076B4" w:rsidRPr="001935D0" w:rsidRDefault="006076B4" w:rsidP="00593711">
      <w:pPr>
        <w:pStyle w:val="NoSpacing"/>
        <w:ind w:firstLine="567"/>
        <w:jc w:val="center"/>
        <w:rPr>
          <w:rFonts w:ascii="Times New Roman" w:hAnsi="Times New Roman" w:cs="Times New Roman"/>
          <w:b/>
          <w:sz w:val="28"/>
          <w:szCs w:val="28"/>
        </w:rPr>
      </w:pPr>
    </w:p>
    <w:p w14:paraId="1ADEEDAB" w14:textId="77777777" w:rsidR="006076B4" w:rsidRPr="001935D0" w:rsidRDefault="006076B4" w:rsidP="00593711">
      <w:pPr>
        <w:pStyle w:val="NoSpacing"/>
        <w:ind w:firstLine="567"/>
        <w:jc w:val="center"/>
        <w:rPr>
          <w:rFonts w:ascii="Times New Roman" w:hAnsi="Times New Roman" w:cs="Times New Roman"/>
          <w:b/>
          <w:sz w:val="28"/>
          <w:szCs w:val="28"/>
        </w:rPr>
      </w:pPr>
    </w:p>
    <w:p w14:paraId="6B69AEF0" w14:textId="77777777" w:rsidR="00166198" w:rsidRDefault="00166198" w:rsidP="00593711">
      <w:pPr>
        <w:pStyle w:val="NoSpacing"/>
        <w:ind w:firstLine="567"/>
        <w:jc w:val="center"/>
        <w:rPr>
          <w:rFonts w:ascii="Times New Roman" w:hAnsi="Times New Roman" w:cs="Times New Roman"/>
          <w:b/>
          <w:sz w:val="28"/>
          <w:szCs w:val="28"/>
          <w:lang w:val="kk-KZ"/>
        </w:rPr>
      </w:pPr>
    </w:p>
    <w:p w14:paraId="73A7556D" w14:textId="77777777" w:rsidR="00C40E97" w:rsidRDefault="00C40E97" w:rsidP="00593711">
      <w:pPr>
        <w:pStyle w:val="NoSpacing"/>
        <w:ind w:firstLine="567"/>
        <w:jc w:val="center"/>
        <w:rPr>
          <w:rFonts w:ascii="Times New Roman" w:hAnsi="Times New Roman" w:cs="Times New Roman"/>
          <w:b/>
          <w:sz w:val="28"/>
          <w:szCs w:val="28"/>
          <w:lang w:val="kk-KZ"/>
        </w:rPr>
      </w:pPr>
    </w:p>
    <w:p w14:paraId="75852471" w14:textId="77777777" w:rsidR="00C40E97" w:rsidRDefault="00C40E97" w:rsidP="00593711">
      <w:pPr>
        <w:pStyle w:val="NoSpacing"/>
        <w:ind w:firstLine="567"/>
        <w:jc w:val="center"/>
        <w:rPr>
          <w:rFonts w:ascii="Times New Roman" w:hAnsi="Times New Roman" w:cs="Times New Roman"/>
          <w:b/>
          <w:sz w:val="28"/>
          <w:szCs w:val="28"/>
          <w:lang w:val="kk-KZ"/>
        </w:rPr>
      </w:pPr>
    </w:p>
    <w:p w14:paraId="0FD3E7D5" w14:textId="77777777" w:rsidR="00C40E97" w:rsidRDefault="00C40E97" w:rsidP="00593711">
      <w:pPr>
        <w:pStyle w:val="NoSpacing"/>
        <w:ind w:firstLine="567"/>
        <w:jc w:val="center"/>
        <w:rPr>
          <w:rFonts w:ascii="Times New Roman" w:hAnsi="Times New Roman" w:cs="Times New Roman"/>
          <w:b/>
          <w:sz w:val="28"/>
          <w:szCs w:val="28"/>
          <w:lang w:val="kk-KZ"/>
        </w:rPr>
      </w:pPr>
    </w:p>
    <w:p w14:paraId="4F7195B1" w14:textId="77777777" w:rsidR="00C40E97" w:rsidRDefault="00C40E97" w:rsidP="00593711">
      <w:pPr>
        <w:pStyle w:val="NoSpacing"/>
        <w:ind w:firstLine="567"/>
        <w:jc w:val="center"/>
        <w:rPr>
          <w:rFonts w:ascii="Times New Roman" w:hAnsi="Times New Roman" w:cs="Times New Roman"/>
          <w:b/>
          <w:sz w:val="28"/>
          <w:szCs w:val="28"/>
          <w:lang w:val="kk-KZ"/>
        </w:rPr>
      </w:pPr>
    </w:p>
    <w:p w14:paraId="538893CC" w14:textId="77777777" w:rsidR="00C40E97" w:rsidRPr="004940CA" w:rsidRDefault="00C40E97" w:rsidP="00593711">
      <w:pPr>
        <w:pStyle w:val="NoSpacing"/>
        <w:ind w:firstLine="567"/>
        <w:jc w:val="center"/>
        <w:rPr>
          <w:rFonts w:ascii="Times New Roman" w:hAnsi="Times New Roman" w:cs="Times New Roman"/>
          <w:b/>
          <w:sz w:val="28"/>
          <w:szCs w:val="28"/>
        </w:rPr>
      </w:pPr>
    </w:p>
    <w:p w14:paraId="58A7A2DA" w14:textId="77777777" w:rsidR="00235963" w:rsidRPr="004940CA" w:rsidRDefault="00235963" w:rsidP="00593711">
      <w:pPr>
        <w:pStyle w:val="NoSpacing"/>
        <w:ind w:firstLine="567"/>
        <w:jc w:val="center"/>
        <w:rPr>
          <w:rFonts w:ascii="Times New Roman" w:hAnsi="Times New Roman" w:cs="Times New Roman"/>
          <w:b/>
          <w:sz w:val="28"/>
          <w:szCs w:val="28"/>
        </w:rPr>
      </w:pPr>
    </w:p>
    <w:p w14:paraId="7C144554" w14:textId="77777777" w:rsidR="00235963" w:rsidRPr="004940CA" w:rsidRDefault="00235963" w:rsidP="00593711">
      <w:pPr>
        <w:pStyle w:val="NoSpacing"/>
        <w:ind w:firstLine="567"/>
        <w:jc w:val="center"/>
        <w:rPr>
          <w:rFonts w:ascii="Times New Roman" w:hAnsi="Times New Roman" w:cs="Times New Roman"/>
          <w:b/>
          <w:sz w:val="28"/>
          <w:szCs w:val="28"/>
        </w:rPr>
      </w:pPr>
    </w:p>
    <w:p w14:paraId="1F0E7E86" w14:textId="77777777" w:rsidR="00235963" w:rsidRPr="004940CA" w:rsidRDefault="00235963" w:rsidP="00593711">
      <w:pPr>
        <w:pStyle w:val="NoSpacing"/>
        <w:ind w:firstLine="567"/>
        <w:jc w:val="center"/>
        <w:rPr>
          <w:rFonts w:ascii="Times New Roman" w:hAnsi="Times New Roman" w:cs="Times New Roman"/>
          <w:b/>
          <w:sz w:val="28"/>
          <w:szCs w:val="28"/>
        </w:rPr>
      </w:pPr>
    </w:p>
    <w:p w14:paraId="6B0406D9" w14:textId="77777777" w:rsidR="00235963" w:rsidRPr="004940CA" w:rsidRDefault="00235963" w:rsidP="00593711">
      <w:pPr>
        <w:pStyle w:val="NoSpacing"/>
        <w:ind w:firstLine="567"/>
        <w:jc w:val="center"/>
        <w:rPr>
          <w:rFonts w:ascii="Times New Roman" w:hAnsi="Times New Roman" w:cs="Times New Roman"/>
          <w:b/>
          <w:sz w:val="28"/>
          <w:szCs w:val="28"/>
        </w:rPr>
      </w:pPr>
    </w:p>
    <w:p w14:paraId="3231B15E" w14:textId="77777777" w:rsidR="00235963" w:rsidRPr="004940CA" w:rsidRDefault="00235963" w:rsidP="00593711">
      <w:pPr>
        <w:pStyle w:val="NoSpacing"/>
        <w:ind w:firstLine="567"/>
        <w:jc w:val="center"/>
        <w:rPr>
          <w:rFonts w:ascii="Times New Roman" w:hAnsi="Times New Roman" w:cs="Times New Roman"/>
          <w:b/>
          <w:sz w:val="28"/>
          <w:szCs w:val="28"/>
        </w:rPr>
      </w:pPr>
    </w:p>
    <w:p w14:paraId="1BADA182" w14:textId="77777777" w:rsidR="00235963" w:rsidRPr="004940CA" w:rsidRDefault="00235963" w:rsidP="00593711">
      <w:pPr>
        <w:pStyle w:val="NoSpacing"/>
        <w:ind w:firstLine="567"/>
        <w:jc w:val="center"/>
        <w:rPr>
          <w:rFonts w:ascii="Times New Roman" w:hAnsi="Times New Roman" w:cs="Times New Roman"/>
          <w:b/>
          <w:sz w:val="28"/>
          <w:szCs w:val="28"/>
        </w:rPr>
      </w:pPr>
    </w:p>
    <w:p w14:paraId="4683CE12" w14:textId="77777777" w:rsidR="00235963" w:rsidRPr="004940CA" w:rsidRDefault="00235963" w:rsidP="00593711">
      <w:pPr>
        <w:pStyle w:val="NoSpacing"/>
        <w:ind w:firstLine="567"/>
        <w:jc w:val="center"/>
        <w:rPr>
          <w:rFonts w:ascii="Times New Roman" w:hAnsi="Times New Roman" w:cs="Times New Roman"/>
          <w:b/>
          <w:sz w:val="28"/>
          <w:szCs w:val="28"/>
        </w:rPr>
      </w:pPr>
    </w:p>
    <w:p w14:paraId="1EF35FB4" w14:textId="77777777" w:rsidR="00235963" w:rsidRPr="004940CA" w:rsidRDefault="00235963" w:rsidP="00593711">
      <w:pPr>
        <w:pStyle w:val="NoSpacing"/>
        <w:ind w:firstLine="567"/>
        <w:jc w:val="center"/>
        <w:rPr>
          <w:rFonts w:ascii="Times New Roman" w:hAnsi="Times New Roman" w:cs="Times New Roman"/>
          <w:b/>
          <w:sz w:val="28"/>
          <w:szCs w:val="28"/>
        </w:rPr>
      </w:pPr>
    </w:p>
    <w:p w14:paraId="399AD38C" w14:textId="77777777" w:rsidR="00C40E97" w:rsidRDefault="00C40E97" w:rsidP="00593711">
      <w:pPr>
        <w:pStyle w:val="NoSpacing"/>
        <w:ind w:firstLine="567"/>
        <w:jc w:val="center"/>
        <w:rPr>
          <w:rFonts w:ascii="Times New Roman" w:hAnsi="Times New Roman" w:cs="Times New Roman"/>
          <w:b/>
          <w:sz w:val="28"/>
          <w:szCs w:val="28"/>
          <w:lang w:val="kk-KZ"/>
        </w:rPr>
      </w:pPr>
    </w:p>
    <w:p w14:paraId="03B284EB" w14:textId="77777777" w:rsidR="00C40E97" w:rsidRDefault="00C40E97" w:rsidP="00593711">
      <w:pPr>
        <w:pStyle w:val="NoSpacing"/>
        <w:ind w:firstLine="567"/>
        <w:jc w:val="center"/>
        <w:rPr>
          <w:rFonts w:ascii="Times New Roman" w:hAnsi="Times New Roman" w:cs="Times New Roman"/>
          <w:b/>
          <w:sz w:val="28"/>
          <w:szCs w:val="28"/>
          <w:lang w:val="kk-KZ"/>
        </w:rPr>
      </w:pPr>
    </w:p>
    <w:p w14:paraId="72A1E3CA" w14:textId="77777777" w:rsidR="00C40E97" w:rsidRDefault="00C40E97" w:rsidP="00593711">
      <w:pPr>
        <w:pStyle w:val="NoSpacing"/>
        <w:ind w:firstLine="567"/>
        <w:jc w:val="center"/>
        <w:rPr>
          <w:rFonts w:ascii="Times New Roman" w:hAnsi="Times New Roman" w:cs="Times New Roman"/>
          <w:b/>
          <w:sz w:val="28"/>
          <w:szCs w:val="28"/>
          <w:lang w:val="kk-KZ"/>
        </w:rPr>
      </w:pPr>
    </w:p>
    <w:p w14:paraId="47ACB3F8" w14:textId="77777777" w:rsidR="00C40E97" w:rsidRDefault="00C40E97" w:rsidP="00593711">
      <w:pPr>
        <w:pStyle w:val="NoSpacing"/>
        <w:ind w:firstLine="567"/>
        <w:jc w:val="center"/>
        <w:rPr>
          <w:rFonts w:ascii="Times New Roman" w:hAnsi="Times New Roman" w:cs="Times New Roman"/>
          <w:b/>
          <w:sz w:val="28"/>
          <w:szCs w:val="28"/>
          <w:lang w:val="kk-KZ"/>
        </w:rPr>
      </w:pPr>
    </w:p>
    <w:p w14:paraId="47810709" w14:textId="77777777" w:rsidR="00C40E97" w:rsidRDefault="00C40E97" w:rsidP="00593711">
      <w:pPr>
        <w:pStyle w:val="NoSpacing"/>
        <w:ind w:firstLine="567"/>
        <w:jc w:val="center"/>
        <w:rPr>
          <w:rFonts w:ascii="Times New Roman" w:hAnsi="Times New Roman" w:cs="Times New Roman"/>
          <w:b/>
          <w:sz w:val="28"/>
          <w:szCs w:val="28"/>
          <w:lang w:val="kk-KZ"/>
        </w:rPr>
      </w:pPr>
    </w:p>
    <w:p w14:paraId="3BF7CB39" w14:textId="77777777" w:rsidR="00C40E97" w:rsidRDefault="00C40E97" w:rsidP="00593711">
      <w:pPr>
        <w:pStyle w:val="NoSpacing"/>
        <w:ind w:firstLine="567"/>
        <w:jc w:val="center"/>
        <w:rPr>
          <w:rFonts w:ascii="Times New Roman" w:hAnsi="Times New Roman" w:cs="Times New Roman"/>
          <w:b/>
          <w:sz w:val="28"/>
          <w:szCs w:val="28"/>
          <w:lang w:val="kk-KZ"/>
        </w:rPr>
      </w:pPr>
    </w:p>
    <w:p w14:paraId="69545B0E" w14:textId="6A1FF77A" w:rsidR="006076B4" w:rsidRPr="001935D0" w:rsidRDefault="009E3B02" w:rsidP="009E3B02">
      <w:pPr>
        <w:pStyle w:val="NoSpacing"/>
        <w:jc w:val="center"/>
        <w:rPr>
          <w:rFonts w:ascii="Times New Roman" w:hAnsi="Times New Roman" w:cs="Times New Roman"/>
          <w:b/>
          <w:sz w:val="28"/>
          <w:szCs w:val="28"/>
          <w:lang w:val="kk-KZ"/>
        </w:rPr>
      </w:pPr>
      <w:r w:rsidRPr="001935D0">
        <w:rPr>
          <w:rFonts w:ascii="Times New Roman" w:hAnsi="Times New Roman" w:cs="Times New Roman"/>
          <w:b/>
          <w:sz w:val="28"/>
          <w:szCs w:val="28"/>
          <w:lang w:val="kk-KZ"/>
        </w:rPr>
        <w:lastRenderedPageBreak/>
        <w:t xml:space="preserve">ЗАКЛЮЧЕНИЕ  </w:t>
      </w:r>
    </w:p>
    <w:p w14:paraId="64361182" w14:textId="77777777" w:rsidR="006076B4" w:rsidRPr="001935D0" w:rsidRDefault="006076B4" w:rsidP="00593711">
      <w:pPr>
        <w:pStyle w:val="NoSpacing"/>
        <w:ind w:firstLine="567"/>
        <w:jc w:val="center"/>
        <w:rPr>
          <w:rFonts w:ascii="Times New Roman" w:hAnsi="Times New Roman" w:cs="Times New Roman"/>
          <w:b/>
          <w:sz w:val="28"/>
          <w:szCs w:val="28"/>
        </w:rPr>
      </w:pPr>
    </w:p>
    <w:p w14:paraId="094A97E0" w14:textId="20DCAA4E" w:rsidR="006076B4" w:rsidRPr="001935D0" w:rsidRDefault="006076B4"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Проведённое диссертационное исследование позволило комплексно и всесторонне оценить особенности правозащитной политики Европейского </w:t>
      </w:r>
      <w:r w:rsidR="005672CE"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и возможности её адаптации в политико-правовой системе Республики Казахстан. Использование междисциплинарного подхода, сочетающего международно-правовые, политологические и институциональные методы анализа, обеспечило научную объективность, академическую взвешенность и нейтральность выводов.</w:t>
      </w:r>
    </w:p>
    <w:p w14:paraId="7A0138EF" w14:textId="1E804E1B" w:rsidR="006076B4" w:rsidRPr="001935D0" w:rsidRDefault="006076B4"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 xml:space="preserve">Исследование показало, что правозащитная модель Европейского </w:t>
      </w:r>
      <w:r w:rsidR="005672CE" w:rsidRPr="001935D0">
        <w:rPr>
          <w:rFonts w:ascii="Times New Roman" w:hAnsi="Times New Roman" w:cs="Times New Roman"/>
          <w:sz w:val="28"/>
          <w:szCs w:val="28"/>
          <w:lang w:val="uk-UA"/>
        </w:rPr>
        <w:t>С</w:t>
      </w:r>
      <w:r w:rsidRPr="001935D0">
        <w:rPr>
          <w:rFonts w:ascii="Times New Roman" w:hAnsi="Times New Roman" w:cs="Times New Roman"/>
          <w:sz w:val="28"/>
          <w:szCs w:val="28"/>
        </w:rPr>
        <w:t>оюза представляет собой многоуровневую и динамичную систему, формировавшуюся на протяжении нескольких десятилетий. Её развитие происходило через постепенное расширение нормативной базы, укрепление институциональных механизмов, а также построение устойчивых практик мониторинга и международного взаимодействия. Аналитическое осмысление этой модели позволило выявить, что её эффективность опирается не только на правовые нормы, но и на долгосрочные процессы институционального развития, взаимодействия общественных структур и совершенствования механизмов оценки правовой политики.</w:t>
      </w:r>
    </w:p>
    <w:p w14:paraId="1BF225F5" w14:textId="0AD41CBA" w:rsidR="006076B4" w:rsidRPr="001935D0" w:rsidRDefault="006076B4"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Исследование подтвердило, что опыт ЕС в сфере защиты прав человека может рассматриваться как источник методологических ориентиров и аналитических инструментов, применимых в различных национальных контекстах. Европейская практика демонстрирует значимость сочетания правовых норм, самостоятельности институтов, доступности информации, повышения качества законодательства и расширения возможностей для общественного участия. Эти принципы обладают универсальным характером и могут служить основой для обмена опытом и профессионального диалога.</w:t>
      </w:r>
    </w:p>
    <w:p w14:paraId="2538B899" w14:textId="504AF86F" w:rsidR="006076B4" w:rsidRPr="001935D0" w:rsidRDefault="006076B4"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Проведённый сравнительно-правовой анализ показал, что Республика Казахстан последовательно реализует программы модернизации правовой системы, совершенствует институты государственного управления и участвует в международных форматах, направленных на укрепление защиты прав человека. Результаты исследования подтверждают, что Казахстан демонстрирует стремление к поэтапному обновлению правовых институтов, развитию диалога с международными партнёрами и активному включению в глобальные процессы сотрудничества в правовой сфере.</w:t>
      </w:r>
    </w:p>
    <w:p w14:paraId="22BFC0B1" w14:textId="77777777" w:rsidR="006076B4" w:rsidRPr="001935D0" w:rsidRDefault="006076B4"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Полученные эмпирические данные свидетельствуют о наличии значительного потенциала для дальнейшего развития правозащитной системы Казахстана. Вместе с тем, темпы и направления этого развития закономерно определяются широким спектром факторов: национальными приоритетами, социально-правовыми традициями, международными обязательствами, особенностями государственного управления и региональной спецификой. В рамках работы подчёркивалось, что любые процессы модернизации должны учитывать именно этот многофакторный характер, что обеспечивает их устойчивость и обоснованность.</w:t>
      </w:r>
    </w:p>
    <w:p w14:paraId="31925AD1" w14:textId="7B864708" w:rsidR="008D74A2" w:rsidRPr="001935D0" w:rsidRDefault="008D74A2" w:rsidP="009E3B02">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lang w:val="kk-KZ"/>
        </w:rPr>
        <w:lastRenderedPageBreak/>
        <w:t>В совокупности проведённый анализ правозащитной политики Европейского Союза и национальной правозащитной системы Республики Казахстан позволил сформировать целостное представление о правах человека как о многофункциональном элементе внешнеполитической идентичности ЕС и инструменте нормативного воздействия, выявить институциональные и геополитические ограничения реализации европейской правозащитной повестки во внешнем контуре, а также определить специфику развития правозащитной системы Казахстана, сочетающей нормативную модернизацию и устойчивые институциональные особенности. Это обусловило обращение к адаптационному и селективному формату восприятия европейских правозащитных механизмов, ориентированному на развитие института омбудсмена, процедур предварительной оценки нормативных правовых актов, расширение правозащитного диалога и вовлечение институтов гражданского общества, а также потребовало применения комплексного аналитического инструментария для оценки имплементационного потенциала международных стандартов и возможных сценариев сближения правозащитной политики Республики Казахстан с европейскими подходами в рамках международных обязательств и стратегического партнёрства.</w:t>
      </w:r>
    </w:p>
    <w:p w14:paraId="66EB7968" w14:textId="3A8C407A" w:rsidR="006076B4" w:rsidRPr="001935D0" w:rsidRDefault="006076B4" w:rsidP="009E3B02">
      <w:pPr>
        <w:pStyle w:val="NoSpacing"/>
        <w:ind w:firstLine="709"/>
        <w:jc w:val="both"/>
        <w:rPr>
          <w:rFonts w:ascii="Times New Roman" w:hAnsi="Times New Roman" w:cs="Times New Roman"/>
          <w:sz w:val="28"/>
          <w:szCs w:val="28"/>
          <w:lang w:val="kk-KZ"/>
        </w:rPr>
      </w:pPr>
      <w:r w:rsidRPr="001935D0">
        <w:rPr>
          <w:rFonts w:ascii="Times New Roman" w:hAnsi="Times New Roman" w:cs="Times New Roman"/>
          <w:sz w:val="28"/>
          <w:szCs w:val="28"/>
        </w:rPr>
        <w:t>Одним из ключевых научных результатов исследования стало формирование аналитического инструментария, который позволяет корректно, безоценочно и в научно-нейтральной форме оценивать потенциальные направления адаптации международных правовых практик к национальным условиям. В их числе:</w:t>
      </w:r>
      <w:r w:rsidR="00067BB2" w:rsidRPr="001935D0">
        <w:rPr>
          <w:rFonts w:ascii="Times New Roman" w:hAnsi="Times New Roman" w:cs="Times New Roman"/>
          <w:sz w:val="28"/>
          <w:szCs w:val="28"/>
          <w:lang w:val="kk-KZ"/>
        </w:rPr>
        <w:t xml:space="preserve"> </w:t>
      </w:r>
    </w:p>
    <w:p w14:paraId="04A2F07B" w14:textId="67431D19" w:rsidR="00C234AC" w:rsidRPr="001935D0" w:rsidRDefault="009E3B02" w:rsidP="009E3B02">
      <w:pPr>
        <w:pStyle w:val="NoSpacing"/>
        <w:ind w:firstLine="709"/>
        <w:jc w:val="both"/>
        <w:rPr>
          <w:rFonts w:ascii="Times New Roman" w:hAnsi="Times New Roman" w:cs="Times New Roman"/>
          <w:sz w:val="28"/>
          <w:szCs w:val="28"/>
          <w:lang w:val="kk-KZ"/>
        </w:rPr>
      </w:pPr>
      <w:r>
        <w:rPr>
          <w:rFonts w:ascii="Times New Roman" w:hAnsi="Times New Roman" w:cs="Times New Roman"/>
          <w:sz w:val="28"/>
          <w:szCs w:val="28"/>
        </w:rPr>
        <w:t>‒</w:t>
      </w:r>
      <w:r w:rsidR="00C234AC" w:rsidRPr="001935D0">
        <w:rPr>
          <w:rFonts w:ascii="Times New Roman" w:hAnsi="Times New Roman" w:cs="Times New Roman"/>
          <w:sz w:val="28"/>
          <w:szCs w:val="28"/>
        </w:rPr>
        <w:t xml:space="preserve"> концепция имплементационного потенциала, рассматривающая способность международных правозащитных норм и механизмов к интеграции в национальную правовую систему с учётом институциональных, нормативных и социально-политических условий, а также степени готовности правоприменительных и управленческих структур к их реализации;</w:t>
      </w:r>
    </w:p>
    <w:p w14:paraId="15C5E6F6" w14:textId="2FBEA8E6" w:rsidR="00C234AC" w:rsidRPr="001935D0" w:rsidRDefault="009E3B02" w:rsidP="009E3B02">
      <w:pPr>
        <w:pStyle w:val="NoSpacing"/>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234AC" w:rsidRPr="001935D0">
        <w:rPr>
          <w:rFonts w:ascii="Times New Roman" w:hAnsi="Times New Roman" w:cs="Times New Roman"/>
          <w:sz w:val="28"/>
          <w:szCs w:val="28"/>
        </w:rPr>
        <w:t xml:space="preserve"> индикаторная модель анализа правозащитных институтов, ориентированная на систематизированную оценку функционального состояния ключевых институтов защиты прав человека на основе совокупности формальных и процедурных показателей, отражающих уровень их институциональной автономии, практической эффективности и устойчивости;</w:t>
      </w:r>
    </w:p>
    <w:p w14:paraId="28DFE68D" w14:textId="178DCF0E" w:rsidR="00C234AC" w:rsidRPr="001935D0" w:rsidRDefault="009E3B02" w:rsidP="009E3B02">
      <w:pPr>
        <w:pStyle w:val="NoSpacing"/>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234AC" w:rsidRPr="001935D0">
        <w:rPr>
          <w:rFonts w:ascii="Times New Roman" w:hAnsi="Times New Roman" w:cs="Times New Roman"/>
          <w:sz w:val="28"/>
          <w:szCs w:val="28"/>
        </w:rPr>
        <w:t xml:space="preserve"> структурная модель сравнительного анализа норм и механизмов, направленная на выявление соотношения правовых норм и институциональных инструментов в различных правовых системах с целью определения зон функциональной совместимости, нормативных расхождений и потенциальных направлений адаптации;</w:t>
      </w:r>
    </w:p>
    <w:p w14:paraId="6465FCD5" w14:textId="471119A7" w:rsidR="00C234AC" w:rsidRPr="001935D0" w:rsidRDefault="009E3B02" w:rsidP="009E3B02">
      <w:pPr>
        <w:pStyle w:val="NoSpacing"/>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234AC" w:rsidRPr="001935D0">
        <w:rPr>
          <w:rFonts w:ascii="Times New Roman" w:hAnsi="Times New Roman" w:cs="Times New Roman"/>
          <w:sz w:val="28"/>
          <w:szCs w:val="28"/>
        </w:rPr>
        <w:t xml:space="preserve"> сценарный подход к прогнозированию развития правовой политики, позволяющий рассматривать возможные траектории эволюции правозащитной системы в зависимости от институциональных изменений, международных обязательств и внутренних факторов, без предопределения нормативно желаемых результатов.</w:t>
      </w:r>
    </w:p>
    <w:p w14:paraId="196E279B" w14:textId="7D23E06F" w:rsidR="006076B4" w:rsidRPr="001935D0" w:rsidRDefault="006076B4" w:rsidP="009E3B02">
      <w:pPr>
        <w:pStyle w:val="NoSpacing"/>
        <w:ind w:firstLine="709"/>
        <w:jc w:val="both"/>
        <w:rPr>
          <w:rFonts w:ascii="Times New Roman" w:hAnsi="Times New Roman" w:cs="Times New Roman"/>
          <w:sz w:val="28"/>
          <w:szCs w:val="28"/>
          <w:lang w:val="en-US"/>
        </w:rPr>
      </w:pPr>
      <w:r w:rsidRPr="001935D0">
        <w:rPr>
          <w:rFonts w:ascii="Times New Roman" w:hAnsi="Times New Roman" w:cs="Times New Roman"/>
          <w:sz w:val="28"/>
          <w:szCs w:val="28"/>
        </w:rPr>
        <w:t xml:space="preserve">Эти инструменты направлены исключительно на аналитическую систематизацию и не преследуют цели формировать политические </w:t>
      </w:r>
      <w:r w:rsidRPr="001935D0">
        <w:rPr>
          <w:rFonts w:ascii="Times New Roman" w:hAnsi="Times New Roman" w:cs="Times New Roman"/>
          <w:sz w:val="28"/>
          <w:szCs w:val="28"/>
        </w:rPr>
        <w:lastRenderedPageBreak/>
        <w:t>рекомендации или оценочные суждения о деятельности государственных органов.</w:t>
      </w:r>
      <w:r w:rsidRPr="001935D0">
        <w:rPr>
          <w:rFonts w:ascii="Times New Roman" w:hAnsi="Times New Roman" w:cs="Times New Roman"/>
          <w:sz w:val="28"/>
          <w:szCs w:val="28"/>
          <w:lang w:val="uk-UA"/>
        </w:rPr>
        <w:t xml:space="preserve"> </w:t>
      </w:r>
      <w:r w:rsidRPr="001935D0">
        <w:rPr>
          <w:rFonts w:ascii="Times New Roman" w:hAnsi="Times New Roman" w:cs="Times New Roman"/>
          <w:sz w:val="28"/>
          <w:szCs w:val="28"/>
        </w:rPr>
        <w:t xml:space="preserve">Разработанные в исследовании прикладные предложения ориентированы на содействие уже существующим реформам и укрепление возможностей национальной правовой системы. </w:t>
      </w:r>
      <w:r w:rsidRPr="001935D0">
        <w:rPr>
          <w:rFonts w:ascii="Times New Roman" w:hAnsi="Times New Roman" w:cs="Times New Roman"/>
          <w:sz w:val="28"/>
          <w:szCs w:val="28"/>
          <w:lang w:val="en-US"/>
        </w:rPr>
        <w:t>Они носят поддерживающий характер и включают:</w:t>
      </w:r>
    </w:p>
    <w:p w14:paraId="768B495B" w14:textId="122945C8" w:rsidR="006076B4" w:rsidRPr="001935D0" w:rsidRDefault="006076B4" w:rsidP="009E3B02">
      <w:pPr>
        <w:pStyle w:val="NoSpacing"/>
        <w:numPr>
          <w:ilvl w:val="0"/>
          <w:numId w:val="12"/>
        </w:numPr>
        <w:tabs>
          <w:tab w:val="left" w:pos="993"/>
        </w:tabs>
        <w:ind w:left="0" w:firstLine="709"/>
        <w:jc w:val="both"/>
        <w:rPr>
          <w:rFonts w:ascii="Times New Roman" w:hAnsi="Times New Roman" w:cs="Times New Roman"/>
          <w:sz w:val="28"/>
          <w:szCs w:val="28"/>
          <w:lang w:val="en-US"/>
        </w:rPr>
      </w:pPr>
      <w:r w:rsidRPr="001935D0">
        <w:rPr>
          <w:rFonts w:ascii="Times New Roman" w:hAnsi="Times New Roman" w:cs="Times New Roman"/>
          <w:sz w:val="28"/>
          <w:szCs w:val="28"/>
          <w:lang w:val="en-US"/>
        </w:rPr>
        <w:t>развитие профессиональной правовой подготовки;</w:t>
      </w:r>
    </w:p>
    <w:p w14:paraId="45DB93CF" w14:textId="07E22B74" w:rsidR="006076B4" w:rsidRPr="001935D0" w:rsidRDefault="006076B4" w:rsidP="009E3B02">
      <w:pPr>
        <w:pStyle w:val="NoSpacing"/>
        <w:numPr>
          <w:ilvl w:val="0"/>
          <w:numId w:val="12"/>
        </w:numPr>
        <w:tabs>
          <w:tab w:val="left" w:pos="993"/>
        </w:tabs>
        <w:ind w:left="0" w:firstLine="709"/>
        <w:jc w:val="both"/>
        <w:rPr>
          <w:rFonts w:ascii="Times New Roman" w:hAnsi="Times New Roman" w:cs="Times New Roman"/>
          <w:sz w:val="28"/>
          <w:szCs w:val="28"/>
          <w:lang w:val="en-US"/>
        </w:rPr>
      </w:pPr>
      <w:r w:rsidRPr="001935D0">
        <w:rPr>
          <w:rFonts w:ascii="Times New Roman" w:hAnsi="Times New Roman" w:cs="Times New Roman"/>
          <w:sz w:val="28"/>
          <w:szCs w:val="28"/>
          <w:lang w:val="en-US"/>
        </w:rPr>
        <w:t>расширение потенциала аналитических центров;</w:t>
      </w:r>
    </w:p>
    <w:p w14:paraId="21084828" w14:textId="2C2F5B50" w:rsidR="006076B4" w:rsidRPr="001935D0" w:rsidRDefault="006076B4" w:rsidP="009E3B02">
      <w:pPr>
        <w:pStyle w:val="NoSpacing"/>
        <w:numPr>
          <w:ilvl w:val="0"/>
          <w:numId w:val="12"/>
        </w:numPr>
        <w:tabs>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укрепление сотрудничества между государственными и общественными структурами;</w:t>
      </w:r>
    </w:p>
    <w:p w14:paraId="004A7E18" w14:textId="3677E1AA" w:rsidR="006076B4" w:rsidRPr="001935D0" w:rsidRDefault="006076B4" w:rsidP="009E3B02">
      <w:pPr>
        <w:pStyle w:val="NoSpacing"/>
        <w:numPr>
          <w:ilvl w:val="0"/>
          <w:numId w:val="12"/>
        </w:numPr>
        <w:tabs>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использование цифровых инструментов для совершенствования правовой информации;</w:t>
      </w:r>
    </w:p>
    <w:p w14:paraId="17F2EC85" w14:textId="2CB5FEDB" w:rsidR="006076B4" w:rsidRPr="001935D0" w:rsidRDefault="006076B4" w:rsidP="009E3B02">
      <w:pPr>
        <w:pStyle w:val="NoSpacing"/>
        <w:numPr>
          <w:ilvl w:val="0"/>
          <w:numId w:val="12"/>
        </w:numPr>
        <w:tabs>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углубление международного диалога в сфере прав человека.</w:t>
      </w:r>
    </w:p>
    <w:p w14:paraId="5D686941" w14:textId="77777777" w:rsidR="006076B4" w:rsidRPr="001935D0" w:rsidRDefault="006076B4"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Все предложенные меры построены с максимальным уважением к национальному суверенитету, правовым традициям и приоритетам Республики Казахстан.</w:t>
      </w:r>
    </w:p>
    <w:p w14:paraId="138F5989" w14:textId="159BCC94" w:rsidR="006076B4" w:rsidRPr="001935D0" w:rsidRDefault="006076B4"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lang w:val="uk-UA"/>
        </w:rPr>
        <w:t>И</w:t>
      </w:r>
      <w:r w:rsidRPr="001935D0">
        <w:rPr>
          <w:rFonts w:ascii="Times New Roman" w:hAnsi="Times New Roman" w:cs="Times New Roman"/>
          <w:sz w:val="28"/>
          <w:szCs w:val="28"/>
        </w:rPr>
        <w:t>сследование подчёркивает, что международное сотрудничество в сфере защиты прав человека основывается на принципах взаимного уважения, профессионального диалога и обмена лучшими практиками. Опыт ЕС показывает, что устойчивые правовые реформы возможны только при их соотнесении с национальной социальной структурой, культурными особенностями и долгосрочными стратегическими ориентирами. В этой связи Казахстан обладает всеми возможностями для дальнейшего развития правовой среды с опорой как на собственные достижения, так и на международное экспертное взаимодействие.</w:t>
      </w:r>
    </w:p>
    <w:p w14:paraId="7D4645E2" w14:textId="77777777" w:rsidR="006076B4" w:rsidRPr="001935D0" w:rsidRDefault="006076B4" w:rsidP="009E3B02">
      <w:pPr>
        <w:pStyle w:val="NoSpacing"/>
        <w:ind w:firstLine="709"/>
        <w:jc w:val="both"/>
        <w:rPr>
          <w:rFonts w:ascii="Times New Roman" w:hAnsi="Times New Roman" w:cs="Times New Roman"/>
          <w:sz w:val="28"/>
          <w:szCs w:val="28"/>
          <w:lang w:val="en-US"/>
        </w:rPr>
      </w:pPr>
      <w:r w:rsidRPr="001935D0">
        <w:rPr>
          <w:rFonts w:ascii="Times New Roman" w:hAnsi="Times New Roman" w:cs="Times New Roman"/>
          <w:sz w:val="28"/>
          <w:szCs w:val="28"/>
        </w:rPr>
        <w:t xml:space="preserve">Таким образом, диссертация вносит вклад в научное осмысление потенциала международных правовых моделей и демонстрирует, что их адаптация является многоэтапным, суверенным и институционально-обусловленным процессом. </w:t>
      </w:r>
      <w:r w:rsidRPr="001935D0">
        <w:rPr>
          <w:rFonts w:ascii="Times New Roman" w:hAnsi="Times New Roman" w:cs="Times New Roman"/>
          <w:sz w:val="28"/>
          <w:szCs w:val="28"/>
          <w:lang w:val="en-US"/>
        </w:rPr>
        <w:t>Полученные результаты могут найти применение:</w:t>
      </w:r>
    </w:p>
    <w:p w14:paraId="7D52BD29" w14:textId="56EB0EDA" w:rsidR="006076B4" w:rsidRPr="001935D0" w:rsidRDefault="006076B4" w:rsidP="009E3B02">
      <w:pPr>
        <w:pStyle w:val="NoSpacing"/>
        <w:numPr>
          <w:ilvl w:val="0"/>
          <w:numId w:val="13"/>
        </w:numPr>
        <w:tabs>
          <w:tab w:val="left" w:pos="993"/>
        </w:tabs>
        <w:ind w:left="0" w:firstLine="709"/>
        <w:jc w:val="both"/>
        <w:rPr>
          <w:rFonts w:ascii="Times New Roman" w:hAnsi="Times New Roman" w:cs="Times New Roman"/>
          <w:sz w:val="28"/>
          <w:szCs w:val="28"/>
          <w:lang w:val="en-US"/>
        </w:rPr>
      </w:pPr>
      <w:r w:rsidRPr="001935D0">
        <w:rPr>
          <w:rFonts w:ascii="Times New Roman" w:hAnsi="Times New Roman" w:cs="Times New Roman"/>
          <w:sz w:val="28"/>
          <w:szCs w:val="28"/>
          <w:lang w:val="en-US"/>
        </w:rPr>
        <w:t>в научных исследованиях</w:t>
      </w:r>
      <w:r w:rsidR="009E3B02">
        <w:rPr>
          <w:rFonts w:ascii="Times New Roman" w:hAnsi="Times New Roman" w:cs="Times New Roman"/>
          <w:sz w:val="28"/>
          <w:szCs w:val="28"/>
          <w:lang w:val="kk-KZ"/>
        </w:rPr>
        <w:t>;</w:t>
      </w:r>
    </w:p>
    <w:p w14:paraId="46672DD0" w14:textId="79A352A0" w:rsidR="006076B4" w:rsidRPr="001935D0" w:rsidRDefault="006076B4" w:rsidP="009E3B02">
      <w:pPr>
        <w:pStyle w:val="NoSpacing"/>
        <w:numPr>
          <w:ilvl w:val="0"/>
          <w:numId w:val="13"/>
        </w:numPr>
        <w:tabs>
          <w:tab w:val="left" w:pos="993"/>
        </w:tabs>
        <w:ind w:left="0" w:firstLine="709"/>
        <w:jc w:val="both"/>
        <w:rPr>
          <w:rFonts w:ascii="Times New Roman" w:hAnsi="Times New Roman" w:cs="Times New Roman"/>
          <w:sz w:val="28"/>
          <w:szCs w:val="28"/>
          <w:lang w:val="en-US"/>
        </w:rPr>
      </w:pPr>
      <w:r w:rsidRPr="001935D0">
        <w:rPr>
          <w:rFonts w:ascii="Times New Roman" w:hAnsi="Times New Roman" w:cs="Times New Roman"/>
          <w:sz w:val="28"/>
          <w:szCs w:val="28"/>
          <w:lang w:val="en-US"/>
        </w:rPr>
        <w:t>в образовательных программах</w:t>
      </w:r>
      <w:r w:rsidR="009E3B02">
        <w:rPr>
          <w:rFonts w:ascii="Times New Roman" w:hAnsi="Times New Roman" w:cs="Times New Roman"/>
          <w:sz w:val="28"/>
          <w:szCs w:val="28"/>
          <w:lang w:val="kk-KZ"/>
        </w:rPr>
        <w:t>;</w:t>
      </w:r>
    </w:p>
    <w:p w14:paraId="08E84909" w14:textId="3392887E" w:rsidR="006076B4" w:rsidRPr="001935D0" w:rsidRDefault="006076B4" w:rsidP="009E3B02">
      <w:pPr>
        <w:pStyle w:val="NoSpacing"/>
        <w:numPr>
          <w:ilvl w:val="0"/>
          <w:numId w:val="13"/>
        </w:numPr>
        <w:tabs>
          <w:tab w:val="left" w:pos="993"/>
        </w:tabs>
        <w:ind w:left="0" w:firstLine="709"/>
        <w:jc w:val="both"/>
        <w:rPr>
          <w:rFonts w:ascii="Times New Roman" w:hAnsi="Times New Roman" w:cs="Times New Roman"/>
          <w:sz w:val="28"/>
          <w:szCs w:val="28"/>
          <w:lang w:val="en-US"/>
        </w:rPr>
      </w:pPr>
      <w:r w:rsidRPr="001935D0">
        <w:rPr>
          <w:rFonts w:ascii="Times New Roman" w:hAnsi="Times New Roman" w:cs="Times New Roman"/>
          <w:sz w:val="28"/>
          <w:szCs w:val="28"/>
          <w:lang w:val="en-US"/>
        </w:rPr>
        <w:t>при разработке аналитических материалов</w:t>
      </w:r>
      <w:r w:rsidR="009E3B02">
        <w:rPr>
          <w:rFonts w:ascii="Times New Roman" w:hAnsi="Times New Roman" w:cs="Times New Roman"/>
          <w:sz w:val="28"/>
          <w:szCs w:val="28"/>
          <w:lang w:val="kk-KZ"/>
        </w:rPr>
        <w:t>;</w:t>
      </w:r>
    </w:p>
    <w:p w14:paraId="7607B870" w14:textId="4F5AF5C9" w:rsidR="006076B4" w:rsidRPr="001935D0" w:rsidRDefault="006076B4" w:rsidP="009E3B02">
      <w:pPr>
        <w:pStyle w:val="NoSpacing"/>
        <w:numPr>
          <w:ilvl w:val="0"/>
          <w:numId w:val="13"/>
        </w:numPr>
        <w:tabs>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в рамках экспертного международного сотрудничества</w:t>
      </w:r>
      <w:r w:rsidR="009E3B02">
        <w:rPr>
          <w:rFonts w:ascii="Times New Roman" w:hAnsi="Times New Roman" w:cs="Times New Roman"/>
          <w:sz w:val="28"/>
          <w:szCs w:val="28"/>
          <w:lang w:val="kk-KZ"/>
        </w:rPr>
        <w:t>;</w:t>
      </w:r>
    </w:p>
    <w:p w14:paraId="213B9D25" w14:textId="77777777" w:rsidR="006076B4" w:rsidRPr="001935D0" w:rsidRDefault="006076B4" w:rsidP="009E3B02">
      <w:pPr>
        <w:pStyle w:val="NoSpacing"/>
        <w:numPr>
          <w:ilvl w:val="0"/>
          <w:numId w:val="13"/>
        </w:numPr>
        <w:tabs>
          <w:tab w:val="left" w:pos="993"/>
        </w:tabs>
        <w:ind w:left="0" w:firstLine="709"/>
        <w:jc w:val="both"/>
        <w:rPr>
          <w:rFonts w:ascii="Times New Roman" w:hAnsi="Times New Roman" w:cs="Times New Roman"/>
          <w:sz w:val="28"/>
          <w:szCs w:val="28"/>
        </w:rPr>
      </w:pPr>
      <w:r w:rsidRPr="001935D0">
        <w:rPr>
          <w:rFonts w:ascii="Times New Roman" w:hAnsi="Times New Roman" w:cs="Times New Roman"/>
          <w:sz w:val="28"/>
          <w:szCs w:val="28"/>
        </w:rPr>
        <w:t>в процессе совершенствования правовой культуры и профессиональной подготовки.</w:t>
      </w:r>
    </w:p>
    <w:p w14:paraId="5D7F5743" w14:textId="75320A76" w:rsidR="006076B4" w:rsidRPr="001935D0" w:rsidRDefault="006076B4" w:rsidP="009E3B02">
      <w:pPr>
        <w:pStyle w:val="NoSpacing"/>
        <w:ind w:firstLine="709"/>
        <w:jc w:val="both"/>
        <w:rPr>
          <w:rFonts w:ascii="Times New Roman" w:hAnsi="Times New Roman" w:cs="Times New Roman"/>
          <w:sz w:val="28"/>
          <w:szCs w:val="28"/>
        </w:rPr>
      </w:pPr>
      <w:r w:rsidRPr="001935D0">
        <w:rPr>
          <w:rFonts w:ascii="Times New Roman" w:hAnsi="Times New Roman" w:cs="Times New Roman"/>
          <w:sz w:val="28"/>
          <w:szCs w:val="28"/>
        </w:rPr>
        <w:t>В долгосрочной перспективе выводы исследования подчёркивают, что развитие правозащитной политики – это процесс, который строится на балансе национальных стратегических интересов, международного диалога и профессионального анализа. Укрепление правовой системы Республики Казахстан, основанное на таких принципах, будет способствовать устойчивому развитию, повышению качества государственного управления и расширению возможностей международного партнёрства.</w:t>
      </w:r>
    </w:p>
    <w:p w14:paraId="7943822C" w14:textId="77777777" w:rsidR="006076B4" w:rsidRPr="001935D0" w:rsidRDefault="006076B4" w:rsidP="00593711">
      <w:pPr>
        <w:pStyle w:val="NoSpacing"/>
        <w:ind w:firstLine="567"/>
        <w:jc w:val="center"/>
        <w:rPr>
          <w:rFonts w:ascii="Times New Roman" w:hAnsi="Times New Roman" w:cs="Times New Roman"/>
          <w:b/>
          <w:sz w:val="28"/>
          <w:szCs w:val="28"/>
        </w:rPr>
      </w:pPr>
    </w:p>
    <w:p w14:paraId="28EDF0EF" w14:textId="77777777" w:rsidR="00E94B29" w:rsidRPr="001935D0" w:rsidRDefault="00E94B29" w:rsidP="00593711">
      <w:pPr>
        <w:pStyle w:val="NoSpacing"/>
        <w:ind w:firstLine="567"/>
        <w:jc w:val="center"/>
        <w:rPr>
          <w:rFonts w:ascii="Times New Roman" w:hAnsi="Times New Roman" w:cs="Times New Roman"/>
          <w:b/>
          <w:sz w:val="28"/>
          <w:szCs w:val="28"/>
        </w:rPr>
      </w:pPr>
    </w:p>
    <w:p w14:paraId="0EBED072" w14:textId="494F5A2A" w:rsidR="00EA730D" w:rsidRPr="001935D0" w:rsidRDefault="00EA730D" w:rsidP="00593711">
      <w:pPr>
        <w:pStyle w:val="NoSpacing"/>
        <w:ind w:firstLine="567"/>
        <w:jc w:val="center"/>
        <w:rPr>
          <w:rFonts w:ascii="Times New Roman" w:hAnsi="Times New Roman" w:cs="Times New Roman"/>
          <w:b/>
          <w:sz w:val="28"/>
          <w:szCs w:val="28"/>
        </w:rPr>
      </w:pPr>
    </w:p>
    <w:p w14:paraId="0442D24E" w14:textId="128AB409" w:rsidR="00EA730D" w:rsidRPr="001935D0" w:rsidRDefault="00EA730D" w:rsidP="00593711">
      <w:pPr>
        <w:pStyle w:val="NoSpacing"/>
        <w:ind w:firstLine="567"/>
        <w:jc w:val="center"/>
        <w:rPr>
          <w:rFonts w:ascii="Times New Roman" w:hAnsi="Times New Roman" w:cs="Times New Roman"/>
          <w:b/>
          <w:sz w:val="28"/>
          <w:szCs w:val="28"/>
        </w:rPr>
      </w:pPr>
    </w:p>
    <w:p w14:paraId="3347100A" w14:textId="21BABED4" w:rsidR="00EB26A4" w:rsidRPr="001935D0" w:rsidRDefault="00CD5B8D" w:rsidP="000C6BD3">
      <w:pPr>
        <w:pStyle w:val="NormalWeb"/>
        <w:tabs>
          <w:tab w:val="left" w:pos="0"/>
          <w:tab w:val="left" w:pos="1276"/>
          <w:tab w:val="left" w:pos="1560"/>
        </w:tabs>
        <w:spacing w:before="0" w:beforeAutospacing="0" w:after="0" w:afterAutospacing="0"/>
        <w:jc w:val="center"/>
        <w:rPr>
          <w:b/>
          <w:sz w:val="28"/>
          <w:szCs w:val="28"/>
          <w:lang w:val="en-US"/>
        </w:rPr>
      </w:pPr>
      <w:r w:rsidRPr="001935D0">
        <w:rPr>
          <w:b/>
          <w:sz w:val="28"/>
          <w:szCs w:val="28"/>
        </w:rPr>
        <w:lastRenderedPageBreak/>
        <w:t>СПИСОК</w:t>
      </w:r>
      <w:r w:rsidRPr="000C6BD3">
        <w:rPr>
          <w:b/>
          <w:sz w:val="28"/>
          <w:szCs w:val="28"/>
          <w:lang w:val="en-US"/>
        </w:rPr>
        <w:t xml:space="preserve"> </w:t>
      </w:r>
      <w:r w:rsidRPr="001935D0">
        <w:rPr>
          <w:b/>
          <w:sz w:val="28"/>
          <w:szCs w:val="28"/>
        </w:rPr>
        <w:t>ИСПОЛЬЗОВАННЫХ</w:t>
      </w:r>
      <w:r w:rsidRPr="000C6BD3">
        <w:rPr>
          <w:b/>
          <w:sz w:val="28"/>
          <w:szCs w:val="28"/>
          <w:lang w:val="en-US"/>
        </w:rPr>
        <w:t xml:space="preserve"> </w:t>
      </w:r>
      <w:r w:rsidRPr="001935D0">
        <w:rPr>
          <w:b/>
          <w:sz w:val="28"/>
          <w:szCs w:val="28"/>
        </w:rPr>
        <w:t>ИСТОЧНИКОВ</w:t>
      </w:r>
    </w:p>
    <w:p w14:paraId="06EC3B12" w14:textId="32DDF8F1" w:rsidR="00203310" w:rsidRPr="001935D0" w:rsidRDefault="00203310" w:rsidP="00593711">
      <w:pPr>
        <w:pStyle w:val="NoSpacing"/>
        <w:ind w:firstLine="567"/>
        <w:jc w:val="both"/>
        <w:rPr>
          <w:rFonts w:ascii="Times New Roman" w:hAnsi="Times New Roman" w:cs="Times New Roman"/>
          <w:sz w:val="28"/>
          <w:szCs w:val="28"/>
          <w:lang w:val="kk-KZ"/>
        </w:rPr>
      </w:pPr>
    </w:p>
    <w:p w14:paraId="1224FDCF" w14:textId="7571B6AD" w:rsidR="00BC1176" w:rsidRPr="000C23D7" w:rsidRDefault="005073FA" w:rsidP="00B71030">
      <w:pPr>
        <w:pStyle w:val="NormalWeb"/>
        <w:tabs>
          <w:tab w:val="left" w:pos="993"/>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w:t>
      </w:r>
      <w:r w:rsidR="00BC1176" w:rsidRPr="000C23D7">
        <w:rPr>
          <w:sz w:val="28"/>
          <w:szCs w:val="28"/>
          <w:lang w:val="en-US"/>
        </w:rPr>
        <w:t xml:space="preserve"> EU Action Plan on Human Rights and Democracy 2020–2024 (extended until 2027)</w:t>
      </w:r>
      <w:r w:rsidR="000C6BD3" w:rsidRPr="000C23D7">
        <w:rPr>
          <w:sz w:val="28"/>
          <w:szCs w:val="28"/>
          <w:lang w:val="en-US"/>
        </w:rPr>
        <w:t xml:space="preserve"> //</w:t>
      </w:r>
      <w:r w:rsidR="00BC1176" w:rsidRPr="000C23D7">
        <w:rPr>
          <w:sz w:val="28"/>
          <w:szCs w:val="28"/>
          <w:lang w:val="en-US"/>
        </w:rPr>
        <w:t xml:space="preserve"> </w:t>
      </w:r>
      <w:hyperlink r:id="rId140" w:history="1">
        <w:r w:rsidR="000C6BD3" w:rsidRPr="000C23D7">
          <w:rPr>
            <w:rStyle w:val="Hyperlink"/>
            <w:rFonts w:eastAsiaTheme="majorEastAsia"/>
            <w:color w:val="auto"/>
            <w:sz w:val="28"/>
            <w:szCs w:val="28"/>
            <w:u w:val="none"/>
            <w:lang w:val="en-US"/>
          </w:rPr>
          <w:t>https://www.eeas.europa.eu/eeas/eu-extends-its-action.</w:t>
        </w:r>
      </w:hyperlink>
      <w:r w:rsidR="00BC1176" w:rsidRPr="000C23D7">
        <w:rPr>
          <w:sz w:val="28"/>
          <w:szCs w:val="28"/>
          <w:lang w:val="en-US"/>
        </w:rPr>
        <w:t xml:space="preserve"> 18.03.2025.</w:t>
      </w:r>
    </w:p>
    <w:p w14:paraId="30299E01" w14:textId="4B69EB22" w:rsidR="00BC1176" w:rsidRPr="000C23D7" w:rsidRDefault="005073FA" w:rsidP="00B71030">
      <w:pPr>
        <w:pStyle w:val="NormalWeb"/>
        <w:tabs>
          <w:tab w:val="left" w:pos="993"/>
          <w:tab w:val="left" w:pos="1276"/>
        </w:tabs>
        <w:spacing w:before="0" w:beforeAutospacing="0" w:after="0" w:afterAutospacing="0"/>
        <w:ind w:firstLine="709"/>
        <w:jc w:val="both"/>
        <w:rPr>
          <w:sz w:val="28"/>
          <w:szCs w:val="28"/>
          <w:lang w:val="en-US"/>
        </w:rPr>
      </w:pPr>
      <w:r w:rsidRPr="000C23D7">
        <w:rPr>
          <w:sz w:val="28"/>
          <w:szCs w:val="28"/>
          <w:lang w:val="kk-KZ"/>
        </w:rPr>
        <w:t>2</w:t>
      </w:r>
      <w:r w:rsidR="00BC1176" w:rsidRPr="000C23D7">
        <w:rPr>
          <w:sz w:val="28"/>
          <w:szCs w:val="28"/>
          <w:lang w:val="en-US"/>
        </w:rPr>
        <w:t xml:space="preserve"> Enhanced Partnership and Cooperation Agreement (EPCA) between the EU and Kazakhstan </w:t>
      </w:r>
      <w:r w:rsidR="000C6BD3" w:rsidRPr="000C23D7">
        <w:rPr>
          <w:sz w:val="28"/>
          <w:szCs w:val="28"/>
          <w:lang w:val="en-US"/>
        </w:rPr>
        <w:t xml:space="preserve">/ </w:t>
      </w:r>
      <w:r w:rsidR="000C6BD3" w:rsidRPr="000C23D7">
        <w:rPr>
          <w:rStyle w:val="Strong"/>
          <w:b w:val="0"/>
          <w:bCs w:val="0"/>
          <w:sz w:val="28"/>
          <w:szCs w:val="28"/>
          <w:lang w:val="en-US"/>
        </w:rPr>
        <w:t>Council of the European Union</w:t>
      </w:r>
      <w:r w:rsidR="000C6BD3" w:rsidRPr="000C23D7">
        <w:rPr>
          <w:sz w:val="28"/>
          <w:szCs w:val="28"/>
          <w:lang w:val="en-US"/>
        </w:rPr>
        <w:t xml:space="preserve"> //</w:t>
      </w:r>
      <w:r w:rsidR="00BC1176" w:rsidRPr="000C23D7">
        <w:rPr>
          <w:sz w:val="28"/>
          <w:szCs w:val="28"/>
          <w:lang w:val="en-US"/>
        </w:rPr>
        <w:t xml:space="preserve"> </w:t>
      </w:r>
      <w:hyperlink r:id="rId141" w:history="1">
        <w:r w:rsidR="000C6BD3" w:rsidRPr="000C23D7">
          <w:rPr>
            <w:rStyle w:val="Hyperlink"/>
            <w:rFonts w:eastAsiaTheme="majorEastAsia"/>
            <w:color w:val="auto"/>
            <w:sz w:val="28"/>
            <w:szCs w:val="28"/>
            <w:u w:val="none"/>
            <w:lang w:val="en-US"/>
          </w:rPr>
          <w:t>https://www.consilium.europa.eu/en/documents-publications/treaties.</w:t>
        </w:r>
      </w:hyperlink>
      <w:r w:rsidR="00BC1176" w:rsidRPr="000C23D7">
        <w:rPr>
          <w:sz w:val="28"/>
          <w:szCs w:val="28"/>
          <w:lang w:val="en-US"/>
        </w:rPr>
        <w:t xml:space="preserve"> 07.11.2024.</w:t>
      </w:r>
    </w:p>
    <w:p w14:paraId="479F61DB" w14:textId="37FA3F41" w:rsidR="00BC1176" w:rsidRPr="000C23D7" w:rsidRDefault="005073FA" w:rsidP="00B71030">
      <w:pPr>
        <w:pStyle w:val="NormalWeb"/>
        <w:tabs>
          <w:tab w:val="left" w:pos="993"/>
          <w:tab w:val="left" w:pos="1276"/>
        </w:tabs>
        <w:spacing w:before="0" w:beforeAutospacing="0" w:after="0" w:afterAutospacing="0"/>
        <w:ind w:firstLine="709"/>
        <w:jc w:val="both"/>
        <w:rPr>
          <w:sz w:val="28"/>
          <w:szCs w:val="28"/>
          <w:lang w:val="en-US"/>
        </w:rPr>
      </w:pPr>
      <w:r w:rsidRPr="000C23D7">
        <w:rPr>
          <w:sz w:val="28"/>
          <w:szCs w:val="28"/>
          <w:lang w:val="kk-KZ"/>
        </w:rPr>
        <w:t>3</w:t>
      </w:r>
      <w:r w:rsidR="00BC1176" w:rsidRPr="000C23D7">
        <w:rPr>
          <w:sz w:val="28"/>
          <w:szCs w:val="28"/>
          <w:lang w:val="en-US"/>
        </w:rPr>
        <w:t xml:space="preserve"> Resolution on the human rights situation in Kazakhstan </w:t>
      </w:r>
      <w:r w:rsidR="000C6BD3" w:rsidRPr="000C23D7">
        <w:rPr>
          <w:sz w:val="28"/>
          <w:szCs w:val="28"/>
          <w:lang w:val="en-US"/>
        </w:rPr>
        <w:t xml:space="preserve">/ </w:t>
      </w:r>
      <w:r w:rsidR="000C6BD3" w:rsidRPr="000C23D7">
        <w:rPr>
          <w:rStyle w:val="Strong"/>
          <w:b w:val="0"/>
          <w:bCs w:val="0"/>
          <w:sz w:val="28"/>
          <w:szCs w:val="28"/>
          <w:lang w:val="en-US"/>
        </w:rPr>
        <w:t>European Parliament</w:t>
      </w:r>
      <w:r w:rsidR="000C6BD3" w:rsidRPr="000C23D7">
        <w:rPr>
          <w:sz w:val="28"/>
          <w:szCs w:val="28"/>
          <w:lang w:val="en-US"/>
        </w:rPr>
        <w:t xml:space="preserve"> //</w:t>
      </w:r>
      <w:r w:rsidR="00BC1176" w:rsidRPr="000C23D7">
        <w:rPr>
          <w:sz w:val="28"/>
          <w:szCs w:val="28"/>
          <w:lang w:val="en-US"/>
        </w:rPr>
        <w:t xml:space="preserve"> </w:t>
      </w:r>
      <w:hyperlink r:id="rId142" w:history="1">
        <w:r w:rsidR="000C6BD3" w:rsidRPr="000C23D7">
          <w:rPr>
            <w:rStyle w:val="Hyperlink"/>
            <w:rFonts w:eastAsiaTheme="majorEastAsia"/>
            <w:color w:val="auto"/>
            <w:sz w:val="28"/>
            <w:szCs w:val="28"/>
            <w:u w:val="none"/>
            <w:lang w:val="en-US"/>
          </w:rPr>
          <w:t>https://www.europarl.europa.eu/doceo/document/.</w:t>
        </w:r>
      </w:hyperlink>
      <w:r w:rsidR="00BC1176" w:rsidRPr="000C23D7">
        <w:rPr>
          <w:sz w:val="28"/>
          <w:szCs w:val="28"/>
          <w:lang w:val="en-US"/>
        </w:rPr>
        <w:t xml:space="preserve"> 22.01.2025.</w:t>
      </w:r>
    </w:p>
    <w:p w14:paraId="4879F210" w14:textId="4BFB32F3" w:rsidR="00BC1176" w:rsidRPr="000C23D7" w:rsidRDefault="005073FA" w:rsidP="00B71030">
      <w:pPr>
        <w:pStyle w:val="NormalWeb"/>
        <w:tabs>
          <w:tab w:val="left" w:pos="993"/>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4</w:t>
      </w:r>
      <w:r w:rsidR="000C6BD3" w:rsidRPr="000C23D7">
        <w:rPr>
          <w:rStyle w:val="Strong"/>
          <w:b w:val="0"/>
          <w:bCs w:val="0"/>
          <w:sz w:val="28"/>
          <w:szCs w:val="28"/>
          <w:lang w:val="en-US"/>
        </w:rPr>
        <w:t xml:space="preserve"> </w:t>
      </w:r>
      <w:r w:rsidR="00BC1176" w:rsidRPr="000C23D7">
        <w:rPr>
          <w:sz w:val="28"/>
          <w:szCs w:val="28"/>
          <w:lang w:val="en-US"/>
        </w:rPr>
        <w:t>Rule of Law Index 2022</w:t>
      </w:r>
      <w:r w:rsidR="000C6BD3" w:rsidRPr="000C23D7">
        <w:rPr>
          <w:sz w:val="28"/>
          <w:szCs w:val="28"/>
          <w:lang w:val="en-US"/>
        </w:rPr>
        <w:t xml:space="preserve"> /</w:t>
      </w:r>
      <w:r w:rsidR="00BC1176" w:rsidRPr="000C23D7">
        <w:rPr>
          <w:sz w:val="28"/>
          <w:szCs w:val="28"/>
          <w:lang w:val="en-US"/>
        </w:rPr>
        <w:t xml:space="preserve"> </w:t>
      </w:r>
      <w:r w:rsidR="000C6BD3" w:rsidRPr="000C23D7">
        <w:rPr>
          <w:rStyle w:val="Strong"/>
          <w:b w:val="0"/>
          <w:bCs w:val="0"/>
          <w:sz w:val="28"/>
          <w:szCs w:val="28"/>
          <w:lang w:val="en-US"/>
        </w:rPr>
        <w:t xml:space="preserve">World Justice Project // </w:t>
      </w:r>
      <w:hyperlink r:id="rId143" w:history="1">
        <w:r w:rsidR="000C6BD3" w:rsidRPr="000C23D7">
          <w:rPr>
            <w:rStyle w:val="Hyperlink"/>
            <w:rFonts w:eastAsiaTheme="majorEastAsia"/>
            <w:color w:val="auto"/>
            <w:sz w:val="28"/>
            <w:szCs w:val="28"/>
            <w:u w:val="none"/>
            <w:lang w:val="en-US"/>
          </w:rPr>
          <w:t>https://worldjusticeproject.org/rule-of-law-index/downloads.</w:t>
        </w:r>
      </w:hyperlink>
      <w:r w:rsidR="000C6BD3" w:rsidRPr="000C23D7">
        <w:rPr>
          <w:rStyle w:val="Hyperlink"/>
          <w:rFonts w:eastAsiaTheme="majorEastAsia"/>
          <w:color w:val="auto"/>
          <w:sz w:val="28"/>
          <w:szCs w:val="28"/>
          <w:u w:val="none"/>
          <w:lang w:val="en-US"/>
        </w:rPr>
        <w:t xml:space="preserve"> </w:t>
      </w:r>
      <w:r w:rsidR="00BC1176" w:rsidRPr="000C23D7">
        <w:rPr>
          <w:sz w:val="28"/>
          <w:szCs w:val="28"/>
          <w:lang w:val="en-US"/>
        </w:rPr>
        <w:t>14.10.2024.</w:t>
      </w:r>
    </w:p>
    <w:p w14:paraId="0948320C" w14:textId="3827C584" w:rsidR="00BC1176" w:rsidRPr="000C23D7" w:rsidRDefault="005073FA" w:rsidP="00B71030">
      <w:pPr>
        <w:pStyle w:val="NormalWeb"/>
        <w:tabs>
          <w:tab w:val="left" w:pos="993"/>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5</w:t>
      </w:r>
      <w:r w:rsidR="00BC1176" w:rsidRPr="000C23D7">
        <w:rPr>
          <w:sz w:val="28"/>
          <w:szCs w:val="28"/>
          <w:lang w:val="en-US"/>
        </w:rPr>
        <w:t xml:space="preserve"> Kazakhstan Human Rights Situation Report. – 2021</w:t>
      </w:r>
      <w:r w:rsidR="000C6BD3" w:rsidRPr="000C23D7">
        <w:rPr>
          <w:sz w:val="28"/>
          <w:szCs w:val="28"/>
          <w:lang w:val="en-US"/>
        </w:rPr>
        <w:t xml:space="preserve"> / </w:t>
      </w:r>
      <w:r w:rsidR="000C6BD3" w:rsidRPr="000C23D7">
        <w:rPr>
          <w:rStyle w:val="Strong"/>
          <w:b w:val="0"/>
          <w:bCs w:val="0"/>
          <w:sz w:val="28"/>
          <w:szCs w:val="28"/>
          <w:lang w:val="en-US"/>
        </w:rPr>
        <w:t>U.S. Department of State //</w:t>
      </w:r>
      <w:r w:rsidR="00BC1176" w:rsidRPr="000C23D7">
        <w:rPr>
          <w:sz w:val="28"/>
          <w:szCs w:val="28"/>
          <w:lang w:val="en-US"/>
        </w:rPr>
        <w:t xml:space="preserve"> </w:t>
      </w:r>
      <w:hyperlink r:id="rId144" w:history="1">
        <w:r w:rsidR="000C6BD3" w:rsidRPr="000C23D7">
          <w:rPr>
            <w:rStyle w:val="Hyperlink"/>
            <w:rFonts w:eastAsiaTheme="majorEastAsia"/>
            <w:color w:val="auto"/>
            <w:sz w:val="28"/>
            <w:szCs w:val="28"/>
            <w:u w:val="none"/>
            <w:lang w:val="en-US"/>
          </w:rPr>
          <w:t>https://kz.usembassy.gov/ru/ru-2021-country-reports-on.</w:t>
        </w:r>
      </w:hyperlink>
      <w:r w:rsidR="00BC1176" w:rsidRPr="000C23D7">
        <w:rPr>
          <w:sz w:val="28"/>
          <w:szCs w:val="28"/>
          <w:lang w:val="en-US"/>
        </w:rPr>
        <w:t xml:space="preserve"> 05.02.2025.</w:t>
      </w:r>
    </w:p>
    <w:p w14:paraId="31B4AEDB" w14:textId="3886994F" w:rsidR="00BC1176" w:rsidRPr="000C23D7" w:rsidRDefault="005073FA" w:rsidP="00B71030">
      <w:pPr>
        <w:pStyle w:val="NormalWeb"/>
        <w:tabs>
          <w:tab w:val="left" w:pos="993"/>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6 </w:t>
      </w:r>
      <w:r w:rsidR="00BC1176" w:rsidRPr="000C23D7">
        <w:rPr>
          <w:rStyle w:val="Strong"/>
          <w:b w:val="0"/>
          <w:bCs w:val="0"/>
          <w:sz w:val="28"/>
          <w:szCs w:val="28"/>
          <w:lang w:val="en-US"/>
        </w:rPr>
        <w:t>Balfour R., Baroncelli E., Bomassi L.</w:t>
      </w:r>
      <w:r w:rsidR="000C6BD3" w:rsidRPr="000C23D7">
        <w:rPr>
          <w:rStyle w:val="Strong"/>
          <w:b w:val="0"/>
          <w:bCs w:val="0"/>
          <w:sz w:val="28"/>
          <w:szCs w:val="28"/>
          <w:lang w:val="en-US"/>
        </w:rPr>
        <w:t xml:space="preserve"> et al.</w:t>
      </w:r>
      <w:r w:rsidR="00BC1176" w:rsidRPr="000C23D7">
        <w:rPr>
          <w:sz w:val="28"/>
          <w:szCs w:val="28"/>
          <w:lang w:val="en-US"/>
        </w:rPr>
        <w:t xml:space="preserve"> Geopolitics and Economic Statecraft in the European Union. – Brussels: Carnegie Europe, 2024. – </w:t>
      </w:r>
      <w:r w:rsidR="00D40BFB" w:rsidRPr="000C23D7">
        <w:rPr>
          <w:sz w:val="28"/>
          <w:szCs w:val="28"/>
          <w:lang w:val="kk-KZ"/>
        </w:rPr>
        <w:t>137 р.</w:t>
      </w:r>
      <w:r w:rsidR="000C6BD3" w:rsidRPr="000C23D7">
        <w:rPr>
          <w:sz w:val="28"/>
          <w:szCs w:val="28"/>
          <w:lang w:val="en-US"/>
        </w:rPr>
        <w:t xml:space="preserve"> </w:t>
      </w:r>
    </w:p>
    <w:p w14:paraId="7BA4DFBF" w14:textId="622CA828" w:rsidR="00BC1176" w:rsidRPr="000C23D7" w:rsidRDefault="005073FA" w:rsidP="00B71030">
      <w:pPr>
        <w:pStyle w:val="NormalWeb"/>
        <w:tabs>
          <w:tab w:val="left" w:pos="993"/>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7 </w:t>
      </w:r>
      <w:r w:rsidR="000C6BD3" w:rsidRPr="000C23D7">
        <w:rPr>
          <w:rStyle w:val="Strong"/>
          <w:b w:val="0"/>
          <w:bCs w:val="0"/>
          <w:sz w:val="28"/>
          <w:szCs w:val="28"/>
          <w:lang w:val="en-US"/>
        </w:rPr>
        <w:t>Michalski A., Parker C.</w:t>
      </w:r>
      <w:r w:rsidR="00BC1176" w:rsidRPr="000C23D7">
        <w:rPr>
          <w:rStyle w:val="Strong"/>
          <w:b w:val="0"/>
          <w:bCs w:val="0"/>
          <w:sz w:val="28"/>
          <w:szCs w:val="28"/>
          <w:lang w:val="en-US"/>
        </w:rPr>
        <w:t>F.</w:t>
      </w:r>
      <w:r w:rsidR="00BC1176" w:rsidRPr="000C23D7">
        <w:rPr>
          <w:sz w:val="28"/>
          <w:szCs w:val="28"/>
          <w:lang w:val="en-US"/>
        </w:rPr>
        <w:t xml:space="preserve"> The EU’s evolving leadership role in an age of geopolitics: Beyond normative and market power in the Indo-Pacific // </w:t>
      </w:r>
      <w:r w:rsidR="00BC1176" w:rsidRPr="000C23D7">
        <w:rPr>
          <w:rStyle w:val="Emphasis"/>
          <w:i w:val="0"/>
          <w:sz w:val="28"/>
          <w:szCs w:val="28"/>
          <w:lang w:val="en-US"/>
        </w:rPr>
        <w:t>European Journal of International Security</w:t>
      </w:r>
      <w:r w:rsidR="00BC1176" w:rsidRPr="000C23D7">
        <w:rPr>
          <w:sz w:val="28"/>
          <w:szCs w:val="28"/>
          <w:lang w:val="en-US"/>
        </w:rPr>
        <w:t xml:space="preserve">. – 2024. – Vol. 9, </w:t>
      </w:r>
      <w:r w:rsidR="000C6BD3" w:rsidRPr="000C23D7">
        <w:rPr>
          <w:sz w:val="28"/>
          <w:szCs w:val="28"/>
          <w:lang w:val="en-US"/>
        </w:rPr>
        <w:t>Issue 2. – P. 263-</w:t>
      </w:r>
      <w:r w:rsidR="00BC1176" w:rsidRPr="000C23D7">
        <w:rPr>
          <w:sz w:val="28"/>
          <w:szCs w:val="28"/>
          <w:lang w:val="en-US"/>
        </w:rPr>
        <w:t xml:space="preserve">280. </w:t>
      </w:r>
    </w:p>
    <w:p w14:paraId="7F289A91" w14:textId="6216CDB3" w:rsidR="00BC1176" w:rsidRPr="000C23D7" w:rsidRDefault="005073FA" w:rsidP="00B71030">
      <w:pPr>
        <w:pStyle w:val="NormalWeb"/>
        <w:tabs>
          <w:tab w:val="left" w:pos="993"/>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8 </w:t>
      </w:r>
      <w:r w:rsidR="000C6BD3" w:rsidRPr="000C23D7">
        <w:rPr>
          <w:rStyle w:val="Strong"/>
          <w:b w:val="0"/>
          <w:bCs w:val="0"/>
          <w:sz w:val="28"/>
          <w:szCs w:val="28"/>
          <w:lang w:val="en-US"/>
        </w:rPr>
        <w:t>Vasconcelos A.A. et al.</w:t>
      </w:r>
      <w:r w:rsidR="00BC1176" w:rsidRPr="000C23D7">
        <w:rPr>
          <w:sz w:val="28"/>
          <w:szCs w:val="28"/>
          <w:lang w:val="en-US"/>
        </w:rPr>
        <w:t xml:space="preserve"> Prospects and challenges for policy convergence between the EU and China to address imported deforestation // </w:t>
      </w:r>
      <w:r w:rsidR="00BC1176" w:rsidRPr="000C23D7">
        <w:rPr>
          <w:rStyle w:val="Emphasis"/>
          <w:i w:val="0"/>
          <w:sz w:val="28"/>
          <w:szCs w:val="28"/>
          <w:lang w:val="en-US"/>
        </w:rPr>
        <w:t>Forest Policy and Economics</w:t>
      </w:r>
      <w:r w:rsidR="00BC1176" w:rsidRPr="000C23D7">
        <w:rPr>
          <w:sz w:val="28"/>
          <w:szCs w:val="28"/>
          <w:lang w:val="en-US"/>
        </w:rPr>
        <w:t xml:space="preserve">. – 2024. – Vol. 162. – </w:t>
      </w:r>
      <w:r w:rsidR="000C6BD3" w:rsidRPr="000C23D7">
        <w:rPr>
          <w:sz w:val="28"/>
          <w:szCs w:val="28"/>
          <w:lang w:val="en-US"/>
        </w:rPr>
        <w:t>P.</w:t>
      </w:r>
      <w:r w:rsidR="00BC1176" w:rsidRPr="000C23D7">
        <w:rPr>
          <w:sz w:val="28"/>
          <w:szCs w:val="28"/>
          <w:lang w:val="en-US"/>
        </w:rPr>
        <w:t xml:space="preserve"> 103183. </w:t>
      </w:r>
    </w:p>
    <w:p w14:paraId="53BEBA5D" w14:textId="3C00E27F" w:rsidR="00BC1176" w:rsidRPr="000C23D7" w:rsidRDefault="005073FA" w:rsidP="00B71030">
      <w:pPr>
        <w:pStyle w:val="NormalWeb"/>
        <w:tabs>
          <w:tab w:val="left" w:pos="993"/>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9 </w:t>
      </w:r>
      <w:r w:rsidR="00BC1176" w:rsidRPr="000C23D7">
        <w:rPr>
          <w:rStyle w:val="Strong"/>
          <w:b w:val="0"/>
          <w:bCs w:val="0"/>
          <w:sz w:val="28"/>
          <w:szCs w:val="28"/>
          <w:lang w:val="en-US"/>
        </w:rPr>
        <w:t>Jawadi F., Rozin P., Gnegne Y., Cheffou A. I.</w:t>
      </w:r>
      <w:r w:rsidR="00BC1176" w:rsidRPr="000C23D7">
        <w:rPr>
          <w:sz w:val="28"/>
          <w:szCs w:val="28"/>
          <w:lang w:val="en-US"/>
        </w:rPr>
        <w:t xml:space="preserve"> Geopolitical risks and business fluctuations in Europe: A sectorial analysis // </w:t>
      </w:r>
      <w:r w:rsidR="00BC1176" w:rsidRPr="000C23D7">
        <w:rPr>
          <w:rStyle w:val="Emphasis"/>
          <w:i w:val="0"/>
          <w:sz w:val="28"/>
          <w:szCs w:val="28"/>
          <w:lang w:val="en-US"/>
        </w:rPr>
        <w:t>European Journal of Political Economy</w:t>
      </w:r>
      <w:r w:rsidR="00BC1176" w:rsidRPr="000C23D7">
        <w:rPr>
          <w:sz w:val="28"/>
          <w:szCs w:val="28"/>
          <w:lang w:val="en-US"/>
        </w:rPr>
        <w:t xml:space="preserve">. – 2024. – Vol. 85. – </w:t>
      </w:r>
      <w:r w:rsidR="000C6BD3" w:rsidRPr="000C23D7">
        <w:rPr>
          <w:sz w:val="28"/>
          <w:szCs w:val="28"/>
          <w:lang w:val="en-US"/>
        </w:rPr>
        <w:t>P.</w:t>
      </w:r>
      <w:r w:rsidR="00BC1176" w:rsidRPr="000C23D7">
        <w:rPr>
          <w:sz w:val="28"/>
          <w:szCs w:val="28"/>
          <w:lang w:val="en-US"/>
        </w:rPr>
        <w:t xml:space="preserve"> 102585.</w:t>
      </w:r>
    </w:p>
    <w:p w14:paraId="57006E35" w14:textId="49DF3690" w:rsidR="00BC1176" w:rsidRPr="000C23D7" w:rsidRDefault="005073FA"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10 </w:t>
      </w:r>
      <w:r w:rsidR="00214DF5" w:rsidRPr="000C23D7">
        <w:rPr>
          <w:rStyle w:val="rynqvb"/>
          <w:sz w:val="28"/>
          <w:szCs w:val="28"/>
          <w:lang w:val="en"/>
        </w:rPr>
        <w:t>S</w:t>
      </w:r>
      <w:r w:rsidR="000C6BD3" w:rsidRPr="000C23D7">
        <w:rPr>
          <w:rStyle w:val="rynqvb"/>
          <w:sz w:val="28"/>
          <w:szCs w:val="28"/>
          <w:lang w:val="en"/>
        </w:rPr>
        <w:t>z</w:t>
      </w:r>
      <w:r w:rsidR="00214DF5" w:rsidRPr="000C23D7">
        <w:rPr>
          <w:rStyle w:val="rynqvb"/>
          <w:sz w:val="28"/>
          <w:szCs w:val="28"/>
          <w:lang w:val="en"/>
        </w:rPr>
        <w:t>c</w:t>
      </w:r>
      <w:r w:rsidR="000C6BD3" w:rsidRPr="000C23D7">
        <w:rPr>
          <w:rStyle w:val="rynqvb"/>
          <w:sz w:val="28"/>
          <w:szCs w:val="28"/>
          <w:lang w:val="en"/>
        </w:rPr>
        <w:t>z</w:t>
      </w:r>
      <w:r w:rsidR="00214DF5" w:rsidRPr="000C23D7">
        <w:rPr>
          <w:rStyle w:val="rynqvb"/>
          <w:sz w:val="28"/>
          <w:szCs w:val="28"/>
          <w:lang w:val="en"/>
        </w:rPr>
        <w:t>epansk</w:t>
      </w:r>
      <w:r w:rsidR="000C6BD3" w:rsidRPr="000C23D7">
        <w:rPr>
          <w:rStyle w:val="rynqvb"/>
          <w:sz w:val="28"/>
          <w:szCs w:val="28"/>
          <w:lang w:val="en"/>
        </w:rPr>
        <w:t>i</w:t>
      </w:r>
      <w:r w:rsidR="00214DF5" w:rsidRPr="000C23D7">
        <w:rPr>
          <w:rStyle w:val="rynqvb"/>
          <w:sz w:val="28"/>
          <w:szCs w:val="28"/>
          <w:lang w:val="en"/>
        </w:rPr>
        <w:t xml:space="preserve"> M.</w:t>
      </w:r>
      <w:r w:rsidR="000C6BD3" w:rsidRPr="000C23D7">
        <w:rPr>
          <w:rStyle w:val="rynqvb"/>
          <w:sz w:val="28"/>
          <w:szCs w:val="28"/>
          <w:lang w:val="en"/>
        </w:rPr>
        <w:t xml:space="preserve"> </w:t>
      </w:r>
      <w:r w:rsidR="00BC1176" w:rsidRPr="000C23D7">
        <w:rPr>
          <w:sz w:val="28"/>
          <w:szCs w:val="28"/>
          <w:lang w:val="en-US"/>
        </w:rPr>
        <w:t xml:space="preserve">The Geopolitics of Technology: Charting the EU’s Path in a Competitive World </w:t>
      </w:r>
      <w:r w:rsidR="000C6BD3" w:rsidRPr="000C23D7">
        <w:rPr>
          <w:sz w:val="28"/>
          <w:szCs w:val="28"/>
          <w:lang w:val="en-US"/>
        </w:rPr>
        <w:t>//</w:t>
      </w:r>
      <w:r w:rsidR="00BC1176" w:rsidRPr="000C23D7">
        <w:rPr>
          <w:sz w:val="28"/>
          <w:szCs w:val="28"/>
          <w:lang w:val="en-US"/>
        </w:rPr>
        <w:t xml:space="preserve"> </w:t>
      </w:r>
      <w:hyperlink r:id="rId145" w:history="1">
        <w:r w:rsidR="000C6BD3" w:rsidRPr="000C23D7">
          <w:rPr>
            <w:rStyle w:val="Hyperlink"/>
            <w:rFonts w:eastAsiaTheme="majorEastAsia"/>
            <w:color w:val="auto"/>
            <w:sz w:val="28"/>
            <w:szCs w:val="28"/>
            <w:u w:val="none"/>
            <w:lang w:val="en-US"/>
          </w:rPr>
          <w:t>https://www.europarl.europa.eu/thinktank/en.</w:t>
        </w:r>
      </w:hyperlink>
      <w:r w:rsidR="00BC1176" w:rsidRPr="000C23D7">
        <w:rPr>
          <w:sz w:val="28"/>
          <w:szCs w:val="28"/>
          <w:lang w:val="en-US"/>
        </w:rPr>
        <w:t xml:space="preserve"> 09.12.2024.</w:t>
      </w:r>
    </w:p>
    <w:p w14:paraId="52AE39B3" w14:textId="4CB11418"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11 </w:t>
      </w:r>
      <w:r w:rsidR="009125F2" w:rsidRPr="000C23D7">
        <w:rPr>
          <w:rStyle w:val="Strong"/>
          <w:b w:val="0"/>
          <w:bCs w:val="0"/>
          <w:sz w:val="28"/>
          <w:szCs w:val="28"/>
          <w:lang w:val="en-US"/>
        </w:rPr>
        <w:t>Müller P., Pomorska K., Tonra B.</w:t>
      </w:r>
      <w:r w:rsidR="009125F2" w:rsidRPr="000C23D7">
        <w:rPr>
          <w:sz w:val="28"/>
          <w:szCs w:val="28"/>
          <w:lang w:val="en-US"/>
        </w:rPr>
        <w:t xml:space="preserve"> The Domestic Challenge to EU Foreign Policy-Making: From Europeanisation to de-Europeanisation? // </w:t>
      </w:r>
      <w:r w:rsidR="009125F2" w:rsidRPr="000C23D7">
        <w:rPr>
          <w:rStyle w:val="Emphasis"/>
          <w:rFonts w:eastAsiaTheme="majorEastAsia"/>
          <w:i w:val="0"/>
          <w:sz w:val="28"/>
          <w:szCs w:val="28"/>
          <w:lang w:val="en-US"/>
        </w:rPr>
        <w:t>Journal of European Integration</w:t>
      </w:r>
      <w:r w:rsidR="009125F2" w:rsidRPr="000C23D7">
        <w:rPr>
          <w:i/>
          <w:sz w:val="28"/>
          <w:szCs w:val="28"/>
          <w:lang w:val="en-US"/>
        </w:rPr>
        <w:t xml:space="preserve">. </w:t>
      </w:r>
      <w:r w:rsidR="009125F2" w:rsidRPr="000C23D7">
        <w:rPr>
          <w:sz w:val="28"/>
          <w:szCs w:val="28"/>
          <w:lang w:val="en-US"/>
        </w:rPr>
        <w:t xml:space="preserve">– 2021. – </w:t>
      </w:r>
      <w:r w:rsidR="00214DF5" w:rsidRPr="000C23D7">
        <w:rPr>
          <w:sz w:val="28"/>
          <w:szCs w:val="28"/>
          <w:lang w:val="en-US"/>
        </w:rPr>
        <w:t>Vol</w:t>
      </w:r>
      <w:r w:rsidR="009125F2" w:rsidRPr="000C23D7">
        <w:rPr>
          <w:sz w:val="28"/>
          <w:szCs w:val="28"/>
          <w:lang w:val="en-US"/>
        </w:rPr>
        <w:t xml:space="preserve">. 43, </w:t>
      </w:r>
      <w:r w:rsidR="00214DF5" w:rsidRPr="000C23D7">
        <w:rPr>
          <w:sz w:val="28"/>
          <w:szCs w:val="28"/>
          <w:lang w:val="en-US"/>
        </w:rPr>
        <w:t>Issue</w:t>
      </w:r>
      <w:r w:rsidR="009125F2" w:rsidRPr="000C23D7">
        <w:rPr>
          <w:sz w:val="28"/>
          <w:szCs w:val="28"/>
          <w:lang w:val="en-US"/>
        </w:rPr>
        <w:t xml:space="preserve"> 5. – </w:t>
      </w:r>
      <w:r w:rsidR="00214DF5" w:rsidRPr="000C23D7">
        <w:rPr>
          <w:sz w:val="28"/>
          <w:szCs w:val="28"/>
          <w:lang w:val="en-US"/>
        </w:rPr>
        <w:t>P</w:t>
      </w:r>
      <w:r w:rsidR="009125F2" w:rsidRPr="000C23D7">
        <w:rPr>
          <w:rStyle w:val="Strong"/>
          <w:b w:val="0"/>
          <w:bCs w:val="0"/>
          <w:sz w:val="28"/>
          <w:szCs w:val="28"/>
          <w:lang w:val="en-US"/>
        </w:rPr>
        <w:t>. 519</w:t>
      </w:r>
      <w:r w:rsidR="00214DF5" w:rsidRPr="000C23D7">
        <w:rPr>
          <w:rStyle w:val="Strong"/>
          <w:b w:val="0"/>
          <w:bCs w:val="0"/>
          <w:sz w:val="28"/>
          <w:szCs w:val="28"/>
          <w:lang w:val="en-US"/>
        </w:rPr>
        <w:t>-</w:t>
      </w:r>
      <w:r w:rsidR="009125F2" w:rsidRPr="000C23D7">
        <w:rPr>
          <w:rStyle w:val="Strong"/>
          <w:b w:val="0"/>
          <w:bCs w:val="0"/>
          <w:sz w:val="28"/>
          <w:szCs w:val="28"/>
          <w:lang w:val="en-US"/>
        </w:rPr>
        <w:t>534</w:t>
      </w:r>
      <w:r w:rsidR="009125F2" w:rsidRPr="000C23D7">
        <w:rPr>
          <w:sz w:val="28"/>
          <w:szCs w:val="28"/>
          <w:lang w:val="en-US"/>
        </w:rPr>
        <w:t xml:space="preserve">. </w:t>
      </w:r>
    </w:p>
    <w:p w14:paraId="00E8611F" w14:textId="4B9DCD9C" w:rsidR="009125F2" w:rsidRPr="00C57BD3" w:rsidRDefault="005073FA" w:rsidP="00B71030">
      <w:pPr>
        <w:pStyle w:val="NormalWeb"/>
        <w:tabs>
          <w:tab w:val="left" w:pos="1134"/>
          <w:tab w:val="left" w:pos="1276"/>
        </w:tabs>
        <w:spacing w:before="0" w:beforeAutospacing="0" w:after="0" w:afterAutospacing="0"/>
        <w:ind w:firstLine="709"/>
        <w:jc w:val="both"/>
        <w:rPr>
          <w:sz w:val="28"/>
          <w:szCs w:val="28"/>
        </w:rPr>
      </w:pPr>
      <w:r w:rsidRPr="000C23D7">
        <w:rPr>
          <w:rStyle w:val="Strong"/>
          <w:b w:val="0"/>
          <w:bCs w:val="0"/>
          <w:sz w:val="28"/>
          <w:szCs w:val="28"/>
          <w:lang w:val="kk-KZ"/>
        </w:rPr>
        <w:t xml:space="preserve">12 </w:t>
      </w:r>
      <w:r w:rsidR="009125F2" w:rsidRPr="000C23D7">
        <w:rPr>
          <w:rStyle w:val="Strong"/>
          <w:b w:val="0"/>
          <w:bCs w:val="0"/>
          <w:sz w:val="28"/>
          <w:szCs w:val="28"/>
        </w:rPr>
        <w:t>Пхаладзе</w:t>
      </w:r>
      <w:r w:rsidR="009125F2" w:rsidRPr="000C23D7">
        <w:rPr>
          <w:rStyle w:val="Strong"/>
          <w:b w:val="0"/>
          <w:bCs w:val="0"/>
          <w:sz w:val="28"/>
          <w:szCs w:val="28"/>
          <w:lang w:val="en-US"/>
        </w:rPr>
        <w:t xml:space="preserve"> </w:t>
      </w:r>
      <w:r w:rsidR="009125F2" w:rsidRPr="000C23D7">
        <w:rPr>
          <w:rStyle w:val="Strong"/>
          <w:b w:val="0"/>
          <w:bCs w:val="0"/>
          <w:sz w:val="28"/>
          <w:szCs w:val="28"/>
        </w:rPr>
        <w:t>Т</w:t>
      </w:r>
      <w:r w:rsidR="009125F2" w:rsidRPr="000C23D7">
        <w:rPr>
          <w:rStyle w:val="Strong"/>
          <w:b w:val="0"/>
          <w:bCs w:val="0"/>
          <w:sz w:val="28"/>
          <w:szCs w:val="28"/>
          <w:lang w:val="en-US"/>
        </w:rPr>
        <w:t>.</w:t>
      </w:r>
      <w:r w:rsidR="009125F2" w:rsidRPr="000C23D7">
        <w:rPr>
          <w:sz w:val="28"/>
          <w:szCs w:val="28"/>
          <w:lang w:val="en-US"/>
        </w:rPr>
        <w:t xml:space="preserve"> Navigating Geopolitical Realities: The EU’s Strategic Positioning in the South Caucasus and Central Asia</w:t>
      </w:r>
      <w:r w:rsidR="00214DF5" w:rsidRPr="000C23D7">
        <w:rPr>
          <w:sz w:val="28"/>
          <w:szCs w:val="28"/>
          <w:lang w:val="en-US"/>
        </w:rPr>
        <w:t xml:space="preserve"> //</w:t>
      </w:r>
      <w:r w:rsidR="009125F2" w:rsidRPr="000C23D7">
        <w:rPr>
          <w:sz w:val="28"/>
          <w:szCs w:val="28"/>
          <w:lang w:val="en-US"/>
        </w:rPr>
        <w:t xml:space="preserve"> </w:t>
      </w:r>
      <w:hyperlink r:id="rId146" w:history="1">
        <w:r w:rsidR="00214DF5" w:rsidRPr="000C23D7">
          <w:rPr>
            <w:rStyle w:val="Hyperlink"/>
            <w:color w:val="auto"/>
            <w:sz w:val="28"/>
            <w:szCs w:val="28"/>
            <w:u w:val="none"/>
            <w:lang w:val="en-US"/>
          </w:rPr>
          <w:t>https://ecipe.org/publications/eu-strategic-positioning-in-the-south.</w:t>
        </w:r>
      </w:hyperlink>
      <w:r w:rsidR="009125F2" w:rsidRPr="000C23D7">
        <w:rPr>
          <w:sz w:val="28"/>
          <w:szCs w:val="28"/>
          <w:lang w:val="en-US"/>
        </w:rPr>
        <w:t xml:space="preserve"> </w:t>
      </w:r>
      <w:r w:rsidR="009125F2" w:rsidRPr="00C57BD3">
        <w:rPr>
          <w:sz w:val="28"/>
          <w:szCs w:val="28"/>
        </w:rPr>
        <w:t>01.03.2025.</w:t>
      </w:r>
    </w:p>
    <w:p w14:paraId="6DE2949C" w14:textId="24975282"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rPr>
      </w:pPr>
      <w:r w:rsidRPr="000C23D7">
        <w:rPr>
          <w:rStyle w:val="Strong"/>
          <w:b w:val="0"/>
          <w:bCs w:val="0"/>
          <w:sz w:val="28"/>
          <w:szCs w:val="28"/>
          <w:lang w:val="kk-KZ"/>
        </w:rPr>
        <w:t xml:space="preserve">13 </w:t>
      </w:r>
      <w:r w:rsidR="009125F2" w:rsidRPr="000C23D7">
        <w:rPr>
          <w:rStyle w:val="Strong"/>
          <w:b w:val="0"/>
          <w:bCs w:val="0"/>
          <w:sz w:val="28"/>
          <w:szCs w:val="28"/>
        </w:rPr>
        <w:t>Жиенбаев Е.</w:t>
      </w:r>
      <w:r w:rsidR="009125F2" w:rsidRPr="000C23D7">
        <w:rPr>
          <w:sz w:val="28"/>
          <w:szCs w:val="28"/>
        </w:rPr>
        <w:t xml:space="preserve"> Верховенство права и прав человека – основные приоритеты политики в Казахстане и в Узбекистане // </w:t>
      </w:r>
      <w:r w:rsidR="009125F2" w:rsidRPr="000C23D7">
        <w:rPr>
          <w:rStyle w:val="Emphasis"/>
          <w:rFonts w:eastAsiaTheme="majorEastAsia"/>
          <w:i w:val="0"/>
          <w:sz w:val="28"/>
          <w:szCs w:val="28"/>
        </w:rPr>
        <w:t>Решение социальных проблем в управлении и экономике</w:t>
      </w:r>
      <w:r w:rsidR="009125F2" w:rsidRPr="000C23D7">
        <w:rPr>
          <w:sz w:val="28"/>
          <w:szCs w:val="28"/>
        </w:rPr>
        <w:t xml:space="preserve">. – 2024. – №3(9). – </w:t>
      </w:r>
      <w:r w:rsidR="009125F2" w:rsidRPr="000C23D7">
        <w:rPr>
          <w:rStyle w:val="Strong"/>
          <w:b w:val="0"/>
          <w:bCs w:val="0"/>
          <w:sz w:val="28"/>
          <w:szCs w:val="28"/>
        </w:rPr>
        <w:t>С. 97</w:t>
      </w:r>
      <w:r w:rsidR="00F76B39" w:rsidRPr="000C23D7">
        <w:rPr>
          <w:rStyle w:val="Strong"/>
          <w:b w:val="0"/>
          <w:bCs w:val="0"/>
          <w:sz w:val="28"/>
          <w:szCs w:val="28"/>
        </w:rPr>
        <w:t>-</w:t>
      </w:r>
      <w:r w:rsidR="009125F2" w:rsidRPr="000C23D7">
        <w:rPr>
          <w:rStyle w:val="Strong"/>
          <w:b w:val="0"/>
          <w:bCs w:val="0"/>
          <w:sz w:val="28"/>
          <w:szCs w:val="28"/>
        </w:rPr>
        <w:t>99</w:t>
      </w:r>
      <w:r w:rsidR="009125F2" w:rsidRPr="000C23D7">
        <w:rPr>
          <w:sz w:val="28"/>
          <w:szCs w:val="28"/>
        </w:rPr>
        <w:t xml:space="preserve">. </w:t>
      </w:r>
    </w:p>
    <w:p w14:paraId="286C2746" w14:textId="68DA61B7"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rPr>
      </w:pPr>
      <w:r w:rsidRPr="000C23D7">
        <w:rPr>
          <w:rStyle w:val="Strong"/>
          <w:b w:val="0"/>
          <w:bCs w:val="0"/>
          <w:sz w:val="28"/>
          <w:szCs w:val="28"/>
          <w:lang w:val="kk-KZ"/>
        </w:rPr>
        <w:t xml:space="preserve">14 </w:t>
      </w:r>
      <w:r w:rsidR="00F76B39" w:rsidRPr="000C23D7">
        <w:rPr>
          <w:rStyle w:val="Strong"/>
          <w:b w:val="0"/>
          <w:bCs w:val="0"/>
          <w:sz w:val="28"/>
          <w:szCs w:val="28"/>
        </w:rPr>
        <w:t>Акшалова Р.Д., Сарсембаев М.</w:t>
      </w:r>
      <w:r w:rsidR="009125F2" w:rsidRPr="000C23D7">
        <w:rPr>
          <w:rStyle w:val="Strong"/>
          <w:b w:val="0"/>
          <w:bCs w:val="0"/>
          <w:sz w:val="28"/>
          <w:szCs w:val="28"/>
        </w:rPr>
        <w:t>А.</w:t>
      </w:r>
      <w:r w:rsidR="009125F2" w:rsidRPr="000C23D7">
        <w:rPr>
          <w:sz w:val="28"/>
          <w:szCs w:val="28"/>
        </w:rPr>
        <w:t xml:space="preserve"> Защита экологических прав человека // </w:t>
      </w:r>
      <w:r w:rsidR="009125F2" w:rsidRPr="000C23D7">
        <w:rPr>
          <w:rStyle w:val="Emphasis"/>
          <w:rFonts w:eastAsiaTheme="majorEastAsia"/>
          <w:i w:val="0"/>
          <w:sz w:val="28"/>
          <w:szCs w:val="28"/>
        </w:rPr>
        <w:t>Право и государство</w:t>
      </w:r>
      <w:r w:rsidR="009125F2" w:rsidRPr="000C23D7">
        <w:rPr>
          <w:sz w:val="28"/>
          <w:szCs w:val="28"/>
        </w:rPr>
        <w:t xml:space="preserve">. – 2025. – №1. – </w:t>
      </w:r>
      <w:r w:rsidR="009125F2" w:rsidRPr="000C23D7">
        <w:rPr>
          <w:rStyle w:val="Strong"/>
          <w:b w:val="0"/>
          <w:bCs w:val="0"/>
          <w:sz w:val="28"/>
          <w:szCs w:val="28"/>
        </w:rPr>
        <w:t>С. 33</w:t>
      </w:r>
      <w:r w:rsidR="00F76B39" w:rsidRPr="000C23D7">
        <w:rPr>
          <w:rStyle w:val="Strong"/>
          <w:b w:val="0"/>
          <w:bCs w:val="0"/>
          <w:sz w:val="28"/>
          <w:szCs w:val="28"/>
        </w:rPr>
        <w:t>-</w:t>
      </w:r>
      <w:r w:rsidR="009125F2" w:rsidRPr="000C23D7">
        <w:rPr>
          <w:rStyle w:val="Strong"/>
          <w:b w:val="0"/>
          <w:bCs w:val="0"/>
          <w:sz w:val="28"/>
          <w:szCs w:val="28"/>
        </w:rPr>
        <w:t>46</w:t>
      </w:r>
      <w:r w:rsidR="009125F2" w:rsidRPr="000C23D7">
        <w:rPr>
          <w:sz w:val="28"/>
          <w:szCs w:val="28"/>
        </w:rPr>
        <w:t xml:space="preserve">. </w:t>
      </w:r>
    </w:p>
    <w:p w14:paraId="582B7E85" w14:textId="6E353533"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rPr>
      </w:pPr>
      <w:r w:rsidRPr="000C23D7">
        <w:rPr>
          <w:sz w:val="28"/>
          <w:szCs w:val="28"/>
          <w:lang w:val="kk-KZ"/>
        </w:rPr>
        <w:t>15</w:t>
      </w:r>
      <w:r w:rsidR="009125F2" w:rsidRPr="000C23D7">
        <w:rPr>
          <w:sz w:val="28"/>
          <w:szCs w:val="28"/>
        </w:rPr>
        <w:t xml:space="preserve"> </w:t>
      </w:r>
      <w:r w:rsidR="00F76B39" w:rsidRPr="000C23D7">
        <w:rPr>
          <w:rStyle w:val="Strong"/>
          <w:b w:val="0"/>
          <w:bCs w:val="0"/>
          <w:sz w:val="28"/>
          <w:szCs w:val="28"/>
        </w:rPr>
        <w:t>Журсимбаев С.К., Кемали Е.</w:t>
      </w:r>
      <w:r w:rsidR="009125F2" w:rsidRPr="000C23D7">
        <w:rPr>
          <w:rStyle w:val="Strong"/>
          <w:b w:val="0"/>
          <w:bCs w:val="0"/>
          <w:sz w:val="28"/>
          <w:szCs w:val="28"/>
        </w:rPr>
        <w:t>С.</w:t>
      </w:r>
      <w:r w:rsidR="009125F2" w:rsidRPr="000C23D7">
        <w:rPr>
          <w:sz w:val="28"/>
          <w:szCs w:val="28"/>
        </w:rPr>
        <w:t xml:space="preserve"> Права человека должна быть базовой основой правовой политики Казахстана // </w:t>
      </w:r>
      <w:r w:rsidR="009125F2" w:rsidRPr="000C23D7">
        <w:rPr>
          <w:rStyle w:val="Emphasis"/>
          <w:rFonts w:eastAsiaTheme="majorEastAsia"/>
          <w:i w:val="0"/>
          <w:sz w:val="28"/>
          <w:szCs w:val="28"/>
        </w:rPr>
        <w:t>Право и государство</w:t>
      </w:r>
      <w:r w:rsidR="009125F2" w:rsidRPr="000C23D7">
        <w:rPr>
          <w:sz w:val="28"/>
          <w:szCs w:val="28"/>
        </w:rPr>
        <w:t xml:space="preserve">. – 2020. – №1. – </w:t>
      </w:r>
      <w:r w:rsidR="009125F2" w:rsidRPr="000C23D7">
        <w:rPr>
          <w:rStyle w:val="Strong"/>
          <w:b w:val="0"/>
          <w:bCs w:val="0"/>
          <w:sz w:val="28"/>
          <w:szCs w:val="28"/>
        </w:rPr>
        <w:t>С. 38</w:t>
      </w:r>
      <w:r w:rsidR="00F76B39" w:rsidRPr="000C23D7">
        <w:rPr>
          <w:rStyle w:val="Strong"/>
          <w:b w:val="0"/>
          <w:bCs w:val="0"/>
          <w:sz w:val="28"/>
          <w:szCs w:val="28"/>
        </w:rPr>
        <w:t>-</w:t>
      </w:r>
      <w:r w:rsidR="009125F2" w:rsidRPr="000C23D7">
        <w:rPr>
          <w:rStyle w:val="Strong"/>
          <w:b w:val="0"/>
          <w:bCs w:val="0"/>
          <w:sz w:val="28"/>
          <w:szCs w:val="28"/>
        </w:rPr>
        <w:t>44</w:t>
      </w:r>
      <w:r w:rsidR="009125F2" w:rsidRPr="000C23D7">
        <w:rPr>
          <w:sz w:val="28"/>
          <w:szCs w:val="28"/>
        </w:rPr>
        <w:t>.</w:t>
      </w:r>
    </w:p>
    <w:p w14:paraId="17A1A935" w14:textId="63599222"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16 </w:t>
      </w:r>
      <w:r w:rsidR="009125F2" w:rsidRPr="000C23D7">
        <w:rPr>
          <w:rStyle w:val="Strong"/>
          <w:b w:val="0"/>
          <w:bCs w:val="0"/>
          <w:sz w:val="28"/>
          <w:szCs w:val="28"/>
          <w:lang w:val="en-US"/>
        </w:rPr>
        <w:t>Youngs R., Ventura E.</w:t>
      </w:r>
      <w:r w:rsidR="009125F2" w:rsidRPr="000C23D7">
        <w:rPr>
          <w:sz w:val="28"/>
          <w:szCs w:val="28"/>
          <w:lang w:val="en-US"/>
        </w:rPr>
        <w:t xml:space="preserve"> The EU Pushes Back a New Democracy Plan: A Mistake? </w:t>
      </w:r>
      <w:r w:rsidR="00F76B39" w:rsidRPr="000C23D7">
        <w:rPr>
          <w:sz w:val="28"/>
          <w:szCs w:val="28"/>
          <w:lang w:val="en-US"/>
        </w:rPr>
        <w:t>//</w:t>
      </w:r>
      <w:r w:rsidR="009125F2" w:rsidRPr="000C23D7">
        <w:rPr>
          <w:sz w:val="28"/>
          <w:szCs w:val="28"/>
          <w:lang w:val="en-US"/>
        </w:rPr>
        <w:t xml:space="preserve"> </w:t>
      </w:r>
      <w:hyperlink r:id="rId147" w:history="1">
        <w:r w:rsidR="00F76B39" w:rsidRPr="000C23D7">
          <w:rPr>
            <w:rStyle w:val="Hyperlink"/>
            <w:color w:val="auto"/>
            <w:sz w:val="28"/>
            <w:szCs w:val="28"/>
            <w:u w:val="none"/>
            <w:lang w:val="en-US"/>
          </w:rPr>
          <w:t>https://europeandemocracyhub.epd.eu/the-eu-pushes.</w:t>
        </w:r>
      </w:hyperlink>
      <w:r w:rsidR="009125F2" w:rsidRPr="000C23D7">
        <w:rPr>
          <w:sz w:val="28"/>
          <w:szCs w:val="28"/>
          <w:lang w:val="en-US"/>
        </w:rPr>
        <w:t xml:space="preserve"> 15.05.2025</w:t>
      </w:r>
      <w:r w:rsidR="00F76B39" w:rsidRPr="000C23D7">
        <w:rPr>
          <w:sz w:val="28"/>
          <w:szCs w:val="28"/>
          <w:lang w:val="en-US"/>
        </w:rPr>
        <w:t>.</w:t>
      </w:r>
    </w:p>
    <w:p w14:paraId="2FE51785" w14:textId="31EC1F54"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17 </w:t>
      </w:r>
      <w:r w:rsidR="009125F2" w:rsidRPr="000C23D7">
        <w:rPr>
          <w:rStyle w:val="Strong"/>
          <w:b w:val="0"/>
          <w:bCs w:val="0"/>
          <w:sz w:val="28"/>
          <w:szCs w:val="28"/>
          <w:lang w:val="en-US"/>
        </w:rPr>
        <w:t>Keukeleire S., Delreux T.</w:t>
      </w:r>
      <w:r w:rsidR="009125F2" w:rsidRPr="000C23D7">
        <w:rPr>
          <w:sz w:val="28"/>
          <w:szCs w:val="28"/>
          <w:lang w:val="en-US"/>
        </w:rPr>
        <w:t xml:space="preserve"> The Foreign Policy of the European Union. – London: Macmillan Education, 2022. – </w:t>
      </w:r>
      <w:r w:rsidR="009125F2" w:rsidRPr="000C23D7">
        <w:rPr>
          <w:rStyle w:val="Strong"/>
          <w:b w:val="0"/>
          <w:bCs w:val="0"/>
          <w:sz w:val="28"/>
          <w:szCs w:val="28"/>
          <w:lang w:val="en-US"/>
        </w:rPr>
        <w:t xml:space="preserve">512 </w:t>
      </w:r>
      <w:r w:rsidR="00F76B39" w:rsidRPr="000C23D7">
        <w:rPr>
          <w:rStyle w:val="Strong"/>
          <w:b w:val="0"/>
          <w:bCs w:val="0"/>
          <w:sz w:val="28"/>
          <w:szCs w:val="28"/>
          <w:lang w:val="en-US"/>
        </w:rPr>
        <w:t>p</w:t>
      </w:r>
      <w:r w:rsidR="009125F2" w:rsidRPr="000C23D7">
        <w:rPr>
          <w:rStyle w:val="Strong"/>
          <w:b w:val="0"/>
          <w:bCs w:val="0"/>
          <w:sz w:val="28"/>
          <w:szCs w:val="28"/>
          <w:lang w:val="en-US"/>
        </w:rPr>
        <w:t>.</w:t>
      </w:r>
      <w:r w:rsidR="009125F2" w:rsidRPr="000C23D7">
        <w:rPr>
          <w:sz w:val="28"/>
          <w:szCs w:val="28"/>
          <w:lang w:val="en-US"/>
        </w:rPr>
        <w:t xml:space="preserve"> </w:t>
      </w:r>
    </w:p>
    <w:p w14:paraId="02C404D0" w14:textId="089AC888"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lang w:val="en-US"/>
        </w:rPr>
      </w:pPr>
      <w:r w:rsidRPr="000C23D7">
        <w:rPr>
          <w:sz w:val="28"/>
          <w:szCs w:val="28"/>
          <w:lang w:val="kk-KZ"/>
        </w:rPr>
        <w:lastRenderedPageBreak/>
        <w:t>18</w:t>
      </w:r>
      <w:r w:rsidR="009125F2" w:rsidRPr="000C23D7">
        <w:rPr>
          <w:sz w:val="28"/>
          <w:szCs w:val="28"/>
          <w:lang w:val="en-US"/>
        </w:rPr>
        <w:t xml:space="preserve"> Mid-Term Review of the Action Plan on Human Rights and Democracy </w:t>
      </w:r>
      <w:r w:rsidR="00F76B39" w:rsidRPr="000C23D7">
        <w:rPr>
          <w:rStyle w:val="Strong"/>
          <w:b w:val="0"/>
          <w:bCs w:val="0"/>
          <w:sz w:val="28"/>
          <w:szCs w:val="28"/>
          <w:lang w:val="en-US"/>
        </w:rPr>
        <w:t>//</w:t>
      </w:r>
      <w:r w:rsidR="009125F2" w:rsidRPr="000C23D7">
        <w:rPr>
          <w:sz w:val="28"/>
          <w:szCs w:val="28"/>
          <w:lang w:val="en-US"/>
        </w:rPr>
        <w:t xml:space="preserve"> </w:t>
      </w:r>
      <w:hyperlink r:id="rId148" w:history="1">
        <w:r w:rsidR="00F76B39" w:rsidRPr="000C23D7">
          <w:rPr>
            <w:rStyle w:val="Hyperlink"/>
            <w:color w:val="auto"/>
            <w:sz w:val="28"/>
            <w:szCs w:val="28"/>
            <w:u w:val="none"/>
            <w:lang w:val="en-US"/>
          </w:rPr>
          <w:t>https://sareurope.eu/wp-content/uploads/2022/11/5.12.2022-SAR.</w:t>
        </w:r>
      </w:hyperlink>
      <w:r w:rsidR="009125F2" w:rsidRPr="000C23D7">
        <w:rPr>
          <w:sz w:val="28"/>
          <w:szCs w:val="28"/>
          <w:lang w:val="en-US"/>
        </w:rPr>
        <w:t xml:space="preserve"> 15.05.2025.</w:t>
      </w:r>
    </w:p>
    <w:p w14:paraId="34F95B95" w14:textId="673892F1" w:rsidR="009125F2" w:rsidRPr="000C23D7" w:rsidRDefault="005073FA" w:rsidP="00B71030">
      <w:pPr>
        <w:pStyle w:val="NormalWeb"/>
        <w:tabs>
          <w:tab w:val="left" w:pos="1134"/>
          <w:tab w:val="left" w:pos="1276"/>
          <w:tab w:val="left" w:pos="1418"/>
          <w:tab w:val="left" w:pos="1560"/>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19 </w:t>
      </w:r>
      <w:r w:rsidR="009125F2" w:rsidRPr="000C23D7">
        <w:rPr>
          <w:rStyle w:val="Strong"/>
          <w:b w:val="0"/>
          <w:bCs w:val="0"/>
          <w:sz w:val="28"/>
          <w:szCs w:val="28"/>
          <w:lang w:val="en-US"/>
        </w:rPr>
        <w:t>Ziller J.</w:t>
      </w:r>
      <w:r w:rsidR="009125F2" w:rsidRPr="000C23D7">
        <w:rPr>
          <w:sz w:val="28"/>
          <w:szCs w:val="28"/>
          <w:lang w:val="en-US"/>
        </w:rPr>
        <w:t xml:space="preserve"> The Lisbon Treaty // </w:t>
      </w:r>
      <w:hyperlink r:id="rId149" w:history="1">
        <w:r w:rsidR="00F76B39" w:rsidRPr="000C23D7">
          <w:rPr>
            <w:rStyle w:val="Hyperlink"/>
            <w:color w:val="auto"/>
            <w:sz w:val="28"/>
            <w:szCs w:val="28"/>
            <w:u w:val="none"/>
            <w:lang w:val="en-US"/>
          </w:rPr>
          <w:t>https://doi.org/10.1093/acrefore.</w:t>
        </w:r>
      </w:hyperlink>
      <w:r w:rsidR="009125F2" w:rsidRPr="000C23D7">
        <w:rPr>
          <w:sz w:val="28"/>
          <w:szCs w:val="28"/>
          <w:lang w:val="en-US"/>
        </w:rPr>
        <w:t xml:space="preserve"> 15.05.2025.</w:t>
      </w:r>
    </w:p>
    <w:p w14:paraId="5D3B2990" w14:textId="7C34C1CA"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20 </w:t>
      </w:r>
      <w:r w:rsidR="009125F2" w:rsidRPr="000C23D7">
        <w:rPr>
          <w:sz w:val="28"/>
          <w:szCs w:val="28"/>
          <w:lang w:val="en-US"/>
        </w:rPr>
        <w:t xml:space="preserve">The Charter of Fundamental Rights of the EU </w:t>
      </w:r>
      <w:r w:rsidR="00F76B39" w:rsidRPr="000C23D7">
        <w:rPr>
          <w:sz w:val="28"/>
          <w:szCs w:val="28"/>
          <w:lang w:val="en-US"/>
        </w:rPr>
        <w:t>/</w:t>
      </w:r>
      <w:r w:rsidR="009125F2" w:rsidRPr="000C23D7">
        <w:rPr>
          <w:sz w:val="28"/>
          <w:szCs w:val="28"/>
          <w:lang w:val="en-US"/>
        </w:rPr>
        <w:t xml:space="preserve"> DG Internal Policies of the European Union, ATAG/2016/576010</w:t>
      </w:r>
      <w:r w:rsidR="00F76B39" w:rsidRPr="000C23D7">
        <w:rPr>
          <w:sz w:val="28"/>
          <w:szCs w:val="28"/>
          <w:lang w:val="en-US"/>
        </w:rPr>
        <w:t xml:space="preserve"> // </w:t>
      </w:r>
      <w:hyperlink r:id="rId150" w:history="1">
        <w:r w:rsidR="00F76B39" w:rsidRPr="000C23D7">
          <w:rPr>
            <w:rStyle w:val="Hyperlink"/>
            <w:color w:val="auto"/>
            <w:sz w:val="28"/>
            <w:szCs w:val="28"/>
            <w:u w:val="none"/>
            <w:lang w:val="en-US"/>
          </w:rPr>
          <w:t>https://www.europarl.europa.eu.</w:t>
        </w:r>
      </w:hyperlink>
      <w:r w:rsidR="009125F2" w:rsidRPr="000C23D7">
        <w:rPr>
          <w:sz w:val="28"/>
          <w:szCs w:val="28"/>
          <w:lang w:val="en-US"/>
        </w:rPr>
        <w:t xml:space="preserve"> 15.05.2025.</w:t>
      </w:r>
    </w:p>
    <w:p w14:paraId="41B66044" w14:textId="68A0C4E1"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21</w:t>
      </w:r>
      <w:r w:rsidR="009125F2" w:rsidRPr="000C23D7">
        <w:rPr>
          <w:sz w:val="28"/>
          <w:szCs w:val="28"/>
          <w:lang w:val="en-US"/>
        </w:rPr>
        <w:t xml:space="preserve"> Consolidated version of the Treaty on European Union</w:t>
      </w:r>
      <w:r w:rsidR="00F76B39" w:rsidRPr="000C23D7">
        <w:rPr>
          <w:sz w:val="28"/>
          <w:szCs w:val="28"/>
          <w:lang w:val="en-US"/>
        </w:rPr>
        <w:t xml:space="preserve"> / </w:t>
      </w:r>
      <w:r w:rsidR="00F76B39" w:rsidRPr="000C23D7">
        <w:rPr>
          <w:rStyle w:val="Strong"/>
          <w:b w:val="0"/>
          <w:bCs w:val="0"/>
          <w:sz w:val="28"/>
          <w:szCs w:val="28"/>
          <w:lang w:val="en-US"/>
        </w:rPr>
        <w:t>European Union //</w:t>
      </w:r>
      <w:r w:rsidR="009125F2" w:rsidRPr="000C23D7">
        <w:rPr>
          <w:sz w:val="28"/>
          <w:szCs w:val="28"/>
          <w:lang w:val="en-US"/>
        </w:rPr>
        <w:t xml:space="preserve"> </w:t>
      </w:r>
      <w:hyperlink r:id="rId151" w:history="1">
        <w:r w:rsidR="00F76B39" w:rsidRPr="000C23D7">
          <w:rPr>
            <w:rStyle w:val="Hyperlink"/>
            <w:color w:val="auto"/>
            <w:sz w:val="28"/>
            <w:szCs w:val="28"/>
            <w:u w:val="none"/>
            <w:lang w:val="en-US"/>
          </w:rPr>
          <w:t>https://eur-lex.europa.eu/legal-content.</w:t>
        </w:r>
      </w:hyperlink>
      <w:r w:rsidR="009125F2" w:rsidRPr="000C23D7">
        <w:rPr>
          <w:sz w:val="28"/>
          <w:szCs w:val="28"/>
          <w:lang w:val="en-US"/>
        </w:rPr>
        <w:t xml:space="preserve"> 15.05.2025.</w:t>
      </w:r>
    </w:p>
    <w:p w14:paraId="0C97DA36" w14:textId="199E3031"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22</w:t>
      </w:r>
      <w:r w:rsidR="009125F2" w:rsidRPr="000C23D7">
        <w:rPr>
          <w:sz w:val="28"/>
          <w:szCs w:val="28"/>
          <w:lang w:val="en-US"/>
        </w:rPr>
        <w:t xml:space="preserve"> Critically assess and analyse the notion that the EU is a Normative Power</w:t>
      </w:r>
      <w:r w:rsidR="00F76B39" w:rsidRPr="000C23D7">
        <w:rPr>
          <w:sz w:val="28"/>
          <w:szCs w:val="28"/>
          <w:lang w:val="en-US"/>
        </w:rPr>
        <w:t xml:space="preserve"> / </w:t>
      </w:r>
      <w:r w:rsidR="009125F2" w:rsidRPr="000C23D7">
        <w:rPr>
          <w:sz w:val="28"/>
          <w:szCs w:val="28"/>
          <w:lang w:val="en-US"/>
        </w:rPr>
        <w:t xml:space="preserve"> </w:t>
      </w:r>
      <w:r w:rsidR="00F76B39" w:rsidRPr="000C23D7">
        <w:rPr>
          <w:rStyle w:val="Strong"/>
          <w:b w:val="0"/>
          <w:bCs w:val="0"/>
          <w:sz w:val="28"/>
          <w:szCs w:val="28"/>
          <w:lang w:val="en-US"/>
        </w:rPr>
        <w:t>European External Action Service</w:t>
      </w:r>
      <w:r w:rsidR="00F76B39" w:rsidRPr="000C23D7">
        <w:rPr>
          <w:sz w:val="28"/>
          <w:szCs w:val="28"/>
          <w:lang w:val="en-US"/>
        </w:rPr>
        <w:t xml:space="preserve"> //</w:t>
      </w:r>
      <w:r w:rsidR="009125F2" w:rsidRPr="000C23D7">
        <w:rPr>
          <w:sz w:val="28"/>
          <w:szCs w:val="28"/>
          <w:lang w:val="en-US"/>
        </w:rPr>
        <w:t xml:space="preserve"> </w:t>
      </w:r>
      <w:hyperlink r:id="rId152" w:history="1">
        <w:r w:rsidR="00F76B39" w:rsidRPr="000C23D7">
          <w:rPr>
            <w:rStyle w:val="Hyperlink"/>
            <w:color w:val="auto"/>
            <w:sz w:val="28"/>
            <w:szCs w:val="28"/>
            <w:u w:val="none"/>
            <w:lang w:val="en-US"/>
          </w:rPr>
          <w:t>https://www.eeas.europa.eu/node.</w:t>
        </w:r>
      </w:hyperlink>
      <w:r w:rsidR="009125F2" w:rsidRPr="000C23D7">
        <w:rPr>
          <w:sz w:val="28"/>
          <w:szCs w:val="28"/>
          <w:lang w:val="en-US"/>
        </w:rPr>
        <w:t xml:space="preserve"> 15.05.2025.</w:t>
      </w:r>
    </w:p>
    <w:p w14:paraId="389B045D" w14:textId="165A5864"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23 </w:t>
      </w:r>
      <w:r w:rsidR="009125F2" w:rsidRPr="000C23D7">
        <w:rPr>
          <w:rStyle w:val="Strong"/>
          <w:b w:val="0"/>
          <w:bCs w:val="0"/>
          <w:sz w:val="28"/>
          <w:szCs w:val="28"/>
          <w:lang w:val="en-US"/>
        </w:rPr>
        <w:t>Jonasson A.-K.</w:t>
      </w:r>
      <w:r w:rsidR="009125F2" w:rsidRPr="000C23D7">
        <w:rPr>
          <w:sz w:val="28"/>
          <w:szCs w:val="28"/>
          <w:lang w:val="en-US"/>
        </w:rPr>
        <w:t xml:space="preserve"> EU Norm Promotion in a Conflictual World. An Existential Necessity with Obstacles? // </w:t>
      </w:r>
      <w:r w:rsidR="00F76B39" w:rsidRPr="000C23D7">
        <w:rPr>
          <w:sz w:val="28"/>
          <w:szCs w:val="28"/>
          <w:lang w:val="en-US"/>
        </w:rPr>
        <w:t xml:space="preserve">In book: </w:t>
      </w:r>
      <w:r w:rsidR="009125F2" w:rsidRPr="000C23D7">
        <w:rPr>
          <w:rStyle w:val="Emphasis"/>
          <w:rFonts w:eastAsiaTheme="majorEastAsia"/>
          <w:i w:val="0"/>
          <w:sz w:val="28"/>
          <w:szCs w:val="28"/>
          <w:lang w:val="en-US"/>
        </w:rPr>
        <w:t>The Borders of the European Union in a Conflictual World</w:t>
      </w:r>
      <w:r w:rsidR="009125F2" w:rsidRPr="000C23D7">
        <w:rPr>
          <w:sz w:val="28"/>
          <w:szCs w:val="28"/>
          <w:lang w:val="en-US"/>
        </w:rPr>
        <w:t xml:space="preserve">. – Cham: Springer, 2024. – </w:t>
      </w:r>
      <w:r w:rsidR="00F76B39" w:rsidRPr="000C23D7">
        <w:rPr>
          <w:sz w:val="28"/>
          <w:szCs w:val="28"/>
          <w:lang w:val="en-US"/>
        </w:rPr>
        <w:t>P</w:t>
      </w:r>
      <w:r w:rsidR="009125F2" w:rsidRPr="000C23D7">
        <w:rPr>
          <w:rStyle w:val="Strong"/>
          <w:b w:val="0"/>
          <w:bCs w:val="0"/>
          <w:sz w:val="28"/>
          <w:szCs w:val="28"/>
          <w:lang w:val="en-US"/>
        </w:rPr>
        <w:t>. 93</w:t>
      </w:r>
      <w:r w:rsidR="00F76B39" w:rsidRPr="000C23D7">
        <w:rPr>
          <w:rStyle w:val="Strong"/>
          <w:b w:val="0"/>
          <w:bCs w:val="0"/>
          <w:sz w:val="28"/>
          <w:szCs w:val="28"/>
          <w:lang w:val="en-US"/>
        </w:rPr>
        <w:t>-</w:t>
      </w:r>
      <w:r w:rsidR="009125F2" w:rsidRPr="000C23D7">
        <w:rPr>
          <w:rStyle w:val="Strong"/>
          <w:b w:val="0"/>
          <w:bCs w:val="0"/>
          <w:sz w:val="28"/>
          <w:szCs w:val="28"/>
          <w:lang w:val="en-US"/>
        </w:rPr>
        <w:t>117</w:t>
      </w:r>
      <w:r w:rsidR="009125F2" w:rsidRPr="000C23D7">
        <w:rPr>
          <w:sz w:val="28"/>
          <w:szCs w:val="28"/>
          <w:lang w:val="en-US"/>
        </w:rPr>
        <w:t xml:space="preserve">. </w:t>
      </w:r>
    </w:p>
    <w:p w14:paraId="2E0326D9" w14:textId="67E4B74F" w:rsidR="009125F2" w:rsidRPr="000C23D7" w:rsidRDefault="005073FA"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24</w:t>
      </w:r>
      <w:r w:rsidR="008F2BB1" w:rsidRPr="000C23D7">
        <w:rPr>
          <w:rStyle w:val="Strong"/>
          <w:b w:val="0"/>
          <w:bCs w:val="0"/>
          <w:sz w:val="28"/>
          <w:szCs w:val="28"/>
          <w:lang w:val="kk-KZ"/>
        </w:rPr>
        <w:t xml:space="preserve"> </w:t>
      </w:r>
      <w:r w:rsidR="009125F2" w:rsidRPr="000C23D7">
        <w:rPr>
          <w:rStyle w:val="Strong"/>
          <w:b w:val="0"/>
          <w:bCs w:val="0"/>
          <w:sz w:val="28"/>
          <w:szCs w:val="28"/>
          <w:lang w:val="en-US"/>
        </w:rPr>
        <w:t>Tuominen H.</w:t>
      </w:r>
      <w:r w:rsidR="009125F2" w:rsidRPr="000C23D7">
        <w:rPr>
          <w:sz w:val="28"/>
          <w:szCs w:val="28"/>
          <w:lang w:val="en-US"/>
        </w:rPr>
        <w:t xml:space="preserve"> The European Union’s Leadership in the Eyes of Others at the UN Human Rights Council // </w:t>
      </w:r>
      <w:r w:rsidR="009125F2" w:rsidRPr="000C23D7">
        <w:rPr>
          <w:rStyle w:val="Emphasis"/>
          <w:rFonts w:eastAsiaTheme="majorEastAsia"/>
          <w:i w:val="0"/>
          <w:sz w:val="28"/>
          <w:szCs w:val="28"/>
          <w:lang w:val="en-US"/>
        </w:rPr>
        <w:t>Journal of European Integration</w:t>
      </w:r>
      <w:r w:rsidR="009125F2" w:rsidRPr="000C23D7">
        <w:rPr>
          <w:sz w:val="28"/>
          <w:szCs w:val="28"/>
          <w:lang w:val="en-US"/>
        </w:rPr>
        <w:t xml:space="preserve">. – 2024. – </w:t>
      </w:r>
      <w:r w:rsidR="00F76B39" w:rsidRPr="000C23D7">
        <w:rPr>
          <w:sz w:val="28"/>
          <w:szCs w:val="28"/>
          <w:lang w:val="en-US"/>
        </w:rPr>
        <w:t>Vol</w:t>
      </w:r>
      <w:r w:rsidR="009125F2" w:rsidRPr="000C23D7">
        <w:rPr>
          <w:sz w:val="28"/>
          <w:szCs w:val="28"/>
          <w:lang w:val="en-US"/>
        </w:rPr>
        <w:t xml:space="preserve">. 46, </w:t>
      </w:r>
      <w:r w:rsidR="00F76B39" w:rsidRPr="000C23D7">
        <w:rPr>
          <w:sz w:val="28"/>
          <w:szCs w:val="28"/>
          <w:lang w:val="en-US"/>
        </w:rPr>
        <w:t xml:space="preserve">Issue </w:t>
      </w:r>
      <w:r w:rsidR="009125F2" w:rsidRPr="000C23D7">
        <w:rPr>
          <w:sz w:val="28"/>
          <w:szCs w:val="28"/>
          <w:lang w:val="en-US"/>
        </w:rPr>
        <w:t xml:space="preserve">6. – </w:t>
      </w:r>
      <w:r w:rsidR="00F76B39" w:rsidRPr="000C23D7">
        <w:rPr>
          <w:sz w:val="28"/>
          <w:szCs w:val="28"/>
          <w:lang w:val="en-US"/>
        </w:rPr>
        <w:t>P</w:t>
      </w:r>
      <w:r w:rsidR="009125F2" w:rsidRPr="000C23D7">
        <w:rPr>
          <w:rStyle w:val="Strong"/>
          <w:b w:val="0"/>
          <w:bCs w:val="0"/>
          <w:sz w:val="28"/>
          <w:szCs w:val="28"/>
          <w:lang w:val="en-US"/>
        </w:rPr>
        <w:t>. 903</w:t>
      </w:r>
      <w:r w:rsidR="00F76B39" w:rsidRPr="000C23D7">
        <w:rPr>
          <w:rStyle w:val="Strong"/>
          <w:b w:val="0"/>
          <w:bCs w:val="0"/>
          <w:sz w:val="28"/>
          <w:szCs w:val="28"/>
          <w:lang w:val="en-US"/>
        </w:rPr>
        <w:t>-</w:t>
      </w:r>
      <w:r w:rsidR="009125F2" w:rsidRPr="000C23D7">
        <w:rPr>
          <w:rStyle w:val="Strong"/>
          <w:b w:val="0"/>
          <w:bCs w:val="0"/>
          <w:sz w:val="28"/>
          <w:szCs w:val="28"/>
          <w:lang w:val="en-US"/>
        </w:rPr>
        <w:t>921</w:t>
      </w:r>
      <w:r w:rsidR="009125F2" w:rsidRPr="000C23D7">
        <w:rPr>
          <w:sz w:val="28"/>
          <w:szCs w:val="28"/>
          <w:lang w:val="en-US"/>
        </w:rPr>
        <w:t>.</w:t>
      </w:r>
    </w:p>
    <w:p w14:paraId="49F61C1D" w14:textId="2016197D"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25 </w:t>
      </w:r>
      <w:r w:rsidR="009125F2" w:rsidRPr="000C23D7">
        <w:rPr>
          <w:rStyle w:val="Strong"/>
          <w:b w:val="0"/>
          <w:bCs w:val="0"/>
          <w:sz w:val="28"/>
          <w:szCs w:val="28"/>
          <w:lang w:val="en-US"/>
        </w:rPr>
        <w:t>Yıldırımçakar E.</w:t>
      </w:r>
      <w:r w:rsidR="009125F2" w:rsidRPr="000C23D7">
        <w:rPr>
          <w:sz w:val="28"/>
          <w:szCs w:val="28"/>
          <w:lang w:val="en-US"/>
        </w:rPr>
        <w:t xml:space="preserve"> The Functioning of Normative Power in the Logic of the EU and China // </w:t>
      </w:r>
      <w:r w:rsidR="009125F2" w:rsidRPr="000C23D7">
        <w:rPr>
          <w:rStyle w:val="Emphasis"/>
          <w:rFonts w:eastAsiaTheme="majorEastAsia"/>
          <w:i w:val="0"/>
          <w:sz w:val="28"/>
          <w:szCs w:val="28"/>
          <w:lang w:val="en-US"/>
        </w:rPr>
        <w:t>All Azimuth</w:t>
      </w:r>
      <w:r w:rsidR="009125F2" w:rsidRPr="000C23D7">
        <w:rPr>
          <w:i/>
          <w:sz w:val="28"/>
          <w:szCs w:val="28"/>
          <w:lang w:val="en-US"/>
        </w:rPr>
        <w:t>.</w:t>
      </w:r>
      <w:r w:rsidR="009125F2" w:rsidRPr="000C23D7">
        <w:rPr>
          <w:sz w:val="28"/>
          <w:szCs w:val="28"/>
          <w:lang w:val="en-US"/>
        </w:rPr>
        <w:t xml:space="preserve"> – 2024. </w:t>
      </w:r>
      <w:r w:rsidR="00F76B39" w:rsidRPr="000C23D7">
        <w:rPr>
          <w:sz w:val="28"/>
          <w:szCs w:val="28"/>
          <w:lang w:val="en-US"/>
        </w:rPr>
        <w:t>– Vol. 14, Issue 2. – P.</w:t>
      </w:r>
      <w:r w:rsidR="009125F2" w:rsidRPr="000C23D7">
        <w:rPr>
          <w:rStyle w:val="Strong"/>
          <w:b w:val="0"/>
          <w:bCs w:val="0"/>
          <w:sz w:val="28"/>
          <w:szCs w:val="28"/>
          <w:lang w:val="en-US"/>
        </w:rPr>
        <w:t xml:space="preserve"> 1</w:t>
      </w:r>
      <w:r w:rsidR="00F76B39" w:rsidRPr="000C23D7">
        <w:rPr>
          <w:rStyle w:val="Strong"/>
          <w:b w:val="0"/>
          <w:bCs w:val="0"/>
          <w:sz w:val="28"/>
          <w:szCs w:val="28"/>
          <w:lang w:val="en-US"/>
        </w:rPr>
        <w:t>-</w:t>
      </w:r>
      <w:r w:rsidR="009125F2" w:rsidRPr="000C23D7">
        <w:rPr>
          <w:rStyle w:val="Strong"/>
          <w:b w:val="0"/>
          <w:bCs w:val="0"/>
          <w:sz w:val="28"/>
          <w:szCs w:val="28"/>
          <w:lang w:val="en-US"/>
        </w:rPr>
        <w:t>1</w:t>
      </w:r>
      <w:r w:rsidR="00F76B39" w:rsidRPr="000C23D7">
        <w:rPr>
          <w:rStyle w:val="Strong"/>
          <w:b w:val="0"/>
          <w:bCs w:val="0"/>
          <w:sz w:val="28"/>
          <w:szCs w:val="28"/>
          <w:lang w:val="en-US"/>
        </w:rPr>
        <w:t>5</w:t>
      </w:r>
      <w:r w:rsidR="009125F2" w:rsidRPr="000C23D7">
        <w:rPr>
          <w:sz w:val="28"/>
          <w:szCs w:val="28"/>
          <w:lang w:val="en-US"/>
        </w:rPr>
        <w:t xml:space="preserve">. </w:t>
      </w:r>
    </w:p>
    <w:p w14:paraId="01A150BE" w14:textId="5223AC40"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26 </w:t>
      </w:r>
      <w:r w:rsidR="009125F2" w:rsidRPr="000C23D7">
        <w:rPr>
          <w:rStyle w:val="Strong"/>
          <w:b w:val="0"/>
          <w:bCs w:val="0"/>
          <w:sz w:val="28"/>
          <w:szCs w:val="28"/>
          <w:lang w:val="en-US"/>
        </w:rPr>
        <w:t>Boulos S., Abad-Quintanal G., Mayo-Cubero M.</w:t>
      </w:r>
      <w:r w:rsidR="00F76B39" w:rsidRPr="000C23D7">
        <w:rPr>
          <w:rStyle w:val="Strong"/>
          <w:b w:val="0"/>
          <w:bCs w:val="0"/>
          <w:sz w:val="28"/>
          <w:szCs w:val="28"/>
          <w:lang w:val="en-US"/>
        </w:rPr>
        <w:t xml:space="preserve"> et al.</w:t>
      </w:r>
      <w:r w:rsidR="009125F2" w:rsidRPr="000C23D7">
        <w:rPr>
          <w:sz w:val="28"/>
          <w:szCs w:val="28"/>
          <w:lang w:val="en-US"/>
        </w:rPr>
        <w:t xml:space="preserve"> Constructing “Normative Power Europe”: A critical analysis of the human rights narratives in Spanish media discourses on the European Union // </w:t>
      </w:r>
      <w:r w:rsidR="009125F2" w:rsidRPr="000C23D7">
        <w:rPr>
          <w:rStyle w:val="Emphasis"/>
          <w:rFonts w:eastAsiaTheme="majorEastAsia"/>
          <w:i w:val="0"/>
          <w:sz w:val="28"/>
          <w:szCs w:val="28"/>
          <w:lang w:val="en-US"/>
        </w:rPr>
        <w:t>Profesional de la Información</w:t>
      </w:r>
      <w:r w:rsidR="009125F2" w:rsidRPr="000C23D7">
        <w:rPr>
          <w:i/>
          <w:sz w:val="28"/>
          <w:szCs w:val="28"/>
          <w:lang w:val="en-US"/>
        </w:rPr>
        <w:t>.</w:t>
      </w:r>
      <w:r w:rsidR="009125F2" w:rsidRPr="000C23D7">
        <w:rPr>
          <w:sz w:val="28"/>
          <w:szCs w:val="28"/>
          <w:lang w:val="en-US"/>
        </w:rPr>
        <w:t xml:space="preserve"> – 2023. – </w:t>
      </w:r>
      <w:r w:rsidR="00F76B39" w:rsidRPr="000C23D7">
        <w:rPr>
          <w:sz w:val="28"/>
          <w:szCs w:val="28"/>
          <w:lang w:val="en-US"/>
        </w:rPr>
        <w:t>Vol</w:t>
      </w:r>
      <w:r w:rsidR="009125F2" w:rsidRPr="000C23D7">
        <w:rPr>
          <w:sz w:val="28"/>
          <w:szCs w:val="28"/>
          <w:lang w:val="en-US"/>
        </w:rPr>
        <w:t xml:space="preserve">. 32, </w:t>
      </w:r>
      <w:r w:rsidR="00F76B39" w:rsidRPr="000C23D7">
        <w:rPr>
          <w:sz w:val="28"/>
          <w:szCs w:val="28"/>
          <w:lang w:val="en-US"/>
        </w:rPr>
        <w:t xml:space="preserve">Issue </w:t>
      </w:r>
      <w:r w:rsidR="009125F2" w:rsidRPr="000C23D7">
        <w:rPr>
          <w:sz w:val="28"/>
          <w:szCs w:val="28"/>
          <w:lang w:val="en-US"/>
        </w:rPr>
        <w:t xml:space="preserve">4. – </w:t>
      </w:r>
      <w:r w:rsidR="00F76B39" w:rsidRPr="000C23D7">
        <w:rPr>
          <w:sz w:val="28"/>
          <w:szCs w:val="28"/>
          <w:lang w:val="en-US"/>
        </w:rPr>
        <w:t>P</w:t>
      </w:r>
      <w:r w:rsidR="009125F2" w:rsidRPr="000C23D7">
        <w:rPr>
          <w:rStyle w:val="Strong"/>
          <w:b w:val="0"/>
          <w:bCs w:val="0"/>
          <w:sz w:val="28"/>
          <w:szCs w:val="28"/>
          <w:lang w:val="en-US"/>
        </w:rPr>
        <w:t>. 1</w:t>
      </w:r>
      <w:r w:rsidR="00F76B39" w:rsidRPr="000C23D7">
        <w:rPr>
          <w:rStyle w:val="Strong"/>
          <w:b w:val="0"/>
          <w:bCs w:val="0"/>
          <w:sz w:val="28"/>
          <w:szCs w:val="28"/>
          <w:lang w:val="en-US"/>
        </w:rPr>
        <w:t>-</w:t>
      </w:r>
      <w:r w:rsidR="009125F2" w:rsidRPr="000C23D7">
        <w:rPr>
          <w:rStyle w:val="Strong"/>
          <w:b w:val="0"/>
          <w:bCs w:val="0"/>
          <w:sz w:val="28"/>
          <w:szCs w:val="28"/>
          <w:lang w:val="en-US"/>
        </w:rPr>
        <w:t>16</w:t>
      </w:r>
      <w:r w:rsidR="009125F2" w:rsidRPr="000C23D7">
        <w:rPr>
          <w:sz w:val="28"/>
          <w:szCs w:val="28"/>
          <w:lang w:val="en-US"/>
        </w:rPr>
        <w:t>.</w:t>
      </w:r>
    </w:p>
    <w:p w14:paraId="24A33216" w14:textId="216AFA4B"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27 </w:t>
      </w:r>
      <w:r w:rsidR="009125F2" w:rsidRPr="000C23D7">
        <w:rPr>
          <w:rStyle w:val="Strong"/>
          <w:b w:val="0"/>
          <w:bCs w:val="0"/>
          <w:sz w:val="28"/>
          <w:szCs w:val="28"/>
          <w:lang w:val="en-US"/>
        </w:rPr>
        <w:t>Palm T.</w:t>
      </w:r>
      <w:r w:rsidR="009125F2" w:rsidRPr="000C23D7">
        <w:rPr>
          <w:sz w:val="28"/>
          <w:szCs w:val="28"/>
          <w:lang w:val="en-US"/>
        </w:rPr>
        <w:t xml:space="preserve"> Normative </w:t>
      </w:r>
      <w:r w:rsidR="00EC2920" w:rsidRPr="000C23D7">
        <w:rPr>
          <w:sz w:val="28"/>
          <w:szCs w:val="28"/>
          <w:lang w:val="en-US"/>
        </w:rPr>
        <w:t>p</w:t>
      </w:r>
      <w:r w:rsidR="009125F2" w:rsidRPr="000C23D7">
        <w:rPr>
          <w:sz w:val="28"/>
          <w:szCs w:val="28"/>
          <w:lang w:val="en-US"/>
        </w:rPr>
        <w:t xml:space="preserve">ower and EU </w:t>
      </w:r>
      <w:r w:rsidR="00EC2920" w:rsidRPr="000C23D7">
        <w:rPr>
          <w:sz w:val="28"/>
          <w:szCs w:val="28"/>
          <w:lang w:val="en-US"/>
        </w:rPr>
        <w:t xml:space="preserve">strategic autonomy </w:t>
      </w:r>
      <w:r w:rsidR="009125F2" w:rsidRPr="000C23D7">
        <w:rPr>
          <w:sz w:val="28"/>
          <w:szCs w:val="28"/>
          <w:lang w:val="en-US"/>
        </w:rPr>
        <w:t xml:space="preserve">// </w:t>
      </w:r>
      <w:hyperlink r:id="rId153" w:tgtFrame="_new" w:history="1">
        <w:r w:rsidR="009125F2" w:rsidRPr="000C23D7">
          <w:rPr>
            <w:rStyle w:val="Hyperlink"/>
            <w:color w:val="auto"/>
            <w:sz w:val="28"/>
            <w:szCs w:val="28"/>
            <w:u w:val="none"/>
            <w:lang w:val="en-US"/>
          </w:rPr>
          <w:t>https://hcss.nl/wp-content/uploads/2021/08/Essay-7-Normative-Power.pdf</w:t>
        </w:r>
      </w:hyperlink>
      <w:r w:rsidR="00EC2920" w:rsidRPr="000C23D7">
        <w:rPr>
          <w:rStyle w:val="Hyperlink"/>
          <w:color w:val="auto"/>
          <w:sz w:val="28"/>
          <w:szCs w:val="28"/>
          <w:u w:val="none"/>
          <w:lang w:val="en-US"/>
        </w:rPr>
        <w:t>.</w:t>
      </w:r>
      <w:r w:rsidR="009125F2" w:rsidRPr="000C23D7">
        <w:rPr>
          <w:sz w:val="28"/>
          <w:szCs w:val="28"/>
          <w:lang w:val="en-US"/>
        </w:rPr>
        <w:t xml:space="preserve"> 15.05.2025.</w:t>
      </w:r>
    </w:p>
    <w:p w14:paraId="23C53E27" w14:textId="6CF2E86A"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28 </w:t>
      </w:r>
      <w:r w:rsidR="009125F2" w:rsidRPr="000C23D7">
        <w:rPr>
          <w:rStyle w:val="Strong"/>
          <w:b w:val="0"/>
          <w:bCs w:val="0"/>
          <w:sz w:val="28"/>
          <w:szCs w:val="28"/>
          <w:lang w:val="en-US"/>
        </w:rPr>
        <w:t>Frain S.</w:t>
      </w:r>
      <w:r w:rsidR="009125F2" w:rsidRPr="000C23D7">
        <w:rPr>
          <w:sz w:val="28"/>
          <w:szCs w:val="28"/>
          <w:lang w:val="en-US"/>
        </w:rPr>
        <w:t xml:space="preserve"> Leading from Behind: The EU’s Normative Power in the Multilateral Promotion of Human Rights in Africa </w:t>
      </w:r>
      <w:r w:rsidR="00EC2920" w:rsidRPr="000C23D7">
        <w:rPr>
          <w:sz w:val="28"/>
          <w:szCs w:val="28"/>
          <w:lang w:val="en-US"/>
        </w:rPr>
        <w:t>//</w:t>
      </w:r>
      <w:r w:rsidR="009125F2" w:rsidRPr="000C23D7">
        <w:rPr>
          <w:sz w:val="28"/>
          <w:szCs w:val="28"/>
          <w:lang w:val="en-US"/>
        </w:rPr>
        <w:t xml:space="preserve"> </w:t>
      </w:r>
      <w:hyperlink r:id="rId154" w:history="1">
        <w:r w:rsidR="00EC2920" w:rsidRPr="000C23D7">
          <w:rPr>
            <w:rStyle w:val="Hyperlink"/>
            <w:color w:val="auto"/>
            <w:sz w:val="28"/>
            <w:szCs w:val="28"/>
            <w:u w:val="none"/>
            <w:lang w:val="en-US"/>
          </w:rPr>
          <w:t>https://aei.pitt.edu</w:t>
        </w:r>
      </w:hyperlink>
      <w:r w:rsidR="00EC2920" w:rsidRPr="000C23D7">
        <w:rPr>
          <w:rStyle w:val="Hyperlink"/>
          <w:color w:val="auto"/>
          <w:sz w:val="28"/>
          <w:szCs w:val="28"/>
          <w:u w:val="none"/>
          <w:lang w:val="en-US"/>
        </w:rPr>
        <w:t>.</w:t>
      </w:r>
      <w:r w:rsidR="009125F2" w:rsidRPr="000C23D7">
        <w:rPr>
          <w:sz w:val="28"/>
          <w:szCs w:val="28"/>
          <w:lang w:val="en-US"/>
        </w:rPr>
        <w:t xml:space="preserve"> 15.05.2025.</w:t>
      </w:r>
    </w:p>
    <w:p w14:paraId="60EE1A12" w14:textId="257F398C"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29 </w:t>
      </w:r>
      <w:r w:rsidR="009125F2" w:rsidRPr="000C23D7">
        <w:rPr>
          <w:rStyle w:val="Strong"/>
          <w:b w:val="0"/>
          <w:bCs w:val="0"/>
          <w:sz w:val="28"/>
          <w:szCs w:val="28"/>
          <w:lang w:val="en-US"/>
        </w:rPr>
        <w:t>Bachmann V., Moisio S.</w:t>
      </w:r>
      <w:r w:rsidR="009125F2" w:rsidRPr="000C23D7">
        <w:rPr>
          <w:sz w:val="28"/>
          <w:szCs w:val="28"/>
          <w:lang w:val="en-US"/>
        </w:rPr>
        <w:t xml:space="preserve"> An Inquiry into the EU’s Role in Global Domination: Thinking Normative Power Through the Frankfurt School // </w:t>
      </w:r>
      <w:r w:rsidR="00EC2920" w:rsidRPr="000C23D7">
        <w:rPr>
          <w:sz w:val="28"/>
          <w:szCs w:val="28"/>
          <w:lang w:val="en-US"/>
        </w:rPr>
        <w:t>Cooperation and Conflict</w:t>
      </w:r>
      <w:r w:rsidR="009125F2" w:rsidRPr="000C23D7">
        <w:rPr>
          <w:sz w:val="28"/>
          <w:szCs w:val="28"/>
          <w:lang w:val="en-US"/>
        </w:rPr>
        <w:t xml:space="preserve">. – 2024. – </w:t>
      </w:r>
      <w:r w:rsidR="00A201CA" w:rsidRPr="000C23D7">
        <w:rPr>
          <w:sz w:val="28"/>
          <w:szCs w:val="28"/>
          <w:lang w:val="en-US"/>
        </w:rPr>
        <w:t>Vol. 60, Issue 3. – P.</w:t>
      </w:r>
      <w:r w:rsidR="009125F2" w:rsidRPr="000C23D7">
        <w:rPr>
          <w:rStyle w:val="Strong"/>
          <w:b w:val="0"/>
          <w:bCs w:val="0"/>
          <w:sz w:val="28"/>
          <w:szCs w:val="28"/>
          <w:lang w:val="en-US"/>
        </w:rPr>
        <w:t xml:space="preserve"> </w:t>
      </w:r>
      <w:r w:rsidR="00EC2920" w:rsidRPr="000C23D7">
        <w:rPr>
          <w:rStyle w:val="Strong"/>
          <w:b w:val="0"/>
          <w:bCs w:val="0"/>
          <w:sz w:val="28"/>
          <w:szCs w:val="28"/>
          <w:lang w:val="en-US"/>
        </w:rPr>
        <w:t>440-459</w:t>
      </w:r>
      <w:r w:rsidR="009125F2" w:rsidRPr="000C23D7">
        <w:rPr>
          <w:sz w:val="28"/>
          <w:szCs w:val="28"/>
          <w:lang w:val="en-US"/>
        </w:rPr>
        <w:t>.</w:t>
      </w:r>
    </w:p>
    <w:p w14:paraId="2FD30B12" w14:textId="5C9156C5"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30</w:t>
      </w:r>
      <w:r w:rsidR="009125F2" w:rsidRPr="000C23D7">
        <w:rPr>
          <w:sz w:val="28"/>
          <w:szCs w:val="28"/>
          <w:lang w:val="en-US"/>
        </w:rPr>
        <w:t xml:space="preserve"> Human rights and fundamental values </w:t>
      </w:r>
      <w:r w:rsidR="00A201CA" w:rsidRPr="000C23D7">
        <w:rPr>
          <w:sz w:val="28"/>
          <w:szCs w:val="28"/>
          <w:lang w:val="en-US"/>
        </w:rPr>
        <w:t xml:space="preserve">/ </w:t>
      </w:r>
      <w:r w:rsidR="00A201CA" w:rsidRPr="000C23D7">
        <w:rPr>
          <w:rStyle w:val="Strong"/>
          <w:b w:val="0"/>
          <w:bCs w:val="0"/>
          <w:sz w:val="28"/>
          <w:szCs w:val="28"/>
          <w:lang w:val="en-US"/>
        </w:rPr>
        <w:t>European Commission</w:t>
      </w:r>
      <w:r w:rsidR="00A201CA" w:rsidRPr="000C23D7">
        <w:rPr>
          <w:sz w:val="28"/>
          <w:szCs w:val="28"/>
          <w:lang w:val="en-US"/>
        </w:rPr>
        <w:t xml:space="preserve"> //</w:t>
      </w:r>
      <w:r w:rsidR="009125F2" w:rsidRPr="000C23D7">
        <w:rPr>
          <w:sz w:val="28"/>
          <w:szCs w:val="28"/>
          <w:lang w:val="en-US"/>
        </w:rPr>
        <w:t xml:space="preserve"> </w:t>
      </w:r>
      <w:hyperlink r:id="rId155" w:history="1">
        <w:r w:rsidR="00A201CA" w:rsidRPr="000C23D7">
          <w:rPr>
            <w:rStyle w:val="Hyperlink"/>
            <w:rFonts w:eastAsiaTheme="majorEastAsia"/>
            <w:color w:val="auto"/>
            <w:sz w:val="28"/>
            <w:szCs w:val="28"/>
            <w:u w:val="none"/>
            <w:lang w:val="en-US"/>
          </w:rPr>
          <w:t>https://international-partnerships.ec.europa.eu/policies/peace-and.</w:t>
        </w:r>
      </w:hyperlink>
      <w:r w:rsidR="009125F2" w:rsidRPr="000C23D7">
        <w:rPr>
          <w:sz w:val="28"/>
          <w:szCs w:val="28"/>
          <w:lang w:val="en-US"/>
        </w:rPr>
        <w:t xml:space="preserve"> 15.05.2025.</w:t>
      </w:r>
    </w:p>
    <w:p w14:paraId="4E5C8442" w14:textId="30B695EB"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31 </w:t>
      </w:r>
      <w:r w:rsidR="009125F2" w:rsidRPr="000C23D7">
        <w:rPr>
          <w:sz w:val="28"/>
          <w:szCs w:val="28"/>
          <w:lang w:val="en-US"/>
        </w:rPr>
        <w:t xml:space="preserve">The war in Ukraine and the EU’s policy of economic globalisation: New security challenges and issues </w:t>
      </w:r>
      <w:r w:rsidR="00A201CA" w:rsidRPr="000C23D7">
        <w:rPr>
          <w:sz w:val="28"/>
          <w:szCs w:val="28"/>
          <w:lang w:val="en-US"/>
        </w:rPr>
        <w:t xml:space="preserve">/ </w:t>
      </w:r>
      <w:r w:rsidR="00A201CA" w:rsidRPr="000C23D7">
        <w:rPr>
          <w:rStyle w:val="Strong"/>
          <w:b w:val="0"/>
          <w:bCs w:val="0"/>
          <w:sz w:val="28"/>
          <w:szCs w:val="28"/>
          <w:lang w:val="en-US"/>
        </w:rPr>
        <w:t>Centre for International Affairs (CIDOB) //</w:t>
      </w:r>
      <w:r w:rsidR="009125F2" w:rsidRPr="000C23D7">
        <w:rPr>
          <w:sz w:val="28"/>
          <w:szCs w:val="28"/>
          <w:lang w:val="en-US"/>
        </w:rPr>
        <w:t xml:space="preserve"> </w:t>
      </w:r>
      <w:hyperlink r:id="rId156" w:history="1">
        <w:r w:rsidR="00A201CA" w:rsidRPr="000C23D7">
          <w:rPr>
            <w:rStyle w:val="Hyperlink"/>
            <w:rFonts w:eastAsiaTheme="majorEastAsia"/>
            <w:color w:val="auto"/>
            <w:sz w:val="28"/>
            <w:szCs w:val="28"/>
            <w:u w:val="none"/>
            <w:lang w:val="en-US"/>
          </w:rPr>
          <w:t>https://www.cidob.org/en/publications/war-ukraine-and-eus-policy.</w:t>
        </w:r>
      </w:hyperlink>
      <w:r w:rsidR="00A201CA" w:rsidRPr="000C23D7">
        <w:rPr>
          <w:rStyle w:val="Hyperlink"/>
          <w:rFonts w:eastAsiaTheme="majorEastAsia"/>
          <w:color w:val="auto"/>
          <w:sz w:val="28"/>
          <w:szCs w:val="28"/>
          <w:u w:val="none"/>
          <w:lang w:val="en-US"/>
        </w:rPr>
        <w:t xml:space="preserve"> </w:t>
      </w:r>
      <w:r w:rsidR="009125F2" w:rsidRPr="000C23D7">
        <w:rPr>
          <w:sz w:val="28"/>
          <w:szCs w:val="28"/>
          <w:lang w:val="en-US"/>
        </w:rPr>
        <w:t>15.05.2025.</w:t>
      </w:r>
    </w:p>
    <w:p w14:paraId="4E4AC632" w14:textId="5DAA45E8"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32 </w:t>
      </w:r>
      <w:r w:rsidR="009125F2" w:rsidRPr="000C23D7">
        <w:rPr>
          <w:sz w:val="28"/>
          <w:szCs w:val="28"/>
          <w:lang w:val="en-US"/>
        </w:rPr>
        <w:t xml:space="preserve">The refugee crisis, Brexit, and the reframing of immigration in Britain </w:t>
      </w:r>
      <w:r w:rsidR="00A201CA" w:rsidRPr="000C23D7">
        <w:rPr>
          <w:sz w:val="28"/>
          <w:szCs w:val="28"/>
          <w:lang w:val="en-US"/>
        </w:rPr>
        <w:t xml:space="preserve">/ </w:t>
      </w:r>
      <w:r w:rsidR="00A201CA" w:rsidRPr="000C23D7">
        <w:rPr>
          <w:rStyle w:val="Strong"/>
          <w:b w:val="0"/>
          <w:bCs w:val="0"/>
          <w:sz w:val="28"/>
          <w:szCs w:val="28"/>
          <w:lang w:val="en-US"/>
        </w:rPr>
        <w:t>EuropeNow</w:t>
      </w:r>
      <w:r w:rsidR="00A201CA" w:rsidRPr="000C23D7">
        <w:rPr>
          <w:sz w:val="28"/>
          <w:szCs w:val="28"/>
          <w:lang w:val="en-US"/>
        </w:rPr>
        <w:t xml:space="preserve"> //</w:t>
      </w:r>
      <w:r w:rsidR="009125F2" w:rsidRPr="000C23D7">
        <w:rPr>
          <w:sz w:val="28"/>
          <w:szCs w:val="28"/>
          <w:lang w:val="en-US"/>
        </w:rPr>
        <w:t xml:space="preserve"> </w:t>
      </w:r>
      <w:hyperlink r:id="rId157" w:history="1">
        <w:r w:rsidR="00A201CA" w:rsidRPr="000C23D7">
          <w:rPr>
            <w:rStyle w:val="Hyperlink"/>
            <w:rFonts w:eastAsiaTheme="majorEastAsia"/>
            <w:color w:val="auto"/>
            <w:sz w:val="28"/>
            <w:szCs w:val="28"/>
            <w:u w:val="none"/>
            <w:lang w:val="en-US"/>
          </w:rPr>
          <w:t>https://www.europenowjournal.org/2019/09/09.</w:t>
        </w:r>
      </w:hyperlink>
      <w:r w:rsidR="009125F2" w:rsidRPr="000C23D7">
        <w:rPr>
          <w:sz w:val="28"/>
          <w:szCs w:val="28"/>
          <w:lang w:val="en-US"/>
        </w:rPr>
        <w:t xml:space="preserve"> 15.05.2025.</w:t>
      </w:r>
    </w:p>
    <w:p w14:paraId="25A24D6C" w14:textId="0D49F55E"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rPr>
      </w:pPr>
      <w:r w:rsidRPr="000C23D7">
        <w:rPr>
          <w:rStyle w:val="Strong"/>
          <w:b w:val="0"/>
          <w:bCs w:val="0"/>
          <w:sz w:val="28"/>
          <w:szCs w:val="28"/>
          <w:lang w:val="kk-KZ"/>
        </w:rPr>
        <w:t>33</w:t>
      </w:r>
      <w:r w:rsidR="009125F2" w:rsidRPr="000C23D7">
        <w:rPr>
          <w:sz w:val="28"/>
          <w:szCs w:val="28"/>
          <w:lang w:val="en-US"/>
        </w:rPr>
        <w:t xml:space="preserve"> How has Parliament kept human rights sanctions at the top of the EU agenda? </w:t>
      </w:r>
      <w:r w:rsidR="00A201CA" w:rsidRPr="000C23D7">
        <w:rPr>
          <w:sz w:val="28"/>
          <w:szCs w:val="28"/>
          <w:lang w:val="en-US"/>
        </w:rPr>
        <w:t xml:space="preserve">/ </w:t>
      </w:r>
      <w:r w:rsidR="00A201CA" w:rsidRPr="000C23D7">
        <w:rPr>
          <w:rStyle w:val="Strong"/>
          <w:b w:val="0"/>
          <w:bCs w:val="0"/>
          <w:sz w:val="28"/>
          <w:szCs w:val="28"/>
          <w:lang w:val="en-US"/>
        </w:rPr>
        <w:t>European Parliamentary Res. Ser.</w:t>
      </w:r>
      <w:r w:rsidR="00A201CA" w:rsidRPr="000C23D7">
        <w:rPr>
          <w:sz w:val="28"/>
          <w:szCs w:val="28"/>
          <w:lang w:val="en-US"/>
        </w:rPr>
        <w:t xml:space="preserve"> //</w:t>
      </w:r>
      <w:r w:rsidR="009125F2" w:rsidRPr="000C23D7">
        <w:rPr>
          <w:sz w:val="28"/>
          <w:szCs w:val="28"/>
          <w:lang w:val="en-US"/>
        </w:rPr>
        <w:t xml:space="preserve"> </w:t>
      </w:r>
      <w:hyperlink r:id="rId158" w:history="1">
        <w:r w:rsidR="00A201CA" w:rsidRPr="000C23D7">
          <w:rPr>
            <w:rStyle w:val="Hyperlink"/>
            <w:rFonts w:eastAsiaTheme="majorEastAsia"/>
            <w:color w:val="auto"/>
            <w:sz w:val="28"/>
            <w:szCs w:val="28"/>
            <w:u w:val="none"/>
            <w:lang w:val="en-US"/>
          </w:rPr>
          <w:t>https://epthinktank.eu.</w:t>
        </w:r>
      </w:hyperlink>
      <w:r w:rsidR="009125F2" w:rsidRPr="000C23D7">
        <w:rPr>
          <w:sz w:val="28"/>
          <w:szCs w:val="28"/>
          <w:lang w:val="en-US"/>
        </w:rPr>
        <w:t xml:space="preserve"> </w:t>
      </w:r>
      <w:r w:rsidR="009125F2" w:rsidRPr="000C23D7">
        <w:rPr>
          <w:sz w:val="28"/>
          <w:szCs w:val="28"/>
        </w:rPr>
        <w:t>15.05.2025.</w:t>
      </w:r>
    </w:p>
    <w:p w14:paraId="5E80F93B" w14:textId="365F6C03"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rPr>
      </w:pPr>
      <w:r w:rsidRPr="000C23D7">
        <w:rPr>
          <w:rStyle w:val="Strong"/>
          <w:b w:val="0"/>
          <w:bCs w:val="0"/>
          <w:sz w:val="28"/>
          <w:szCs w:val="28"/>
          <w:lang w:val="kk-KZ"/>
        </w:rPr>
        <w:t>34</w:t>
      </w:r>
      <w:r w:rsidR="009125F2" w:rsidRPr="000C23D7">
        <w:rPr>
          <w:sz w:val="28"/>
          <w:szCs w:val="28"/>
        </w:rPr>
        <w:t xml:space="preserve"> Директива (ЕС) 2024/1760 от 13 июня 2024 г. о должной корпоративной добросовестности и устойчивости и о внесении изменений в Директиву (ЕС) 2019/1937 и Регламент (ЕС) 2023/2859 // </w:t>
      </w:r>
      <w:r w:rsidR="00A201CA" w:rsidRPr="000C23D7">
        <w:rPr>
          <w:rStyle w:val="Strong"/>
          <w:b w:val="0"/>
          <w:bCs w:val="0"/>
          <w:sz w:val="28"/>
          <w:szCs w:val="28"/>
        </w:rPr>
        <w:t>Европейский парламент и Совет Европейского союза</w:t>
      </w:r>
      <w:r w:rsidR="00A201CA" w:rsidRPr="000C23D7">
        <w:rPr>
          <w:rStyle w:val="Emphasis"/>
          <w:sz w:val="28"/>
          <w:szCs w:val="28"/>
        </w:rPr>
        <w:t xml:space="preserve"> </w:t>
      </w:r>
      <w:r w:rsidR="00A201CA" w:rsidRPr="000C23D7">
        <w:rPr>
          <w:rStyle w:val="Emphasis"/>
          <w:i w:val="0"/>
          <w:sz w:val="28"/>
          <w:szCs w:val="28"/>
        </w:rPr>
        <w:t>//</w:t>
      </w:r>
      <w:r w:rsidR="009125F2" w:rsidRPr="000C23D7">
        <w:rPr>
          <w:sz w:val="28"/>
          <w:szCs w:val="28"/>
        </w:rPr>
        <w:t xml:space="preserve"> </w:t>
      </w:r>
      <w:hyperlink r:id="rId159" w:history="1">
        <w:r w:rsidR="00A201CA" w:rsidRPr="000C23D7">
          <w:rPr>
            <w:rStyle w:val="Hyperlink"/>
            <w:rFonts w:eastAsiaTheme="majorEastAsia"/>
            <w:color w:val="auto"/>
            <w:sz w:val="28"/>
            <w:szCs w:val="28"/>
            <w:u w:val="none"/>
          </w:rPr>
          <w:t>https://eur-lex.europa.eu</w:t>
        </w:r>
      </w:hyperlink>
      <w:r w:rsidR="009125F2" w:rsidRPr="000C23D7">
        <w:rPr>
          <w:sz w:val="28"/>
          <w:szCs w:val="28"/>
        </w:rPr>
        <w:t xml:space="preserve"> 15.05.2025.</w:t>
      </w:r>
    </w:p>
    <w:p w14:paraId="14E633D6" w14:textId="1BEBB72D"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35</w:t>
      </w:r>
      <w:r w:rsidR="009125F2" w:rsidRPr="000C23D7">
        <w:rPr>
          <w:sz w:val="28"/>
          <w:szCs w:val="28"/>
          <w:lang w:val="en-US"/>
        </w:rPr>
        <w:t xml:space="preserve"> EU Corporate Sustainability Due Diligence Directive: Raising the stakes on ESG regulations. – 2024</w:t>
      </w:r>
      <w:r w:rsidR="005D5FED" w:rsidRPr="000C23D7">
        <w:rPr>
          <w:sz w:val="28"/>
          <w:szCs w:val="28"/>
          <w:lang w:val="en-US"/>
        </w:rPr>
        <w:t xml:space="preserve"> </w:t>
      </w:r>
      <w:r w:rsidR="005D5FED" w:rsidRPr="000C23D7">
        <w:rPr>
          <w:rStyle w:val="Strong"/>
          <w:b w:val="0"/>
          <w:bCs w:val="0"/>
          <w:sz w:val="28"/>
          <w:szCs w:val="28"/>
          <w:lang w:val="en-US"/>
        </w:rPr>
        <w:t>//</w:t>
      </w:r>
      <w:r w:rsidR="009125F2" w:rsidRPr="000C23D7">
        <w:rPr>
          <w:sz w:val="28"/>
          <w:szCs w:val="28"/>
          <w:lang w:val="en-US"/>
        </w:rPr>
        <w:t xml:space="preserve"> </w:t>
      </w:r>
      <w:hyperlink r:id="rId160" w:history="1">
        <w:r w:rsidR="005D5FED" w:rsidRPr="000C23D7">
          <w:rPr>
            <w:rStyle w:val="Hyperlink"/>
            <w:rFonts w:eastAsiaTheme="majorEastAsia"/>
            <w:color w:val="auto"/>
            <w:sz w:val="28"/>
            <w:szCs w:val="28"/>
            <w:u w:val="none"/>
            <w:lang w:val="en-US"/>
          </w:rPr>
          <w:t>https://www.seyfarth.com.</w:t>
        </w:r>
      </w:hyperlink>
      <w:r w:rsidR="009125F2" w:rsidRPr="000C23D7">
        <w:rPr>
          <w:sz w:val="28"/>
          <w:szCs w:val="28"/>
          <w:lang w:val="en-US"/>
        </w:rPr>
        <w:t xml:space="preserve"> 15.05.2025.</w:t>
      </w:r>
    </w:p>
    <w:p w14:paraId="5E5F65B1" w14:textId="03B22222"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36</w:t>
      </w:r>
      <w:r w:rsidR="009125F2" w:rsidRPr="000C23D7">
        <w:rPr>
          <w:sz w:val="28"/>
          <w:szCs w:val="28"/>
          <w:lang w:val="en-US"/>
        </w:rPr>
        <w:t xml:space="preserve"> Enforcement mechanisms for due diligence obligations </w:t>
      </w:r>
      <w:r w:rsidR="005D5FED" w:rsidRPr="000C23D7">
        <w:rPr>
          <w:sz w:val="28"/>
          <w:szCs w:val="28"/>
          <w:lang w:val="en-US"/>
        </w:rPr>
        <w:t xml:space="preserve">/ </w:t>
      </w:r>
      <w:r w:rsidR="005D5FED" w:rsidRPr="000C23D7">
        <w:rPr>
          <w:rStyle w:val="Strong"/>
          <w:b w:val="0"/>
          <w:bCs w:val="0"/>
          <w:sz w:val="28"/>
          <w:szCs w:val="28"/>
          <w:lang w:val="en-US"/>
        </w:rPr>
        <w:t>Ecofact</w:t>
      </w:r>
      <w:r w:rsidR="005D5FED" w:rsidRPr="000C23D7">
        <w:rPr>
          <w:sz w:val="28"/>
          <w:szCs w:val="28"/>
          <w:lang w:val="en-US"/>
        </w:rPr>
        <w:t xml:space="preserve"> //</w:t>
      </w:r>
      <w:r w:rsidR="009125F2" w:rsidRPr="000C23D7">
        <w:rPr>
          <w:sz w:val="28"/>
          <w:szCs w:val="28"/>
          <w:lang w:val="en-US"/>
        </w:rPr>
        <w:t xml:space="preserve"> </w:t>
      </w:r>
      <w:hyperlink r:id="rId161" w:history="1">
        <w:r w:rsidR="005D5FED" w:rsidRPr="000C23D7">
          <w:rPr>
            <w:rStyle w:val="Hyperlink"/>
            <w:rFonts w:eastAsiaTheme="majorEastAsia"/>
            <w:color w:val="auto"/>
            <w:sz w:val="28"/>
            <w:szCs w:val="28"/>
            <w:u w:val="none"/>
            <w:lang w:val="en-US"/>
          </w:rPr>
          <w:t>https://www.ecofact.com/blog/enforcement-mechanisms-for-due.</w:t>
        </w:r>
      </w:hyperlink>
      <w:r w:rsidR="009125F2" w:rsidRPr="000C23D7">
        <w:rPr>
          <w:sz w:val="28"/>
          <w:szCs w:val="28"/>
          <w:lang w:val="en-US"/>
        </w:rPr>
        <w:t xml:space="preserve"> 15.05.2025.</w:t>
      </w:r>
    </w:p>
    <w:p w14:paraId="0CCD260C" w14:textId="597A872B"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lastRenderedPageBreak/>
        <w:t>37</w:t>
      </w:r>
      <w:r w:rsidR="009125F2" w:rsidRPr="000C23D7">
        <w:rPr>
          <w:sz w:val="28"/>
          <w:szCs w:val="28"/>
          <w:lang w:val="en-US"/>
        </w:rPr>
        <w:t xml:space="preserve"> States must commit to multilateralism, many speakers tell Security Council debate</w:t>
      </w:r>
      <w:r w:rsidR="005D5FED" w:rsidRPr="000C23D7">
        <w:rPr>
          <w:sz w:val="28"/>
          <w:szCs w:val="28"/>
          <w:lang w:val="en-US"/>
        </w:rPr>
        <w:t xml:space="preserve">: press </w:t>
      </w:r>
      <w:r w:rsidR="009125F2" w:rsidRPr="000C23D7">
        <w:rPr>
          <w:sz w:val="28"/>
          <w:szCs w:val="28"/>
          <w:lang w:val="en-US"/>
        </w:rPr>
        <w:t>release. – 2024</w:t>
      </w:r>
      <w:r w:rsidR="005D5FED" w:rsidRPr="000C23D7">
        <w:rPr>
          <w:sz w:val="28"/>
          <w:szCs w:val="28"/>
          <w:lang w:val="en-US"/>
        </w:rPr>
        <w:t xml:space="preserve"> / </w:t>
      </w:r>
      <w:r w:rsidR="005D5FED" w:rsidRPr="000C23D7">
        <w:rPr>
          <w:rStyle w:val="Strong"/>
          <w:b w:val="0"/>
          <w:bCs w:val="0"/>
          <w:sz w:val="28"/>
          <w:szCs w:val="28"/>
          <w:lang w:val="en-US"/>
        </w:rPr>
        <w:t>United Nations //</w:t>
      </w:r>
      <w:r w:rsidR="009125F2" w:rsidRPr="000C23D7">
        <w:rPr>
          <w:sz w:val="28"/>
          <w:szCs w:val="28"/>
          <w:lang w:val="en-US"/>
        </w:rPr>
        <w:t xml:space="preserve"> </w:t>
      </w:r>
      <w:hyperlink r:id="rId162" w:history="1">
        <w:r w:rsidR="005D5FED" w:rsidRPr="000C23D7">
          <w:rPr>
            <w:rStyle w:val="Hyperlink"/>
            <w:rFonts w:eastAsiaTheme="majorEastAsia"/>
            <w:color w:val="auto"/>
            <w:sz w:val="28"/>
            <w:szCs w:val="28"/>
            <w:u w:val="none"/>
            <w:lang w:val="en-US"/>
          </w:rPr>
          <w:t>https://press.un.org/en.</w:t>
        </w:r>
      </w:hyperlink>
      <w:r w:rsidR="009125F2" w:rsidRPr="000C23D7">
        <w:rPr>
          <w:sz w:val="28"/>
          <w:szCs w:val="28"/>
          <w:lang w:val="en-US"/>
        </w:rPr>
        <w:t xml:space="preserve"> 15.05.2025.</w:t>
      </w:r>
    </w:p>
    <w:p w14:paraId="35395FAB" w14:textId="42D13A82"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38</w:t>
      </w:r>
      <w:r w:rsidR="009125F2" w:rsidRPr="000C23D7">
        <w:rPr>
          <w:sz w:val="28"/>
          <w:szCs w:val="28"/>
          <w:lang w:val="en-US"/>
        </w:rPr>
        <w:t xml:space="preserve"> Amid strained multilateral system, states must recommit to United Nations Charter obligations, prioritize human rights, Secretary-General tells Security Council</w:t>
      </w:r>
      <w:r w:rsidR="005D5FED" w:rsidRPr="000C23D7">
        <w:rPr>
          <w:sz w:val="28"/>
          <w:szCs w:val="28"/>
          <w:lang w:val="en-US"/>
        </w:rPr>
        <w:t>:</w:t>
      </w:r>
      <w:r w:rsidR="009125F2" w:rsidRPr="000C23D7">
        <w:rPr>
          <w:sz w:val="28"/>
          <w:szCs w:val="28"/>
          <w:lang w:val="en-US"/>
        </w:rPr>
        <w:t xml:space="preserve"> </w:t>
      </w:r>
      <w:r w:rsidR="005D5FED" w:rsidRPr="000C23D7">
        <w:rPr>
          <w:sz w:val="28"/>
          <w:szCs w:val="28"/>
          <w:lang w:val="en-US"/>
        </w:rPr>
        <w:t xml:space="preserve">press </w:t>
      </w:r>
      <w:r w:rsidR="009125F2" w:rsidRPr="000C23D7">
        <w:rPr>
          <w:sz w:val="28"/>
          <w:szCs w:val="28"/>
          <w:lang w:val="en-US"/>
        </w:rPr>
        <w:t>release. – 2023</w:t>
      </w:r>
      <w:r w:rsidR="005D5FED" w:rsidRPr="000C23D7">
        <w:rPr>
          <w:sz w:val="28"/>
          <w:szCs w:val="28"/>
          <w:lang w:val="en-US"/>
        </w:rPr>
        <w:t xml:space="preserve"> / </w:t>
      </w:r>
      <w:r w:rsidR="005D5FED" w:rsidRPr="000C23D7">
        <w:rPr>
          <w:rStyle w:val="Strong"/>
          <w:b w:val="0"/>
          <w:bCs w:val="0"/>
          <w:sz w:val="28"/>
          <w:szCs w:val="28"/>
          <w:lang w:val="en-US"/>
        </w:rPr>
        <w:t>United Nations //</w:t>
      </w:r>
      <w:r w:rsidR="009125F2" w:rsidRPr="000C23D7">
        <w:rPr>
          <w:sz w:val="28"/>
          <w:szCs w:val="28"/>
          <w:lang w:val="en-US"/>
        </w:rPr>
        <w:t xml:space="preserve"> </w:t>
      </w:r>
      <w:hyperlink r:id="rId163" w:history="1">
        <w:r w:rsidR="005D5FED" w:rsidRPr="000C23D7">
          <w:rPr>
            <w:rStyle w:val="Hyperlink"/>
            <w:rFonts w:eastAsiaTheme="majorEastAsia"/>
            <w:color w:val="auto"/>
            <w:sz w:val="28"/>
            <w:szCs w:val="28"/>
            <w:u w:val="none"/>
            <w:lang w:val="en-US"/>
          </w:rPr>
          <w:t>https://press.un.org/en/2023/sc.</w:t>
        </w:r>
      </w:hyperlink>
      <w:r w:rsidR="005D5FED" w:rsidRPr="000C23D7">
        <w:rPr>
          <w:rStyle w:val="Hyperlink"/>
          <w:rFonts w:eastAsiaTheme="majorEastAsia"/>
          <w:color w:val="auto"/>
          <w:sz w:val="28"/>
          <w:szCs w:val="28"/>
          <w:u w:val="none"/>
          <w:lang w:val="en-US"/>
        </w:rPr>
        <w:t xml:space="preserve"> </w:t>
      </w:r>
      <w:r w:rsidR="009125F2" w:rsidRPr="000C23D7">
        <w:rPr>
          <w:sz w:val="28"/>
          <w:szCs w:val="28"/>
          <w:lang w:val="en-US"/>
        </w:rPr>
        <w:t>15.05.2025.</w:t>
      </w:r>
    </w:p>
    <w:p w14:paraId="7517FDA2" w14:textId="02D0480E"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39 </w:t>
      </w:r>
      <w:r w:rsidR="005D5FED" w:rsidRPr="000C23D7">
        <w:rPr>
          <w:rStyle w:val="Strong"/>
          <w:b w:val="0"/>
          <w:bCs w:val="0"/>
          <w:sz w:val="28"/>
          <w:szCs w:val="28"/>
          <w:lang w:val="en-US"/>
        </w:rPr>
        <w:t>Hathaway O.</w:t>
      </w:r>
      <w:r w:rsidR="009125F2" w:rsidRPr="000C23D7">
        <w:rPr>
          <w:rStyle w:val="Strong"/>
          <w:b w:val="0"/>
          <w:bCs w:val="0"/>
          <w:sz w:val="28"/>
          <w:szCs w:val="28"/>
          <w:lang w:val="en-US"/>
        </w:rPr>
        <w:t>A., Patrick S.</w:t>
      </w:r>
      <w:r w:rsidR="009125F2" w:rsidRPr="000C23D7">
        <w:rPr>
          <w:sz w:val="28"/>
          <w:szCs w:val="28"/>
          <w:lang w:val="en-US"/>
        </w:rPr>
        <w:t xml:space="preserve"> Can the UN Security Council still help keep the peace? Reassessing its role, relevance, and potential for reform  </w:t>
      </w:r>
      <w:hyperlink r:id="rId164" w:history="1">
        <w:r w:rsidR="005D5FED" w:rsidRPr="000C23D7">
          <w:rPr>
            <w:rStyle w:val="Hyperlink"/>
            <w:rFonts w:eastAsiaTheme="majorEastAsia"/>
            <w:color w:val="auto"/>
            <w:sz w:val="28"/>
            <w:szCs w:val="28"/>
            <w:u w:val="none"/>
            <w:lang w:val="en-US"/>
          </w:rPr>
          <w:t>https://carnegieendowment.org/posts/2024/07/can-un-security-council.</w:t>
        </w:r>
      </w:hyperlink>
      <w:r w:rsidR="009125F2" w:rsidRPr="000C23D7">
        <w:rPr>
          <w:sz w:val="28"/>
          <w:szCs w:val="28"/>
          <w:lang w:val="en-US"/>
        </w:rPr>
        <w:t xml:space="preserve"> 15.05.2025.</w:t>
      </w:r>
    </w:p>
    <w:p w14:paraId="346A19E0" w14:textId="729012F1"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40 </w:t>
      </w:r>
      <w:r w:rsidR="009125F2" w:rsidRPr="000C23D7">
        <w:rPr>
          <w:rStyle w:val="Strong"/>
          <w:b w:val="0"/>
          <w:bCs w:val="0"/>
          <w:sz w:val="28"/>
          <w:szCs w:val="28"/>
          <w:lang w:val="en-US"/>
        </w:rPr>
        <w:t>Schuette L., Dijkstra H.</w:t>
      </w:r>
      <w:r w:rsidR="009125F2" w:rsidRPr="000C23D7">
        <w:rPr>
          <w:sz w:val="28"/>
          <w:szCs w:val="28"/>
          <w:lang w:val="en-US"/>
        </w:rPr>
        <w:t xml:space="preserve"> When an international organization fails to legitimate: The decline of the OSCE // </w:t>
      </w:r>
      <w:r w:rsidR="009125F2" w:rsidRPr="000C23D7">
        <w:rPr>
          <w:rStyle w:val="Emphasis"/>
          <w:i w:val="0"/>
          <w:sz w:val="28"/>
          <w:szCs w:val="28"/>
          <w:lang w:val="en-US"/>
        </w:rPr>
        <w:t>Global Studies Quarterly</w:t>
      </w:r>
      <w:r w:rsidR="009125F2" w:rsidRPr="000C23D7">
        <w:rPr>
          <w:sz w:val="28"/>
          <w:szCs w:val="28"/>
          <w:lang w:val="en-US"/>
        </w:rPr>
        <w:t xml:space="preserve">. – 2023. – </w:t>
      </w:r>
      <w:r w:rsidR="005D5FED" w:rsidRPr="000C23D7">
        <w:rPr>
          <w:sz w:val="28"/>
          <w:szCs w:val="28"/>
          <w:lang w:val="en-US"/>
        </w:rPr>
        <w:t>Vol</w:t>
      </w:r>
      <w:r w:rsidR="009125F2" w:rsidRPr="000C23D7">
        <w:rPr>
          <w:sz w:val="28"/>
          <w:szCs w:val="28"/>
          <w:lang w:val="en-US"/>
        </w:rPr>
        <w:t xml:space="preserve">. 3, </w:t>
      </w:r>
      <w:r w:rsidR="005D5FED" w:rsidRPr="000C23D7">
        <w:rPr>
          <w:sz w:val="28"/>
          <w:szCs w:val="28"/>
          <w:lang w:val="en-US"/>
        </w:rPr>
        <w:t xml:space="preserve">Issue </w:t>
      </w:r>
      <w:r w:rsidR="009125F2" w:rsidRPr="000C23D7">
        <w:rPr>
          <w:sz w:val="28"/>
          <w:szCs w:val="28"/>
          <w:lang w:val="en-US"/>
        </w:rPr>
        <w:t xml:space="preserve">4. – </w:t>
      </w:r>
      <w:r w:rsidR="005D5FED" w:rsidRPr="000C23D7">
        <w:rPr>
          <w:rStyle w:val="Strong"/>
          <w:b w:val="0"/>
          <w:bCs w:val="0"/>
          <w:sz w:val="28"/>
          <w:szCs w:val="28"/>
          <w:lang w:val="en-US"/>
        </w:rPr>
        <w:t>P</w:t>
      </w:r>
      <w:r w:rsidR="009125F2" w:rsidRPr="000C23D7">
        <w:rPr>
          <w:rStyle w:val="Strong"/>
          <w:b w:val="0"/>
          <w:bCs w:val="0"/>
          <w:sz w:val="28"/>
          <w:szCs w:val="28"/>
          <w:lang w:val="en-US"/>
        </w:rPr>
        <w:t>. 1</w:t>
      </w:r>
      <w:r w:rsidR="005D5FED" w:rsidRPr="000C23D7">
        <w:rPr>
          <w:rStyle w:val="Strong"/>
          <w:b w:val="0"/>
          <w:bCs w:val="0"/>
          <w:sz w:val="28"/>
          <w:szCs w:val="28"/>
          <w:lang w:val="en-US"/>
        </w:rPr>
        <w:t>-</w:t>
      </w:r>
      <w:r w:rsidR="009125F2" w:rsidRPr="000C23D7">
        <w:rPr>
          <w:rStyle w:val="Strong"/>
          <w:b w:val="0"/>
          <w:bCs w:val="0"/>
          <w:sz w:val="28"/>
          <w:szCs w:val="28"/>
          <w:lang w:val="en-US"/>
        </w:rPr>
        <w:t>17</w:t>
      </w:r>
      <w:r w:rsidR="009125F2" w:rsidRPr="000C23D7">
        <w:rPr>
          <w:sz w:val="28"/>
          <w:szCs w:val="28"/>
          <w:lang w:val="en-US"/>
        </w:rPr>
        <w:t>.</w:t>
      </w:r>
    </w:p>
    <w:p w14:paraId="656F811C" w14:textId="10ACA383"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41 </w:t>
      </w:r>
      <w:r w:rsidR="009125F2" w:rsidRPr="000C23D7">
        <w:rPr>
          <w:rStyle w:val="Strong"/>
          <w:b w:val="0"/>
          <w:bCs w:val="0"/>
          <w:sz w:val="28"/>
          <w:szCs w:val="28"/>
          <w:lang w:val="en-US"/>
        </w:rPr>
        <w:t>Saltout A.</w:t>
      </w:r>
      <w:r w:rsidR="009125F2" w:rsidRPr="000C23D7">
        <w:rPr>
          <w:sz w:val="28"/>
          <w:szCs w:val="28"/>
          <w:lang w:val="en-US"/>
        </w:rPr>
        <w:t xml:space="preserve"> The delay process of the European Union: Causes, consequences, and solutions // </w:t>
      </w:r>
      <w:r w:rsidR="009125F2" w:rsidRPr="000C23D7">
        <w:rPr>
          <w:rStyle w:val="Emphasis"/>
          <w:i w:val="0"/>
          <w:sz w:val="28"/>
          <w:szCs w:val="28"/>
          <w:lang w:val="en-US"/>
        </w:rPr>
        <w:t>International Journal of Research and Scientific Innovation</w:t>
      </w:r>
      <w:r w:rsidR="009125F2" w:rsidRPr="000C23D7">
        <w:rPr>
          <w:sz w:val="28"/>
          <w:szCs w:val="28"/>
          <w:lang w:val="en-US"/>
        </w:rPr>
        <w:t xml:space="preserve">. – 2024. – </w:t>
      </w:r>
      <w:r w:rsidR="005D5FED" w:rsidRPr="000C23D7">
        <w:rPr>
          <w:sz w:val="28"/>
          <w:szCs w:val="28"/>
          <w:lang w:val="en-US"/>
        </w:rPr>
        <w:t>Vol.</w:t>
      </w:r>
      <w:r w:rsidR="009125F2" w:rsidRPr="000C23D7">
        <w:rPr>
          <w:sz w:val="28"/>
          <w:szCs w:val="28"/>
          <w:lang w:val="en-US"/>
        </w:rPr>
        <w:t xml:space="preserve"> 11, </w:t>
      </w:r>
      <w:r w:rsidR="005D5FED" w:rsidRPr="000C23D7">
        <w:rPr>
          <w:sz w:val="28"/>
          <w:szCs w:val="28"/>
          <w:lang w:val="en-US"/>
        </w:rPr>
        <w:t xml:space="preserve">Issue </w:t>
      </w:r>
      <w:r w:rsidR="009125F2" w:rsidRPr="000C23D7">
        <w:rPr>
          <w:sz w:val="28"/>
          <w:szCs w:val="28"/>
          <w:lang w:val="en-US"/>
        </w:rPr>
        <w:t xml:space="preserve">7. – </w:t>
      </w:r>
      <w:r w:rsidR="005D5FED" w:rsidRPr="000C23D7">
        <w:rPr>
          <w:sz w:val="28"/>
          <w:szCs w:val="28"/>
          <w:lang w:val="en-US"/>
        </w:rPr>
        <w:t>P</w:t>
      </w:r>
      <w:r w:rsidR="009125F2" w:rsidRPr="000C23D7">
        <w:rPr>
          <w:rStyle w:val="Strong"/>
          <w:b w:val="0"/>
          <w:bCs w:val="0"/>
          <w:sz w:val="28"/>
          <w:szCs w:val="28"/>
          <w:lang w:val="en-US"/>
        </w:rPr>
        <w:t>. 1298</w:t>
      </w:r>
      <w:r w:rsidR="005D5FED" w:rsidRPr="000C23D7">
        <w:rPr>
          <w:rStyle w:val="Strong"/>
          <w:b w:val="0"/>
          <w:bCs w:val="0"/>
          <w:sz w:val="28"/>
          <w:szCs w:val="28"/>
          <w:lang w:val="en-US"/>
        </w:rPr>
        <w:t>-</w:t>
      </w:r>
      <w:r w:rsidR="009125F2" w:rsidRPr="000C23D7">
        <w:rPr>
          <w:rStyle w:val="Strong"/>
          <w:b w:val="0"/>
          <w:bCs w:val="0"/>
          <w:sz w:val="28"/>
          <w:szCs w:val="28"/>
          <w:lang w:val="en-US"/>
        </w:rPr>
        <w:t>1319</w:t>
      </w:r>
      <w:r w:rsidR="009125F2" w:rsidRPr="000C23D7">
        <w:rPr>
          <w:sz w:val="28"/>
          <w:szCs w:val="28"/>
          <w:lang w:val="en-US"/>
        </w:rPr>
        <w:t>.</w:t>
      </w:r>
    </w:p>
    <w:p w14:paraId="01B90E1B" w14:textId="2DFCEC8B"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42</w:t>
      </w:r>
      <w:r w:rsidR="009125F2" w:rsidRPr="000C23D7">
        <w:rPr>
          <w:sz w:val="28"/>
          <w:szCs w:val="28"/>
          <w:lang w:val="en-US"/>
        </w:rPr>
        <w:t xml:space="preserve"> 3rd EEAS Report on Foreign Information Manipulation and Interference Threats </w:t>
      </w:r>
      <w:r w:rsidR="005D5FED" w:rsidRPr="000C23D7">
        <w:rPr>
          <w:sz w:val="28"/>
          <w:szCs w:val="28"/>
          <w:lang w:val="en-US"/>
        </w:rPr>
        <w:t xml:space="preserve">/ </w:t>
      </w:r>
      <w:r w:rsidR="005D5FED" w:rsidRPr="000C23D7">
        <w:rPr>
          <w:rStyle w:val="Strong"/>
          <w:b w:val="0"/>
          <w:bCs w:val="0"/>
          <w:sz w:val="28"/>
          <w:szCs w:val="28"/>
          <w:lang w:val="en-US"/>
        </w:rPr>
        <w:t>European External Action Service</w:t>
      </w:r>
      <w:r w:rsidR="005D5FED" w:rsidRPr="000C23D7">
        <w:rPr>
          <w:sz w:val="28"/>
          <w:szCs w:val="28"/>
          <w:lang w:val="en-US"/>
        </w:rPr>
        <w:t xml:space="preserve"> //</w:t>
      </w:r>
      <w:r w:rsidR="009125F2" w:rsidRPr="000C23D7">
        <w:rPr>
          <w:sz w:val="28"/>
          <w:szCs w:val="28"/>
          <w:lang w:val="en-US"/>
        </w:rPr>
        <w:t xml:space="preserve"> </w:t>
      </w:r>
      <w:hyperlink r:id="rId165" w:history="1">
        <w:r w:rsidR="005D5FED" w:rsidRPr="000C23D7">
          <w:rPr>
            <w:rStyle w:val="Hyperlink"/>
            <w:rFonts w:eastAsiaTheme="majorEastAsia"/>
            <w:color w:val="auto"/>
            <w:sz w:val="28"/>
            <w:szCs w:val="28"/>
            <w:u w:val="none"/>
            <w:lang w:val="en-US"/>
          </w:rPr>
          <w:t>https://www.eeas.europa.</w:t>
        </w:r>
      </w:hyperlink>
      <w:r w:rsidR="009125F2" w:rsidRPr="000C23D7">
        <w:rPr>
          <w:sz w:val="28"/>
          <w:szCs w:val="28"/>
          <w:lang w:val="en-US"/>
        </w:rPr>
        <w:t xml:space="preserve"> 15.05.2025.</w:t>
      </w:r>
    </w:p>
    <w:p w14:paraId="335EC9BF" w14:textId="2F637325"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43</w:t>
      </w:r>
      <w:r w:rsidR="009125F2" w:rsidRPr="000C23D7">
        <w:rPr>
          <w:sz w:val="28"/>
          <w:szCs w:val="28"/>
          <w:lang w:val="en-US"/>
        </w:rPr>
        <w:t xml:space="preserve"> Council Regulation (EU) 2020/1998 concerning restrictive measures against serious human rights violations and abuses</w:t>
      </w:r>
      <w:r w:rsidR="00813DBE" w:rsidRPr="000C23D7">
        <w:rPr>
          <w:sz w:val="28"/>
          <w:szCs w:val="28"/>
          <w:lang w:val="en-US"/>
        </w:rPr>
        <w:t xml:space="preserve"> /</w:t>
      </w:r>
      <w:r w:rsidR="009125F2" w:rsidRPr="000C23D7">
        <w:rPr>
          <w:sz w:val="28"/>
          <w:szCs w:val="28"/>
          <w:lang w:val="en-US"/>
        </w:rPr>
        <w:t xml:space="preserve"> </w:t>
      </w:r>
      <w:r w:rsidR="00813DBE" w:rsidRPr="000C23D7">
        <w:rPr>
          <w:rStyle w:val="Strong"/>
          <w:b w:val="0"/>
          <w:bCs w:val="0"/>
          <w:sz w:val="28"/>
          <w:szCs w:val="28"/>
          <w:lang w:val="en-US"/>
        </w:rPr>
        <w:t>Council of the European Union</w:t>
      </w:r>
      <w:r w:rsidR="00813DBE" w:rsidRPr="000C23D7">
        <w:rPr>
          <w:sz w:val="28"/>
          <w:szCs w:val="28"/>
          <w:lang w:val="en-US"/>
        </w:rPr>
        <w:t xml:space="preserve"> </w:t>
      </w:r>
      <w:r w:rsidR="009125F2" w:rsidRPr="000C23D7">
        <w:rPr>
          <w:sz w:val="28"/>
          <w:szCs w:val="28"/>
          <w:lang w:val="en-US"/>
        </w:rPr>
        <w:t xml:space="preserve">// </w:t>
      </w:r>
      <w:hyperlink r:id="rId166" w:tgtFrame="_new" w:history="1">
        <w:r w:rsidR="009125F2" w:rsidRPr="000C23D7">
          <w:rPr>
            <w:rStyle w:val="Hyperlink"/>
            <w:rFonts w:eastAsiaTheme="majorEastAsia"/>
            <w:color w:val="auto"/>
            <w:sz w:val="28"/>
            <w:szCs w:val="28"/>
            <w:u w:val="none"/>
            <w:lang w:val="en-US"/>
          </w:rPr>
          <w:t>http://data.europa.eu/eli/reg/2020/1998/oj</w:t>
        </w:r>
      </w:hyperlink>
      <w:r w:rsidR="002F78E3" w:rsidRPr="000C23D7">
        <w:rPr>
          <w:rStyle w:val="Hyperlink"/>
          <w:rFonts w:eastAsiaTheme="majorEastAsia"/>
          <w:color w:val="auto"/>
          <w:sz w:val="28"/>
          <w:szCs w:val="28"/>
          <w:u w:val="none"/>
          <w:lang w:val="kk-KZ"/>
        </w:rPr>
        <w:t>.</w:t>
      </w:r>
      <w:r w:rsidR="009125F2" w:rsidRPr="000C23D7">
        <w:rPr>
          <w:sz w:val="28"/>
          <w:szCs w:val="28"/>
          <w:lang w:val="en-US"/>
        </w:rPr>
        <w:t xml:space="preserve"> 15.05.2025.</w:t>
      </w:r>
    </w:p>
    <w:p w14:paraId="566E771C" w14:textId="1E4448DB"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44</w:t>
      </w:r>
      <w:r w:rsidR="009125F2" w:rsidRPr="000C23D7">
        <w:rPr>
          <w:sz w:val="28"/>
          <w:szCs w:val="28"/>
          <w:lang w:val="en-US"/>
        </w:rPr>
        <w:t xml:space="preserve"> Moving in the Rights’ Direction? An Assessment of the EU Global Human Rights Sanctions Regime </w:t>
      </w:r>
      <w:r w:rsidR="00813DBE" w:rsidRPr="000C23D7">
        <w:rPr>
          <w:sz w:val="28"/>
          <w:szCs w:val="28"/>
          <w:lang w:val="en-US"/>
        </w:rPr>
        <w:t xml:space="preserve">/ </w:t>
      </w:r>
      <w:r w:rsidR="00813DBE" w:rsidRPr="000C23D7">
        <w:rPr>
          <w:rStyle w:val="Strong"/>
          <w:b w:val="0"/>
          <w:bCs w:val="0"/>
          <w:sz w:val="28"/>
          <w:szCs w:val="28"/>
          <w:lang w:val="en-US"/>
        </w:rPr>
        <w:t>PRIF Blog</w:t>
      </w:r>
      <w:r w:rsidR="00813DBE" w:rsidRPr="000C23D7">
        <w:rPr>
          <w:sz w:val="28"/>
          <w:szCs w:val="28"/>
          <w:lang w:val="en-US"/>
        </w:rPr>
        <w:t xml:space="preserve"> // </w:t>
      </w:r>
      <w:hyperlink r:id="rId167" w:history="1">
        <w:r w:rsidR="00813DBE" w:rsidRPr="000C23D7">
          <w:rPr>
            <w:rStyle w:val="Hyperlink"/>
            <w:rFonts w:eastAsiaTheme="majorEastAsia"/>
            <w:color w:val="auto"/>
            <w:sz w:val="28"/>
            <w:szCs w:val="28"/>
            <w:u w:val="none"/>
            <w:lang w:val="en-US"/>
          </w:rPr>
          <w:t>https://blog.prif.org/2024/12/10.</w:t>
        </w:r>
      </w:hyperlink>
      <w:r w:rsidR="009125F2" w:rsidRPr="000C23D7">
        <w:rPr>
          <w:sz w:val="28"/>
          <w:szCs w:val="28"/>
          <w:lang w:val="en-US"/>
        </w:rPr>
        <w:t xml:space="preserve"> 15.05.2025.</w:t>
      </w:r>
    </w:p>
    <w:p w14:paraId="66DC4C07" w14:textId="6AE7C7A5"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45 </w:t>
      </w:r>
      <w:r w:rsidR="009125F2" w:rsidRPr="000C23D7">
        <w:rPr>
          <w:rStyle w:val="Strong"/>
          <w:b w:val="0"/>
          <w:bCs w:val="0"/>
          <w:sz w:val="28"/>
          <w:szCs w:val="28"/>
          <w:lang w:val="en-US"/>
        </w:rPr>
        <w:t>Youngs R., Brudzińska K., Csaky Z.</w:t>
      </w:r>
      <w:r w:rsidR="00813DBE" w:rsidRPr="000C23D7">
        <w:rPr>
          <w:rStyle w:val="Strong"/>
          <w:b w:val="0"/>
          <w:bCs w:val="0"/>
          <w:sz w:val="28"/>
          <w:szCs w:val="28"/>
          <w:lang w:val="en-US"/>
        </w:rPr>
        <w:t xml:space="preserve"> et al.</w:t>
      </w:r>
      <w:r w:rsidR="009125F2" w:rsidRPr="000C23D7">
        <w:rPr>
          <w:sz w:val="28"/>
          <w:szCs w:val="28"/>
          <w:lang w:val="en-US"/>
        </w:rPr>
        <w:t xml:space="preserve"> European Democracy Support Annual Review 2024 </w:t>
      </w:r>
      <w:r w:rsidR="00813DBE" w:rsidRPr="000C23D7">
        <w:rPr>
          <w:sz w:val="28"/>
          <w:szCs w:val="28"/>
          <w:lang w:val="en-US"/>
        </w:rPr>
        <w:t>//</w:t>
      </w:r>
      <w:r w:rsidR="009125F2" w:rsidRPr="000C23D7">
        <w:rPr>
          <w:sz w:val="28"/>
          <w:szCs w:val="28"/>
          <w:lang w:val="en-US"/>
        </w:rPr>
        <w:t xml:space="preserve"> </w:t>
      </w:r>
      <w:hyperlink r:id="rId168" w:history="1">
        <w:r w:rsidR="00813DBE" w:rsidRPr="000C23D7">
          <w:rPr>
            <w:rStyle w:val="Hyperlink"/>
            <w:rFonts w:eastAsiaTheme="majorEastAsia"/>
            <w:color w:val="auto"/>
            <w:sz w:val="28"/>
            <w:szCs w:val="28"/>
            <w:u w:val="none"/>
            <w:lang w:val="en-US"/>
          </w:rPr>
          <w:t>https://carnegieendowment.org/research/2025.</w:t>
        </w:r>
      </w:hyperlink>
      <w:r w:rsidR="009125F2" w:rsidRPr="000C23D7">
        <w:rPr>
          <w:sz w:val="28"/>
          <w:szCs w:val="28"/>
          <w:lang w:val="en-US"/>
        </w:rPr>
        <w:t xml:space="preserve"> 15.05.2025.</w:t>
      </w:r>
    </w:p>
    <w:p w14:paraId="2C5DA719" w14:textId="43B11770"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46</w:t>
      </w:r>
      <w:r w:rsidR="009125F2" w:rsidRPr="000C23D7">
        <w:rPr>
          <w:sz w:val="28"/>
          <w:szCs w:val="28"/>
          <w:lang w:val="en-US"/>
        </w:rPr>
        <w:t xml:space="preserve"> Sustainable Finance and ESG Reporting in the European Union </w:t>
      </w:r>
      <w:r w:rsidR="00813DBE" w:rsidRPr="000C23D7">
        <w:rPr>
          <w:sz w:val="28"/>
          <w:szCs w:val="28"/>
          <w:lang w:val="en-US"/>
        </w:rPr>
        <w:t xml:space="preserve">/ </w:t>
      </w:r>
      <w:r w:rsidR="00813DBE" w:rsidRPr="000C23D7">
        <w:rPr>
          <w:rStyle w:val="Strong"/>
          <w:b w:val="0"/>
          <w:bCs w:val="0"/>
          <w:sz w:val="28"/>
          <w:szCs w:val="28"/>
          <w:lang w:val="en-US"/>
        </w:rPr>
        <w:t>Greenomy</w:t>
      </w:r>
      <w:r w:rsidR="00813DBE" w:rsidRPr="000C23D7">
        <w:rPr>
          <w:sz w:val="28"/>
          <w:szCs w:val="28"/>
          <w:lang w:val="en-US"/>
        </w:rPr>
        <w:t xml:space="preserve"> //</w:t>
      </w:r>
      <w:r w:rsidR="009125F2" w:rsidRPr="000C23D7">
        <w:rPr>
          <w:sz w:val="28"/>
          <w:szCs w:val="28"/>
          <w:lang w:val="en-US"/>
        </w:rPr>
        <w:t xml:space="preserve"> </w:t>
      </w:r>
      <w:hyperlink r:id="rId169" w:tgtFrame="_new" w:history="1">
        <w:r w:rsidR="009125F2" w:rsidRPr="000C23D7">
          <w:rPr>
            <w:rStyle w:val="Hyperlink"/>
            <w:rFonts w:eastAsiaTheme="majorEastAsia"/>
            <w:color w:val="auto"/>
            <w:sz w:val="28"/>
            <w:szCs w:val="28"/>
            <w:u w:val="none"/>
            <w:lang w:val="en-US"/>
          </w:rPr>
          <w:t>https://www.greenomy.io/blog/relationships-csrd-eu-taxonomy-sfdr</w:t>
        </w:r>
      </w:hyperlink>
      <w:r w:rsidR="00813DBE" w:rsidRPr="000C23D7">
        <w:rPr>
          <w:rStyle w:val="Hyperlink"/>
          <w:rFonts w:eastAsiaTheme="majorEastAsia"/>
          <w:color w:val="auto"/>
          <w:sz w:val="28"/>
          <w:szCs w:val="28"/>
          <w:u w:val="none"/>
          <w:lang w:val="en-US"/>
        </w:rPr>
        <w:t>.</w:t>
      </w:r>
      <w:r w:rsidR="009125F2" w:rsidRPr="000C23D7">
        <w:rPr>
          <w:sz w:val="28"/>
          <w:szCs w:val="28"/>
          <w:lang w:val="en-US"/>
        </w:rPr>
        <w:t xml:space="preserve"> 15.05.2025.</w:t>
      </w:r>
    </w:p>
    <w:p w14:paraId="1FE03BE8" w14:textId="41F60526"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47</w:t>
      </w:r>
      <w:r w:rsidR="009125F2" w:rsidRPr="000C23D7">
        <w:rPr>
          <w:sz w:val="28"/>
          <w:szCs w:val="28"/>
          <w:lang w:val="en-US"/>
        </w:rPr>
        <w:t xml:space="preserve"> Regulation (EU) 2019/2088 on sustainability-related disclosures in the financial services sector (SFDR) </w:t>
      </w:r>
      <w:r w:rsidR="00813DBE" w:rsidRPr="000C23D7">
        <w:rPr>
          <w:sz w:val="28"/>
          <w:szCs w:val="28"/>
          <w:lang w:val="en-US"/>
        </w:rPr>
        <w:t xml:space="preserve">/ </w:t>
      </w:r>
      <w:r w:rsidR="00813DBE" w:rsidRPr="000C23D7">
        <w:rPr>
          <w:rStyle w:val="Strong"/>
          <w:b w:val="0"/>
          <w:bCs w:val="0"/>
          <w:sz w:val="28"/>
          <w:szCs w:val="28"/>
          <w:lang w:val="en-US"/>
        </w:rPr>
        <w:t>European Parliament and Council</w:t>
      </w:r>
      <w:r w:rsidR="00813DBE" w:rsidRPr="000C23D7">
        <w:rPr>
          <w:sz w:val="28"/>
          <w:szCs w:val="28"/>
          <w:lang w:val="en-US"/>
        </w:rPr>
        <w:t xml:space="preserve"> //</w:t>
      </w:r>
      <w:r w:rsidR="009125F2" w:rsidRPr="000C23D7">
        <w:rPr>
          <w:sz w:val="28"/>
          <w:szCs w:val="28"/>
          <w:lang w:val="en-US"/>
        </w:rPr>
        <w:t xml:space="preserve"> </w:t>
      </w:r>
      <w:hyperlink r:id="rId170" w:tgtFrame="_new" w:history="1">
        <w:r w:rsidR="009125F2" w:rsidRPr="000C23D7">
          <w:rPr>
            <w:rStyle w:val="Hyperlink"/>
            <w:rFonts w:eastAsiaTheme="majorEastAsia"/>
            <w:color w:val="auto"/>
            <w:sz w:val="28"/>
            <w:szCs w:val="28"/>
            <w:u w:val="none"/>
            <w:lang w:val="en-US"/>
          </w:rPr>
          <w:t>https://eur-lex.europa.eu/eli/reg/2019/2088/oj</w:t>
        </w:r>
      </w:hyperlink>
      <w:r w:rsidR="00813DBE" w:rsidRPr="000C23D7">
        <w:rPr>
          <w:rStyle w:val="Hyperlink"/>
          <w:rFonts w:eastAsiaTheme="majorEastAsia"/>
          <w:color w:val="auto"/>
          <w:sz w:val="28"/>
          <w:szCs w:val="28"/>
          <w:u w:val="none"/>
          <w:lang w:val="en-US"/>
        </w:rPr>
        <w:t>.</w:t>
      </w:r>
      <w:r w:rsidR="009125F2" w:rsidRPr="000C23D7">
        <w:rPr>
          <w:sz w:val="28"/>
          <w:szCs w:val="28"/>
          <w:lang w:val="en-US"/>
        </w:rPr>
        <w:t xml:space="preserve"> 15.05.2025.</w:t>
      </w:r>
    </w:p>
    <w:p w14:paraId="7866F43E" w14:textId="5551EE67"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48</w:t>
      </w:r>
      <w:r w:rsidR="009125F2" w:rsidRPr="000C23D7">
        <w:rPr>
          <w:sz w:val="28"/>
          <w:szCs w:val="28"/>
          <w:lang w:val="en-US"/>
        </w:rPr>
        <w:t xml:space="preserve"> Directive (EU) 2022/2464 on corporate sustainability reporting (CSRD) </w:t>
      </w:r>
      <w:r w:rsidR="00813DBE" w:rsidRPr="000C23D7">
        <w:rPr>
          <w:sz w:val="28"/>
          <w:szCs w:val="28"/>
          <w:lang w:val="en-US"/>
        </w:rPr>
        <w:t xml:space="preserve">/ </w:t>
      </w:r>
      <w:r w:rsidR="00813DBE" w:rsidRPr="000C23D7">
        <w:rPr>
          <w:rStyle w:val="Strong"/>
          <w:b w:val="0"/>
          <w:bCs w:val="0"/>
          <w:sz w:val="28"/>
          <w:szCs w:val="28"/>
          <w:lang w:val="en-US"/>
        </w:rPr>
        <w:t>European Parliament and Council</w:t>
      </w:r>
      <w:r w:rsidR="00813DBE" w:rsidRPr="000C23D7">
        <w:rPr>
          <w:sz w:val="28"/>
          <w:szCs w:val="28"/>
          <w:lang w:val="en-US"/>
        </w:rPr>
        <w:t xml:space="preserve"> //</w:t>
      </w:r>
      <w:r w:rsidR="009125F2" w:rsidRPr="000C23D7">
        <w:rPr>
          <w:sz w:val="28"/>
          <w:szCs w:val="28"/>
          <w:lang w:val="en-US"/>
        </w:rPr>
        <w:t xml:space="preserve"> </w:t>
      </w:r>
      <w:hyperlink r:id="rId171" w:history="1">
        <w:r w:rsidR="00813DBE" w:rsidRPr="000C23D7">
          <w:rPr>
            <w:rStyle w:val="Hyperlink"/>
            <w:rFonts w:eastAsiaTheme="majorEastAsia"/>
            <w:color w:val="auto"/>
            <w:sz w:val="28"/>
            <w:szCs w:val="28"/>
            <w:u w:val="none"/>
            <w:lang w:val="en-US"/>
          </w:rPr>
          <w:t>https://eur-lex.europa.eu/eli/dir.</w:t>
        </w:r>
      </w:hyperlink>
      <w:r w:rsidR="009125F2" w:rsidRPr="000C23D7">
        <w:rPr>
          <w:sz w:val="28"/>
          <w:szCs w:val="28"/>
          <w:lang w:val="en-US"/>
        </w:rPr>
        <w:t xml:space="preserve"> 15.05.2025.</w:t>
      </w:r>
    </w:p>
    <w:p w14:paraId="20B4DADF" w14:textId="706356F0"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49</w:t>
      </w:r>
      <w:r w:rsidR="009125F2" w:rsidRPr="000C23D7">
        <w:rPr>
          <w:sz w:val="28"/>
          <w:szCs w:val="28"/>
          <w:lang w:val="en-US"/>
        </w:rPr>
        <w:t xml:space="preserve"> Regulation (EU) 2020/852 on the establishment of a framework to facilitate sustainable investment (EU Taxonomy) </w:t>
      </w:r>
      <w:r w:rsidR="00813DBE" w:rsidRPr="000C23D7">
        <w:rPr>
          <w:sz w:val="28"/>
          <w:szCs w:val="28"/>
          <w:lang w:val="en-US"/>
        </w:rPr>
        <w:t xml:space="preserve">/ </w:t>
      </w:r>
      <w:r w:rsidR="00813DBE" w:rsidRPr="000C23D7">
        <w:rPr>
          <w:rStyle w:val="Strong"/>
          <w:b w:val="0"/>
          <w:bCs w:val="0"/>
          <w:sz w:val="28"/>
          <w:szCs w:val="28"/>
          <w:lang w:val="en-US"/>
        </w:rPr>
        <w:t>European Parliament and Council</w:t>
      </w:r>
      <w:r w:rsidR="00813DBE" w:rsidRPr="000C23D7">
        <w:rPr>
          <w:sz w:val="28"/>
          <w:szCs w:val="28"/>
          <w:lang w:val="en-US"/>
        </w:rPr>
        <w:t xml:space="preserve"> //</w:t>
      </w:r>
      <w:r w:rsidR="009125F2" w:rsidRPr="000C23D7">
        <w:rPr>
          <w:sz w:val="28"/>
          <w:szCs w:val="28"/>
          <w:lang w:val="en-US"/>
        </w:rPr>
        <w:t xml:space="preserve"> </w:t>
      </w:r>
      <w:hyperlink r:id="rId172" w:tgtFrame="_new" w:history="1">
        <w:r w:rsidR="009125F2" w:rsidRPr="000C23D7">
          <w:rPr>
            <w:rStyle w:val="Hyperlink"/>
            <w:rFonts w:eastAsiaTheme="majorEastAsia"/>
            <w:color w:val="auto"/>
            <w:sz w:val="28"/>
            <w:szCs w:val="28"/>
            <w:u w:val="none"/>
            <w:lang w:val="en-US"/>
          </w:rPr>
          <w:t>https://eur-lex.europa.eu/eli/reg/2020/852/oj</w:t>
        </w:r>
      </w:hyperlink>
      <w:r w:rsidR="00813DBE" w:rsidRPr="000C23D7">
        <w:rPr>
          <w:rStyle w:val="Hyperlink"/>
          <w:rFonts w:eastAsiaTheme="majorEastAsia"/>
          <w:color w:val="auto"/>
          <w:sz w:val="28"/>
          <w:szCs w:val="28"/>
          <w:u w:val="none"/>
          <w:lang w:val="en-US"/>
        </w:rPr>
        <w:t>.</w:t>
      </w:r>
      <w:r w:rsidR="009125F2" w:rsidRPr="000C23D7">
        <w:rPr>
          <w:sz w:val="28"/>
          <w:szCs w:val="28"/>
          <w:lang w:val="en-US"/>
        </w:rPr>
        <w:t xml:space="preserve"> 15.05.2025.</w:t>
      </w:r>
    </w:p>
    <w:p w14:paraId="553D69AA" w14:textId="31096140" w:rsidR="009125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50 </w:t>
      </w:r>
      <w:r w:rsidR="009125F2" w:rsidRPr="000C23D7">
        <w:rPr>
          <w:rStyle w:val="Strong"/>
          <w:b w:val="0"/>
          <w:bCs w:val="0"/>
          <w:sz w:val="28"/>
          <w:szCs w:val="28"/>
          <w:lang w:val="en-US"/>
        </w:rPr>
        <w:t>Beggs A. K.</w:t>
      </w:r>
      <w:r w:rsidR="009125F2" w:rsidRPr="000C23D7">
        <w:rPr>
          <w:sz w:val="28"/>
          <w:szCs w:val="28"/>
          <w:lang w:val="en-US"/>
        </w:rPr>
        <w:t xml:space="preserve"> Promoting Human Rights and Environmental Sustainability: Integrating Ethics into the Supply Chain </w:t>
      </w:r>
      <w:r w:rsidR="00813DBE" w:rsidRPr="000C23D7">
        <w:rPr>
          <w:sz w:val="28"/>
          <w:szCs w:val="28"/>
          <w:lang w:val="en-US"/>
        </w:rPr>
        <w:t xml:space="preserve">// </w:t>
      </w:r>
      <w:hyperlink r:id="rId173" w:history="1">
        <w:r w:rsidR="00813DBE" w:rsidRPr="000C23D7">
          <w:rPr>
            <w:rStyle w:val="Hyperlink"/>
            <w:rFonts w:eastAsiaTheme="majorEastAsia"/>
            <w:color w:val="auto"/>
            <w:sz w:val="28"/>
            <w:szCs w:val="28"/>
            <w:u w:val="none"/>
            <w:lang w:val="en-US"/>
          </w:rPr>
          <w:t>https://natlawreview.com.</w:t>
        </w:r>
      </w:hyperlink>
      <w:r w:rsidR="009125F2" w:rsidRPr="000C23D7">
        <w:rPr>
          <w:sz w:val="28"/>
          <w:szCs w:val="28"/>
          <w:lang w:val="en-US"/>
        </w:rPr>
        <w:t xml:space="preserve"> 15.05.2025.</w:t>
      </w:r>
    </w:p>
    <w:p w14:paraId="05C052D3" w14:textId="5B89AC83" w:rsidR="00D34D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51</w:t>
      </w:r>
      <w:r w:rsidR="00D34DF2" w:rsidRPr="000C23D7">
        <w:rPr>
          <w:sz w:val="28"/>
          <w:szCs w:val="28"/>
          <w:lang w:val="en-US"/>
        </w:rPr>
        <w:t xml:space="preserve"> Directive (EU) 2024/1760 on corporate sustainability due diligence </w:t>
      </w:r>
      <w:r w:rsidR="00547E84" w:rsidRPr="000C23D7">
        <w:rPr>
          <w:sz w:val="28"/>
          <w:szCs w:val="28"/>
          <w:lang w:val="en-US"/>
        </w:rPr>
        <w:t xml:space="preserve">/ </w:t>
      </w:r>
      <w:r w:rsidR="00547E84" w:rsidRPr="000C23D7">
        <w:rPr>
          <w:rStyle w:val="Strong"/>
          <w:b w:val="0"/>
          <w:bCs w:val="0"/>
          <w:sz w:val="28"/>
          <w:szCs w:val="28"/>
          <w:lang w:val="en-US"/>
        </w:rPr>
        <w:t>European Parliament and Council</w:t>
      </w:r>
      <w:r w:rsidR="00547E84" w:rsidRPr="000C23D7">
        <w:rPr>
          <w:sz w:val="28"/>
          <w:szCs w:val="28"/>
          <w:lang w:val="en-US"/>
        </w:rPr>
        <w:t xml:space="preserve"> //</w:t>
      </w:r>
      <w:r w:rsidR="00D34DF2" w:rsidRPr="000C23D7">
        <w:rPr>
          <w:sz w:val="28"/>
          <w:szCs w:val="28"/>
          <w:lang w:val="en-US"/>
        </w:rPr>
        <w:t xml:space="preserve"> </w:t>
      </w:r>
      <w:hyperlink r:id="rId174" w:history="1">
        <w:r w:rsidR="00547E84" w:rsidRPr="000C23D7">
          <w:rPr>
            <w:rStyle w:val="Hyperlink"/>
            <w:rFonts w:eastAsiaTheme="majorEastAsia"/>
            <w:color w:val="auto"/>
            <w:sz w:val="28"/>
            <w:szCs w:val="28"/>
            <w:u w:val="none"/>
            <w:lang w:val="en-US"/>
          </w:rPr>
          <w:t>http://data.europa.eu/eli/dir/2024.</w:t>
        </w:r>
      </w:hyperlink>
      <w:r w:rsidR="00D34DF2" w:rsidRPr="000C23D7">
        <w:rPr>
          <w:sz w:val="28"/>
          <w:szCs w:val="28"/>
          <w:lang w:val="en-US"/>
        </w:rPr>
        <w:t xml:space="preserve"> 12.02.2025.</w:t>
      </w:r>
    </w:p>
    <w:p w14:paraId="3E360952" w14:textId="137D75EA" w:rsidR="00D34D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 xml:space="preserve">52 </w:t>
      </w:r>
      <w:r w:rsidR="00D34DF2" w:rsidRPr="000C23D7">
        <w:rPr>
          <w:rStyle w:val="Strong"/>
          <w:b w:val="0"/>
          <w:bCs w:val="0"/>
          <w:sz w:val="28"/>
          <w:szCs w:val="28"/>
          <w:lang w:val="en-US"/>
        </w:rPr>
        <w:t>Scott M.</w:t>
      </w:r>
      <w:r w:rsidR="00D34DF2" w:rsidRPr="000C23D7">
        <w:rPr>
          <w:sz w:val="28"/>
          <w:szCs w:val="28"/>
          <w:lang w:val="en-US"/>
        </w:rPr>
        <w:t xml:space="preserve"> ESG Watch: New European human rights rules leave companies with ‘big gap to close’ </w:t>
      </w:r>
      <w:r w:rsidR="00547E84" w:rsidRPr="000C23D7">
        <w:rPr>
          <w:sz w:val="28"/>
          <w:szCs w:val="28"/>
          <w:lang w:val="en-US"/>
        </w:rPr>
        <w:t>//</w:t>
      </w:r>
      <w:r w:rsidR="00D34DF2" w:rsidRPr="000C23D7">
        <w:rPr>
          <w:sz w:val="28"/>
          <w:szCs w:val="28"/>
          <w:lang w:val="en-US"/>
        </w:rPr>
        <w:t xml:space="preserve"> </w:t>
      </w:r>
      <w:hyperlink r:id="rId175" w:history="1">
        <w:r w:rsidR="00547E84" w:rsidRPr="000C23D7">
          <w:rPr>
            <w:rStyle w:val="Hyperlink"/>
            <w:rFonts w:eastAsiaTheme="majorEastAsia"/>
            <w:color w:val="auto"/>
            <w:sz w:val="28"/>
            <w:szCs w:val="28"/>
            <w:u w:val="none"/>
            <w:lang w:val="en-US"/>
          </w:rPr>
          <w:t>https://www.reuters.com/sustainability/society.</w:t>
        </w:r>
      </w:hyperlink>
      <w:r w:rsidR="00D34DF2" w:rsidRPr="000C23D7">
        <w:rPr>
          <w:sz w:val="28"/>
          <w:szCs w:val="28"/>
          <w:lang w:val="en-US"/>
        </w:rPr>
        <w:t xml:space="preserve"> 03.03.2025.</w:t>
      </w:r>
    </w:p>
    <w:p w14:paraId="3A10701F" w14:textId="331922B4" w:rsidR="00D34D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53</w:t>
      </w:r>
      <w:r w:rsidR="00D34DF2" w:rsidRPr="000C23D7">
        <w:rPr>
          <w:sz w:val="28"/>
          <w:szCs w:val="28"/>
          <w:lang w:val="en-US"/>
        </w:rPr>
        <w:t xml:space="preserve"> 90% of world’s 2,000 most influential companies failing to ensure human rights, decent work and ethical conduct </w:t>
      </w:r>
      <w:r w:rsidR="00547E84" w:rsidRPr="000C23D7">
        <w:rPr>
          <w:sz w:val="28"/>
          <w:szCs w:val="28"/>
          <w:lang w:val="en-US"/>
        </w:rPr>
        <w:t xml:space="preserve">/ </w:t>
      </w:r>
      <w:r w:rsidR="00547E84" w:rsidRPr="000C23D7">
        <w:rPr>
          <w:rStyle w:val="Strong"/>
          <w:b w:val="0"/>
          <w:bCs w:val="0"/>
          <w:sz w:val="28"/>
          <w:szCs w:val="28"/>
          <w:lang w:val="en-US"/>
        </w:rPr>
        <w:t>World Benchmarking Alliance</w:t>
      </w:r>
      <w:r w:rsidR="00547E84" w:rsidRPr="000C23D7">
        <w:rPr>
          <w:sz w:val="28"/>
          <w:szCs w:val="28"/>
          <w:lang w:val="en-US"/>
        </w:rPr>
        <w:t xml:space="preserve"> // </w:t>
      </w:r>
      <w:hyperlink r:id="rId176" w:history="1">
        <w:r w:rsidR="00547E84" w:rsidRPr="000C23D7">
          <w:rPr>
            <w:rStyle w:val="Hyperlink"/>
            <w:rFonts w:eastAsiaTheme="majorEastAsia"/>
            <w:color w:val="auto"/>
            <w:sz w:val="28"/>
            <w:szCs w:val="28"/>
            <w:u w:val="none"/>
            <w:lang w:val="en-US"/>
          </w:rPr>
          <w:t>https://www.worldbenchmarkingalliance.org/news/social-benchmark.</w:t>
        </w:r>
      </w:hyperlink>
      <w:r w:rsidR="00D34DF2" w:rsidRPr="000C23D7">
        <w:rPr>
          <w:sz w:val="28"/>
          <w:szCs w:val="28"/>
          <w:lang w:val="en-US"/>
        </w:rPr>
        <w:t xml:space="preserve"> 18.01.2025.</w:t>
      </w:r>
    </w:p>
    <w:p w14:paraId="23AA2D3B" w14:textId="6BA312A1" w:rsidR="00D34DF2" w:rsidRPr="000C23D7" w:rsidRDefault="008F2BB1"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54</w:t>
      </w:r>
      <w:r w:rsidR="00D34DF2" w:rsidRPr="000C23D7">
        <w:rPr>
          <w:sz w:val="28"/>
          <w:szCs w:val="28"/>
          <w:lang w:val="en-US"/>
        </w:rPr>
        <w:t xml:space="preserve"> Report on the EU strategy on Central Asia (2023/2089(INI)) [A9-0407/2023] </w:t>
      </w:r>
      <w:r w:rsidR="00547E84" w:rsidRPr="000C23D7">
        <w:rPr>
          <w:sz w:val="28"/>
          <w:szCs w:val="28"/>
          <w:lang w:val="en-US"/>
        </w:rPr>
        <w:t xml:space="preserve">/ </w:t>
      </w:r>
      <w:r w:rsidR="00547E84" w:rsidRPr="000C23D7">
        <w:rPr>
          <w:rStyle w:val="Strong"/>
          <w:b w:val="0"/>
          <w:bCs w:val="0"/>
          <w:sz w:val="28"/>
          <w:szCs w:val="28"/>
          <w:lang w:val="en-US"/>
        </w:rPr>
        <w:t>European Parliament</w:t>
      </w:r>
      <w:r w:rsidR="00547E84" w:rsidRPr="000C23D7">
        <w:rPr>
          <w:sz w:val="28"/>
          <w:szCs w:val="28"/>
          <w:lang w:val="en-US"/>
        </w:rPr>
        <w:t xml:space="preserve"> //</w:t>
      </w:r>
      <w:r w:rsidR="00D34DF2" w:rsidRPr="000C23D7">
        <w:rPr>
          <w:sz w:val="28"/>
          <w:szCs w:val="28"/>
          <w:lang w:val="en-US"/>
        </w:rPr>
        <w:t xml:space="preserve"> </w:t>
      </w:r>
      <w:hyperlink r:id="rId177" w:history="1">
        <w:r w:rsidR="00547E84" w:rsidRPr="000C23D7">
          <w:rPr>
            <w:rStyle w:val="Hyperlink"/>
            <w:rFonts w:eastAsiaTheme="majorEastAsia"/>
            <w:color w:val="auto"/>
            <w:sz w:val="28"/>
            <w:szCs w:val="28"/>
            <w:u w:val="none"/>
            <w:lang w:val="en-US"/>
          </w:rPr>
          <w:t>https://www.europarl.europa.eu/.</w:t>
        </w:r>
      </w:hyperlink>
      <w:r w:rsidR="00D34DF2" w:rsidRPr="000C23D7">
        <w:rPr>
          <w:sz w:val="28"/>
          <w:szCs w:val="28"/>
          <w:lang w:val="en-US"/>
        </w:rPr>
        <w:t xml:space="preserve"> 09.02.2025.</w:t>
      </w:r>
    </w:p>
    <w:p w14:paraId="5295ED59" w14:textId="6C112517"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lastRenderedPageBreak/>
        <w:t>55</w:t>
      </w:r>
      <w:r w:rsidR="00B71030" w:rsidRPr="000C23D7">
        <w:rPr>
          <w:rStyle w:val="Strong"/>
          <w:b w:val="0"/>
          <w:bCs w:val="0"/>
          <w:sz w:val="28"/>
          <w:szCs w:val="28"/>
          <w:lang w:val="kk-KZ"/>
        </w:rPr>
        <w:t xml:space="preserve"> </w:t>
      </w:r>
      <w:r w:rsidR="00D34DF2" w:rsidRPr="000C23D7">
        <w:rPr>
          <w:sz w:val="28"/>
          <w:szCs w:val="28"/>
          <w:lang w:val="en-US"/>
        </w:rPr>
        <w:t xml:space="preserve">Kazakhstan: 15th EU–Kazakhstan Human Rights Dialogue held in Astana </w:t>
      </w:r>
      <w:r w:rsidR="00A96972" w:rsidRPr="000C23D7">
        <w:rPr>
          <w:sz w:val="28"/>
          <w:szCs w:val="28"/>
          <w:lang w:val="en-US"/>
        </w:rPr>
        <w:t xml:space="preserve">/ </w:t>
      </w:r>
      <w:r w:rsidR="002301E1" w:rsidRPr="000C23D7">
        <w:rPr>
          <w:rStyle w:val="Strong"/>
          <w:b w:val="0"/>
          <w:bCs w:val="0"/>
          <w:sz w:val="28"/>
          <w:szCs w:val="28"/>
          <w:lang w:val="en-US"/>
        </w:rPr>
        <w:t>European External Action Service</w:t>
      </w:r>
      <w:r w:rsidR="00A96972" w:rsidRPr="000C23D7">
        <w:rPr>
          <w:rStyle w:val="Strong"/>
          <w:b w:val="0"/>
          <w:bCs w:val="0"/>
          <w:sz w:val="28"/>
          <w:szCs w:val="28"/>
          <w:lang w:val="en-US"/>
        </w:rPr>
        <w:t xml:space="preserve"> //</w:t>
      </w:r>
      <w:r w:rsidR="00D34DF2" w:rsidRPr="000C23D7">
        <w:rPr>
          <w:sz w:val="28"/>
          <w:szCs w:val="28"/>
          <w:lang w:val="en-US"/>
        </w:rPr>
        <w:t xml:space="preserve"> </w:t>
      </w:r>
      <w:hyperlink r:id="rId178" w:history="1">
        <w:r w:rsidR="00A96972" w:rsidRPr="000C23D7">
          <w:rPr>
            <w:rStyle w:val="Hyperlink"/>
            <w:rFonts w:eastAsiaTheme="majorEastAsia"/>
            <w:color w:val="auto"/>
            <w:sz w:val="28"/>
            <w:szCs w:val="28"/>
            <w:u w:val="none"/>
            <w:lang w:val="en-US"/>
          </w:rPr>
          <w:t>https://www.eeas.europa.eu.</w:t>
        </w:r>
      </w:hyperlink>
      <w:r w:rsidR="00A96972" w:rsidRPr="000C23D7">
        <w:rPr>
          <w:rStyle w:val="Hyperlink"/>
          <w:rFonts w:eastAsiaTheme="majorEastAsia"/>
          <w:color w:val="auto"/>
          <w:sz w:val="28"/>
          <w:szCs w:val="28"/>
          <w:u w:val="none"/>
          <w:lang w:val="en-US"/>
        </w:rPr>
        <w:t xml:space="preserve"> </w:t>
      </w:r>
      <w:r w:rsidR="00D34DF2" w:rsidRPr="000C23D7">
        <w:rPr>
          <w:sz w:val="28"/>
          <w:szCs w:val="28"/>
          <w:lang w:val="en-US"/>
        </w:rPr>
        <w:t>27.02.2025.</w:t>
      </w:r>
    </w:p>
    <w:p w14:paraId="5CBF6305" w14:textId="1A5E8880"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56</w:t>
      </w:r>
      <w:r w:rsidR="00D34DF2" w:rsidRPr="000C23D7">
        <w:rPr>
          <w:sz w:val="28"/>
          <w:szCs w:val="28"/>
          <w:lang w:val="en-US"/>
        </w:rPr>
        <w:t xml:space="preserve"> Corporate sustainability reporting </w:t>
      </w:r>
      <w:r w:rsidR="00B60D80" w:rsidRPr="000C23D7">
        <w:rPr>
          <w:sz w:val="28"/>
          <w:szCs w:val="28"/>
          <w:lang w:val="en-US"/>
        </w:rPr>
        <w:t xml:space="preserve">/ </w:t>
      </w:r>
      <w:r w:rsidR="00B60D80" w:rsidRPr="000C23D7">
        <w:rPr>
          <w:rStyle w:val="Strong"/>
          <w:b w:val="0"/>
          <w:bCs w:val="0"/>
          <w:sz w:val="28"/>
          <w:szCs w:val="28"/>
          <w:lang w:val="en-US"/>
        </w:rPr>
        <w:t>European Commission</w:t>
      </w:r>
      <w:r w:rsidR="00B60D80" w:rsidRPr="000C23D7">
        <w:rPr>
          <w:sz w:val="28"/>
          <w:szCs w:val="28"/>
          <w:lang w:val="en-US"/>
        </w:rPr>
        <w:t xml:space="preserve"> //</w:t>
      </w:r>
      <w:r w:rsidR="00D34DF2" w:rsidRPr="000C23D7">
        <w:rPr>
          <w:sz w:val="28"/>
          <w:szCs w:val="28"/>
          <w:lang w:val="en-US"/>
        </w:rPr>
        <w:t xml:space="preserve"> </w:t>
      </w:r>
      <w:hyperlink r:id="rId179" w:history="1">
        <w:r w:rsidR="002301E1" w:rsidRPr="000C23D7">
          <w:rPr>
            <w:rStyle w:val="Hyperlink"/>
            <w:rFonts w:eastAsiaTheme="majorEastAsia"/>
            <w:color w:val="auto"/>
            <w:sz w:val="28"/>
            <w:szCs w:val="28"/>
            <w:u w:val="none"/>
            <w:lang w:val="en-US"/>
          </w:rPr>
          <w:t>https://finance.ec.europa.eu/capital-markets-union-and-financial.</w:t>
        </w:r>
      </w:hyperlink>
      <w:r w:rsidR="00D34DF2" w:rsidRPr="000C23D7">
        <w:rPr>
          <w:sz w:val="28"/>
          <w:szCs w:val="28"/>
          <w:lang w:val="en-US"/>
        </w:rPr>
        <w:t xml:space="preserve"> 06.01.2025.</w:t>
      </w:r>
    </w:p>
    <w:p w14:paraId="3546A20A" w14:textId="75D4E7D3"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57</w:t>
      </w:r>
      <w:r w:rsidR="00D34DF2" w:rsidRPr="000C23D7">
        <w:rPr>
          <w:sz w:val="28"/>
          <w:szCs w:val="28"/>
          <w:lang w:val="en-US"/>
        </w:rPr>
        <w:t xml:space="preserve"> Directive (EU) 2024/1760 of 13 June 2024 on corporate sustainability due diligence and amending Directive (EU) 2019/1937 and Regulation (EU) 2023/2859 </w:t>
      </w:r>
      <w:r w:rsidR="00B00632" w:rsidRPr="000C23D7">
        <w:rPr>
          <w:sz w:val="28"/>
          <w:szCs w:val="28"/>
          <w:lang w:val="en-US"/>
        </w:rPr>
        <w:t xml:space="preserve">/ </w:t>
      </w:r>
      <w:r w:rsidR="00B00632" w:rsidRPr="000C23D7">
        <w:rPr>
          <w:rStyle w:val="Strong"/>
          <w:b w:val="0"/>
          <w:bCs w:val="0"/>
          <w:sz w:val="28"/>
          <w:szCs w:val="28"/>
          <w:lang w:val="en-US"/>
        </w:rPr>
        <w:t>European Parliament and Council of the European Union</w:t>
      </w:r>
      <w:r w:rsidR="00B00632" w:rsidRPr="000C23D7">
        <w:rPr>
          <w:sz w:val="28"/>
          <w:szCs w:val="28"/>
          <w:lang w:val="en-US"/>
        </w:rPr>
        <w:t xml:space="preserve"> </w:t>
      </w:r>
      <w:r w:rsidR="00D34DF2" w:rsidRPr="000C23D7">
        <w:rPr>
          <w:sz w:val="28"/>
          <w:szCs w:val="28"/>
          <w:lang w:val="en-US"/>
        </w:rPr>
        <w:t xml:space="preserve">// </w:t>
      </w:r>
      <w:hyperlink r:id="rId180" w:tgtFrame="_new" w:history="1">
        <w:r w:rsidR="00D34DF2" w:rsidRPr="000C23D7">
          <w:rPr>
            <w:rStyle w:val="Hyperlink"/>
            <w:rFonts w:eastAsiaTheme="majorEastAsia"/>
            <w:color w:val="auto"/>
            <w:sz w:val="28"/>
            <w:szCs w:val="28"/>
            <w:u w:val="none"/>
            <w:lang w:val="en-US"/>
          </w:rPr>
          <w:t>https://eur-lex.europa.eu/eli/dir/2024/1760/oj/eng</w:t>
        </w:r>
      </w:hyperlink>
      <w:r w:rsidR="00B00632" w:rsidRPr="000C23D7">
        <w:rPr>
          <w:rStyle w:val="Hyperlink"/>
          <w:rFonts w:eastAsiaTheme="majorEastAsia"/>
          <w:color w:val="auto"/>
          <w:sz w:val="28"/>
          <w:szCs w:val="28"/>
          <w:u w:val="none"/>
          <w:lang w:val="en-US"/>
        </w:rPr>
        <w:t>.</w:t>
      </w:r>
      <w:r w:rsidR="00D34DF2" w:rsidRPr="000C23D7">
        <w:rPr>
          <w:sz w:val="28"/>
          <w:szCs w:val="28"/>
          <w:lang w:val="en-US"/>
        </w:rPr>
        <w:t xml:space="preserve"> 21.03.2025.</w:t>
      </w:r>
    </w:p>
    <w:p w14:paraId="71C330B2" w14:textId="33EF945E"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58</w:t>
      </w:r>
      <w:r w:rsidR="00B71030" w:rsidRPr="000C23D7">
        <w:rPr>
          <w:rStyle w:val="Strong"/>
          <w:b w:val="0"/>
          <w:bCs w:val="0"/>
          <w:sz w:val="28"/>
          <w:szCs w:val="28"/>
          <w:lang w:val="kk-KZ"/>
        </w:rPr>
        <w:t xml:space="preserve"> </w:t>
      </w:r>
      <w:r w:rsidR="00B00632" w:rsidRPr="000C23D7">
        <w:rPr>
          <w:sz w:val="28"/>
          <w:szCs w:val="28"/>
        </w:rPr>
        <w:t xml:space="preserve">Постановление Правительства </w:t>
      </w:r>
      <w:r w:rsidR="00B00632" w:rsidRPr="000C23D7">
        <w:rPr>
          <w:rStyle w:val="Strong"/>
          <w:b w:val="0"/>
          <w:bCs w:val="0"/>
          <w:sz w:val="28"/>
          <w:szCs w:val="28"/>
        </w:rPr>
        <w:t xml:space="preserve">Республики Казахстан. Об утверждении </w:t>
      </w:r>
      <w:r w:rsidR="00D34DF2" w:rsidRPr="000C23D7">
        <w:rPr>
          <w:sz w:val="28"/>
          <w:szCs w:val="28"/>
        </w:rPr>
        <w:t>План</w:t>
      </w:r>
      <w:r w:rsidR="00B00632" w:rsidRPr="000C23D7">
        <w:rPr>
          <w:sz w:val="28"/>
          <w:szCs w:val="28"/>
        </w:rPr>
        <w:t>а</w:t>
      </w:r>
      <w:r w:rsidR="00D34DF2" w:rsidRPr="000C23D7">
        <w:rPr>
          <w:sz w:val="28"/>
          <w:szCs w:val="28"/>
        </w:rPr>
        <w:t xml:space="preserve"> дальнейших мер в области прав человека и верховенства закона</w:t>
      </w:r>
      <w:r w:rsidR="00B00632" w:rsidRPr="000C23D7">
        <w:rPr>
          <w:sz w:val="28"/>
          <w:szCs w:val="28"/>
        </w:rPr>
        <w:t>: утв. 28 апреля 2022 года, №258 //</w:t>
      </w:r>
      <w:r w:rsidR="00D34DF2" w:rsidRPr="000C23D7">
        <w:rPr>
          <w:sz w:val="28"/>
          <w:szCs w:val="28"/>
        </w:rPr>
        <w:t xml:space="preserve"> </w:t>
      </w:r>
      <w:hyperlink r:id="rId181" w:history="1">
        <w:r w:rsidR="00B00632" w:rsidRPr="000C23D7">
          <w:rPr>
            <w:rStyle w:val="Hyperlink"/>
            <w:rFonts w:eastAsiaTheme="majorEastAsia"/>
            <w:color w:val="auto"/>
            <w:sz w:val="28"/>
            <w:szCs w:val="28"/>
            <w:u w:val="none"/>
          </w:rPr>
          <w:t>https://primeminister.kz/ru/news.</w:t>
        </w:r>
      </w:hyperlink>
      <w:r w:rsidR="00D34DF2" w:rsidRPr="000C23D7">
        <w:rPr>
          <w:sz w:val="28"/>
          <w:szCs w:val="28"/>
        </w:rPr>
        <w:t xml:space="preserve"> </w:t>
      </w:r>
      <w:r w:rsidR="00D34DF2" w:rsidRPr="000C23D7">
        <w:rPr>
          <w:sz w:val="28"/>
          <w:szCs w:val="28"/>
          <w:lang w:val="en-US"/>
        </w:rPr>
        <w:t>14.02.2025.</w:t>
      </w:r>
    </w:p>
    <w:p w14:paraId="68301F69" w14:textId="2D5E8296"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59</w:t>
      </w:r>
      <w:r w:rsidR="00D34DF2" w:rsidRPr="000C23D7">
        <w:rPr>
          <w:sz w:val="28"/>
          <w:szCs w:val="28"/>
          <w:lang w:val="en-US"/>
        </w:rPr>
        <w:t xml:space="preserve"> EU Action Plan on Human Rights and Democracy 2020–2024 (Council Conclusions No. 11855/20) </w:t>
      </w:r>
      <w:r w:rsidR="00B00632" w:rsidRPr="000C23D7">
        <w:rPr>
          <w:sz w:val="28"/>
          <w:szCs w:val="28"/>
          <w:lang w:val="en-US"/>
        </w:rPr>
        <w:t xml:space="preserve">/ </w:t>
      </w:r>
      <w:r w:rsidR="00B00632" w:rsidRPr="000C23D7">
        <w:rPr>
          <w:rStyle w:val="Strong"/>
          <w:b w:val="0"/>
          <w:bCs w:val="0"/>
          <w:sz w:val="28"/>
          <w:szCs w:val="28"/>
          <w:lang w:val="en-US"/>
        </w:rPr>
        <w:t>Council of the European Union</w:t>
      </w:r>
      <w:r w:rsidR="00B00632" w:rsidRPr="000C23D7">
        <w:rPr>
          <w:sz w:val="28"/>
          <w:szCs w:val="28"/>
          <w:lang w:val="en-US"/>
        </w:rPr>
        <w:t xml:space="preserve"> //</w:t>
      </w:r>
      <w:r w:rsidR="00D34DF2" w:rsidRPr="000C23D7">
        <w:rPr>
          <w:sz w:val="28"/>
          <w:szCs w:val="28"/>
          <w:lang w:val="en-US"/>
        </w:rPr>
        <w:t xml:space="preserve"> </w:t>
      </w:r>
      <w:hyperlink r:id="rId182" w:history="1">
        <w:r w:rsidR="00B00632" w:rsidRPr="000C23D7">
          <w:rPr>
            <w:rStyle w:val="Hyperlink"/>
            <w:rFonts w:eastAsiaTheme="majorEastAsia"/>
            <w:color w:val="auto"/>
            <w:sz w:val="28"/>
            <w:szCs w:val="28"/>
            <w:u w:val="none"/>
            <w:lang w:val="en-US"/>
          </w:rPr>
          <w:t>https://data.consilium.europa.eu/doc/document/ST-11855-2020-INIT/en</w:t>
        </w:r>
      </w:hyperlink>
      <w:r w:rsidR="00B00632" w:rsidRPr="000C23D7">
        <w:rPr>
          <w:rStyle w:val="Hyperlink"/>
          <w:rFonts w:eastAsiaTheme="majorEastAsia"/>
          <w:color w:val="auto"/>
          <w:sz w:val="28"/>
          <w:szCs w:val="28"/>
          <w:u w:val="none"/>
          <w:lang w:val="en-US"/>
        </w:rPr>
        <w:t>.</w:t>
      </w:r>
      <w:r w:rsidR="00D34DF2" w:rsidRPr="000C23D7">
        <w:rPr>
          <w:sz w:val="28"/>
          <w:szCs w:val="28"/>
          <w:lang w:val="en-US"/>
        </w:rPr>
        <w:t xml:space="preserve"> 25.01.2025.</w:t>
      </w:r>
    </w:p>
    <w:p w14:paraId="1931FE00" w14:textId="649DB9E5" w:rsidR="00D34DF2" w:rsidRPr="002064D8"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60</w:t>
      </w:r>
      <w:r w:rsidR="00B71030" w:rsidRPr="000C23D7">
        <w:rPr>
          <w:rStyle w:val="Strong"/>
          <w:b w:val="0"/>
          <w:bCs w:val="0"/>
          <w:sz w:val="28"/>
          <w:szCs w:val="28"/>
          <w:lang w:val="kk-KZ"/>
        </w:rPr>
        <w:t xml:space="preserve"> </w:t>
      </w:r>
      <w:r w:rsidR="00D34DF2" w:rsidRPr="000C23D7">
        <w:rPr>
          <w:rStyle w:val="Strong"/>
          <w:b w:val="0"/>
          <w:bCs w:val="0"/>
          <w:sz w:val="28"/>
          <w:szCs w:val="28"/>
        </w:rPr>
        <w:t>Президент Республики Казахстан</w:t>
      </w:r>
      <w:r w:rsidR="00D34DF2" w:rsidRPr="000C23D7">
        <w:rPr>
          <w:sz w:val="28"/>
          <w:szCs w:val="28"/>
        </w:rPr>
        <w:t xml:space="preserve"> К</w:t>
      </w:r>
      <w:r w:rsidR="00B00632" w:rsidRPr="000C23D7">
        <w:rPr>
          <w:sz w:val="28"/>
          <w:szCs w:val="28"/>
        </w:rPr>
        <w:t>.</w:t>
      </w:r>
      <w:r w:rsidR="00D34DF2" w:rsidRPr="000C23D7">
        <w:rPr>
          <w:sz w:val="28"/>
          <w:szCs w:val="28"/>
        </w:rPr>
        <w:t>-Ж</w:t>
      </w:r>
      <w:r w:rsidR="00B00632" w:rsidRPr="000C23D7">
        <w:rPr>
          <w:sz w:val="28"/>
          <w:szCs w:val="28"/>
        </w:rPr>
        <w:t>.</w:t>
      </w:r>
      <w:r w:rsidR="00D34DF2" w:rsidRPr="000C23D7">
        <w:rPr>
          <w:sz w:val="28"/>
          <w:szCs w:val="28"/>
        </w:rPr>
        <w:t xml:space="preserve"> Токаев</w:t>
      </w:r>
      <w:r w:rsidR="00B00632" w:rsidRPr="000C23D7">
        <w:rPr>
          <w:sz w:val="28"/>
          <w:szCs w:val="28"/>
        </w:rPr>
        <w:t xml:space="preserve">. </w:t>
      </w:r>
      <w:r w:rsidR="00D34DF2" w:rsidRPr="000C23D7">
        <w:rPr>
          <w:sz w:val="28"/>
          <w:szCs w:val="28"/>
        </w:rPr>
        <w:t>Справедливый Казахстан – Закон и порядок, экономический рост, общественный оптимизм</w:t>
      </w:r>
      <w:r w:rsidR="00B00632" w:rsidRPr="000C23D7">
        <w:rPr>
          <w:sz w:val="28"/>
          <w:szCs w:val="28"/>
        </w:rPr>
        <w:t>: послание народу Казахстана //</w:t>
      </w:r>
      <w:r w:rsidR="00D34DF2" w:rsidRPr="000C23D7">
        <w:rPr>
          <w:sz w:val="28"/>
          <w:szCs w:val="28"/>
        </w:rPr>
        <w:t xml:space="preserve"> </w:t>
      </w:r>
      <w:hyperlink r:id="rId183" w:history="1">
        <w:r w:rsidR="00B00632" w:rsidRPr="000C23D7">
          <w:rPr>
            <w:rStyle w:val="Hyperlink"/>
            <w:rFonts w:eastAsiaTheme="majorEastAsia"/>
            <w:color w:val="auto"/>
            <w:sz w:val="28"/>
            <w:szCs w:val="28"/>
            <w:u w:val="none"/>
          </w:rPr>
          <w:t>https://www.akorda.kz/ru/poslanie.</w:t>
        </w:r>
      </w:hyperlink>
      <w:r w:rsidR="00D34DF2" w:rsidRPr="000C23D7">
        <w:rPr>
          <w:sz w:val="28"/>
          <w:szCs w:val="28"/>
        </w:rPr>
        <w:t xml:space="preserve"> </w:t>
      </w:r>
      <w:r w:rsidR="00D34DF2" w:rsidRPr="002064D8">
        <w:rPr>
          <w:sz w:val="28"/>
          <w:szCs w:val="28"/>
          <w:lang w:val="en-US"/>
        </w:rPr>
        <w:t>11.03.2025.</w:t>
      </w:r>
    </w:p>
    <w:p w14:paraId="2DEA0D55" w14:textId="64EB1E2C"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61</w:t>
      </w:r>
      <w:r w:rsidR="00D34DF2" w:rsidRPr="000C23D7">
        <w:rPr>
          <w:sz w:val="28"/>
          <w:szCs w:val="28"/>
          <w:lang w:val="en-US"/>
        </w:rPr>
        <w:t xml:space="preserve"> Enhanced Partnership and Cooperation Agreement between the European Union and the Republic of Kazakhstan / </w:t>
      </w:r>
      <w:r w:rsidR="00B00632" w:rsidRPr="000C23D7">
        <w:rPr>
          <w:rStyle w:val="Strong"/>
          <w:b w:val="0"/>
          <w:bCs w:val="0"/>
          <w:sz w:val="28"/>
          <w:szCs w:val="28"/>
          <w:lang w:val="en-US"/>
        </w:rPr>
        <w:t>European Union</w:t>
      </w:r>
      <w:r w:rsidR="00B00632" w:rsidRPr="000C23D7">
        <w:rPr>
          <w:sz w:val="28"/>
          <w:szCs w:val="28"/>
          <w:lang w:val="en-US"/>
        </w:rPr>
        <w:t xml:space="preserve"> // </w:t>
      </w:r>
      <w:hyperlink r:id="rId184" w:tgtFrame="_new" w:history="1">
        <w:r w:rsidR="00D34DF2" w:rsidRPr="000C23D7">
          <w:rPr>
            <w:rStyle w:val="Hyperlink"/>
            <w:rFonts w:eastAsiaTheme="majorEastAsia"/>
            <w:color w:val="auto"/>
            <w:sz w:val="28"/>
            <w:szCs w:val="28"/>
            <w:u w:val="none"/>
            <w:lang w:val="en-US"/>
          </w:rPr>
          <w:t>https://eur-lex.europa.eu/eli/agree_internation/2016/123/oj/eng</w:t>
        </w:r>
      </w:hyperlink>
      <w:r w:rsidR="00B00632" w:rsidRPr="000C23D7">
        <w:rPr>
          <w:rStyle w:val="Hyperlink"/>
          <w:rFonts w:eastAsiaTheme="majorEastAsia"/>
          <w:color w:val="auto"/>
          <w:sz w:val="28"/>
          <w:szCs w:val="28"/>
          <w:u w:val="none"/>
          <w:lang w:val="en-US"/>
        </w:rPr>
        <w:t>.</w:t>
      </w:r>
      <w:r w:rsidR="00D34DF2" w:rsidRPr="000C23D7">
        <w:rPr>
          <w:sz w:val="28"/>
          <w:szCs w:val="28"/>
          <w:lang w:val="en-US"/>
        </w:rPr>
        <w:t xml:space="preserve"> 08.01.2025.</w:t>
      </w:r>
    </w:p>
    <w:p w14:paraId="070E4CB9" w14:textId="12F63CA5"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62</w:t>
      </w:r>
      <w:r w:rsidR="00D34DF2" w:rsidRPr="000C23D7">
        <w:rPr>
          <w:sz w:val="28"/>
          <w:szCs w:val="28"/>
          <w:lang w:val="en-US"/>
        </w:rPr>
        <w:t xml:space="preserve"> 16th EU–Kazakhstan Human Rights Dialogue </w:t>
      </w:r>
      <w:r w:rsidR="00B00632" w:rsidRPr="000C23D7">
        <w:rPr>
          <w:sz w:val="28"/>
          <w:szCs w:val="28"/>
          <w:lang w:val="en-US"/>
        </w:rPr>
        <w:t xml:space="preserve">/ </w:t>
      </w:r>
      <w:r w:rsidR="00B00632" w:rsidRPr="000C23D7">
        <w:rPr>
          <w:rStyle w:val="Strong"/>
          <w:b w:val="0"/>
          <w:bCs w:val="0"/>
          <w:sz w:val="28"/>
          <w:szCs w:val="28"/>
          <w:lang w:val="en-US"/>
        </w:rPr>
        <w:t>European External Action Service</w:t>
      </w:r>
      <w:r w:rsidR="00B00632" w:rsidRPr="000C23D7">
        <w:rPr>
          <w:sz w:val="28"/>
          <w:szCs w:val="28"/>
          <w:lang w:val="en-US"/>
        </w:rPr>
        <w:t xml:space="preserve"> //</w:t>
      </w:r>
      <w:r w:rsidR="00D34DF2" w:rsidRPr="000C23D7">
        <w:rPr>
          <w:sz w:val="28"/>
          <w:szCs w:val="28"/>
          <w:lang w:val="en-US"/>
        </w:rPr>
        <w:t xml:space="preserve"> </w:t>
      </w:r>
      <w:hyperlink r:id="rId185" w:history="1">
        <w:r w:rsidR="00B00632" w:rsidRPr="000C23D7">
          <w:rPr>
            <w:rStyle w:val="Hyperlink"/>
            <w:rFonts w:eastAsiaTheme="majorEastAsia"/>
            <w:color w:val="auto"/>
            <w:sz w:val="28"/>
            <w:szCs w:val="28"/>
            <w:u w:val="none"/>
            <w:lang w:val="en-US"/>
          </w:rPr>
          <w:t>https://www.eeas.europa.eu/eeas/kazakhstan-eu-human-rights.</w:t>
        </w:r>
      </w:hyperlink>
      <w:r w:rsidR="00B00632" w:rsidRPr="000C23D7">
        <w:rPr>
          <w:rStyle w:val="Hyperlink"/>
          <w:rFonts w:eastAsiaTheme="majorEastAsia"/>
          <w:color w:val="auto"/>
          <w:sz w:val="28"/>
          <w:szCs w:val="28"/>
          <w:u w:val="none"/>
          <w:lang w:val="en-US"/>
        </w:rPr>
        <w:t xml:space="preserve"> </w:t>
      </w:r>
      <w:r w:rsidR="00D34DF2" w:rsidRPr="000C23D7">
        <w:rPr>
          <w:sz w:val="28"/>
          <w:szCs w:val="28"/>
          <w:lang w:val="en-US"/>
        </w:rPr>
        <w:t>19.03.2025.</w:t>
      </w:r>
    </w:p>
    <w:p w14:paraId="483370B7" w14:textId="2854FE4F"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63</w:t>
      </w:r>
      <w:r w:rsidR="00D34DF2" w:rsidRPr="000C23D7">
        <w:rPr>
          <w:sz w:val="28"/>
          <w:szCs w:val="28"/>
          <w:lang w:val="en-US"/>
        </w:rPr>
        <w:t xml:space="preserve"> Human rights indicators: A guide to measurement and implementation </w:t>
      </w:r>
      <w:r w:rsidR="00836942" w:rsidRPr="000C23D7">
        <w:rPr>
          <w:sz w:val="28"/>
          <w:szCs w:val="28"/>
          <w:lang w:val="en-US"/>
        </w:rPr>
        <w:t xml:space="preserve">/ </w:t>
      </w:r>
      <w:r w:rsidR="00836942" w:rsidRPr="000C23D7">
        <w:rPr>
          <w:rStyle w:val="Strong"/>
          <w:b w:val="0"/>
          <w:bCs w:val="0"/>
          <w:sz w:val="28"/>
          <w:szCs w:val="28"/>
          <w:lang w:val="en-US"/>
        </w:rPr>
        <w:t xml:space="preserve">Office of the United Nations High Commissioner for Human Rights (OHCHR) // </w:t>
      </w:r>
      <w:hyperlink r:id="rId186" w:tgtFrame="_new" w:history="1">
        <w:r w:rsidR="00D34DF2" w:rsidRPr="000C23D7">
          <w:rPr>
            <w:rStyle w:val="Hyperlink"/>
            <w:rFonts w:eastAsiaTheme="majorEastAsia"/>
            <w:color w:val="auto"/>
            <w:sz w:val="28"/>
            <w:szCs w:val="28"/>
            <w:u w:val="none"/>
            <w:lang w:val="en-US"/>
          </w:rPr>
          <w:t>https://www.refworld.org/reference/themreport/ohchr/2012/en/97602</w:t>
        </w:r>
      </w:hyperlink>
      <w:r w:rsidR="00836942" w:rsidRPr="000C23D7">
        <w:rPr>
          <w:rStyle w:val="Hyperlink"/>
          <w:rFonts w:eastAsiaTheme="majorEastAsia"/>
          <w:color w:val="auto"/>
          <w:sz w:val="28"/>
          <w:szCs w:val="28"/>
          <w:u w:val="none"/>
          <w:lang w:val="en-US"/>
        </w:rPr>
        <w:t>.</w:t>
      </w:r>
      <w:r w:rsidR="00D34DF2" w:rsidRPr="000C23D7">
        <w:rPr>
          <w:sz w:val="28"/>
          <w:szCs w:val="28"/>
          <w:lang w:val="en-US"/>
        </w:rPr>
        <w:t xml:space="preserve"> 05.01.2025.</w:t>
      </w:r>
    </w:p>
    <w:p w14:paraId="78780215" w14:textId="3F319369"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64</w:t>
      </w:r>
      <w:r w:rsidR="00D34DF2" w:rsidRPr="000C23D7">
        <w:rPr>
          <w:sz w:val="28"/>
          <w:szCs w:val="28"/>
          <w:lang w:val="en-US"/>
        </w:rPr>
        <w:t xml:space="preserve"> Fundamental Principles of Official Statistics </w:t>
      </w:r>
      <w:r w:rsidR="00836942" w:rsidRPr="000C23D7">
        <w:rPr>
          <w:sz w:val="28"/>
          <w:szCs w:val="28"/>
          <w:lang w:val="en-US"/>
        </w:rPr>
        <w:t xml:space="preserve">/ </w:t>
      </w:r>
      <w:r w:rsidR="00836942" w:rsidRPr="000C23D7">
        <w:rPr>
          <w:rStyle w:val="Strong"/>
          <w:b w:val="0"/>
          <w:bCs w:val="0"/>
          <w:sz w:val="28"/>
          <w:szCs w:val="28"/>
          <w:lang w:val="en-US"/>
        </w:rPr>
        <w:t>United Nations Statistics Division</w:t>
      </w:r>
      <w:r w:rsidR="00836942" w:rsidRPr="000C23D7">
        <w:rPr>
          <w:sz w:val="28"/>
          <w:szCs w:val="28"/>
          <w:lang w:val="en-US"/>
        </w:rPr>
        <w:t xml:space="preserve"> //</w:t>
      </w:r>
      <w:r w:rsidR="00D34DF2" w:rsidRPr="000C23D7">
        <w:rPr>
          <w:sz w:val="28"/>
          <w:szCs w:val="28"/>
          <w:lang w:val="en-US"/>
        </w:rPr>
        <w:t xml:space="preserve"> </w:t>
      </w:r>
      <w:hyperlink r:id="rId187" w:tgtFrame="_new" w:history="1">
        <w:r w:rsidR="00D34DF2" w:rsidRPr="000C23D7">
          <w:rPr>
            <w:rStyle w:val="Hyperlink"/>
            <w:rFonts w:eastAsiaTheme="majorEastAsia"/>
            <w:color w:val="auto"/>
            <w:sz w:val="28"/>
            <w:szCs w:val="28"/>
            <w:u w:val="none"/>
            <w:lang w:val="en-US"/>
          </w:rPr>
          <w:t>http://unstats.un.org/unsd/dnss/gp/fundprinciples.aspx</w:t>
        </w:r>
      </w:hyperlink>
      <w:r w:rsidR="00836942" w:rsidRPr="000C23D7">
        <w:rPr>
          <w:rStyle w:val="Hyperlink"/>
          <w:rFonts w:eastAsiaTheme="majorEastAsia"/>
          <w:color w:val="auto"/>
          <w:sz w:val="28"/>
          <w:szCs w:val="28"/>
          <w:u w:val="none"/>
          <w:lang w:val="en-US"/>
        </w:rPr>
        <w:t>.</w:t>
      </w:r>
      <w:r w:rsidR="00D34DF2" w:rsidRPr="000C23D7">
        <w:rPr>
          <w:sz w:val="28"/>
          <w:szCs w:val="28"/>
          <w:lang w:val="en-US"/>
        </w:rPr>
        <w:t xml:space="preserve"> 28.02.2025.</w:t>
      </w:r>
    </w:p>
    <w:p w14:paraId="2EF4C528" w14:textId="720D7F5E"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65</w:t>
      </w:r>
      <w:r w:rsidR="00D34DF2" w:rsidRPr="000C23D7">
        <w:rPr>
          <w:sz w:val="28"/>
          <w:szCs w:val="28"/>
          <w:lang w:val="en-US"/>
        </w:rPr>
        <w:t xml:space="preserve"> Declaration on Professional Ethics </w:t>
      </w:r>
      <w:r w:rsidR="00836942" w:rsidRPr="000C23D7">
        <w:rPr>
          <w:sz w:val="28"/>
          <w:szCs w:val="28"/>
          <w:lang w:val="en-US"/>
        </w:rPr>
        <w:t xml:space="preserve">/ </w:t>
      </w:r>
      <w:r w:rsidR="00836942" w:rsidRPr="000C23D7">
        <w:rPr>
          <w:rStyle w:val="Strong"/>
          <w:b w:val="0"/>
          <w:bCs w:val="0"/>
          <w:sz w:val="28"/>
          <w:szCs w:val="28"/>
          <w:lang w:val="en-US"/>
        </w:rPr>
        <w:t>International Statistical Institute</w:t>
      </w:r>
      <w:r w:rsidR="00836942" w:rsidRPr="000C23D7">
        <w:rPr>
          <w:sz w:val="28"/>
          <w:szCs w:val="28"/>
          <w:lang w:val="en-US"/>
        </w:rPr>
        <w:t xml:space="preserve"> //</w:t>
      </w:r>
      <w:r w:rsidR="00D34DF2" w:rsidRPr="000C23D7">
        <w:rPr>
          <w:sz w:val="28"/>
          <w:szCs w:val="28"/>
          <w:lang w:val="en-US"/>
        </w:rPr>
        <w:t xml:space="preserve"> </w:t>
      </w:r>
      <w:hyperlink r:id="rId188" w:history="1">
        <w:r w:rsidR="00836942" w:rsidRPr="000C23D7">
          <w:rPr>
            <w:rStyle w:val="Hyperlink"/>
            <w:rFonts w:eastAsiaTheme="majorEastAsia"/>
            <w:color w:val="auto"/>
            <w:sz w:val="28"/>
            <w:szCs w:val="28"/>
            <w:u w:val="none"/>
            <w:lang w:val="en-US"/>
          </w:rPr>
          <w:t>https://isi-web.org/index.php/activities/professional-ethics/isi</w:t>
        </w:r>
      </w:hyperlink>
      <w:r w:rsidR="00836942" w:rsidRPr="000C23D7">
        <w:rPr>
          <w:rStyle w:val="Hyperlink"/>
          <w:rFonts w:eastAsiaTheme="majorEastAsia"/>
          <w:color w:val="auto"/>
          <w:sz w:val="28"/>
          <w:szCs w:val="28"/>
          <w:u w:val="none"/>
          <w:lang w:val="en-US"/>
        </w:rPr>
        <w:t>.</w:t>
      </w:r>
      <w:r w:rsidR="00D34DF2" w:rsidRPr="000C23D7">
        <w:rPr>
          <w:sz w:val="28"/>
          <w:szCs w:val="28"/>
          <w:lang w:val="en-US"/>
        </w:rPr>
        <w:t xml:space="preserve"> 17.03.2025.</w:t>
      </w:r>
    </w:p>
    <w:p w14:paraId="7F3C6E2A" w14:textId="74D8E2E6"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66</w:t>
      </w:r>
      <w:r w:rsidR="00D34DF2" w:rsidRPr="000C23D7">
        <w:rPr>
          <w:sz w:val="28"/>
          <w:szCs w:val="28"/>
          <w:lang w:val="en-US"/>
        </w:rPr>
        <w:t xml:space="preserve"> The 2022 EU Justice Scoreboard</w:t>
      </w:r>
      <w:r w:rsidR="00836942" w:rsidRPr="000C23D7">
        <w:rPr>
          <w:sz w:val="28"/>
          <w:szCs w:val="28"/>
          <w:lang w:val="en-US"/>
        </w:rPr>
        <w:t xml:space="preserve"> / </w:t>
      </w:r>
      <w:r w:rsidR="00836942" w:rsidRPr="000C23D7">
        <w:rPr>
          <w:rStyle w:val="Strong"/>
          <w:b w:val="0"/>
          <w:bCs w:val="0"/>
          <w:sz w:val="28"/>
          <w:szCs w:val="28"/>
          <w:lang w:val="en-US"/>
        </w:rPr>
        <w:t>European Commission</w:t>
      </w:r>
      <w:r w:rsidR="00836942" w:rsidRPr="000C23D7">
        <w:rPr>
          <w:sz w:val="28"/>
          <w:szCs w:val="28"/>
          <w:lang w:val="en-US"/>
        </w:rPr>
        <w:t xml:space="preserve"> //</w:t>
      </w:r>
      <w:r w:rsidR="00D34DF2" w:rsidRPr="000C23D7">
        <w:rPr>
          <w:sz w:val="28"/>
          <w:szCs w:val="28"/>
          <w:lang w:val="en-US"/>
        </w:rPr>
        <w:t xml:space="preserve"> </w:t>
      </w:r>
      <w:hyperlink r:id="rId189" w:history="1">
        <w:r w:rsidR="00836942" w:rsidRPr="000C23D7">
          <w:rPr>
            <w:rStyle w:val="Hyperlink"/>
            <w:rFonts w:eastAsiaTheme="majorEastAsia"/>
            <w:color w:val="auto"/>
            <w:sz w:val="28"/>
            <w:szCs w:val="28"/>
            <w:u w:val="none"/>
            <w:lang w:val="en-US"/>
          </w:rPr>
          <w:t>https://commission.europa.eu/system/files/2022-05/eu_justice_.</w:t>
        </w:r>
      </w:hyperlink>
      <w:r w:rsidR="00D34DF2" w:rsidRPr="000C23D7">
        <w:rPr>
          <w:sz w:val="28"/>
          <w:szCs w:val="28"/>
          <w:lang w:val="en-US"/>
        </w:rPr>
        <w:t xml:space="preserve"> 04.02.2025.</w:t>
      </w:r>
    </w:p>
    <w:p w14:paraId="4C5B2AE8" w14:textId="37BA91BA" w:rsidR="00D34DF2" w:rsidRPr="000C23D7" w:rsidRDefault="005A640A"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6</w:t>
      </w:r>
      <w:r w:rsidR="006423E6" w:rsidRPr="000C23D7">
        <w:rPr>
          <w:rStyle w:val="Strong"/>
          <w:b w:val="0"/>
          <w:bCs w:val="0"/>
          <w:sz w:val="28"/>
          <w:szCs w:val="28"/>
          <w:lang w:val="kk-KZ"/>
        </w:rPr>
        <w:t>7</w:t>
      </w:r>
      <w:r w:rsidRPr="000C23D7">
        <w:rPr>
          <w:rStyle w:val="Strong"/>
          <w:b w:val="0"/>
          <w:bCs w:val="0"/>
          <w:sz w:val="28"/>
          <w:szCs w:val="28"/>
          <w:lang w:val="kk-KZ"/>
        </w:rPr>
        <w:t xml:space="preserve"> </w:t>
      </w:r>
      <w:r w:rsidR="00D34DF2" w:rsidRPr="000C23D7">
        <w:rPr>
          <w:sz w:val="28"/>
          <w:szCs w:val="28"/>
          <w:lang w:val="en-US"/>
        </w:rPr>
        <w:t>Human rights indicators: Framework and analysis. – 2022</w:t>
      </w:r>
      <w:r w:rsidR="00836942" w:rsidRPr="000C23D7">
        <w:rPr>
          <w:sz w:val="28"/>
          <w:szCs w:val="28"/>
          <w:lang w:val="en-US"/>
        </w:rPr>
        <w:t xml:space="preserve"> //</w:t>
      </w:r>
      <w:r w:rsidR="00D34DF2" w:rsidRPr="000C23D7">
        <w:rPr>
          <w:sz w:val="28"/>
          <w:szCs w:val="28"/>
          <w:lang w:val="en-US"/>
        </w:rPr>
        <w:t xml:space="preserve"> </w:t>
      </w:r>
      <w:hyperlink r:id="rId190" w:history="1">
        <w:r w:rsidR="00836942" w:rsidRPr="000C23D7">
          <w:rPr>
            <w:rStyle w:val="Hyperlink"/>
            <w:rFonts w:eastAsiaTheme="majorEastAsia"/>
            <w:color w:val="auto"/>
            <w:sz w:val="28"/>
            <w:szCs w:val="28"/>
            <w:u w:val="none"/>
            <w:lang w:val="en-US"/>
          </w:rPr>
          <w:t>https://www.ohchr.org/sites/default/files/Documents/Publications.</w:t>
        </w:r>
      </w:hyperlink>
      <w:r w:rsidR="00836942" w:rsidRPr="000C23D7">
        <w:rPr>
          <w:sz w:val="28"/>
          <w:szCs w:val="28"/>
          <w:lang w:val="en-US"/>
        </w:rPr>
        <w:t xml:space="preserve"> 09.03.2025</w:t>
      </w:r>
      <w:r w:rsidR="00D34DF2" w:rsidRPr="000C23D7">
        <w:rPr>
          <w:sz w:val="28"/>
          <w:szCs w:val="28"/>
          <w:lang w:val="en-US"/>
        </w:rPr>
        <w:t>.</w:t>
      </w:r>
    </w:p>
    <w:p w14:paraId="6089E49D" w14:textId="45B115C3"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68</w:t>
      </w:r>
      <w:r w:rsidR="00D34DF2" w:rsidRPr="000C23D7">
        <w:rPr>
          <w:sz w:val="28"/>
          <w:szCs w:val="28"/>
          <w:lang w:val="en-US"/>
        </w:rPr>
        <w:t xml:space="preserve"> Kazakhstan: Policy efforts toward the Sustainable Development Goals. – 2024</w:t>
      </w:r>
      <w:r w:rsidR="00836942" w:rsidRPr="000C23D7">
        <w:rPr>
          <w:sz w:val="28"/>
          <w:szCs w:val="28"/>
          <w:lang w:val="en-US"/>
        </w:rPr>
        <w:t xml:space="preserve"> </w:t>
      </w:r>
      <w:r w:rsidR="00836942" w:rsidRPr="000C23D7">
        <w:rPr>
          <w:rStyle w:val="Strong"/>
          <w:b w:val="0"/>
          <w:bCs w:val="0"/>
          <w:sz w:val="28"/>
          <w:szCs w:val="28"/>
          <w:lang w:val="en-US"/>
        </w:rPr>
        <w:t>//</w:t>
      </w:r>
      <w:r w:rsidR="00D34DF2" w:rsidRPr="000C23D7">
        <w:rPr>
          <w:sz w:val="28"/>
          <w:szCs w:val="28"/>
          <w:lang w:val="en-US"/>
        </w:rPr>
        <w:t xml:space="preserve"> </w:t>
      </w:r>
      <w:hyperlink r:id="rId191" w:history="1">
        <w:r w:rsidR="00836942" w:rsidRPr="000C23D7">
          <w:rPr>
            <w:rStyle w:val="Hyperlink"/>
            <w:rFonts w:eastAsiaTheme="majorEastAsia"/>
            <w:color w:val="auto"/>
            <w:sz w:val="28"/>
            <w:szCs w:val="28"/>
            <w:u w:val="none"/>
            <w:lang w:val="en-US"/>
          </w:rPr>
          <w:t>https://dashboards.sdgindex.org/profiles/kazakhstan/policy</w:t>
        </w:r>
      </w:hyperlink>
      <w:r w:rsidR="00836942" w:rsidRPr="000C23D7">
        <w:rPr>
          <w:rStyle w:val="Hyperlink"/>
          <w:rFonts w:eastAsiaTheme="majorEastAsia"/>
          <w:color w:val="auto"/>
          <w:sz w:val="28"/>
          <w:szCs w:val="28"/>
          <w:u w:val="none"/>
          <w:lang w:val="en-US"/>
        </w:rPr>
        <w:t>.</w:t>
      </w:r>
      <w:r w:rsidR="00D34DF2" w:rsidRPr="000C23D7">
        <w:rPr>
          <w:sz w:val="28"/>
          <w:szCs w:val="28"/>
          <w:lang w:val="en-US"/>
        </w:rPr>
        <w:t xml:space="preserve"> 16.02.2025.</w:t>
      </w:r>
    </w:p>
    <w:p w14:paraId="25144F2D" w14:textId="4BD87BE4"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69</w:t>
      </w:r>
      <w:r w:rsidR="00D34DF2" w:rsidRPr="000C23D7">
        <w:rPr>
          <w:sz w:val="28"/>
          <w:szCs w:val="28"/>
          <w:lang w:val="en-US"/>
        </w:rPr>
        <w:t xml:space="preserve"> Guidelines on statistical data and human rights: Summary of the 2020 expert meeting on statistical legislation </w:t>
      </w:r>
      <w:r w:rsidR="00836942" w:rsidRPr="000C23D7">
        <w:rPr>
          <w:sz w:val="28"/>
          <w:szCs w:val="28"/>
          <w:lang w:val="en-US"/>
        </w:rPr>
        <w:t xml:space="preserve">/ </w:t>
      </w:r>
      <w:r w:rsidR="00836942" w:rsidRPr="000C23D7">
        <w:rPr>
          <w:rStyle w:val="Strong"/>
          <w:b w:val="0"/>
          <w:bCs w:val="0"/>
          <w:sz w:val="28"/>
          <w:szCs w:val="28"/>
          <w:lang w:val="en-US"/>
        </w:rPr>
        <w:t>United Nations Economic Commission for Europe</w:t>
      </w:r>
      <w:r w:rsidR="00836942" w:rsidRPr="000C23D7">
        <w:rPr>
          <w:lang w:val="en-US"/>
        </w:rPr>
        <w:t xml:space="preserve"> // </w:t>
      </w:r>
      <w:hyperlink r:id="rId192" w:history="1">
        <w:r w:rsidR="00836942" w:rsidRPr="000C23D7">
          <w:rPr>
            <w:rStyle w:val="Hyperlink"/>
            <w:rFonts w:eastAsiaTheme="majorEastAsia"/>
            <w:color w:val="auto"/>
            <w:sz w:val="28"/>
            <w:szCs w:val="28"/>
            <w:u w:val="none"/>
            <w:lang w:val="en-US"/>
          </w:rPr>
          <w:t>https://unece.org/sites/default/files/2021-01/Summary_.</w:t>
        </w:r>
      </w:hyperlink>
      <w:r w:rsidR="00D34DF2" w:rsidRPr="000C23D7">
        <w:rPr>
          <w:sz w:val="28"/>
          <w:szCs w:val="28"/>
          <w:lang w:val="en-US"/>
        </w:rPr>
        <w:t xml:space="preserve"> 24.01.2025.</w:t>
      </w:r>
    </w:p>
    <w:p w14:paraId="172E39A8" w14:textId="5A01DE12"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70</w:t>
      </w:r>
      <w:r w:rsidR="00D34DF2" w:rsidRPr="000C23D7">
        <w:rPr>
          <w:sz w:val="28"/>
          <w:szCs w:val="28"/>
          <w:lang w:val="en-US"/>
        </w:rPr>
        <w:t xml:space="preserve"> Fundamental principles of official statistics (A/RES/68/261) </w:t>
      </w:r>
      <w:r w:rsidR="00964461" w:rsidRPr="000C23D7">
        <w:rPr>
          <w:sz w:val="28"/>
          <w:szCs w:val="28"/>
          <w:lang w:val="en-US"/>
        </w:rPr>
        <w:t>(</w:t>
      </w:r>
      <w:r w:rsidR="00D34DF2" w:rsidRPr="000C23D7">
        <w:rPr>
          <w:sz w:val="28"/>
          <w:szCs w:val="28"/>
          <w:lang w:val="en-US"/>
        </w:rPr>
        <w:t>2014</w:t>
      </w:r>
      <w:r w:rsidR="00964461" w:rsidRPr="000C23D7">
        <w:rPr>
          <w:sz w:val="28"/>
          <w:szCs w:val="28"/>
          <w:lang w:val="en-US"/>
        </w:rPr>
        <w:t xml:space="preserve">) / </w:t>
      </w:r>
      <w:r w:rsidR="00964461" w:rsidRPr="000C23D7">
        <w:rPr>
          <w:rStyle w:val="Strong"/>
          <w:b w:val="0"/>
          <w:bCs w:val="0"/>
          <w:sz w:val="28"/>
          <w:szCs w:val="28"/>
          <w:lang w:val="en-US"/>
        </w:rPr>
        <w:t>United Nations General Assembly //</w:t>
      </w:r>
      <w:r w:rsidR="00D34DF2" w:rsidRPr="000C23D7">
        <w:rPr>
          <w:sz w:val="28"/>
          <w:szCs w:val="28"/>
          <w:lang w:val="en-US"/>
        </w:rPr>
        <w:t xml:space="preserve"> </w:t>
      </w:r>
      <w:hyperlink r:id="rId193" w:history="1">
        <w:r w:rsidR="00964461" w:rsidRPr="000C23D7">
          <w:rPr>
            <w:rStyle w:val="Hyperlink"/>
            <w:rFonts w:eastAsiaTheme="majorEastAsia"/>
            <w:color w:val="auto"/>
            <w:sz w:val="28"/>
            <w:szCs w:val="28"/>
            <w:u w:val="none"/>
            <w:lang w:val="en-US"/>
          </w:rPr>
          <w:t>https://unstats.un.org/unsd/dnss/gp/.</w:t>
        </w:r>
      </w:hyperlink>
      <w:r w:rsidR="00D34DF2" w:rsidRPr="000C23D7">
        <w:rPr>
          <w:sz w:val="28"/>
          <w:szCs w:val="28"/>
          <w:lang w:val="en-US"/>
        </w:rPr>
        <w:t xml:space="preserve"> 07.03.2025.</w:t>
      </w:r>
    </w:p>
    <w:p w14:paraId="6366A05F" w14:textId="45472D11" w:rsidR="00D34DF2" w:rsidRPr="00C57BD3" w:rsidRDefault="006423E6" w:rsidP="00B71030">
      <w:pPr>
        <w:pStyle w:val="NormalWeb"/>
        <w:tabs>
          <w:tab w:val="left" w:pos="1134"/>
          <w:tab w:val="left" w:pos="1276"/>
        </w:tabs>
        <w:spacing w:before="0" w:beforeAutospacing="0" w:after="0" w:afterAutospacing="0"/>
        <w:ind w:firstLine="709"/>
        <w:jc w:val="both"/>
        <w:rPr>
          <w:sz w:val="28"/>
          <w:szCs w:val="28"/>
        </w:rPr>
      </w:pPr>
      <w:r w:rsidRPr="000C23D7">
        <w:rPr>
          <w:rStyle w:val="Strong"/>
          <w:b w:val="0"/>
          <w:bCs w:val="0"/>
          <w:sz w:val="28"/>
          <w:szCs w:val="28"/>
          <w:lang w:val="kk-KZ"/>
        </w:rPr>
        <w:t>71</w:t>
      </w:r>
      <w:r w:rsidR="00D34DF2" w:rsidRPr="000C23D7">
        <w:rPr>
          <w:sz w:val="28"/>
          <w:szCs w:val="28"/>
          <w:lang w:val="en-US"/>
        </w:rPr>
        <w:t xml:space="preserve"> Universal Periodic Review – Kazakhstan (Fourth Cycle) </w:t>
      </w:r>
      <w:r w:rsidR="00964461" w:rsidRPr="000C23D7">
        <w:rPr>
          <w:sz w:val="28"/>
          <w:szCs w:val="28"/>
          <w:lang w:val="en-US"/>
        </w:rPr>
        <w:t>//</w:t>
      </w:r>
      <w:r w:rsidR="00D34DF2" w:rsidRPr="000C23D7">
        <w:rPr>
          <w:sz w:val="28"/>
          <w:szCs w:val="28"/>
          <w:lang w:val="en-US"/>
        </w:rPr>
        <w:t xml:space="preserve"> </w:t>
      </w:r>
      <w:hyperlink r:id="rId194" w:tgtFrame="_new" w:history="1">
        <w:r w:rsidR="00D34DF2" w:rsidRPr="000C23D7">
          <w:rPr>
            <w:rStyle w:val="Hyperlink"/>
            <w:rFonts w:eastAsiaTheme="majorEastAsia"/>
            <w:color w:val="auto"/>
            <w:sz w:val="28"/>
            <w:szCs w:val="28"/>
            <w:u w:val="none"/>
            <w:lang w:val="en-US"/>
          </w:rPr>
          <w:t>https://www.ohchr.org/en/hr-bodies/upr/kz-index</w:t>
        </w:r>
      </w:hyperlink>
      <w:r w:rsidR="00964461" w:rsidRPr="000C23D7">
        <w:rPr>
          <w:rStyle w:val="Hyperlink"/>
          <w:rFonts w:eastAsiaTheme="majorEastAsia"/>
          <w:color w:val="auto"/>
          <w:sz w:val="28"/>
          <w:szCs w:val="28"/>
          <w:u w:val="none"/>
          <w:lang w:val="en-US"/>
        </w:rPr>
        <w:t>.</w:t>
      </w:r>
      <w:r w:rsidR="00D34DF2" w:rsidRPr="000C23D7">
        <w:rPr>
          <w:sz w:val="28"/>
          <w:szCs w:val="28"/>
          <w:lang w:val="en-US"/>
        </w:rPr>
        <w:t xml:space="preserve"> </w:t>
      </w:r>
      <w:r w:rsidR="00D34DF2" w:rsidRPr="00C57BD3">
        <w:rPr>
          <w:sz w:val="28"/>
          <w:szCs w:val="28"/>
        </w:rPr>
        <w:t>18.03.2025.</w:t>
      </w:r>
    </w:p>
    <w:p w14:paraId="73233B25" w14:textId="3021870C"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rPr>
      </w:pPr>
      <w:r w:rsidRPr="000C23D7">
        <w:rPr>
          <w:rStyle w:val="Strong"/>
          <w:b w:val="0"/>
          <w:bCs w:val="0"/>
          <w:sz w:val="28"/>
          <w:szCs w:val="28"/>
          <w:lang w:val="kk-KZ"/>
        </w:rPr>
        <w:t>72</w:t>
      </w:r>
      <w:r w:rsidR="00B71030" w:rsidRPr="000C23D7">
        <w:rPr>
          <w:rStyle w:val="Strong"/>
          <w:b w:val="0"/>
          <w:bCs w:val="0"/>
          <w:sz w:val="28"/>
          <w:szCs w:val="28"/>
          <w:lang w:val="kk-KZ"/>
        </w:rPr>
        <w:t xml:space="preserve"> </w:t>
      </w:r>
      <w:r w:rsidR="00D34DF2" w:rsidRPr="000C23D7">
        <w:rPr>
          <w:rStyle w:val="Strong"/>
          <w:b w:val="0"/>
          <w:bCs w:val="0"/>
          <w:sz w:val="28"/>
          <w:szCs w:val="28"/>
        </w:rPr>
        <w:t>Бюро национальной статистики Республики Казахстан</w:t>
      </w:r>
      <w:r w:rsidR="00964461" w:rsidRPr="000C23D7">
        <w:rPr>
          <w:rStyle w:val="Strong"/>
          <w:b w:val="0"/>
          <w:bCs w:val="0"/>
          <w:sz w:val="28"/>
          <w:szCs w:val="28"/>
        </w:rPr>
        <w:t xml:space="preserve"> // </w:t>
      </w:r>
      <w:hyperlink r:id="rId195" w:tgtFrame="_new" w:history="1">
        <w:r w:rsidR="00D34DF2" w:rsidRPr="000C23D7">
          <w:rPr>
            <w:rStyle w:val="Hyperlink"/>
            <w:rFonts w:eastAsiaTheme="majorEastAsia"/>
            <w:color w:val="auto"/>
            <w:sz w:val="28"/>
            <w:szCs w:val="28"/>
            <w:u w:val="none"/>
          </w:rPr>
          <w:t>https://stat.gov.kz/ru/</w:t>
        </w:r>
      </w:hyperlink>
      <w:r w:rsidR="00964461" w:rsidRPr="000C23D7">
        <w:rPr>
          <w:rStyle w:val="Hyperlink"/>
          <w:rFonts w:eastAsiaTheme="majorEastAsia"/>
          <w:color w:val="auto"/>
          <w:sz w:val="28"/>
          <w:szCs w:val="28"/>
          <w:u w:val="none"/>
        </w:rPr>
        <w:t>.</w:t>
      </w:r>
      <w:r w:rsidR="00D34DF2" w:rsidRPr="000C23D7">
        <w:rPr>
          <w:sz w:val="28"/>
          <w:szCs w:val="28"/>
        </w:rPr>
        <w:t xml:space="preserve"> 02.01.2025.</w:t>
      </w:r>
    </w:p>
    <w:p w14:paraId="29A0E418" w14:textId="17F1AD6F" w:rsidR="00D34DF2" w:rsidRPr="000C23D7" w:rsidRDefault="006423E6" w:rsidP="00B71030">
      <w:pPr>
        <w:pStyle w:val="NormalWeb"/>
        <w:tabs>
          <w:tab w:val="left" w:pos="1134"/>
          <w:tab w:val="left" w:pos="1276"/>
        </w:tabs>
        <w:spacing w:before="0" w:beforeAutospacing="0" w:after="0" w:afterAutospacing="0"/>
        <w:ind w:firstLine="709"/>
        <w:jc w:val="both"/>
        <w:rPr>
          <w:sz w:val="28"/>
          <w:szCs w:val="28"/>
        </w:rPr>
      </w:pPr>
      <w:r w:rsidRPr="000C23D7">
        <w:rPr>
          <w:rStyle w:val="Strong"/>
          <w:b w:val="0"/>
          <w:bCs w:val="0"/>
          <w:sz w:val="28"/>
          <w:szCs w:val="28"/>
          <w:lang w:val="kk-KZ"/>
        </w:rPr>
        <w:lastRenderedPageBreak/>
        <w:t>73</w:t>
      </w:r>
      <w:r w:rsidR="00D34DF2" w:rsidRPr="000C23D7">
        <w:rPr>
          <w:sz w:val="28"/>
          <w:szCs w:val="28"/>
          <w:lang w:val="en-US"/>
        </w:rPr>
        <w:t xml:space="preserve"> Kazakhstan’s human rights record to be examined by the Universal Periodic Review Working Group</w:t>
      </w:r>
      <w:r w:rsidR="00964461" w:rsidRPr="000C23D7">
        <w:rPr>
          <w:sz w:val="28"/>
          <w:szCs w:val="28"/>
          <w:lang w:val="en-US"/>
        </w:rPr>
        <w:t>:</w:t>
      </w:r>
      <w:r w:rsidR="00D34DF2" w:rsidRPr="000C23D7">
        <w:rPr>
          <w:sz w:val="28"/>
          <w:szCs w:val="28"/>
          <w:lang w:val="en-US"/>
        </w:rPr>
        <w:t xml:space="preserve"> </w:t>
      </w:r>
      <w:r w:rsidR="00964461" w:rsidRPr="000C23D7">
        <w:rPr>
          <w:sz w:val="28"/>
          <w:szCs w:val="28"/>
          <w:lang w:val="en-US"/>
        </w:rPr>
        <w:t xml:space="preserve">press </w:t>
      </w:r>
      <w:r w:rsidR="00D34DF2" w:rsidRPr="000C23D7">
        <w:rPr>
          <w:sz w:val="28"/>
          <w:szCs w:val="28"/>
          <w:lang w:val="en-US"/>
        </w:rPr>
        <w:t>release. – 2025</w:t>
      </w:r>
      <w:r w:rsidR="00964461" w:rsidRPr="000C23D7">
        <w:rPr>
          <w:sz w:val="28"/>
          <w:szCs w:val="28"/>
          <w:lang w:val="en-US"/>
        </w:rPr>
        <w:t xml:space="preserve"> / </w:t>
      </w:r>
      <w:r w:rsidR="00964461" w:rsidRPr="000C23D7">
        <w:rPr>
          <w:rStyle w:val="Strong"/>
          <w:b w:val="0"/>
          <w:bCs w:val="0"/>
          <w:sz w:val="28"/>
          <w:szCs w:val="28"/>
          <w:lang w:val="en-US"/>
        </w:rPr>
        <w:t>United Nations Human Rights Council //</w:t>
      </w:r>
      <w:r w:rsidR="00D34DF2" w:rsidRPr="000C23D7">
        <w:rPr>
          <w:sz w:val="28"/>
          <w:szCs w:val="28"/>
          <w:lang w:val="en-US"/>
        </w:rPr>
        <w:t xml:space="preserve"> </w:t>
      </w:r>
      <w:hyperlink r:id="rId196" w:history="1">
        <w:r w:rsidR="00964461" w:rsidRPr="000C23D7">
          <w:rPr>
            <w:rStyle w:val="Hyperlink"/>
            <w:rFonts w:eastAsiaTheme="majorEastAsia"/>
            <w:color w:val="auto"/>
            <w:sz w:val="28"/>
            <w:szCs w:val="28"/>
            <w:u w:val="none"/>
            <w:lang w:val="en-US"/>
          </w:rPr>
          <w:t>https://www.ohchr.org/en/press-releases/2025/01/.</w:t>
        </w:r>
      </w:hyperlink>
      <w:r w:rsidR="00D34DF2" w:rsidRPr="000C23D7">
        <w:rPr>
          <w:sz w:val="28"/>
          <w:szCs w:val="28"/>
          <w:lang w:val="en-US"/>
        </w:rPr>
        <w:t xml:space="preserve"> </w:t>
      </w:r>
      <w:r w:rsidR="00D34DF2" w:rsidRPr="00C57BD3">
        <w:rPr>
          <w:sz w:val="28"/>
          <w:szCs w:val="28"/>
        </w:rPr>
        <w:t>26.01.2025.</w:t>
      </w:r>
    </w:p>
    <w:p w14:paraId="1C5B24B1" w14:textId="28F08F48" w:rsidR="00D34DF2" w:rsidRPr="002064D8"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74</w:t>
      </w:r>
      <w:r w:rsidR="00B71030" w:rsidRPr="000C23D7">
        <w:rPr>
          <w:rStyle w:val="Strong"/>
          <w:b w:val="0"/>
          <w:bCs w:val="0"/>
          <w:sz w:val="28"/>
          <w:szCs w:val="28"/>
          <w:lang w:val="kk-KZ"/>
        </w:rPr>
        <w:t xml:space="preserve"> </w:t>
      </w:r>
      <w:r w:rsidR="00D34DF2" w:rsidRPr="000C23D7">
        <w:rPr>
          <w:rStyle w:val="Strong"/>
          <w:b w:val="0"/>
          <w:bCs w:val="0"/>
          <w:sz w:val="28"/>
          <w:szCs w:val="28"/>
        </w:rPr>
        <w:t>Европейская конвенция о защите прав человека и основных свобод</w:t>
      </w:r>
      <w:r w:rsidR="00D34DF2" w:rsidRPr="000C23D7">
        <w:rPr>
          <w:sz w:val="28"/>
          <w:szCs w:val="28"/>
        </w:rPr>
        <w:t xml:space="preserve">, дополненная Протоколами №11 и 14 </w:t>
      </w:r>
      <w:r w:rsidR="006028AF" w:rsidRPr="000C23D7">
        <w:rPr>
          <w:sz w:val="28"/>
          <w:szCs w:val="28"/>
        </w:rPr>
        <w:t>(</w:t>
      </w:r>
      <w:r w:rsidR="00D34DF2" w:rsidRPr="000C23D7">
        <w:rPr>
          <w:sz w:val="28"/>
          <w:szCs w:val="28"/>
        </w:rPr>
        <w:t>1950</w:t>
      </w:r>
      <w:r w:rsidR="006028AF" w:rsidRPr="000C23D7">
        <w:rPr>
          <w:sz w:val="28"/>
          <w:szCs w:val="28"/>
        </w:rPr>
        <w:t>) //</w:t>
      </w:r>
      <w:r w:rsidR="00D34DF2" w:rsidRPr="000C23D7">
        <w:rPr>
          <w:sz w:val="28"/>
          <w:szCs w:val="28"/>
        </w:rPr>
        <w:t xml:space="preserve"> </w:t>
      </w:r>
      <w:hyperlink w:history="1">
        <w:r w:rsidR="006028AF" w:rsidRPr="000C23D7">
          <w:rPr>
            <w:rStyle w:val="Hyperlink"/>
            <w:rFonts w:eastAsiaTheme="majorEastAsia"/>
            <w:color w:val="auto"/>
            <w:sz w:val="28"/>
            <w:szCs w:val="28"/>
            <w:u w:val="none"/>
          </w:rPr>
          <w:t>https://www.refworld.org /ru/legal/multilateraltreaty/coe/1950/ru/18688</w:t>
        </w:r>
      </w:hyperlink>
      <w:r w:rsidR="006028AF" w:rsidRPr="000C23D7">
        <w:rPr>
          <w:rStyle w:val="Hyperlink"/>
          <w:rFonts w:eastAsiaTheme="majorEastAsia"/>
          <w:color w:val="auto"/>
          <w:sz w:val="28"/>
          <w:szCs w:val="28"/>
          <w:u w:val="none"/>
        </w:rPr>
        <w:t>.</w:t>
      </w:r>
      <w:r w:rsidR="00D34DF2" w:rsidRPr="000C23D7">
        <w:rPr>
          <w:sz w:val="28"/>
          <w:szCs w:val="28"/>
        </w:rPr>
        <w:t xml:space="preserve"> </w:t>
      </w:r>
      <w:r w:rsidR="00D34DF2" w:rsidRPr="002064D8">
        <w:rPr>
          <w:sz w:val="28"/>
          <w:szCs w:val="28"/>
          <w:lang w:val="en-US"/>
        </w:rPr>
        <w:t>13.02.2025.</w:t>
      </w:r>
    </w:p>
    <w:p w14:paraId="7D6D78B6" w14:textId="16BDA1BE"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75</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Finnerty J., Çalı B.</w:t>
      </w:r>
      <w:r w:rsidR="00DC5451" w:rsidRPr="000C23D7">
        <w:rPr>
          <w:sz w:val="28"/>
          <w:szCs w:val="28"/>
          <w:lang w:val="en-US"/>
        </w:rPr>
        <w:t xml:space="preserve"> The Travaux Préparatoires and Progressive Treaty Interpretation: Article 18 of the European Convention on Human Rights // </w:t>
      </w:r>
      <w:r w:rsidR="00DC5451" w:rsidRPr="000C23D7">
        <w:rPr>
          <w:rStyle w:val="Emphasis"/>
          <w:rFonts w:eastAsiaTheme="majorEastAsia"/>
          <w:i w:val="0"/>
          <w:sz w:val="28"/>
          <w:szCs w:val="28"/>
          <w:lang w:val="en-US"/>
        </w:rPr>
        <w:t>European Journal of International Law</w:t>
      </w:r>
      <w:r w:rsidR="00DC5451" w:rsidRPr="000C23D7">
        <w:rPr>
          <w:sz w:val="28"/>
          <w:szCs w:val="28"/>
          <w:lang w:val="en-US"/>
        </w:rPr>
        <w:t xml:space="preserve">. – 2025. – </w:t>
      </w:r>
      <w:r w:rsidR="006028AF" w:rsidRPr="000C23D7">
        <w:rPr>
          <w:sz w:val="28"/>
          <w:szCs w:val="28"/>
          <w:lang w:val="en-US"/>
        </w:rPr>
        <w:t xml:space="preserve">Vol. </w:t>
      </w:r>
      <w:r w:rsidR="00E35819" w:rsidRPr="000C23D7">
        <w:rPr>
          <w:sz w:val="28"/>
          <w:szCs w:val="28"/>
          <w:lang w:val="kk-KZ"/>
        </w:rPr>
        <w:t>36,</w:t>
      </w:r>
      <w:r w:rsidR="006028AF" w:rsidRPr="000C23D7">
        <w:rPr>
          <w:sz w:val="28"/>
          <w:szCs w:val="28"/>
          <w:lang w:val="en-US"/>
        </w:rPr>
        <w:t xml:space="preserve"> Issue </w:t>
      </w:r>
      <w:r w:rsidR="00E35819" w:rsidRPr="000C23D7">
        <w:rPr>
          <w:sz w:val="28"/>
          <w:szCs w:val="28"/>
          <w:lang w:val="kk-KZ"/>
        </w:rPr>
        <w:t xml:space="preserve">2. </w:t>
      </w:r>
      <w:r w:rsidR="006028AF" w:rsidRPr="000C23D7">
        <w:rPr>
          <w:sz w:val="28"/>
          <w:szCs w:val="28"/>
          <w:lang w:val="en-US"/>
        </w:rPr>
        <w:t xml:space="preserve">– </w:t>
      </w:r>
      <w:r w:rsidR="00E35819" w:rsidRPr="000C23D7">
        <w:rPr>
          <w:sz w:val="28"/>
          <w:szCs w:val="28"/>
          <w:lang w:val="kk-KZ"/>
        </w:rPr>
        <w:t>Р. 475-499</w:t>
      </w:r>
      <w:r w:rsidR="006028AF" w:rsidRPr="000C23D7">
        <w:rPr>
          <w:sz w:val="28"/>
          <w:szCs w:val="28"/>
          <w:lang w:val="en-US"/>
        </w:rPr>
        <w:t>.</w:t>
      </w:r>
    </w:p>
    <w:p w14:paraId="6BBCE702" w14:textId="4D2E9969"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76</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Wachter S., Mittelstadt B., Russell C.</w:t>
      </w:r>
      <w:r w:rsidR="00DC5451" w:rsidRPr="000C23D7">
        <w:rPr>
          <w:sz w:val="28"/>
          <w:szCs w:val="28"/>
          <w:lang w:val="en-US"/>
        </w:rPr>
        <w:t xml:space="preserve"> Why Fairness Cannot Be Automated: Bridging the Gap Between EU Non-Discrimination Law and AI </w:t>
      </w:r>
      <w:r w:rsidR="003E0E6C" w:rsidRPr="000C23D7">
        <w:rPr>
          <w:sz w:val="28"/>
          <w:szCs w:val="28"/>
          <w:lang w:val="en-US"/>
        </w:rPr>
        <w:t xml:space="preserve">// </w:t>
      </w:r>
      <w:hyperlink r:id="rId197" w:tgtFrame="_new" w:history="1">
        <w:r w:rsidR="00DC5451" w:rsidRPr="000C23D7">
          <w:rPr>
            <w:rStyle w:val="Hyperlink"/>
            <w:color w:val="auto"/>
            <w:sz w:val="28"/>
            <w:szCs w:val="28"/>
            <w:u w:val="none"/>
            <w:lang w:val="en-US"/>
          </w:rPr>
          <w:t>https://doi.org/10.48550/arXiv.2005.05906</w:t>
        </w:r>
      </w:hyperlink>
      <w:r w:rsidR="003E0E6C" w:rsidRPr="000C23D7">
        <w:rPr>
          <w:rStyle w:val="Hyperlink"/>
          <w:color w:val="auto"/>
          <w:sz w:val="28"/>
          <w:szCs w:val="28"/>
          <w:u w:val="none"/>
          <w:lang w:val="en-US"/>
        </w:rPr>
        <w:t>.</w:t>
      </w:r>
      <w:r w:rsidR="00DC5451" w:rsidRPr="000C23D7">
        <w:rPr>
          <w:sz w:val="28"/>
          <w:szCs w:val="28"/>
          <w:lang w:val="en-US"/>
        </w:rPr>
        <w:t xml:space="preserve"> 12.02.2025.</w:t>
      </w:r>
    </w:p>
    <w:p w14:paraId="48F73289" w14:textId="0D35A8E0"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77</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Santosh T.Y.S., Xu S., Ichim O.</w:t>
      </w:r>
      <w:r w:rsidR="003E0E6C" w:rsidRPr="000C23D7">
        <w:rPr>
          <w:rStyle w:val="Strong"/>
          <w:b w:val="0"/>
          <w:bCs w:val="0"/>
          <w:sz w:val="28"/>
          <w:szCs w:val="28"/>
          <w:lang w:val="en-US"/>
        </w:rPr>
        <w:t xml:space="preserve"> et al.</w:t>
      </w:r>
      <w:r w:rsidR="00DC5451" w:rsidRPr="000C23D7">
        <w:rPr>
          <w:sz w:val="28"/>
          <w:szCs w:val="28"/>
          <w:lang w:val="en-US"/>
        </w:rPr>
        <w:t xml:space="preserve"> Deconfounding Legal Judgment Prediction for European Court of Human Rights Cases Towards Better Alignment with Experts </w:t>
      </w:r>
      <w:r w:rsidR="003E0E6C" w:rsidRPr="000C23D7">
        <w:rPr>
          <w:sz w:val="28"/>
          <w:szCs w:val="28"/>
          <w:lang w:val="en-US"/>
        </w:rPr>
        <w:t>//</w:t>
      </w:r>
      <w:r w:rsidR="00DC5451" w:rsidRPr="000C23D7">
        <w:rPr>
          <w:sz w:val="28"/>
          <w:szCs w:val="28"/>
          <w:lang w:val="en-US"/>
        </w:rPr>
        <w:t xml:space="preserve"> </w:t>
      </w:r>
      <w:hyperlink r:id="rId198" w:tgtFrame="_new" w:history="1">
        <w:r w:rsidR="00DC5451" w:rsidRPr="000C23D7">
          <w:rPr>
            <w:rStyle w:val="Hyperlink"/>
            <w:color w:val="auto"/>
            <w:sz w:val="28"/>
            <w:szCs w:val="28"/>
            <w:u w:val="none"/>
            <w:lang w:val="en-US"/>
          </w:rPr>
          <w:t>https://doi.org/10.48550/arXiv.2210.13836</w:t>
        </w:r>
      </w:hyperlink>
      <w:r w:rsidR="003E0E6C" w:rsidRPr="000C23D7">
        <w:rPr>
          <w:rStyle w:val="Hyperlink"/>
          <w:color w:val="auto"/>
          <w:sz w:val="28"/>
          <w:szCs w:val="28"/>
          <w:u w:val="none"/>
          <w:lang w:val="en-US"/>
        </w:rPr>
        <w:t>.</w:t>
      </w:r>
      <w:r w:rsidR="00DC5451" w:rsidRPr="000C23D7">
        <w:rPr>
          <w:sz w:val="28"/>
          <w:szCs w:val="28"/>
          <w:lang w:val="en-US"/>
        </w:rPr>
        <w:t xml:space="preserve"> 21.01.2025.</w:t>
      </w:r>
    </w:p>
    <w:p w14:paraId="4E5A8085" w14:textId="001B7EA5"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78</w:t>
      </w:r>
      <w:r w:rsidR="00DC5451" w:rsidRPr="000C23D7">
        <w:rPr>
          <w:sz w:val="28"/>
          <w:szCs w:val="28"/>
          <w:lang w:val="en-US"/>
        </w:rPr>
        <w:t xml:space="preserve"> Charter of Fundamental Rights of the European Union (2012/C 326/02)</w:t>
      </w:r>
      <w:r w:rsidR="003E0E6C" w:rsidRPr="000C23D7">
        <w:rPr>
          <w:sz w:val="28"/>
          <w:szCs w:val="28"/>
          <w:lang w:val="en-US"/>
        </w:rPr>
        <w:t xml:space="preserve"> /</w:t>
      </w:r>
      <w:r w:rsidR="00DC5451" w:rsidRPr="000C23D7">
        <w:rPr>
          <w:sz w:val="28"/>
          <w:szCs w:val="28"/>
          <w:lang w:val="en-US"/>
        </w:rPr>
        <w:t xml:space="preserve"> </w:t>
      </w:r>
      <w:r w:rsidR="003E0E6C" w:rsidRPr="000C23D7">
        <w:rPr>
          <w:rStyle w:val="Strong"/>
          <w:b w:val="0"/>
          <w:bCs w:val="0"/>
          <w:sz w:val="28"/>
          <w:szCs w:val="28"/>
          <w:lang w:val="en-US"/>
        </w:rPr>
        <w:t>European Union</w:t>
      </w:r>
      <w:r w:rsidR="003E0E6C" w:rsidRPr="000C23D7">
        <w:rPr>
          <w:sz w:val="28"/>
          <w:szCs w:val="28"/>
          <w:lang w:val="en-US"/>
        </w:rPr>
        <w:t xml:space="preserve"> </w:t>
      </w:r>
      <w:r w:rsidR="00DC5451" w:rsidRPr="000C23D7">
        <w:rPr>
          <w:sz w:val="28"/>
          <w:szCs w:val="28"/>
          <w:lang w:val="en-US"/>
        </w:rPr>
        <w:t xml:space="preserve">// </w:t>
      </w:r>
      <w:hyperlink r:id="rId199" w:history="1">
        <w:r w:rsidR="003E0E6C" w:rsidRPr="000C23D7">
          <w:rPr>
            <w:rStyle w:val="Hyperlink"/>
            <w:color w:val="auto"/>
            <w:sz w:val="28"/>
            <w:szCs w:val="28"/>
            <w:u w:val="none"/>
            <w:lang w:val="en-US"/>
          </w:rPr>
          <w:t>https://eur-lex.europa.eu/legal-content.</w:t>
        </w:r>
      </w:hyperlink>
      <w:r w:rsidR="00DC5451" w:rsidRPr="000C23D7">
        <w:rPr>
          <w:sz w:val="28"/>
          <w:szCs w:val="28"/>
          <w:lang w:val="en-US"/>
        </w:rPr>
        <w:t xml:space="preserve"> 03.03.2025.</w:t>
      </w:r>
    </w:p>
    <w:p w14:paraId="0101447D" w14:textId="267A03C9"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79</w:t>
      </w:r>
      <w:r w:rsidR="00DC5451" w:rsidRPr="000C23D7">
        <w:rPr>
          <w:sz w:val="28"/>
          <w:szCs w:val="28"/>
          <w:lang w:val="en-US"/>
        </w:rPr>
        <w:t xml:space="preserve"> Fundamental Rights Report 2020: 10 years of the Charter as a legally binding instrument </w:t>
      </w:r>
      <w:r w:rsidR="003E0E6C" w:rsidRPr="000C23D7">
        <w:rPr>
          <w:sz w:val="28"/>
          <w:szCs w:val="28"/>
          <w:lang w:val="en-US"/>
        </w:rPr>
        <w:t xml:space="preserve">/ </w:t>
      </w:r>
      <w:r w:rsidR="003E0E6C" w:rsidRPr="000C23D7">
        <w:rPr>
          <w:rStyle w:val="Strong"/>
          <w:b w:val="0"/>
          <w:bCs w:val="0"/>
          <w:sz w:val="28"/>
          <w:szCs w:val="28"/>
          <w:lang w:val="en-US"/>
        </w:rPr>
        <w:t>European Union Agency for Fundamental Rights</w:t>
      </w:r>
      <w:r w:rsidR="003E0E6C" w:rsidRPr="000C23D7">
        <w:rPr>
          <w:sz w:val="28"/>
          <w:szCs w:val="28"/>
          <w:lang w:val="en-US"/>
        </w:rPr>
        <w:t xml:space="preserve"> // </w:t>
      </w:r>
      <w:hyperlink r:id="rId200" w:history="1">
        <w:r w:rsidR="003E0E6C" w:rsidRPr="000C23D7">
          <w:rPr>
            <w:rStyle w:val="Hyperlink"/>
            <w:color w:val="auto"/>
            <w:sz w:val="28"/>
            <w:szCs w:val="28"/>
            <w:u w:val="none"/>
            <w:lang w:val="en-US"/>
          </w:rPr>
          <w:t>https://fra.europa.eu/sites/default/files/fra_uploads/fra-2020.</w:t>
        </w:r>
      </w:hyperlink>
      <w:r w:rsidR="00DC5451" w:rsidRPr="000C23D7">
        <w:rPr>
          <w:sz w:val="28"/>
          <w:szCs w:val="28"/>
          <w:lang w:val="en-US"/>
        </w:rPr>
        <w:t xml:space="preserve"> 15.02.2025.</w:t>
      </w:r>
    </w:p>
    <w:p w14:paraId="28AD1E8B" w14:textId="77B00066"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80</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Jakab A., Kirchmair L.</w:t>
      </w:r>
      <w:r w:rsidR="00DC5451" w:rsidRPr="000C23D7">
        <w:rPr>
          <w:sz w:val="28"/>
          <w:szCs w:val="28"/>
          <w:lang w:val="en-US"/>
        </w:rPr>
        <w:t xml:space="preserve"> Two ways of completing the European fundamental rights union: Amendment to vs. reinterpretation of Article 51 of the EU Charter of Fundamental Rights // </w:t>
      </w:r>
      <w:hyperlink r:id="rId201" w:tgtFrame="_new" w:history="1">
        <w:r w:rsidR="00DC5451" w:rsidRPr="000C23D7">
          <w:rPr>
            <w:rStyle w:val="Hyperlink"/>
            <w:color w:val="auto"/>
            <w:sz w:val="28"/>
            <w:szCs w:val="28"/>
            <w:u w:val="none"/>
            <w:lang w:val="en-US"/>
          </w:rPr>
          <w:t>https://doi.org/10.1017/cel.2022.5</w:t>
        </w:r>
      </w:hyperlink>
      <w:r w:rsidR="003E0E6C" w:rsidRPr="000C23D7">
        <w:rPr>
          <w:rStyle w:val="Hyperlink"/>
          <w:color w:val="auto"/>
          <w:sz w:val="28"/>
          <w:szCs w:val="28"/>
          <w:u w:val="none"/>
          <w:lang w:val="en-US"/>
        </w:rPr>
        <w:t>.</w:t>
      </w:r>
      <w:r w:rsidR="00DC5451" w:rsidRPr="000C23D7">
        <w:rPr>
          <w:sz w:val="28"/>
          <w:szCs w:val="28"/>
          <w:lang w:val="en-US"/>
        </w:rPr>
        <w:t xml:space="preserve"> 08.03.2025.</w:t>
      </w:r>
    </w:p>
    <w:p w14:paraId="147977A4" w14:textId="3E04F1D4"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81</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Eklund H., Kilpatrick C.</w:t>
      </w:r>
      <w:r w:rsidR="00DC5451" w:rsidRPr="000C23D7">
        <w:rPr>
          <w:sz w:val="28"/>
          <w:szCs w:val="28"/>
          <w:lang w:val="en-US"/>
        </w:rPr>
        <w:t xml:space="preserve"> Article 21 EU Charter of Fundamental Rights (EUI AEL 2021/01) </w:t>
      </w:r>
      <w:r w:rsidR="003E0E6C" w:rsidRPr="000C23D7">
        <w:rPr>
          <w:sz w:val="28"/>
          <w:szCs w:val="28"/>
          <w:lang w:val="en-US"/>
        </w:rPr>
        <w:t>//</w:t>
      </w:r>
      <w:r w:rsidR="00DC5451" w:rsidRPr="000C23D7">
        <w:rPr>
          <w:sz w:val="28"/>
          <w:szCs w:val="28"/>
          <w:lang w:val="en-US"/>
        </w:rPr>
        <w:t xml:space="preserve"> </w:t>
      </w:r>
      <w:hyperlink r:id="rId202" w:tgtFrame="_new" w:history="1">
        <w:r w:rsidR="00DC5451" w:rsidRPr="000C23D7">
          <w:rPr>
            <w:rStyle w:val="Hyperlink"/>
            <w:color w:val="auto"/>
            <w:sz w:val="28"/>
            <w:szCs w:val="28"/>
            <w:u w:val="none"/>
            <w:lang w:val="en-US"/>
          </w:rPr>
          <w:t>https://hdl.handle.net/1814/71418</w:t>
        </w:r>
      </w:hyperlink>
      <w:r w:rsidR="003E0E6C" w:rsidRPr="000C23D7">
        <w:rPr>
          <w:rStyle w:val="Hyperlink"/>
          <w:color w:val="auto"/>
          <w:sz w:val="28"/>
          <w:szCs w:val="28"/>
          <w:u w:val="none"/>
          <w:lang w:val="en-US"/>
        </w:rPr>
        <w:t>.</w:t>
      </w:r>
      <w:r w:rsidR="00DC5451" w:rsidRPr="000C23D7">
        <w:rPr>
          <w:sz w:val="28"/>
          <w:szCs w:val="28"/>
          <w:lang w:val="en-US"/>
        </w:rPr>
        <w:t xml:space="preserve"> 19.01.2025.</w:t>
      </w:r>
    </w:p>
    <w:p w14:paraId="12EF95F3" w14:textId="1B123E8C"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82</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Cafaggi F.</w:t>
      </w:r>
      <w:r w:rsidR="00DC5451" w:rsidRPr="000C23D7">
        <w:rPr>
          <w:sz w:val="28"/>
          <w:szCs w:val="28"/>
          <w:lang w:val="en-US"/>
        </w:rPr>
        <w:t xml:space="preserve"> </w:t>
      </w:r>
      <w:r w:rsidR="00560E8B" w:rsidRPr="000C23D7">
        <w:rPr>
          <w:sz w:val="28"/>
          <w:szCs w:val="28"/>
          <w:lang w:val="en-US"/>
        </w:rPr>
        <w:t>et al.</w:t>
      </w:r>
      <w:r w:rsidR="00DC5451" w:rsidRPr="000C23D7">
        <w:rPr>
          <w:sz w:val="28"/>
          <w:szCs w:val="28"/>
          <w:lang w:val="en-US"/>
        </w:rPr>
        <w:t xml:space="preserve"> The EU Charter of Fundamental Rights in the Member States // </w:t>
      </w:r>
      <w:r w:rsidR="00DC5451" w:rsidRPr="000C23D7">
        <w:rPr>
          <w:rStyle w:val="Emphasis"/>
          <w:rFonts w:eastAsiaTheme="majorEastAsia"/>
          <w:i w:val="0"/>
          <w:sz w:val="28"/>
          <w:szCs w:val="28"/>
          <w:lang w:val="en-US"/>
        </w:rPr>
        <w:t>European Review of Contract Law</w:t>
      </w:r>
      <w:r w:rsidR="00560E8B" w:rsidRPr="000C23D7">
        <w:rPr>
          <w:rStyle w:val="Emphasis"/>
          <w:rFonts w:eastAsiaTheme="majorEastAsia"/>
          <w:i w:val="0"/>
          <w:sz w:val="28"/>
          <w:szCs w:val="28"/>
          <w:lang w:val="en-US"/>
        </w:rPr>
        <w:t>. – 2021. – Vol.</w:t>
      </w:r>
      <w:r w:rsidR="00DC5451" w:rsidRPr="000C23D7">
        <w:rPr>
          <w:sz w:val="28"/>
          <w:szCs w:val="28"/>
          <w:lang w:val="en-US"/>
        </w:rPr>
        <w:t xml:space="preserve"> 17</w:t>
      </w:r>
      <w:r w:rsidR="00560E8B" w:rsidRPr="000C23D7">
        <w:rPr>
          <w:sz w:val="28"/>
          <w:szCs w:val="28"/>
          <w:lang w:val="en-US"/>
        </w:rPr>
        <w:t xml:space="preserve">, Issue </w:t>
      </w:r>
      <w:r w:rsidR="00DC5451" w:rsidRPr="000C23D7">
        <w:rPr>
          <w:sz w:val="28"/>
          <w:szCs w:val="28"/>
          <w:lang w:val="en-US"/>
        </w:rPr>
        <w:t>4</w:t>
      </w:r>
      <w:r w:rsidR="00560E8B" w:rsidRPr="000C23D7">
        <w:rPr>
          <w:sz w:val="28"/>
          <w:szCs w:val="28"/>
          <w:lang w:val="en-US"/>
        </w:rPr>
        <w:t>. – P.</w:t>
      </w:r>
      <w:r w:rsidR="00DC5451" w:rsidRPr="000C23D7">
        <w:rPr>
          <w:sz w:val="28"/>
          <w:szCs w:val="28"/>
          <w:lang w:val="en-US"/>
        </w:rPr>
        <w:t xml:space="preserve"> 339</w:t>
      </w:r>
      <w:r w:rsidR="00560E8B" w:rsidRPr="000C23D7">
        <w:rPr>
          <w:sz w:val="28"/>
          <w:szCs w:val="28"/>
          <w:lang w:val="en-US"/>
        </w:rPr>
        <w:t>-</w:t>
      </w:r>
      <w:r w:rsidR="00DC5451" w:rsidRPr="000C23D7">
        <w:rPr>
          <w:sz w:val="28"/>
          <w:szCs w:val="28"/>
          <w:lang w:val="en-US"/>
        </w:rPr>
        <w:t>343.</w:t>
      </w:r>
    </w:p>
    <w:p w14:paraId="0C58526D" w14:textId="78F5F900"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83</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Łazowski A.</w:t>
      </w:r>
      <w:r w:rsidR="00DC5451" w:rsidRPr="000C23D7">
        <w:rPr>
          <w:sz w:val="28"/>
          <w:szCs w:val="28"/>
          <w:lang w:val="en-US"/>
        </w:rPr>
        <w:t xml:space="preserve"> Ten Years On: The Charter of Fundamental Rights in the Jurisprudence of the Court of Justice of the European Union Since Opinion 2/13 // </w:t>
      </w:r>
      <w:r w:rsidR="00740509" w:rsidRPr="000C23D7">
        <w:rPr>
          <w:sz w:val="28"/>
          <w:szCs w:val="28"/>
          <w:lang w:val="en-US"/>
        </w:rPr>
        <w:t>European papers</w:t>
      </w:r>
      <w:r w:rsidR="00DC5451" w:rsidRPr="000C23D7">
        <w:rPr>
          <w:sz w:val="28"/>
          <w:szCs w:val="28"/>
          <w:lang w:val="en-US"/>
        </w:rPr>
        <w:t xml:space="preserve">. – 2024. – </w:t>
      </w:r>
      <w:r w:rsidR="00560E8B" w:rsidRPr="000C23D7">
        <w:rPr>
          <w:sz w:val="28"/>
          <w:szCs w:val="28"/>
          <w:lang w:val="en-US"/>
        </w:rPr>
        <w:t>Vol. 9, Issue 2. – P.</w:t>
      </w:r>
      <w:r w:rsidR="00D45D84" w:rsidRPr="000C23D7">
        <w:rPr>
          <w:sz w:val="28"/>
          <w:szCs w:val="28"/>
          <w:lang w:val="kk-KZ"/>
        </w:rPr>
        <w:t xml:space="preserve"> 673-683</w:t>
      </w:r>
      <w:r w:rsidR="00560E8B" w:rsidRPr="000C23D7">
        <w:rPr>
          <w:sz w:val="28"/>
          <w:szCs w:val="28"/>
          <w:lang w:val="en-US"/>
        </w:rPr>
        <w:t>.</w:t>
      </w:r>
    </w:p>
    <w:p w14:paraId="335ED1D7" w14:textId="3D6FA133"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84</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Mahmutovic A.</w:t>
      </w:r>
      <w:r w:rsidR="00DC5451" w:rsidRPr="000C23D7">
        <w:rPr>
          <w:sz w:val="28"/>
          <w:szCs w:val="28"/>
          <w:lang w:val="en-US"/>
        </w:rPr>
        <w:t xml:space="preserve"> The European Union Charter of Fundamental Rights: Strengthening the Participation in the European Union // </w:t>
      </w:r>
      <w:r w:rsidR="00DC5451" w:rsidRPr="000C23D7">
        <w:rPr>
          <w:rStyle w:val="Emphasis"/>
          <w:rFonts w:eastAsiaTheme="majorEastAsia"/>
          <w:i w:val="0"/>
          <w:sz w:val="28"/>
          <w:szCs w:val="28"/>
          <w:lang w:val="en-US"/>
        </w:rPr>
        <w:t>Pakistan Journal of International Humanities</w:t>
      </w:r>
      <w:r w:rsidR="001A0AB0" w:rsidRPr="000C23D7">
        <w:rPr>
          <w:rStyle w:val="Emphasis"/>
          <w:rFonts w:eastAsiaTheme="majorEastAsia"/>
          <w:i w:val="0"/>
          <w:sz w:val="28"/>
          <w:szCs w:val="28"/>
          <w:lang w:val="en-US"/>
        </w:rPr>
        <w:t>. – 2023. – Vol.</w:t>
      </w:r>
      <w:r w:rsidR="00DC5451" w:rsidRPr="000C23D7">
        <w:rPr>
          <w:sz w:val="28"/>
          <w:szCs w:val="28"/>
          <w:lang w:val="en-US"/>
        </w:rPr>
        <w:t xml:space="preserve"> 10</w:t>
      </w:r>
      <w:r w:rsidR="001A0AB0" w:rsidRPr="000C23D7">
        <w:rPr>
          <w:sz w:val="28"/>
          <w:szCs w:val="28"/>
          <w:lang w:val="en-US"/>
        </w:rPr>
        <w:t xml:space="preserve">, Issue </w:t>
      </w:r>
      <w:r w:rsidR="00DC5451" w:rsidRPr="000C23D7">
        <w:rPr>
          <w:sz w:val="28"/>
          <w:szCs w:val="28"/>
          <w:lang w:val="en-US"/>
        </w:rPr>
        <w:t xml:space="preserve">1. – </w:t>
      </w:r>
      <w:r w:rsidR="001A0AB0" w:rsidRPr="000C23D7">
        <w:rPr>
          <w:sz w:val="28"/>
          <w:szCs w:val="28"/>
          <w:lang w:val="en-US"/>
        </w:rPr>
        <w:t>P.</w:t>
      </w:r>
      <w:r w:rsidR="00D45D84" w:rsidRPr="000C23D7">
        <w:rPr>
          <w:sz w:val="28"/>
          <w:szCs w:val="28"/>
          <w:lang w:val="kk-KZ"/>
        </w:rPr>
        <w:t xml:space="preserve"> 17-35</w:t>
      </w:r>
      <w:r w:rsidR="001A0AB0" w:rsidRPr="000C23D7">
        <w:rPr>
          <w:sz w:val="28"/>
          <w:szCs w:val="28"/>
          <w:lang w:val="en-US"/>
        </w:rPr>
        <w:t>.</w:t>
      </w:r>
    </w:p>
    <w:p w14:paraId="57A4E3B5" w14:textId="79418A90"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85</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Petursson G.T.</w:t>
      </w:r>
      <w:r w:rsidR="00DC5451" w:rsidRPr="000C23D7">
        <w:rPr>
          <w:sz w:val="28"/>
          <w:szCs w:val="28"/>
          <w:lang w:val="en-US"/>
        </w:rPr>
        <w:t xml:space="preserve"> A New Framework for Limitation of Fundamental Rights in EU Law? // </w:t>
      </w:r>
      <w:r w:rsidR="00C06E10" w:rsidRPr="000C23D7">
        <w:rPr>
          <w:sz w:val="28"/>
          <w:szCs w:val="28"/>
          <w:lang w:val="en-US"/>
        </w:rPr>
        <w:t>In book:</w:t>
      </w:r>
      <w:r w:rsidR="00DC5451" w:rsidRPr="000C23D7">
        <w:rPr>
          <w:sz w:val="28"/>
          <w:szCs w:val="28"/>
          <w:lang w:val="en-US"/>
        </w:rPr>
        <w:t xml:space="preserve"> </w:t>
      </w:r>
      <w:r w:rsidR="00DC5451" w:rsidRPr="000C23D7">
        <w:rPr>
          <w:rStyle w:val="Emphasis"/>
          <w:rFonts w:eastAsiaTheme="majorEastAsia"/>
          <w:i w:val="0"/>
          <w:sz w:val="28"/>
          <w:szCs w:val="28"/>
          <w:lang w:val="en-US"/>
        </w:rPr>
        <w:t xml:space="preserve">New Directions in Digitalisation. </w:t>
      </w:r>
      <w:r w:rsidR="00C06E10" w:rsidRPr="000C23D7">
        <w:rPr>
          <w:rStyle w:val="Emphasis"/>
          <w:rFonts w:eastAsiaTheme="majorEastAsia"/>
          <w:i w:val="0"/>
          <w:sz w:val="28"/>
          <w:szCs w:val="28"/>
          <w:lang w:val="en-US"/>
        </w:rPr>
        <w:t xml:space="preserve">– Cham: </w:t>
      </w:r>
      <w:r w:rsidR="00DC5451" w:rsidRPr="000C23D7">
        <w:rPr>
          <w:sz w:val="28"/>
          <w:szCs w:val="28"/>
          <w:lang w:val="en-US"/>
        </w:rPr>
        <w:t>Springer, 202</w:t>
      </w:r>
      <w:r w:rsidR="00C06E10" w:rsidRPr="000C23D7">
        <w:rPr>
          <w:sz w:val="28"/>
          <w:szCs w:val="28"/>
          <w:lang w:val="en-US"/>
        </w:rPr>
        <w:t>4</w:t>
      </w:r>
      <w:r w:rsidR="00DC5451" w:rsidRPr="000C23D7">
        <w:rPr>
          <w:sz w:val="28"/>
          <w:szCs w:val="28"/>
          <w:lang w:val="en-US"/>
        </w:rPr>
        <w:t xml:space="preserve">. – </w:t>
      </w:r>
      <w:r w:rsidR="00C06E10" w:rsidRPr="000C23D7">
        <w:rPr>
          <w:sz w:val="28"/>
          <w:szCs w:val="28"/>
          <w:lang w:val="en-US"/>
        </w:rPr>
        <w:t>P. </w:t>
      </w:r>
      <w:r w:rsidR="00D45D84" w:rsidRPr="000C23D7">
        <w:rPr>
          <w:sz w:val="28"/>
          <w:szCs w:val="28"/>
          <w:lang w:val="kk-KZ"/>
        </w:rPr>
        <w:t>239-252</w:t>
      </w:r>
      <w:r w:rsidR="00C06E10" w:rsidRPr="000C23D7">
        <w:rPr>
          <w:sz w:val="28"/>
          <w:szCs w:val="28"/>
          <w:lang w:val="en-US"/>
        </w:rPr>
        <w:t>.</w:t>
      </w:r>
    </w:p>
    <w:p w14:paraId="6BC07A98" w14:textId="4F923029"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86</w:t>
      </w:r>
      <w:r w:rsidR="00B71030" w:rsidRPr="000C23D7">
        <w:rPr>
          <w:rStyle w:val="Strong"/>
          <w:b w:val="0"/>
          <w:bCs w:val="0"/>
          <w:sz w:val="28"/>
          <w:szCs w:val="28"/>
          <w:lang w:val="kk-KZ"/>
        </w:rPr>
        <w:t xml:space="preserve"> </w:t>
      </w:r>
      <w:r w:rsidR="00DC5451" w:rsidRPr="000C23D7">
        <w:rPr>
          <w:sz w:val="28"/>
          <w:szCs w:val="28"/>
          <w:lang w:val="en-US"/>
        </w:rPr>
        <w:t xml:space="preserve">Council Directive 2000/43/EC of 29 June 2000 implementing the principle of equal treatment between persons irrespective of racial or ethnic origin // </w:t>
      </w:r>
      <w:hyperlink r:id="rId203" w:history="1">
        <w:r w:rsidR="00C06E10" w:rsidRPr="000C23D7">
          <w:rPr>
            <w:rStyle w:val="Hyperlink"/>
            <w:color w:val="auto"/>
            <w:sz w:val="28"/>
            <w:szCs w:val="28"/>
            <w:u w:val="none"/>
            <w:lang w:val="en-US"/>
          </w:rPr>
          <w:t>https://eur-lex.europa.eu/legal-content/EN/TXT/?uri=CELEX.</w:t>
        </w:r>
      </w:hyperlink>
      <w:r w:rsidR="00DC5451" w:rsidRPr="000C23D7">
        <w:rPr>
          <w:sz w:val="28"/>
          <w:szCs w:val="28"/>
          <w:lang w:val="en-US"/>
        </w:rPr>
        <w:t xml:space="preserve"> 18.02.2025.</w:t>
      </w:r>
    </w:p>
    <w:p w14:paraId="522C07AA" w14:textId="07B1E32A"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87</w:t>
      </w:r>
      <w:r w:rsidR="00B71030" w:rsidRPr="000C23D7">
        <w:rPr>
          <w:rStyle w:val="Strong"/>
          <w:b w:val="0"/>
          <w:bCs w:val="0"/>
          <w:sz w:val="28"/>
          <w:szCs w:val="28"/>
          <w:lang w:val="kk-KZ"/>
        </w:rPr>
        <w:t xml:space="preserve"> </w:t>
      </w:r>
      <w:r w:rsidR="00DC5451" w:rsidRPr="000C23D7">
        <w:rPr>
          <w:sz w:val="28"/>
          <w:szCs w:val="28"/>
          <w:lang w:val="en-US"/>
        </w:rPr>
        <w:t xml:space="preserve">Council Directive 2000/78/EC of 27 November 2000 establishing a general framework for equal treatment in employment and occupation // </w:t>
      </w:r>
      <w:hyperlink r:id="rId204" w:tgtFrame="_new" w:history="1">
        <w:r w:rsidR="00DC5451" w:rsidRPr="000C23D7">
          <w:rPr>
            <w:rStyle w:val="Hyperlink"/>
            <w:color w:val="auto"/>
            <w:sz w:val="28"/>
            <w:szCs w:val="28"/>
            <w:u w:val="none"/>
            <w:lang w:val="en-US"/>
          </w:rPr>
          <w:t>https://eur-lex.europa.eu/legal-content/EN/TXT/?uri=CELEX%3A32000L0078</w:t>
        </w:r>
      </w:hyperlink>
      <w:r w:rsidR="00C06E10" w:rsidRPr="000C23D7">
        <w:rPr>
          <w:rStyle w:val="Hyperlink"/>
          <w:color w:val="auto"/>
          <w:sz w:val="28"/>
          <w:szCs w:val="28"/>
          <w:u w:val="none"/>
          <w:lang w:val="en-US"/>
        </w:rPr>
        <w:t>.</w:t>
      </w:r>
      <w:r w:rsidR="00DC5451" w:rsidRPr="000C23D7">
        <w:rPr>
          <w:sz w:val="28"/>
          <w:szCs w:val="28"/>
          <w:lang w:val="en-US"/>
        </w:rPr>
        <w:t xml:space="preserve"> 26.01.2025.</w:t>
      </w:r>
    </w:p>
    <w:p w14:paraId="7E2ED4B4" w14:textId="25C77467"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88</w:t>
      </w:r>
      <w:r w:rsidR="00B71030" w:rsidRPr="000C23D7">
        <w:rPr>
          <w:rStyle w:val="Strong"/>
          <w:b w:val="0"/>
          <w:bCs w:val="0"/>
          <w:sz w:val="28"/>
          <w:szCs w:val="28"/>
          <w:lang w:val="kk-KZ"/>
        </w:rPr>
        <w:t xml:space="preserve"> </w:t>
      </w:r>
      <w:r w:rsidR="00DC5451" w:rsidRPr="000C23D7">
        <w:rPr>
          <w:sz w:val="28"/>
          <w:szCs w:val="28"/>
          <w:lang w:val="en-US"/>
        </w:rPr>
        <w:t xml:space="preserve">Gender Equality Directive (Directive 2006/54/EC) // Directive 2006/54/EC of 5 July 2006 on the implementation of the principle of equal opportunities and equal </w:t>
      </w:r>
      <w:r w:rsidR="00DC5451" w:rsidRPr="000C23D7">
        <w:rPr>
          <w:sz w:val="28"/>
          <w:szCs w:val="28"/>
          <w:lang w:val="en-US"/>
        </w:rPr>
        <w:lastRenderedPageBreak/>
        <w:t xml:space="preserve">treatment of men and women in matters of employment and occupation (recast) // </w:t>
      </w:r>
      <w:hyperlink r:id="rId205" w:history="1">
        <w:r w:rsidR="00C06E10" w:rsidRPr="000C23D7">
          <w:rPr>
            <w:rStyle w:val="Hyperlink"/>
            <w:color w:val="auto"/>
            <w:sz w:val="28"/>
            <w:szCs w:val="28"/>
            <w:u w:val="none"/>
            <w:lang w:val="en-US"/>
          </w:rPr>
          <w:t>https://eur-lex.europa.eu/legal-content/EN/TXT/?uri=CELEX.</w:t>
        </w:r>
      </w:hyperlink>
      <w:r w:rsidR="00DC5451" w:rsidRPr="000C23D7">
        <w:rPr>
          <w:sz w:val="28"/>
          <w:szCs w:val="28"/>
          <w:lang w:val="en-US"/>
        </w:rPr>
        <w:t xml:space="preserve"> 09.02.2025.</w:t>
      </w:r>
    </w:p>
    <w:p w14:paraId="65A2F653" w14:textId="2F87A5A9"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89</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Van den Berghe F.</w:t>
      </w:r>
      <w:r w:rsidR="00DC5451" w:rsidRPr="000C23D7">
        <w:rPr>
          <w:sz w:val="28"/>
          <w:szCs w:val="28"/>
          <w:lang w:val="en-US"/>
        </w:rPr>
        <w:t xml:space="preserve"> Race in European Law – An Analysis of Council Directive 2000/43/EC </w:t>
      </w:r>
      <w:r w:rsidR="00C06E10" w:rsidRPr="000C23D7">
        <w:rPr>
          <w:sz w:val="28"/>
          <w:szCs w:val="28"/>
          <w:lang w:val="en-US"/>
        </w:rPr>
        <w:t>//</w:t>
      </w:r>
      <w:r w:rsidR="00DC5451" w:rsidRPr="000C23D7">
        <w:rPr>
          <w:sz w:val="28"/>
          <w:szCs w:val="28"/>
          <w:lang w:val="en-US"/>
        </w:rPr>
        <w:t xml:space="preserve"> </w:t>
      </w:r>
      <w:hyperlink r:id="rId206" w:history="1">
        <w:r w:rsidR="00C06E10" w:rsidRPr="000C23D7">
          <w:rPr>
            <w:rStyle w:val="Hyperlink"/>
            <w:color w:val="auto"/>
            <w:sz w:val="28"/>
            <w:szCs w:val="28"/>
            <w:u w:val="none"/>
            <w:lang w:val="en-US"/>
          </w:rPr>
          <w:t>https://www.opensocietyfoundations.org.</w:t>
        </w:r>
      </w:hyperlink>
      <w:r w:rsidR="00DC5451" w:rsidRPr="000C23D7">
        <w:rPr>
          <w:sz w:val="28"/>
          <w:szCs w:val="28"/>
          <w:lang w:val="en-US"/>
        </w:rPr>
        <w:t xml:space="preserve"> 21.03.2025.</w:t>
      </w:r>
    </w:p>
    <w:p w14:paraId="37D0AE96" w14:textId="229D7C50"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90</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Hernández N.</w:t>
      </w:r>
      <w:r w:rsidR="00DC5451" w:rsidRPr="000C23D7">
        <w:rPr>
          <w:sz w:val="28"/>
          <w:szCs w:val="28"/>
          <w:lang w:val="en-US"/>
        </w:rPr>
        <w:t xml:space="preserve"> The Court of Justice of the European Union on Ethnic and Racial Discrimination: An Analysis of the Application of Directive 2000/43/EC // </w:t>
      </w:r>
      <w:r w:rsidR="00DC5451" w:rsidRPr="000C23D7">
        <w:rPr>
          <w:rStyle w:val="Emphasis"/>
          <w:rFonts w:eastAsiaTheme="majorEastAsia"/>
          <w:i w:val="0"/>
          <w:sz w:val="28"/>
          <w:szCs w:val="28"/>
          <w:lang w:val="en-US"/>
        </w:rPr>
        <w:t>Donostia Journal of Human Rights</w:t>
      </w:r>
      <w:r w:rsidR="00C06E10" w:rsidRPr="000C23D7">
        <w:rPr>
          <w:rStyle w:val="Emphasis"/>
          <w:rFonts w:eastAsiaTheme="majorEastAsia"/>
          <w:i w:val="0"/>
          <w:sz w:val="28"/>
          <w:szCs w:val="28"/>
          <w:lang w:val="en-US"/>
        </w:rPr>
        <w:t xml:space="preserve">. – 2023. – Vol. </w:t>
      </w:r>
      <w:r w:rsidR="00DC5451" w:rsidRPr="000C23D7">
        <w:rPr>
          <w:sz w:val="28"/>
          <w:szCs w:val="28"/>
          <w:lang w:val="en-US"/>
        </w:rPr>
        <w:t xml:space="preserve">12. – </w:t>
      </w:r>
      <w:r w:rsidR="00C06E10" w:rsidRPr="000C23D7">
        <w:rPr>
          <w:sz w:val="28"/>
          <w:szCs w:val="28"/>
          <w:lang w:val="en-US"/>
        </w:rPr>
        <w:t>P.</w:t>
      </w:r>
      <w:r w:rsidR="00DC5451" w:rsidRPr="000C23D7">
        <w:rPr>
          <w:sz w:val="28"/>
          <w:szCs w:val="28"/>
          <w:lang w:val="en-US"/>
        </w:rPr>
        <w:t xml:space="preserve"> </w:t>
      </w:r>
      <w:r w:rsidR="007E7AB0" w:rsidRPr="000C23D7">
        <w:rPr>
          <w:sz w:val="28"/>
          <w:szCs w:val="28"/>
          <w:lang w:val="kk-KZ"/>
        </w:rPr>
        <w:t>137-166</w:t>
      </w:r>
      <w:r w:rsidR="00C06E10" w:rsidRPr="000C23D7">
        <w:rPr>
          <w:sz w:val="28"/>
          <w:szCs w:val="28"/>
          <w:lang w:val="en-US"/>
        </w:rPr>
        <w:t>.</w:t>
      </w:r>
      <w:r w:rsidR="007E7AB0" w:rsidRPr="000C23D7">
        <w:rPr>
          <w:sz w:val="28"/>
          <w:szCs w:val="28"/>
          <w:lang w:val="kk-KZ"/>
        </w:rPr>
        <w:t xml:space="preserve"> </w:t>
      </w:r>
    </w:p>
    <w:p w14:paraId="5BC68190" w14:textId="7245D55A"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91</w:t>
      </w:r>
      <w:r w:rsidR="00DC5451" w:rsidRPr="000C23D7">
        <w:rPr>
          <w:sz w:val="28"/>
          <w:szCs w:val="28"/>
          <w:lang w:val="en-US"/>
        </w:rPr>
        <w:t xml:space="preserve"> Fundamental rights report 2023 </w:t>
      </w:r>
      <w:r w:rsidR="005A3DF6" w:rsidRPr="000C23D7">
        <w:rPr>
          <w:sz w:val="28"/>
          <w:szCs w:val="28"/>
          <w:lang w:val="en-US"/>
        </w:rPr>
        <w:t xml:space="preserve">/ </w:t>
      </w:r>
      <w:r w:rsidR="005A3DF6" w:rsidRPr="000C23D7">
        <w:rPr>
          <w:rStyle w:val="Strong"/>
          <w:b w:val="0"/>
          <w:bCs w:val="0"/>
          <w:sz w:val="28"/>
          <w:szCs w:val="28"/>
          <w:lang w:val="en-US"/>
        </w:rPr>
        <w:t>European Union Agency for Fundamental Rights</w:t>
      </w:r>
      <w:r w:rsidR="005A3DF6" w:rsidRPr="000C23D7">
        <w:rPr>
          <w:sz w:val="28"/>
          <w:szCs w:val="28"/>
          <w:lang w:val="en-US"/>
        </w:rPr>
        <w:t xml:space="preserve"> // </w:t>
      </w:r>
      <w:hyperlink r:id="rId207" w:history="1">
        <w:r w:rsidR="005A3DF6" w:rsidRPr="000C23D7">
          <w:rPr>
            <w:rStyle w:val="Hyperlink"/>
            <w:color w:val="auto"/>
            <w:sz w:val="28"/>
            <w:szCs w:val="28"/>
            <w:u w:val="none"/>
            <w:lang w:val="en-US"/>
          </w:rPr>
          <w:t>https://fra.europa.eu/en/publication/2023/fundamental-rights.</w:t>
        </w:r>
      </w:hyperlink>
      <w:r w:rsidR="00DC5451" w:rsidRPr="000C23D7">
        <w:rPr>
          <w:sz w:val="28"/>
          <w:szCs w:val="28"/>
          <w:lang w:val="en-US"/>
        </w:rPr>
        <w:t xml:space="preserve"> 04.03.2025.</w:t>
      </w:r>
    </w:p>
    <w:p w14:paraId="69655FAE" w14:textId="00CCA9B4"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92</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Fundamental Rights Report – 2025</w:t>
      </w:r>
      <w:r w:rsidR="00DC5451" w:rsidRPr="000C23D7">
        <w:rPr>
          <w:sz w:val="28"/>
          <w:szCs w:val="28"/>
          <w:lang w:val="en-US"/>
        </w:rPr>
        <w:t xml:space="preserve"> </w:t>
      </w:r>
      <w:r w:rsidR="005A3DF6" w:rsidRPr="000C23D7">
        <w:rPr>
          <w:sz w:val="28"/>
          <w:szCs w:val="28"/>
          <w:lang w:val="en-US"/>
        </w:rPr>
        <w:t>//</w:t>
      </w:r>
      <w:r w:rsidR="00DC5451" w:rsidRPr="000C23D7">
        <w:rPr>
          <w:sz w:val="28"/>
          <w:szCs w:val="28"/>
          <w:lang w:val="en-US"/>
        </w:rPr>
        <w:t xml:space="preserve"> </w:t>
      </w:r>
      <w:hyperlink r:id="rId208" w:history="1">
        <w:r w:rsidR="005A3DF6" w:rsidRPr="000C23D7">
          <w:rPr>
            <w:rStyle w:val="Hyperlink"/>
            <w:color w:val="auto"/>
            <w:sz w:val="28"/>
            <w:szCs w:val="28"/>
            <w:u w:val="none"/>
            <w:lang w:val="en-US"/>
          </w:rPr>
          <w:t>https://fra.europa.eu/sites/default/files/fra_uploads/fra-2025.</w:t>
        </w:r>
      </w:hyperlink>
      <w:r w:rsidR="00DC5451" w:rsidRPr="000C23D7">
        <w:rPr>
          <w:sz w:val="28"/>
          <w:szCs w:val="28"/>
          <w:lang w:val="en-US"/>
        </w:rPr>
        <w:t xml:space="preserve"> 10.01.2025.</w:t>
      </w:r>
    </w:p>
    <w:p w14:paraId="71148567" w14:textId="255C00C1"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93</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Brasseur C., Pachta V., Grigolo C.</w:t>
      </w:r>
      <w:r w:rsidR="00DC5451" w:rsidRPr="000C23D7">
        <w:rPr>
          <w:sz w:val="28"/>
          <w:szCs w:val="28"/>
          <w:lang w:val="en-US"/>
        </w:rPr>
        <w:t xml:space="preserve"> Towards an enlarged Union: Upholding the rule of law (Policy Paper No. 30) </w:t>
      </w:r>
      <w:r w:rsidR="005A3DF6" w:rsidRPr="000C23D7">
        <w:rPr>
          <w:sz w:val="28"/>
          <w:szCs w:val="28"/>
          <w:lang w:val="en-US"/>
        </w:rPr>
        <w:t xml:space="preserve">// </w:t>
      </w:r>
      <w:hyperlink r:id="rId209" w:history="1">
        <w:r w:rsidR="005A3DF6" w:rsidRPr="000C23D7">
          <w:rPr>
            <w:rStyle w:val="Hyperlink"/>
            <w:color w:val="auto"/>
            <w:sz w:val="28"/>
            <w:szCs w:val="28"/>
            <w:u w:val="none"/>
            <w:lang w:val="en-US"/>
          </w:rPr>
          <w:t>https://www.idea.int/sites/default.</w:t>
        </w:r>
      </w:hyperlink>
      <w:r w:rsidR="00DC5451" w:rsidRPr="000C23D7">
        <w:rPr>
          <w:sz w:val="28"/>
          <w:szCs w:val="28"/>
          <w:lang w:val="en-US"/>
        </w:rPr>
        <w:t xml:space="preserve"> 08.03.2025.</w:t>
      </w:r>
    </w:p>
    <w:p w14:paraId="3B4EAF8A" w14:textId="5B63ADB4"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94</w:t>
      </w:r>
      <w:r w:rsidR="00DC5451" w:rsidRPr="000C23D7">
        <w:rPr>
          <w:sz w:val="28"/>
          <w:szCs w:val="28"/>
          <w:lang w:val="en-US"/>
        </w:rPr>
        <w:t xml:space="preserve"> 2025 Rule of Law Report: The rule of law situation in the European Union</w:t>
      </w:r>
      <w:r w:rsidR="00154978" w:rsidRPr="000C23D7">
        <w:rPr>
          <w:sz w:val="28"/>
          <w:szCs w:val="28"/>
          <w:lang w:val="en-US"/>
        </w:rPr>
        <w:t xml:space="preserve"> /</w:t>
      </w:r>
      <w:r w:rsidR="00DC5451" w:rsidRPr="000C23D7">
        <w:rPr>
          <w:sz w:val="28"/>
          <w:szCs w:val="28"/>
          <w:lang w:val="en-US"/>
        </w:rPr>
        <w:t xml:space="preserve"> </w:t>
      </w:r>
      <w:r w:rsidR="00154978" w:rsidRPr="000C23D7">
        <w:rPr>
          <w:rStyle w:val="Strong"/>
          <w:b w:val="0"/>
          <w:bCs w:val="0"/>
          <w:sz w:val="28"/>
          <w:szCs w:val="28"/>
          <w:lang w:val="en-US"/>
        </w:rPr>
        <w:t>European Commission</w:t>
      </w:r>
      <w:r w:rsidR="00154978" w:rsidRPr="000C23D7">
        <w:rPr>
          <w:sz w:val="28"/>
          <w:szCs w:val="28"/>
          <w:lang w:val="en-US"/>
        </w:rPr>
        <w:t xml:space="preserve"> </w:t>
      </w:r>
      <w:r w:rsidR="005A3DF6" w:rsidRPr="000C23D7">
        <w:rPr>
          <w:sz w:val="28"/>
          <w:szCs w:val="28"/>
          <w:lang w:val="en-US"/>
        </w:rPr>
        <w:t>//</w:t>
      </w:r>
      <w:r w:rsidR="00DC5451" w:rsidRPr="000C23D7">
        <w:rPr>
          <w:sz w:val="28"/>
          <w:szCs w:val="28"/>
          <w:lang w:val="en-US"/>
        </w:rPr>
        <w:t xml:space="preserve"> </w:t>
      </w:r>
      <w:hyperlink r:id="rId210" w:history="1">
        <w:r w:rsidR="005A3DF6" w:rsidRPr="000C23D7">
          <w:rPr>
            <w:rStyle w:val="Hyperlink"/>
            <w:color w:val="auto"/>
            <w:sz w:val="28"/>
            <w:szCs w:val="28"/>
            <w:u w:val="none"/>
            <w:lang w:val="en-US"/>
          </w:rPr>
          <w:t>https://commission.europa.eu/.</w:t>
        </w:r>
      </w:hyperlink>
      <w:r w:rsidR="005A3DF6" w:rsidRPr="000C23D7">
        <w:rPr>
          <w:rStyle w:val="Hyperlink"/>
          <w:color w:val="auto"/>
          <w:sz w:val="28"/>
          <w:szCs w:val="28"/>
          <w:u w:val="none"/>
          <w:lang w:val="en-US"/>
        </w:rPr>
        <w:t xml:space="preserve"> </w:t>
      </w:r>
      <w:r w:rsidR="00DC5451" w:rsidRPr="000C23D7">
        <w:rPr>
          <w:sz w:val="28"/>
          <w:szCs w:val="28"/>
          <w:lang w:val="en-US"/>
        </w:rPr>
        <w:t>22.03.2025.</w:t>
      </w:r>
    </w:p>
    <w:p w14:paraId="54B102FE" w14:textId="55E89CFF"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95</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Report for 2024 on the activities of the Human Rights Ombudsman in the Republic of Kazakhstan</w:t>
      </w:r>
      <w:r w:rsidR="00DC5451" w:rsidRPr="000C23D7">
        <w:rPr>
          <w:sz w:val="28"/>
          <w:szCs w:val="28"/>
          <w:lang w:val="en-US"/>
        </w:rPr>
        <w:t>. – 2024</w:t>
      </w:r>
      <w:r w:rsidR="00154978" w:rsidRPr="000C23D7">
        <w:rPr>
          <w:sz w:val="28"/>
          <w:szCs w:val="28"/>
          <w:lang w:val="en-US"/>
        </w:rPr>
        <w:t xml:space="preserve"> //</w:t>
      </w:r>
      <w:r w:rsidR="00DC5451" w:rsidRPr="000C23D7">
        <w:rPr>
          <w:sz w:val="28"/>
          <w:szCs w:val="28"/>
          <w:lang w:val="en-US"/>
        </w:rPr>
        <w:t xml:space="preserve"> </w:t>
      </w:r>
      <w:hyperlink r:id="rId211" w:history="1">
        <w:r w:rsidR="00154978" w:rsidRPr="000C23D7">
          <w:rPr>
            <w:rStyle w:val="Hyperlink"/>
            <w:color w:val="auto"/>
            <w:sz w:val="28"/>
            <w:szCs w:val="28"/>
            <w:u w:val="none"/>
            <w:lang w:val="en-US"/>
          </w:rPr>
          <w:t>https://www.gov.kz/memleket.</w:t>
        </w:r>
      </w:hyperlink>
      <w:r w:rsidR="00DC5451" w:rsidRPr="000C23D7">
        <w:rPr>
          <w:sz w:val="28"/>
          <w:szCs w:val="28"/>
          <w:lang w:val="en-US"/>
        </w:rPr>
        <w:t xml:space="preserve"> 14.01.2025.</w:t>
      </w:r>
    </w:p>
    <w:p w14:paraId="25CCBD84" w14:textId="40952FEB"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96</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The EU’s Rule of Law Initiative in Central Asia</w:t>
      </w:r>
      <w:r w:rsidR="00DC5451" w:rsidRPr="000C23D7">
        <w:rPr>
          <w:sz w:val="28"/>
          <w:szCs w:val="28"/>
          <w:lang w:val="en-US"/>
        </w:rPr>
        <w:t xml:space="preserve"> </w:t>
      </w:r>
      <w:r w:rsidR="00154978" w:rsidRPr="000C23D7">
        <w:rPr>
          <w:sz w:val="28"/>
          <w:szCs w:val="28"/>
          <w:lang w:val="en-US"/>
        </w:rPr>
        <w:t>//</w:t>
      </w:r>
      <w:r w:rsidR="00DC5451" w:rsidRPr="000C23D7">
        <w:rPr>
          <w:sz w:val="28"/>
          <w:szCs w:val="28"/>
          <w:lang w:val="en-US"/>
        </w:rPr>
        <w:t xml:space="preserve"> </w:t>
      </w:r>
      <w:hyperlink r:id="rId212" w:tgtFrame="_new" w:history="1">
        <w:r w:rsidR="00DC5451" w:rsidRPr="000C23D7">
          <w:rPr>
            <w:rStyle w:val="Hyperlink"/>
            <w:color w:val="auto"/>
            <w:sz w:val="28"/>
            <w:szCs w:val="28"/>
            <w:u w:val="none"/>
            <w:lang w:val="en-US"/>
          </w:rPr>
          <w:t>https://eucentralasia.eu/the-eus-rule-of-law-initiative-in-central-asia</w:t>
        </w:r>
      </w:hyperlink>
      <w:r w:rsidR="00154978" w:rsidRPr="000C23D7">
        <w:rPr>
          <w:rStyle w:val="Hyperlink"/>
          <w:color w:val="auto"/>
          <w:sz w:val="28"/>
          <w:szCs w:val="28"/>
          <w:u w:val="none"/>
          <w:lang w:val="en-US"/>
        </w:rPr>
        <w:t>.</w:t>
      </w:r>
      <w:r w:rsidR="00DC5451" w:rsidRPr="000C23D7">
        <w:rPr>
          <w:sz w:val="28"/>
          <w:szCs w:val="28"/>
          <w:lang w:val="en-US"/>
        </w:rPr>
        <w:t xml:space="preserve"> 17.02.2025.</w:t>
      </w:r>
    </w:p>
    <w:p w14:paraId="3A8F325E" w14:textId="07AF4F4F"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97</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 xml:space="preserve">Reinforcing The Institutional Capacity </w:t>
      </w:r>
      <w:r w:rsidR="00154978" w:rsidRPr="000C23D7">
        <w:rPr>
          <w:rStyle w:val="Strong"/>
          <w:b w:val="0"/>
          <w:bCs w:val="0"/>
          <w:sz w:val="28"/>
          <w:szCs w:val="28"/>
          <w:lang w:val="en-US"/>
        </w:rPr>
        <w:t>of t</w:t>
      </w:r>
      <w:r w:rsidR="00DC5451" w:rsidRPr="000C23D7">
        <w:rPr>
          <w:rStyle w:val="Strong"/>
          <w:b w:val="0"/>
          <w:bCs w:val="0"/>
          <w:sz w:val="28"/>
          <w:szCs w:val="28"/>
          <w:lang w:val="en-US"/>
        </w:rPr>
        <w:t>he Commissioner For Human Rights (Ombudsperson) Institution in Kazakhstan</w:t>
      </w:r>
      <w:r w:rsidR="00DC5451" w:rsidRPr="000C23D7">
        <w:rPr>
          <w:sz w:val="28"/>
          <w:szCs w:val="28"/>
          <w:lang w:val="en-US"/>
        </w:rPr>
        <w:t xml:space="preserve"> </w:t>
      </w:r>
      <w:r w:rsidR="00154978" w:rsidRPr="000C23D7">
        <w:rPr>
          <w:sz w:val="28"/>
          <w:szCs w:val="28"/>
          <w:lang w:val="en-US"/>
        </w:rPr>
        <w:t>//</w:t>
      </w:r>
      <w:r w:rsidR="00DC5451" w:rsidRPr="000C23D7">
        <w:rPr>
          <w:sz w:val="28"/>
          <w:szCs w:val="28"/>
          <w:lang w:val="en-US"/>
        </w:rPr>
        <w:t xml:space="preserve"> </w:t>
      </w:r>
      <w:hyperlink r:id="rId213" w:history="1">
        <w:r w:rsidR="00154978" w:rsidRPr="000C23D7">
          <w:rPr>
            <w:rStyle w:val="Hyperlink"/>
            <w:color w:val="auto"/>
            <w:sz w:val="28"/>
            <w:szCs w:val="28"/>
            <w:u w:val="none"/>
            <w:lang w:val="en-US"/>
          </w:rPr>
          <w:t>https://www.coe.int.</w:t>
        </w:r>
      </w:hyperlink>
      <w:r w:rsidR="00DC5451" w:rsidRPr="000C23D7">
        <w:rPr>
          <w:sz w:val="28"/>
          <w:szCs w:val="28"/>
          <w:lang w:val="en-US"/>
        </w:rPr>
        <w:t xml:space="preserve"> 21.03.2025.</w:t>
      </w:r>
    </w:p>
    <w:p w14:paraId="228C0995" w14:textId="7BF3A19B" w:rsidR="00DC5451" w:rsidRPr="000C23D7" w:rsidRDefault="006423E6" w:rsidP="00B71030">
      <w:pPr>
        <w:pStyle w:val="NormalWeb"/>
        <w:tabs>
          <w:tab w:val="left" w:pos="1134"/>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98</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Universal Periodic Review – Kazakhstan</w:t>
      </w:r>
      <w:r w:rsidR="00DC5451" w:rsidRPr="000C23D7">
        <w:rPr>
          <w:sz w:val="28"/>
          <w:szCs w:val="28"/>
          <w:lang w:val="en-US"/>
        </w:rPr>
        <w:t xml:space="preserve"> [</w:t>
      </w:r>
      <w:r w:rsidR="00DC5451" w:rsidRPr="000C23D7">
        <w:rPr>
          <w:sz w:val="28"/>
          <w:szCs w:val="28"/>
        </w:rPr>
        <w:t>Электронный</w:t>
      </w:r>
      <w:r w:rsidR="00DC5451" w:rsidRPr="000C23D7">
        <w:rPr>
          <w:sz w:val="28"/>
          <w:szCs w:val="28"/>
          <w:lang w:val="en-US"/>
        </w:rPr>
        <w:t xml:space="preserve"> </w:t>
      </w:r>
      <w:r w:rsidR="00DC5451" w:rsidRPr="000C23D7">
        <w:rPr>
          <w:sz w:val="28"/>
          <w:szCs w:val="28"/>
        </w:rPr>
        <w:t>ресурс</w:t>
      </w:r>
      <w:r w:rsidR="00DC5451" w:rsidRPr="000C23D7">
        <w:rPr>
          <w:sz w:val="28"/>
          <w:szCs w:val="28"/>
          <w:lang w:val="en-US"/>
        </w:rPr>
        <w:t xml:space="preserve">]. – URL: </w:t>
      </w:r>
      <w:hyperlink r:id="rId214" w:tgtFrame="_new" w:history="1">
        <w:r w:rsidR="00DC5451" w:rsidRPr="000C23D7">
          <w:rPr>
            <w:rStyle w:val="Hyperlink"/>
            <w:color w:val="auto"/>
            <w:sz w:val="28"/>
            <w:szCs w:val="28"/>
            <w:u w:val="none"/>
            <w:lang w:val="en-US"/>
          </w:rPr>
          <w:t>https://www.ohchr.org/en/hr-bodies/upr/kz-index</w:t>
        </w:r>
      </w:hyperlink>
      <w:r w:rsidR="00DC5451" w:rsidRPr="000C23D7">
        <w:rPr>
          <w:sz w:val="28"/>
          <w:szCs w:val="28"/>
          <w:lang w:val="en-US"/>
        </w:rPr>
        <w:t xml:space="preserve"> (</w:t>
      </w:r>
      <w:r w:rsidR="00DC5451" w:rsidRPr="000C23D7">
        <w:rPr>
          <w:sz w:val="28"/>
          <w:szCs w:val="28"/>
        </w:rPr>
        <w:t>дата</w:t>
      </w:r>
      <w:r w:rsidR="00DC5451" w:rsidRPr="000C23D7">
        <w:rPr>
          <w:sz w:val="28"/>
          <w:szCs w:val="28"/>
          <w:lang w:val="en-US"/>
        </w:rPr>
        <w:t xml:space="preserve"> </w:t>
      </w:r>
      <w:r w:rsidR="00DC5451" w:rsidRPr="000C23D7">
        <w:rPr>
          <w:sz w:val="28"/>
          <w:szCs w:val="28"/>
        </w:rPr>
        <w:t>обращения</w:t>
      </w:r>
      <w:r w:rsidR="00DC5451" w:rsidRPr="000C23D7">
        <w:rPr>
          <w:sz w:val="28"/>
          <w:szCs w:val="28"/>
          <w:lang w:val="en-US"/>
        </w:rPr>
        <w:t>: 11.02.2025).</w:t>
      </w:r>
    </w:p>
    <w:p w14:paraId="71584CE7" w14:textId="7015ACC6" w:rsidR="00DC545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99</w:t>
      </w:r>
      <w:r w:rsidR="00B71030" w:rsidRPr="000C23D7">
        <w:rPr>
          <w:rStyle w:val="Strong"/>
          <w:b w:val="0"/>
          <w:bCs w:val="0"/>
          <w:sz w:val="28"/>
          <w:szCs w:val="28"/>
          <w:lang w:val="kk-KZ"/>
        </w:rPr>
        <w:t xml:space="preserve"> </w:t>
      </w:r>
      <w:r w:rsidR="00DC5451" w:rsidRPr="000C23D7">
        <w:rPr>
          <w:rStyle w:val="Strong"/>
          <w:b w:val="0"/>
          <w:bCs w:val="0"/>
          <w:sz w:val="28"/>
          <w:szCs w:val="28"/>
          <w:lang w:val="en-US"/>
        </w:rPr>
        <w:t>World Report 2025 – Kazakhstan</w:t>
      </w:r>
      <w:r w:rsidR="00154978" w:rsidRPr="000C23D7">
        <w:rPr>
          <w:rStyle w:val="Strong"/>
          <w:b w:val="0"/>
          <w:bCs w:val="0"/>
          <w:sz w:val="28"/>
          <w:szCs w:val="28"/>
          <w:lang w:val="en-US"/>
        </w:rPr>
        <w:t xml:space="preserve"> /</w:t>
      </w:r>
      <w:r w:rsidR="00DC5451" w:rsidRPr="000C23D7">
        <w:rPr>
          <w:rStyle w:val="Strong"/>
          <w:b w:val="0"/>
          <w:bCs w:val="0"/>
          <w:sz w:val="28"/>
          <w:szCs w:val="28"/>
          <w:lang w:val="en-US"/>
        </w:rPr>
        <w:t xml:space="preserve"> HRW – Human Rights Watch</w:t>
      </w:r>
      <w:r w:rsidR="00DC5451" w:rsidRPr="000C23D7">
        <w:rPr>
          <w:sz w:val="28"/>
          <w:szCs w:val="28"/>
          <w:lang w:val="en-US"/>
        </w:rPr>
        <w:t xml:space="preserve"> </w:t>
      </w:r>
      <w:r w:rsidR="00154978" w:rsidRPr="000C23D7">
        <w:rPr>
          <w:sz w:val="28"/>
          <w:szCs w:val="28"/>
          <w:lang w:val="en-US"/>
        </w:rPr>
        <w:t>//</w:t>
      </w:r>
      <w:r w:rsidR="00DC5451" w:rsidRPr="000C23D7">
        <w:rPr>
          <w:sz w:val="28"/>
          <w:szCs w:val="28"/>
          <w:lang w:val="en-US"/>
        </w:rPr>
        <w:t xml:space="preserve"> </w:t>
      </w:r>
      <w:hyperlink r:id="rId215" w:tgtFrame="_new" w:history="1">
        <w:r w:rsidR="00DC5451" w:rsidRPr="000C23D7">
          <w:rPr>
            <w:rStyle w:val="Hyperlink"/>
            <w:color w:val="auto"/>
            <w:sz w:val="28"/>
            <w:szCs w:val="28"/>
            <w:u w:val="none"/>
            <w:lang w:val="en-US"/>
          </w:rPr>
          <w:t>https://www.ecoi.net/en/document/2120092.html</w:t>
        </w:r>
      </w:hyperlink>
      <w:r w:rsidR="00154978" w:rsidRPr="000C23D7">
        <w:rPr>
          <w:rStyle w:val="Hyperlink"/>
          <w:color w:val="auto"/>
          <w:sz w:val="28"/>
          <w:szCs w:val="28"/>
          <w:u w:val="none"/>
          <w:lang w:val="en-US"/>
        </w:rPr>
        <w:t>.</w:t>
      </w:r>
      <w:r w:rsidR="00DC5451" w:rsidRPr="000C23D7">
        <w:rPr>
          <w:sz w:val="28"/>
          <w:szCs w:val="28"/>
          <w:lang w:val="en-US"/>
        </w:rPr>
        <w:t xml:space="preserve"> 02.03.2025.</w:t>
      </w:r>
    </w:p>
    <w:p w14:paraId="3437D138" w14:textId="7C16CB63"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100</w:t>
      </w:r>
      <w:r w:rsidR="001E43B1" w:rsidRPr="000C23D7">
        <w:rPr>
          <w:sz w:val="28"/>
          <w:szCs w:val="28"/>
          <w:lang w:val="en-US"/>
        </w:rPr>
        <w:t xml:space="preserve"> UN Human Rights Report 2024 </w:t>
      </w:r>
      <w:r w:rsidR="00154978" w:rsidRPr="000C23D7">
        <w:rPr>
          <w:sz w:val="28"/>
          <w:szCs w:val="28"/>
          <w:lang w:val="en-US"/>
        </w:rPr>
        <w:t xml:space="preserve">/ </w:t>
      </w:r>
      <w:r w:rsidR="00154978" w:rsidRPr="000C23D7">
        <w:rPr>
          <w:rStyle w:val="Strong"/>
          <w:b w:val="0"/>
          <w:bCs w:val="0"/>
          <w:sz w:val="28"/>
          <w:szCs w:val="28"/>
          <w:lang w:val="en-US"/>
        </w:rPr>
        <w:t>Office of the High Commissioner for Human Rights</w:t>
      </w:r>
      <w:r w:rsidR="00154978" w:rsidRPr="000C23D7">
        <w:rPr>
          <w:sz w:val="28"/>
          <w:szCs w:val="28"/>
          <w:lang w:val="en-US"/>
        </w:rPr>
        <w:t xml:space="preserve"> //</w:t>
      </w:r>
      <w:r w:rsidR="001E43B1" w:rsidRPr="000C23D7">
        <w:rPr>
          <w:sz w:val="28"/>
          <w:szCs w:val="28"/>
          <w:lang w:val="en-US"/>
        </w:rPr>
        <w:t xml:space="preserve"> </w:t>
      </w:r>
      <w:hyperlink r:id="rId216" w:history="1">
        <w:r w:rsidR="00154978" w:rsidRPr="000C23D7">
          <w:rPr>
            <w:rStyle w:val="Hyperlink"/>
            <w:rFonts w:eastAsiaTheme="majorEastAsia"/>
            <w:color w:val="auto"/>
            <w:sz w:val="28"/>
            <w:szCs w:val="28"/>
            <w:u w:val="none"/>
            <w:lang w:val="en-US"/>
          </w:rPr>
          <w:t>https://www.ohchr.org/sites/default/files.</w:t>
        </w:r>
      </w:hyperlink>
      <w:r w:rsidR="001E43B1" w:rsidRPr="000C23D7">
        <w:rPr>
          <w:sz w:val="28"/>
          <w:szCs w:val="28"/>
          <w:lang w:val="en-US"/>
        </w:rPr>
        <w:t xml:space="preserve"> 07.01.2025.</w:t>
      </w:r>
    </w:p>
    <w:p w14:paraId="5C622614" w14:textId="5D86D5A1"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101</w:t>
      </w:r>
      <w:r w:rsidR="001E43B1" w:rsidRPr="000C23D7">
        <w:rPr>
          <w:sz w:val="28"/>
          <w:szCs w:val="28"/>
          <w:lang w:val="en-US"/>
        </w:rPr>
        <w:t xml:space="preserve"> Transforming our world: the 2030 Agenda for Sustainable Development </w:t>
      </w:r>
      <w:r w:rsidR="00154978" w:rsidRPr="000C23D7">
        <w:rPr>
          <w:sz w:val="28"/>
          <w:szCs w:val="28"/>
          <w:lang w:val="en-US"/>
        </w:rPr>
        <w:t xml:space="preserve">/ </w:t>
      </w:r>
      <w:r w:rsidR="00154978" w:rsidRPr="000C23D7">
        <w:rPr>
          <w:rStyle w:val="Strong"/>
          <w:b w:val="0"/>
          <w:bCs w:val="0"/>
          <w:sz w:val="28"/>
          <w:szCs w:val="28"/>
          <w:lang w:val="en-US"/>
        </w:rPr>
        <w:t>United Nations</w:t>
      </w:r>
      <w:r w:rsidR="00154978" w:rsidRPr="000C23D7">
        <w:rPr>
          <w:sz w:val="28"/>
          <w:szCs w:val="28"/>
          <w:lang w:val="en-US"/>
        </w:rPr>
        <w:t xml:space="preserve"> //</w:t>
      </w:r>
      <w:r w:rsidR="001E43B1" w:rsidRPr="000C23D7">
        <w:rPr>
          <w:sz w:val="28"/>
          <w:szCs w:val="28"/>
          <w:lang w:val="en-US"/>
        </w:rPr>
        <w:t xml:space="preserve"> </w:t>
      </w:r>
      <w:hyperlink r:id="rId217" w:history="1">
        <w:r w:rsidR="00154978" w:rsidRPr="000C23D7">
          <w:rPr>
            <w:rStyle w:val="Hyperlink"/>
            <w:rFonts w:eastAsiaTheme="majorEastAsia"/>
            <w:color w:val="auto"/>
            <w:sz w:val="28"/>
            <w:szCs w:val="28"/>
            <w:u w:val="none"/>
            <w:lang w:val="en-US"/>
          </w:rPr>
          <w:t>https://www.refworld.org/legal/resolution/unga.</w:t>
        </w:r>
      </w:hyperlink>
      <w:r w:rsidR="001E43B1" w:rsidRPr="000C23D7">
        <w:rPr>
          <w:sz w:val="28"/>
          <w:szCs w:val="28"/>
          <w:lang w:val="en-US"/>
        </w:rPr>
        <w:t xml:space="preserve"> 12.02.2025.</w:t>
      </w:r>
    </w:p>
    <w:p w14:paraId="3C5BA891" w14:textId="31200CD0"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102</w:t>
      </w:r>
      <w:r w:rsidR="001E43B1" w:rsidRPr="000C23D7">
        <w:rPr>
          <w:sz w:val="28"/>
          <w:szCs w:val="28"/>
          <w:lang w:val="en-US"/>
        </w:rPr>
        <w:t xml:space="preserve"> EU Action Plan on Human Rights and Democracy 2020–2027 </w:t>
      </w:r>
      <w:r w:rsidR="00154978" w:rsidRPr="000C23D7">
        <w:rPr>
          <w:sz w:val="28"/>
          <w:szCs w:val="28"/>
          <w:lang w:val="en-US"/>
        </w:rPr>
        <w:t xml:space="preserve">/ </w:t>
      </w:r>
      <w:r w:rsidR="00154978" w:rsidRPr="000C23D7">
        <w:rPr>
          <w:rStyle w:val="Strong"/>
          <w:b w:val="0"/>
          <w:bCs w:val="0"/>
          <w:sz w:val="28"/>
          <w:szCs w:val="28"/>
          <w:lang w:val="en-US"/>
        </w:rPr>
        <w:t>European External Action Service (EEAS)</w:t>
      </w:r>
      <w:r w:rsidR="00154978" w:rsidRPr="000C23D7">
        <w:rPr>
          <w:sz w:val="28"/>
          <w:szCs w:val="28"/>
          <w:lang w:val="en-US"/>
        </w:rPr>
        <w:t xml:space="preserve"> //</w:t>
      </w:r>
      <w:r w:rsidR="001E43B1" w:rsidRPr="000C23D7">
        <w:rPr>
          <w:sz w:val="28"/>
          <w:szCs w:val="28"/>
          <w:lang w:val="en-US"/>
        </w:rPr>
        <w:t xml:space="preserve"> </w:t>
      </w:r>
      <w:hyperlink r:id="rId218" w:history="1">
        <w:r w:rsidR="00154978" w:rsidRPr="000C23D7">
          <w:rPr>
            <w:rStyle w:val="Hyperlink"/>
            <w:rFonts w:eastAsiaTheme="majorEastAsia"/>
            <w:color w:val="auto"/>
            <w:sz w:val="28"/>
            <w:szCs w:val="28"/>
            <w:u w:val="none"/>
            <w:lang w:val="en-US"/>
          </w:rPr>
          <w:t>https://www.eeas.europa.eu.</w:t>
        </w:r>
      </w:hyperlink>
      <w:r w:rsidR="001E43B1" w:rsidRPr="000C23D7">
        <w:rPr>
          <w:sz w:val="28"/>
          <w:szCs w:val="28"/>
          <w:lang w:val="en-US"/>
        </w:rPr>
        <w:t xml:space="preserve"> 15.03.2025.</w:t>
      </w:r>
    </w:p>
    <w:p w14:paraId="235E9600" w14:textId="104523D4"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103</w:t>
      </w:r>
      <w:r w:rsidR="00B71030" w:rsidRPr="000C23D7">
        <w:rPr>
          <w:rStyle w:val="Strong"/>
          <w:b w:val="0"/>
          <w:bCs w:val="0"/>
          <w:sz w:val="28"/>
          <w:szCs w:val="28"/>
          <w:lang w:val="kk-KZ"/>
        </w:rPr>
        <w:t xml:space="preserve"> </w:t>
      </w:r>
      <w:r w:rsidR="001E43B1" w:rsidRPr="000C23D7">
        <w:rPr>
          <w:sz w:val="28"/>
          <w:szCs w:val="28"/>
          <w:lang w:val="en-US"/>
        </w:rPr>
        <w:t xml:space="preserve">EU Human Rights Guidelines </w:t>
      </w:r>
      <w:r w:rsidR="00154978" w:rsidRPr="000C23D7">
        <w:rPr>
          <w:sz w:val="28"/>
          <w:szCs w:val="28"/>
          <w:lang w:val="en-US"/>
        </w:rPr>
        <w:t xml:space="preserve">/ </w:t>
      </w:r>
      <w:r w:rsidR="00154978" w:rsidRPr="000C23D7">
        <w:rPr>
          <w:rStyle w:val="Strong"/>
          <w:b w:val="0"/>
          <w:bCs w:val="0"/>
          <w:sz w:val="28"/>
          <w:szCs w:val="28"/>
          <w:lang w:val="en-US"/>
        </w:rPr>
        <w:t>European External Action Service (EEAS) //</w:t>
      </w:r>
      <w:r w:rsidR="00154978" w:rsidRPr="000C23D7">
        <w:rPr>
          <w:sz w:val="28"/>
          <w:szCs w:val="28"/>
          <w:lang w:val="en-US"/>
        </w:rPr>
        <w:t xml:space="preserve"> </w:t>
      </w:r>
      <w:hyperlink r:id="rId219" w:tgtFrame="_new" w:history="1">
        <w:r w:rsidR="001E43B1" w:rsidRPr="000C23D7">
          <w:rPr>
            <w:rStyle w:val="Hyperlink"/>
            <w:rFonts w:eastAsiaTheme="majorEastAsia"/>
            <w:color w:val="auto"/>
            <w:sz w:val="28"/>
            <w:szCs w:val="28"/>
            <w:u w:val="none"/>
            <w:lang w:val="en-US"/>
          </w:rPr>
          <w:t>https://www.eeas.europa.eu/eeas/eu-human-rights-guidelines_en</w:t>
        </w:r>
      </w:hyperlink>
      <w:r w:rsidR="00154978" w:rsidRPr="000C23D7">
        <w:rPr>
          <w:rStyle w:val="Hyperlink"/>
          <w:rFonts w:eastAsiaTheme="majorEastAsia"/>
          <w:color w:val="auto"/>
          <w:sz w:val="28"/>
          <w:szCs w:val="28"/>
          <w:u w:val="none"/>
          <w:lang w:val="en-US"/>
        </w:rPr>
        <w:t>.</w:t>
      </w:r>
      <w:r w:rsidR="001E43B1" w:rsidRPr="000C23D7">
        <w:rPr>
          <w:sz w:val="28"/>
          <w:szCs w:val="28"/>
          <w:lang w:val="en-US"/>
        </w:rPr>
        <w:t xml:space="preserve"> 02.03.2025.</w:t>
      </w:r>
    </w:p>
    <w:p w14:paraId="7EAD30DF" w14:textId="083CCAC3"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104</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Wong M.Y.H., Kwong Y.-h., Chau V.Y.W.</w:t>
      </w:r>
      <w:r w:rsidR="001E43B1" w:rsidRPr="000C23D7">
        <w:rPr>
          <w:sz w:val="28"/>
          <w:szCs w:val="28"/>
          <w:lang w:val="en-US"/>
        </w:rPr>
        <w:t xml:space="preserve"> Democracy, constitutional framework, and human rights: A comparison of Monaco, Tonga, Hong Kong, and Singapore // </w:t>
      </w:r>
      <w:r w:rsidR="001E43B1" w:rsidRPr="000C23D7">
        <w:rPr>
          <w:rStyle w:val="Emphasis"/>
          <w:i w:val="0"/>
          <w:sz w:val="28"/>
          <w:szCs w:val="28"/>
          <w:lang w:val="en-US"/>
        </w:rPr>
        <w:t>International Journal of Law, Crime and Justice</w:t>
      </w:r>
      <w:r w:rsidR="00154978" w:rsidRPr="000C23D7">
        <w:rPr>
          <w:rStyle w:val="Emphasis"/>
          <w:i w:val="0"/>
          <w:sz w:val="28"/>
          <w:szCs w:val="28"/>
          <w:lang w:val="en-US"/>
        </w:rPr>
        <w:t>. – 2021. – Vol.</w:t>
      </w:r>
      <w:r w:rsidR="001E43B1" w:rsidRPr="000C23D7">
        <w:rPr>
          <w:sz w:val="28"/>
          <w:szCs w:val="28"/>
          <w:lang w:val="en-US"/>
        </w:rPr>
        <w:t xml:space="preserve"> 64</w:t>
      </w:r>
      <w:r w:rsidR="00154978" w:rsidRPr="000C23D7">
        <w:rPr>
          <w:sz w:val="28"/>
          <w:szCs w:val="28"/>
          <w:lang w:val="en-US"/>
        </w:rPr>
        <w:t>. – P. </w:t>
      </w:r>
      <w:r w:rsidR="001E43B1" w:rsidRPr="000C23D7">
        <w:rPr>
          <w:sz w:val="28"/>
          <w:szCs w:val="28"/>
          <w:lang w:val="en-US"/>
        </w:rPr>
        <w:t xml:space="preserve">100438. </w:t>
      </w:r>
    </w:p>
    <w:p w14:paraId="5538E807" w14:textId="3FF0C18E"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105</w:t>
      </w:r>
      <w:r w:rsidR="001E43B1" w:rsidRPr="000C23D7">
        <w:rPr>
          <w:sz w:val="28"/>
          <w:szCs w:val="28"/>
          <w:lang w:val="en-US"/>
        </w:rPr>
        <w:t xml:space="preserve"> </w:t>
      </w:r>
      <w:r w:rsidR="001E43B1" w:rsidRPr="000C23D7">
        <w:rPr>
          <w:rStyle w:val="Strong"/>
          <w:b w:val="0"/>
          <w:bCs w:val="0"/>
          <w:sz w:val="28"/>
          <w:szCs w:val="28"/>
          <w:lang w:val="en-US"/>
        </w:rPr>
        <w:t>López Cifuentes M., Sonnino R.</w:t>
      </w:r>
      <w:r w:rsidR="001E43B1" w:rsidRPr="000C23D7">
        <w:rPr>
          <w:sz w:val="28"/>
          <w:szCs w:val="28"/>
          <w:lang w:val="en-US"/>
        </w:rPr>
        <w:t xml:space="preserve"> Food democracy and the right to the city: Re-assembling urban food environments in East-Central London // </w:t>
      </w:r>
      <w:r w:rsidR="001E43B1" w:rsidRPr="000C23D7">
        <w:rPr>
          <w:rStyle w:val="Emphasis"/>
          <w:i w:val="0"/>
          <w:sz w:val="28"/>
          <w:szCs w:val="28"/>
          <w:lang w:val="en-US"/>
        </w:rPr>
        <w:t>Cities</w:t>
      </w:r>
      <w:r w:rsidR="00154978" w:rsidRPr="000C23D7">
        <w:rPr>
          <w:sz w:val="28"/>
          <w:szCs w:val="28"/>
          <w:lang w:val="en-US"/>
        </w:rPr>
        <w:t>. – 2024. – Vol.</w:t>
      </w:r>
      <w:r w:rsidR="001E43B1" w:rsidRPr="000C23D7">
        <w:rPr>
          <w:sz w:val="28"/>
          <w:szCs w:val="28"/>
          <w:lang w:val="en-US"/>
        </w:rPr>
        <w:t xml:space="preserve"> 153</w:t>
      </w:r>
      <w:r w:rsidR="00154978" w:rsidRPr="000C23D7">
        <w:rPr>
          <w:sz w:val="28"/>
          <w:szCs w:val="28"/>
          <w:lang w:val="en-US"/>
        </w:rPr>
        <w:t>. – P.</w:t>
      </w:r>
      <w:r w:rsidR="001E43B1" w:rsidRPr="000C23D7">
        <w:rPr>
          <w:sz w:val="28"/>
          <w:szCs w:val="28"/>
          <w:lang w:val="en-US"/>
        </w:rPr>
        <w:t xml:space="preserve"> 105319. </w:t>
      </w:r>
    </w:p>
    <w:p w14:paraId="032A28B1" w14:textId="38CC81FA"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106</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Fiala-Butora J.</w:t>
      </w:r>
      <w:r w:rsidR="001E43B1" w:rsidRPr="000C23D7">
        <w:rPr>
          <w:sz w:val="28"/>
          <w:szCs w:val="28"/>
          <w:lang w:val="en-US"/>
        </w:rPr>
        <w:t xml:space="preserve"> The influence of the convention on the rights of persons with disabilities on the European court of human rights in the area of mental health law: Divergence and unexplored potential // </w:t>
      </w:r>
      <w:r w:rsidR="001E43B1" w:rsidRPr="000C23D7">
        <w:rPr>
          <w:rStyle w:val="Emphasis"/>
          <w:i w:val="0"/>
          <w:sz w:val="28"/>
          <w:szCs w:val="28"/>
          <w:lang w:val="en-US"/>
        </w:rPr>
        <w:t>International Journal of Law and Psychiatry</w:t>
      </w:r>
      <w:r w:rsidR="00154978" w:rsidRPr="000C23D7">
        <w:rPr>
          <w:rStyle w:val="Emphasis"/>
          <w:i w:val="0"/>
          <w:sz w:val="28"/>
          <w:szCs w:val="28"/>
          <w:lang w:val="en-US"/>
        </w:rPr>
        <w:t>. – 2024. – Vol.</w:t>
      </w:r>
      <w:r w:rsidR="001E43B1" w:rsidRPr="000C23D7">
        <w:rPr>
          <w:sz w:val="28"/>
          <w:szCs w:val="28"/>
          <w:lang w:val="en-US"/>
        </w:rPr>
        <w:t xml:space="preserve"> 94</w:t>
      </w:r>
      <w:r w:rsidR="00154978" w:rsidRPr="000C23D7">
        <w:rPr>
          <w:sz w:val="28"/>
          <w:szCs w:val="28"/>
          <w:lang w:val="en-US"/>
        </w:rPr>
        <w:t>. – P.</w:t>
      </w:r>
      <w:r w:rsidR="001E43B1" w:rsidRPr="000C23D7">
        <w:rPr>
          <w:sz w:val="28"/>
          <w:szCs w:val="28"/>
          <w:lang w:val="en-US"/>
        </w:rPr>
        <w:t xml:space="preserve"> 101965. </w:t>
      </w:r>
    </w:p>
    <w:p w14:paraId="325AFB19" w14:textId="291EC91E"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lastRenderedPageBreak/>
        <w:t>107</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Rogerson M., Scarpa F., Snelson-Powell A.</w:t>
      </w:r>
      <w:r w:rsidR="001E43B1" w:rsidRPr="000C23D7">
        <w:rPr>
          <w:sz w:val="28"/>
          <w:szCs w:val="28"/>
          <w:lang w:val="en-US"/>
        </w:rPr>
        <w:t xml:space="preserve"> Accounting for human rights: Evidence of due diligence in EU-listed firms’ reporting // </w:t>
      </w:r>
      <w:r w:rsidR="001E43B1" w:rsidRPr="000C23D7">
        <w:rPr>
          <w:rStyle w:val="Emphasis"/>
          <w:i w:val="0"/>
          <w:sz w:val="28"/>
          <w:szCs w:val="28"/>
          <w:lang w:val="en-US"/>
        </w:rPr>
        <w:t>Critical Perspectives on Accounting</w:t>
      </w:r>
      <w:r w:rsidR="00260DB9" w:rsidRPr="000C23D7">
        <w:rPr>
          <w:sz w:val="28"/>
          <w:szCs w:val="28"/>
          <w:lang w:val="en-US"/>
        </w:rPr>
        <w:t>. – 2024. – Vol</w:t>
      </w:r>
      <w:r w:rsidR="001E43B1" w:rsidRPr="000C23D7">
        <w:rPr>
          <w:sz w:val="28"/>
          <w:szCs w:val="28"/>
          <w:lang w:val="en-US"/>
        </w:rPr>
        <w:t xml:space="preserve"> 99</w:t>
      </w:r>
      <w:r w:rsidR="00260DB9" w:rsidRPr="000C23D7">
        <w:rPr>
          <w:sz w:val="28"/>
          <w:szCs w:val="28"/>
          <w:lang w:val="en-US"/>
        </w:rPr>
        <w:t>. – P.</w:t>
      </w:r>
      <w:r w:rsidR="001E43B1" w:rsidRPr="000C23D7">
        <w:rPr>
          <w:sz w:val="28"/>
          <w:szCs w:val="28"/>
          <w:lang w:val="en-US"/>
        </w:rPr>
        <w:t xml:space="preserve"> 102716. </w:t>
      </w:r>
    </w:p>
    <w:p w14:paraId="675FC6F2" w14:textId="1B3FF1D5"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108</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Zamfir I.</w:t>
      </w:r>
      <w:r w:rsidR="001E43B1" w:rsidRPr="000C23D7">
        <w:rPr>
          <w:sz w:val="28"/>
          <w:szCs w:val="28"/>
          <w:lang w:val="en-US"/>
        </w:rPr>
        <w:t xml:space="preserve"> Human rights in EU trade agreements: The human rights clause and its application </w:t>
      </w:r>
      <w:r w:rsidR="00260DB9" w:rsidRPr="000C23D7">
        <w:rPr>
          <w:sz w:val="28"/>
          <w:szCs w:val="28"/>
          <w:lang w:val="en-US"/>
        </w:rPr>
        <w:t>//</w:t>
      </w:r>
      <w:r w:rsidR="001E43B1" w:rsidRPr="000C23D7">
        <w:rPr>
          <w:sz w:val="28"/>
          <w:szCs w:val="28"/>
          <w:lang w:val="en-US"/>
        </w:rPr>
        <w:t xml:space="preserve"> </w:t>
      </w:r>
      <w:hyperlink r:id="rId220" w:tgtFrame="_new" w:history="1">
        <w:r w:rsidR="001E43B1" w:rsidRPr="000C23D7">
          <w:rPr>
            <w:rStyle w:val="Hyperlink"/>
            <w:rFonts w:eastAsiaTheme="majorEastAsia"/>
            <w:color w:val="auto"/>
            <w:sz w:val="28"/>
            <w:szCs w:val="28"/>
            <w:u w:val="none"/>
            <w:lang w:val="en-US"/>
          </w:rPr>
          <w:t>https://coilink.org/20.500.12592/xt010q</w:t>
        </w:r>
      </w:hyperlink>
      <w:r w:rsidR="00260DB9" w:rsidRPr="000C23D7">
        <w:rPr>
          <w:rStyle w:val="Hyperlink"/>
          <w:rFonts w:eastAsiaTheme="majorEastAsia"/>
          <w:color w:val="auto"/>
          <w:sz w:val="28"/>
          <w:szCs w:val="28"/>
          <w:u w:val="none"/>
          <w:lang w:val="en-US"/>
        </w:rPr>
        <w:t>.</w:t>
      </w:r>
      <w:r w:rsidR="001E43B1" w:rsidRPr="000C23D7">
        <w:rPr>
          <w:sz w:val="28"/>
          <w:szCs w:val="28"/>
          <w:lang w:val="en-US"/>
        </w:rPr>
        <w:t xml:space="preserve"> 24.07.2025.</w:t>
      </w:r>
    </w:p>
    <w:p w14:paraId="60601C16" w14:textId="2EB82174"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109</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Palmiotto F., Menéndez González N.</w:t>
      </w:r>
      <w:r w:rsidR="001E43B1" w:rsidRPr="000C23D7">
        <w:rPr>
          <w:sz w:val="28"/>
          <w:szCs w:val="28"/>
          <w:lang w:val="en-US"/>
        </w:rPr>
        <w:t xml:space="preserve"> Facial recognition technology, democracy and human rights // </w:t>
      </w:r>
      <w:r w:rsidR="001E43B1" w:rsidRPr="000C23D7">
        <w:rPr>
          <w:rStyle w:val="Emphasis"/>
          <w:i w:val="0"/>
          <w:sz w:val="28"/>
          <w:szCs w:val="28"/>
          <w:lang w:val="en-US"/>
        </w:rPr>
        <w:t>Computer Law &amp; Security Review</w:t>
      </w:r>
      <w:r w:rsidR="00260DB9" w:rsidRPr="000C23D7">
        <w:rPr>
          <w:rStyle w:val="Emphasis"/>
          <w:i w:val="0"/>
          <w:sz w:val="28"/>
          <w:szCs w:val="28"/>
          <w:lang w:val="en-US"/>
        </w:rPr>
        <w:t>. – 2023. – Vol.</w:t>
      </w:r>
      <w:r w:rsidR="001E43B1" w:rsidRPr="000C23D7">
        <w:rPr>
          <w:sz w:val="28"/>
          <w:szCs w:val="28"/>
          <w:lang w:val="en-US"/>
        </w:rPr>
        <w:t xml:space="preserve"> 50</w:t>
      </w:r>
      <w:r w:rsidR="00260DB9" w:rsidRPr="000C23D7">
        <w:rPr>
          <w:sz w:val="28"/>
          <w:szCs w:val="28"/>
          <w:lang w:val="en-US"/>
        </w:rPr>
        <w:t>. – P.</w:t>
      </w:r>
      <w:r w:rsidR="001E43B1" w:rsidRPr="000C23D7">
        <w:rPr>
          <w:sz w:val="28"/>
          <w:szCs w:val="28"/>
          <w:lang w:val="en-US"/>
        </w:rPr>
        <w:t xml:space="preserve"> 105857. </w:t>
      </w:r>
    </w:p>
    <w:p w14:paraId="62226097" w14:textId="36283C8E"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110</w:t>
      </w:r>
      <w:r w:rsidR="00B71030" w:rsidRPr="000C23D7">
        <w:rPr>
          <w:rStyle w:val="Strong"/>
          <w:b w:val="0"/>
          <w:bCs w:val="0"/>
          <w:sz w:val="28"/>
          <w:szCs w:val="28"/>
          <w:lang w:val="kk-KZ"/>
        </w:rPr>
        <w:t xml:space="preserve"> </w:t>
      </w:r>
      <w:r w:rsidR="001E43B1" w:rsidRPr="000C23D7">
        <w:rPr>
          <w:sz w:val="28"/>
          <w:szCs w:val="28"/>
          <w:lang w:val="en-US"/>
        </w:rPr>
        <w:t xml:space="preserve">Leave no child behind: Revision of EU Guidelines for the Promotion and Protection of the Rights of the Child </w:t>
      </w:r>
      <w:r w:rsidR="00260DB9" w:rsidRPr="000C23D7">
        <w:rPr>
          <w:sz w:val="28"/>
          <w:szCs w:val="28"/>
          <w:lang w:val="en-US"/>
        </w:rPr>
        <w:t>/</w:t>
      </w:r>
      <w:r w:rsidR="001E43B1" w:rsidRPr="000C23D7">
        <w:rPr>
          <w:sz w:val="28"/>
          <w:szCs w:val="28"/>
          <w:lang w:val="en-US"/>
        </w:rPr>
        <w:t xml:space="preserve"> </w:t>
      </w:r>
      <w:r w:rsidR="00260DB9" w:rsidRPr="000C23D7">
        <w:rPr>
          <w:rStyle w:val="Strong"/>
          <w:b w:val="0"/>
          <w:bCs w:val="0"/>
          <w:sz w:val="28"/>
          <w:szCs w:val="28"/>
          <w:lang w:val="en-US"/>
        </w:rPr>
        <w:t>Sexual Violence Research Initiative (SVRI) //</w:t>
      </w:r>
      <w:r w:rsidR="00260DB9" w:rsidRPr="000C23D7">
        <w:rPr>
          <w:sz w:val="28"/>
          <w:szCs w:val="28"/>
          <w:lang w:val="en-US"/>
        </w:rPr>
        <w:t xml:space="preserve"> </w:t>
      </w:r>
      <w:hyperlink r:id="rId221" w:history="1">
        <w:r w:rsidR="00260DB9" w:rsidRPr="000C23D7">
          <w:rPr>
            <w:rStyle w:val="Hyperlink"/>
            <w:rFonts w:eastAsiaTheme="majorEastAsia"/>
            <w:color w:val="auto"/>
            <w:sz w:val="28"/>
            <w:szCs w:val="28"/>
            <w:u w:val="none"/>
            <w:lang w:val="en-US"/>
          </w:rPr>
          <w:t>https://www.svri.org/sites/default/files/attachments.</w:t>
        </w:r>
      </w:hyperlink>
      <w:r w:rsidR="00260DB9" w:rsidRPr="000C23D7">
        <w:rPr>
          <w:rStyle w:val="Hyperlink"/>
          <w:rFonts w:eastAsiaTheme="majorEastAsia"/>
          <w:color w:val="auto"/>
          <w:sz w:val="28"/>
          <w:szCs w:val="28"/>
          <w:u w:val="none"/>
          <w:lang w:val="en-US"/>
        </w:rPr>
        <w:t xml:space="preserve"> </w:t>
      </w:r>
      <w:r w:rsidR="00260DB9" w:rsidRPr="000C23D7">
        <w:rPr>
          <w:sz w:val="28"/>
          <w:szCs w:val="28"/>
          <w:lang w:val="en-US"/>
        </w:rPr>
        <w:t>05.03.2025</w:t>
      </w:r>
      <w:r w:rsidR="001E43B1" w:rsidRPr="000C23D7">
        <w:rPr>
          <w:sz w:val="28"/>
          <w:szCs w:val="28"/>
          <w:lang w:val="en-US"/>
        </w:rPr>
        <w:t>.</w:t>
      </w:r>
    </w:p>
    <w:p w14:paraId="5BE07092" w14:textId="41B8B1D2"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111</w:t>
      </w:r>
      <w:r w:rsidR="001E43B1" w:rsidRPr="000C23D7">
        <w:rPr>
          <w:sz w:val="28"/>
          <w:szCs w:val="28"/>
          <w:lang w:val="en-US"/>
        </w:rPr>
        <w:t xml:space="preserve"> The EU’s Code of Practice on Disinformation is now part of the Digital Services Act. What does it mean?. – 2022</w:t>
      </w:r>
      <w:r w:rsidR="001D4920" w:rsidRPr="000C23D7">
        <w:rPr>
          <w:sz w:val="28"/>
          <w:szCs w:val="28"/>
          <w:lang w:val="en-US"/>
        </w:rPr>
        <w:t xml:space="preserve"> / </w:t>
      </w:r>
      <w:r w:rsidR="001D4920" w:rsidRPr="000C23D7">
        <w:rPr>
          <w:rStyle w:val="Strong"/>
          <w:b w:val="0"/>
          <w:bCs w:val="0"/>
          <w:sz w:val="28"/>
          <w:szCs w:val="28"/>
          <w:lang w:val="en-US"/>
        </w:rPr>
        <w:t>Tech Policy Press //</w:t>
      </w:r>
      <w:r w:rsidR="001E43B1" w:rsidRPr="000C23D7">
        <w:rPr>
          <w:sz w:val="28"/>
          <w:szCs w:val="28"/>
          <w:lang w:val="en-US"/>
        </w:rPr>
        <w:t xml:space="preserve"> </w:t>
      </w:r>
      <w:hyperlink r:id="rId222" w:history="1">
        <w:r w:rsidR="00260DB9" w:rsidRPr="000C23D7">
          <w:rPr>
            <w:rStyle w:val="Hyperlink"/>
            <w:rFonts w:eastAsiaTheme="majorEastAsia"/>
            <w:color w:val="auto"/>
            <w:sz w:val="28"/>
            <w:szCs w:val="28"/>
            <w:u w:val="none"/>
            <w:lang w:val="en-US"/>
          </w:rPr>
          <w:t>https://www.techpolicy.press/the-eus-code-of-practice-on.</w:t>
        </w:r>
      </w:hyperlink>
      <w:r w:rsidR="001E43B1" w:rsidRPr="000C23D7">
        <w:rPr>
          <w:sz w:val="28"/>
          <w:szCs w:val="28"/>
          <w:lang w:val="en-US"/>
        </w:rPr>
        <w:t xml:space="preserve"> 21.01.2025.</w:t>
      </w:r>
    </w:p>
    <w:p w14:paraId="4C4B8A93" w14:textId="2CAEA4EC"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112</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Leslie D., Burr C., Aitken M.</w:t>
      </w:r>
      <w:r w:rsidR="001D4920" w:rsidRPr="000C23D7">
        <w:rPr>
          <w:rStyle w:val="Strong"/>
          <w:b w:val="0"/>
          <w:bCs w:val="0"/>
          <w:sz w:val="28"/>
          <w:szCs w:val="28"/>
          <w:lang w:val="en-US"/>
        </w:rPr>
        <w:t xml:space="preserve"> et al.</w:t>
      </w:r>
      <w:r w:rsidR="001E43B1" w:rsidRPr="000C23D7">
        <w:rPr>
          <w:sz w:val="28"/>
          <w:szCs w:val="28"/>
          <w:lang w:val="en-US"/>
        </w:rPr>
        <w:t xml:space="preserve"> Artificial intelligence, human rights, democracy, and the rule of law: a primer </w:t>
      </w:r>
      <w:r w:rsidR="001D4920" w:rsidRPr="000C23D7">
        <w:rPr>
          <w:sz w:val="28"/>
          <w:szCs w:val="28"/>
          <w:lang w:val="en-US"/>
        </w:rPr>
        <w:t>//</w:t>
      </w:r>
      <w:r w:rsidR="001E43B1" w:rsidRPr="000C23D7">
        <w:rPr>
          <w:sz w:val="28"/>
          <w:szCs w:val="28"/>
          <w:lang w:val="en-US"/>
        </w:rPr>
        <w:t xml:space="preserve"> </w:t>
      </w:r>
      <w:r w:rsidR="001D4920" w:rsidRPr="000C23D7">
        <w:rPr>
          <w:sz w:val="28"/>
          <w:szCs w:val="28"/>
          <w:lang w:val="en-US"/>
        </w:rPr>
        <w:t>https://arxiv.org/abs/2104.</w:t>
      </w:r>
      <w:r w:rsidR="001E43B1" w:rsidRPr="000C23D7">
        <w:rPr>
          <w:sz w:val="28"/>
          <w:szCs w:val="28"/>
          <w:lang w:val="en-US"/>
        </w:rPr>
        <w:t xml:space="preserve"> 14.03.2025.</w:t>
      </w:r>
    </w:p>
    <w:p w14:paraId="090FF4B5" w14:textId="2F530D14"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113</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Rincon C., Burr C., Aitken M.</w:t>
      </w:r>
      <w:r w:rsidR="001D4920" w:rsidRPr="000C23D7">
        <w:rPr>
          <w:rStyle w:val="Strong"/>
          <w:b w:val="0"/>
          <w:bCs w:val="0"/>
          <w:sz w:val="28"/>
          <w:szCs w:val="28"/>
          <w:lang w:val="en-US"/>
        </w:rPr>
        <w:t xml:space="preserve"> et al.</w:t>
      </w:r>
      <w:r w:rsidR="001E43B1" w:rsidRPr="000C23D7">
        <w:rPr>
          <w:sz w:val="28"/>
          <w:szCs w:val="28"/>
          <w:lang w:val="en-US"/>
        </w:rPr>
        <w:t xml:space="preserve"> Human rights, democracy, and the rule of law assurance framework for AI systems: A proposal. – 2022</w:t>
      </w:r>
      <w:r w:rsidR="001D4920" w:rsidRPr="000C23D7">
        <w:rPr>
          <w:sz w:val="28"/>
          <w:szCs w:val="28"/>
          <w:lang w:val="en-US"/>
        </w:rPr>
        <w:t xml:space="preserve"> //</w:t>
      </w:r>
      <w:r w:rsidR="001E43B1" w:rsidRPr="000C23D7">
        <w:rPr>
          <w:sz w:val="28"/>
          <w:szCs w:val="28"/>
          <w:lang w:val="en-US"/>
        </w:rPr>
        <w:t xml:space="preserve"> </w:t>
      </w:r>
      <w:hyperlink r:id="rId223" w:tgtFrame="_new" w:history="1">
        <w:r w:rsidR="001E43B1" w:rsidRPr="000C23D7">
          <w:rPr>
            <w:rStyle w:val="Hyperlink"/>
            <w:rFonts w:eastAsiaTheme="majorEastAsia"/>
            <w:color w:val="auto"/>
            <w:sz w:val="28"/>
            <w:szCs w:val="28"/>
            <w:u w:val="none"/>
            <w:lang w:val="en-US"/>
          </w:rPr>
          <w:t>https://doi.org/10.48550/arXiv.2202.02776</w:t>
        </w:r>
      </w:hyperlink>
      <w:r w:rsidR="001D4920" w:rsidRPr="000C23D7">
        <w:rPr>
          <w:rStyle w:val="Hyperlink"/>
          <w:rFonts w:eastAsiaTheme="majorEastAsia"/>
          <w:color w:val="auto"/>
          <w:sz w:val="28"/>
          <w:szCs w:val="28"/>
          <w:u w:val="none"/>
          <w:lang w:val="en-US"/>
        </w:rPr>
        <w:t>.</w:t>
      </w:r>
      <w:r w:rsidR="001D4920" w:rsidRPr="000C23D7">
        <w:rPr>
          <w:sz w:val="28"/>
          <w:szCs w:val="28"/>
          <w:lang w:val="en-US"/>
        </w:rPr>
        <w:t xml:space="preserve"> 07.01.2025</w:t>
      </w:r>
      <w:r w:rsidR="001E43B1" w:rsidRPr="000C23D7">
        <w:rPr>
          <w:sz w:val="28"/>
          <w:szCs w:val="28"/>
          <w:lang w:val="en-US"/>
        </w:rPr>
        <w:t>.</w:t>
      </w:r>
    </w:p>
    <w:p w14:paraId="442B8C49" w14:textId="1CA8338E"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114</w:t>
      </w:r>
      <w:r w:rsidR="001E43B1" w:rsidRPr="000C23D7">
        <w:rPr>
          <w:sz w:val="28"/>
          <w:szCs w:val="28"/>
          <w:lang w:val="en-US"/>
        </w:rPr>
        <w:t xml:space="preserve"> Enhanced Partnership and Cooperation Agreement between Kazakhstan and the EU </w:t>
      </w:r>
      <w:r w:rsidR="001D4920" w:rsidRPr="000C23D7">
        <w:rPr>
          <w:sz w:val="28"/>
          <w:szCs w:val="28"/>
          <w:lang w:val="en-US"/>
        </w:rPr>
        <w:t xml:space="preserve">/ </w:t>
      </w:r>
      <w:r w:rsidR="001D4920" w:rsidRPr="000C23D7">
        <w:rPr>
          <w:rStyle w:val="Strong"/>
          <w:b w:val="0"/>
          <w:bCs w:val="0"/>
          <w:sz w:val="28"/>
          <w:szCs w:val="28"/>
          <w:lang w:val="en-US"/>
        </w:rPr>
        <w:t>European Parliament</w:t>
      </w:r>
      <w:r w:rsidR="001D4920" w:rsidRPr="000C23D7">
        <w:rPr>
          <w:sz w:val="28"/>
          <w:szCs w:val="28"/>
          <w:lang w:val="en-US"/>
        </w:rPr>
        <w:t xml:space="preserve"> //</w:t>
      </w:r>
      <w:r w:rsidR="001E43B1" w:rsidRPr="000C23D7">
        <w:rPr>
          <w:sz w:val="28"/>
          <w:szCs w:val="28"/>
          <w:lang w:val="en-US"/>
        </w:rPr>
        <w:t xml:space="preserve"> </w:t>
      </w:r>
      <w:hyperlink r:id="rId224" w:history="1">
        <w:r w:rsidR="001D4920" w:rsidRPr="000C23D7">
          <w:rPr>
            <w:rStyle w:val="Hyperlink"/>
            <w:rFonts w:eastAsiaTheme="majorEastAsia"/>
            <w:color w:val="auto"/>
            <w:sz w:val="28"/>
            <w:szCs w:val="28"/>
            <w:u w:val="none"/>
            <w:lang w:val="en-US"/>
          </w:rPr>
          <w:t>https://www.europarl.europa.eu.</w:t>
        </w:r>
      </w:hyperlink>
      <w:r w:rsidR="001E43B1" w:rsidRPr="000C23D7">
        <w:rPr>
          <w:sz w:val="28"/>
          <w:szCs w:val="28"/>
          <w:lang w:val="en-US"/>
        </w:rPr>
        <w:t xml:space="preserve"> 28.02.2025.</w:t>
      </w:r>
    </w:p>
    <w:p w14:paraId="55B19FC4" w14:textId="75EFECBF"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115</w:t>
      </w:r>
      <w:r w:rsidR="00B71030" w:rsidRPr="000C23D7">
        <w:rPr>
          <w:rStyle w:val="Strong"/>
          <w:b w:val="0"/>
          <w:bCs w:val="0"/>
          <w:sz w:val="28"/>
          <w:szCs w:val="28"/>
          <w:lang w:val="kk-KZ"/>
        </w:rPr>
        <w:t xml:space="preserve"> </w:t>
      </w:r>
      <w:r w:rsidR="001E43B1" w:rsidRPr="000C23D7">
        <w:rPr>
          <w:sz w:val="28"/>
          <w:szCs w:val="28"/>
          <w:lang w:val="en-US"/>
        </w:rPr>
        <w:t xml:space="preserve">Regulation (EU) 2021/947 of the European Parliament and of the Council of 9 June 2021 establishing the Neighbourhood, Development and International Cooperation Instrument – Global Europe, amending and repealing Decision No 466/2014/EU of the European Parliament and of the Council and repealing Regulation (EU) 2017/1601 of the European Parliament and of the Council and Council Regulation (EC, Euratom) No 480/2009 / </w:t>
      </w:r>
      <w:r w:rsidR="001303E1" w:rsidRPr="000C23D7">
        <w:rPr>
          <w:rStyle w:val="Strong"/>
          <w:b w:val="0"/>
          <w:bCs w:val="0"/>
          <w:sz w:val="28"/>
          <w:szCs w:val="28"/>
          <w:lang w:val="en-US"/>
        </w:rPr>
        <w:t>European Parliament &amp; Council of the European Union //</w:t>
      </w:r>
      <w:r w:rsidR="001E43B1" w:rsidRPr="000C23D7">
        <w:rPr>
          <w:sz w:val="28"/>
          <w:szCs w:val="28"/>
          <w:lang w:val="en-US"/>
        </w:rPr>
        <w:t xml:space="preserve"> </w:t>
      </w:r>
      <w:hyperlink r:id="rId225" w:tgtFrame="_new" w:history="1">
        <w:r w:rsidR="001E43B1" w:rsidRPr="000C23D7">
          <w:rPr>
            <w:rStyle w:val="Hyperlink"/>
            <w:rFonts w:eastAsiaTheme="majorEastAsia"/>
            <w:color w:val="auto"/>
            <w:sz w:val="28"/>
            <w:szCs w:val="28"/>
            <w:u w:val="none"/>
            <w:lang w:val="en-US"/>
          </w:rPr>
          <w:t>https://data.europa.eu/eli/reg/2021/947/oj</w:t>
        </w:r>
      </w:hyperlink>
      <w:r w:rsidR="001303E1" w:rsidRPr="000C23D7">
        <w:rPr>
          <w:rStyle w:val="Hyperlink"/>
          <w:rFonts w:eastAsiaTheme="majorEastAsia"/>
          <w:color w:val="auto"/>
          <w:sz w:val="28"/>
          <w:szCs w:val="28"/>
          <w:u w:val="none"/>
          <w:lang w:val="en-US"/>
        </w:rPr>
        <w:t>.</w:t>
      </w:r>
      <w:r w:rsidR="001E43B1" w:rsidRPr="000C23D7">
        <w:rPr>
          <w:sz w:val="28"/>
          <w:szCs w:val="28"/>
          <w:lang w:val="en-US"/>
        </w:rPr>
        <w:t xml:space="preserve"> 06.03.2025.</w:t>
      </w:r>
    </w:p>
    <w:p w14:paraId="4891B0BB" w14:textId="0C0C1BF5"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116</w:t>
      </w:r>
      <w:r w:rsidR="00B71030" w:rsidRPr="000C23D7">
        <w:rPr>
          <w:rStyle w:val="Strong"/>
          <w:b w:val="0"/>
          <w:bCs w:val="0"/>
          <w:sz w:val="28"/>
          <w:szCs w:val="28"/>
          <w:lang w:val="kk-KZ"/>
        </w:rPr>
        <w:t xml:space="preserve"> </w:t>
      </w:r>
      <w:r w:rsidR="001E43B1" w:rsidRPr="000C23D7">
        <w:rPr>
          <w:sz w:val="28"/>
          <w:szCs w:val="28"/>
          <w:lang w:val="en-US"/>
        </w:rPr>
        <w:t xml:space="preserve">2024 Human rights and democracy in the world: Country reports </w:t>
      </w:r>
      <w:r w:rsidR="00223103" w:rsidRPr="000C23D7">
        <w:rPr>
          <w:sz w:val="28"/>
          <w:szCs w:val="28"/>
          <w:lang w:val="en-US"/>
        </w:rPr>
        <w:t xml:space="preserve">/ </w:t>
      </w:r>
      <w:r w:rsidR="00223103" w:rsidRPr="000C23D7">
        <w:rPr>
          <w:rStyle w:val="Strong"/>
          <w:b w:val="0"/>
          <w:bCs w:val="0"/>
          <w:sz w:val="28"/>
          <w:szCs w:val="28"/>
          <w:lang w:val="en-US"/>
        </w:rPr>
        <w:t>European External Action Service.</w:t>
      </w:r>
      <w:r w:rsidR="00223103" w:rsidRPr="000C23D7">
        <w:rPr>
          <w:sz w:val="28"/>
          <w:szCs w:val="28"/>
          <w:lang w:val="en-US"/>
        </w:rPr>
        <w:t xml:space="preserve"> //</w:t>
      </w:r>
      <w:r w:rsidR="001E43B1" w:rsidRPr="000C23D7">
        <w:rPr>
          <w:sz w:val="28"/>
          <w:szCs w:val="28"/>
          <w:lang w:val="en-US"/>
        </w:rPr>
        <w:t xml:space="preserve"> </w:t>
      </w:r>
      <w:hyperlink r:id="rId226" w:history="1">
        <w:r w:rsidR="001303E1" w:rsidRPr="000C23D7">
          <w:rPr>
            <w:rStyle w:val="Hyperlink"/>
            <w:rFonts w:eastAsiaTheme="majorEastAsia"/>
            <w:color w:val="auto"/>
            <w:sz w:val="28"/>
            <w:szCs w:val="28"/>
            <w:u w:val="none"/>
            <w:lang w:val="en-US"/>
          </w:rPr>
          <w:t>https://www.eeas.europa.eu/sites.</w:t>
        </w:r>
      </w:hyperlink>
      <w:r w:rsidR="00223103" w:rsidRPr="000C23D7">
        <w:rPr>
          <w:sz w:val="28"/>
          <w:szCs w:val="28"/>
          <w:lang w:val="en-US"/>
        </w:rPr>
        <w:t xml:space="preserve"> 17.01.2025</w:t>
      </w:r>
      <w:r w:rsidR="001E43B1" w:rsidRPr="000C23D7">
        <w:rPr>
          <w:sz w:val="28"/>
          <w:szCs w:val="28"/>
          <w:lang w:val="en-US"/>
        </w:rPr>
        <w:t>.</w:t>
      </w:r>
    </w:p>
    <w:p w14:paraId="1835C98E" w14:textId="01113CC0"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117</w:t>
      </w:r>
      <w:r w:rsidR="001E43B1" w:rsidRPr="000C23D7">
        <w:rPr>
          <w:sz w:val="28"/>
          <w:szCs w:val="28"/>
          <w:lang w:val="en-US"/>
        </w:rPr>
        <w:t xml:space="preserve"> The EU pushes back: A new democracy plan (Deliverable D7.2). – 2024</w:t>
      </w:r>
      <w:r w:rsidR="00223103" w:rsidRPr="000C23D7">
        <w:rPr>
          <w:sz w:val="28"/>
          <w:szCs w:val="28"/>
          <w:lang w:val="en-US"/>
        </w:rPr>
        <w:t xml:space="preserve"> / </w:t>
      </w:r>
      <w:r w:rsidR="00223103" w:rsidRPr="000C23D7">
        <w:rPr>
          <w:rStyle w:val="Strong"/>
          <w:b w:val="0"/>
          <w:bCs w:val="0"/>
          <w:sz w:val="28"/>
          <w:szCs w:val="28"/>
          <w:lang w:val="en-US"/>
        </w:rPr>
        <w:t xml:space="preserve">SHAPEDEM-EU // </w:t>
      </w:r>
      <w:hyperlink r:id="rId227" w:history="1">
        <w:r w:rsidR="00223103" w:rsidRPr="000C23D7">
          <w:rPr>
            <w:rStyle w:val="Hyperlink"/>
            <w:rFonts w:eastAsiaTheme="majorEastAsia"/>
            <w:color w:val="auto"/>
            <w:sz w:val="28"/>
            <w:szCs w:val="28"/>
            <w:u w:val="none"/>
            <w:lang w:val="en-US"/>
          </w:rPr>
          <w:t>https://shapedem-eu.eu/user/pages/06.publications.</w:t>
        </w:r>
      </w:hyperlink>
      <w:r w:rsidR="001E43B1" w:rsidRPr="000C23D7">
        <w:rPr>
          <w:sz w:val="28"/>
          <w:szCs w:val="28"/>
          <w:lang w:val="en-US"/>
        </w:rPr>
        <w:t xml:space="preserve"> 22.03.2025.</w:t>
      </w:r>
    </w:p>
    <w:p w14:paraId="62821B55" w14:textId="5F24F74F"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118</w:t>
      </w:r>
      <w:r w:rsidR="00B71030" w:rsidRPr="000C23D7">
        <w:rPr>
          <w:rStyle w:val="Strong"/>
          <w:b w:val="0"/>
          <w:bCs w:val="0"/>
          <w:sz w:val="28"/>
          <w:szCs w:val="28"/>
          <w:lang w:val="kk-KZ"/>
        </w:rPr>
        <w:t xml:space="preserve"> </w:t>
      </w:r>
      <w:r w:rsidR="001E43B1" w:rsidRPr="000C23D7">
        <w:rPr>
          <w:sz w:val="28"/>
          <w:szCs w:val="28"/>
          <w:lang w:val="en-US"/>
        </w:rPr>
        <w:t>Global Europe: Neighbourhood, Development and International Cooperation Instrument (NDICI). – 2021</w:t>
      </w:r>
      <w:r w:rsidR="00223103" w:rsidRPr="000C23D7">
        <w:rPr>
          <w:sz w:val="28"/>
          <w:szCs w:val="28"/>
          <w:lang w:val="en-US"/>
        </w:rPr>
        <w:t xml:space="preserve"> / </w:t>
      </w:r>
      <w:r w:rsidR="00223103" w:rsidRPr="000C23D7">
        <w:rPr>
          <w:rStyle w:val="Strong"/>
          <w:b w:val="0"/>
          <w:bCs w:val="0"/>
          <w:sz w:val="28"/>
          <w:szCs w:val="28"/>
          <w:lang w:val="en-US"/>
        </w:rPr>
        <w:t>European Commission //</w:t>
      </w:r>
      <w:r w:rsidR="001E43B1" w:rsidRPr="000C23D7">
        <w:rPr>
          <w:sz w:val="28"/>
          <w:szCs w:val="28"/>
          <w:lang w:val="en-US"/>
        </w:rPr>
        <w:t xml:space="preserve"> </w:t>
      </w:r>
      <w:hyperlink r:id="rId228" w:history="1">
        <w:r w:rsidR="00223103" w:rsidRPr="000C23D7">
          <w:rPr>
            <w:rStyle w:val="Hyperlink"/>
            <w:rFonts w:eastAsiaTheme="majorEastAsia"/>
            <w:color w:val="auto"/>
            <w:sz w:val="28"/>
            <w:szCs w:val="28"/>
            <w:u w:val="none"/>
            <w:lang w:val="en-US"/>
          </w:rPr>
          <w:t>https://international-partnerships.ec.europa.eu/document/download.</w:t>
        </w:r>
      </w:hyperlink>
      <w:r w:rsidR="001E43B1" w:rsidRPr="000C23D7">
        <w:rPr>
          <w:sz w:val="28"/>
          <w:szCs w:val="28"/>
          <w:lang w:val="en-US"/>
        </w:rPr>
        <w:t xml:space="preserve"> 10.01.2025.</w:t>
      </w:r>
    </w:p>
    <w:p w14:paraId="345F8869" w14:textId="285D88F9"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119</w:t>
      </w:r>
      <w:r w:rsidR="001E43B1" w:rsidRPr="000C23D7">
        <w:rPr>
          <w:sz w:val="28"/>
          <w:szCs w:val="28"/>
          <w:lang w:val="en-US"/>
        </w:rPr>
        <w:t xml:space="preserve"> European Union institutions: Development co-operation profile </w:t>
      </w:r>
      <w:r w:rsidR="00223103" w:rsidRPr="000C23D7">
        <w:rPr>
          <w:sz w:val="28"/>
          <w:szCs w:val="28"/>
          <w:lang w:val="en-US"/>
        </w:rPr>
        <w:t xml:space="preserve">/ </w:t>
      </w:r>
      <w:r w:rsidR="00223103" w:rsidRPr="000C23D7">
        <w:rPr>
          <w:rStyle w:val="Strong"/>
          <w:b w:val="0"/>
          <w:bCs w:val="0"/>
          <w:sz w:val="28"/>
          <w:szCs w:val="28"/>
          <w:lang w:val="en-US"/>
        </w:rPr>
        <w:t>OECD</w:t>
      </w:r>
      <w:r w:rsidR="00223103" w:rsidRPr="000C23D7">
        <w:rPr>
          <w:sz w:val="28"/>
          <w:szCs w:val="28"/>
          <w:lang w:val="en-US"/>
        </w:rPr>
        <w:t xml:space="preserve"> // </w:t>
      </w:r>
      <w:hyperlink r:id="rId229" w:history="1">
        <w:r w:rsidR="00223103" w:rsidRPr="000C23D7">
          <w:rPr>
            <w:rStyle w:val="Hyperlink"/>
            <w:rFonts w:eastAsiaTheme="majorEastAsia"/>
            <w:color w:val="auto"/>
            <w:sz w:val="28"/>
            <w:szCs w:val="28"/>
            <w:u w:val="none"/>
            <w:lang w:val="en-US"/>
          </w:rPr>
          <w:t>https://www.oecd.org/en/publications/2025/06/development-co.</w:t>
        </w:r>
      </w:hyperlink>
      <w:r w:rsidR="00223103" w:rsidRPr="000C23D7">
        <w:rPr>
          <w:sz w:val="28"/>
          <w:szCs w:val="28"/>
          <w:lang w:val="en-US"/>
        </w:rPr>
        <w:t xml:space="preserve"> 14.02.2025</w:t>
      </w:r>
      <w:r w:rsidR="001E43B1" w:rsidRPr="000C23D7">
        <w:rPr>
          <w:sz w:val="28"/>
          <w:szCs w:val="28"/>
          <w:lang w:val="en-US"/>
        </w:rPr>
        <w:t>.</w:t>
      </w:r>
    </w:p>
    <w:p w14:paraId="5000F9A3" w14:textId="3D0BFBBB"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120</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Chaney P.</w:t>
      </w:r>
      <w:r w:rsidR="001E43B1" w:rsidRPr="000C23D7">
        <w:rPr>
          <w:sz w:val="28"/>
          <w:szCs w:val="28"/>
          <w:lang w:val="en-US"/>
        </w:rPr>
        <w:t xml:space="preserve"> Civil society, rights and welfare: Exploring the implementation of the convention on the rights of persons with disabilities in the commonwealth of independent states // </w:t>
      </w:r>
      <w:r w:rsidR="001E43B1" w:rsidRPr="000C23D7">
        <w:rPr>
          <w:rStyle w:val="Emphasis"/>
          <w:i w:val="0"/>
          <w:sz w:val="28"/>
          <w:szCs w:val="28"/>
          <w:lang w:val="en-US"/>
        </w:rPr>
        <w:t>Europe-Asia Studies</w:t>
      </w:r>
      <w:r w:rsidR="00A6086E" w:rsidRPr="000C23D7">
        <w:rPr>
          <w:rStyle w:val="Emphasis"/>
          <w:i w:val="0"/>
          <w:sz w:val="28"/>
          <w:szCs w:val="28"/>
          <w:lang w:val="en-US"/>
        </w:rPr>
        <w:t>. – 2022. – Vol.</w:t>
      </w:r>
      <w:r w:rsidR="001E43B1" w:rsidRPr="000C23D7">
        <w:rPr>
          <w:sz w:val="28"/>
          <w:szCs w:val="28"/>
          <w:lang w:val="en-US"/>
        </w:rPr>
        <w:t xml:space="preserve"> 74</w:t>
      </w:r>
      <w:r w:rsidR="00A6086E" w:rsidRPr="000C23D7">
        <w:rPr>
          <w:sz w:val="28"/>
          <w:szCs w:val="28"/>
          <w:lang w:val="en-US"/>
        </w:rPr>
        <w:t xml:space="preserve">, Issue </w:t>
      </w:r>
      <w:r w:rsidR="001E43B1" w:rsidRPr="000C23D7">
        <w:rPr>
          <w:sz w:val="28"/>
          <w:szCs w:val="28"/>
          <w:lang w:val="en-US"/>
        </w:rPr>
        <w:t>5</w:t>
      </w:r>
      <w:r w:rsidR="00A6086E" w:rsidRPr="000C23D7">
        <w:rPr>
          <w:sz w:val="28"/>
          <w:szCs w:val="28"/>
          <w:lang w:val="en-US"/>
        </w:rPr>
        <w:t xml:space="preserve">. – P. </w:t>
      </w:r>
      <w:r w:rsidR="001E43B1" w:rsidRPr="000C23D7">
        <w:rPr>
          <w:sz w:val="28"/>
          <w:szCs w:val="28"/>
          <w:lang w:val="en-US"/>
        </w:rPr>
        <w:t>734</w:t>
      </w:r>
      <w:r w:rsidR="00A6086E" w:rsidRPr="000C23D7">
        <w:rPr>
          <w:sz w:val="28"/>
          <w:szCs w:val="28"/>
          <w:lang w:val="en-US"/>
        </w:rPr>
        <w:t>-</w:t>
      </w:r>
      <w:r w:rsidR="001E43B1" w:rsidRPr="000C23D7">
        <w:rPr>
          <w:sz w:val="28"/>
          <w:szCs w:val="28"/>
          <w:lang w:val="en-US"/>
        </w:rPr>
        <w:t xml:space="preserve">759. </w:t>
      </w:r>
    </w:p>
    <w:p w14:paraId="5075C5B8" w14:textId="67764F07"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121</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Wouters J., Beke L., Chane A.L.</w:t>
      </w:r>
      <w:r w:rsidR="00C81C8A" w:rsidRPr="000C23D7">
        <w:rPr>
          <w:rStyle w:val="Strong"/>
          <w:b w:val="0"/>
          <w:bCs w:val="0"/>
          <w:sz w:val="28"/>
          <w:szCs w:val="28"/>
          <w:lang w:val="en-US"/>
        </w:rPr>
        <w:t xml:space="preserve"> et al.</w:t>
      </w:r>
      <w:r w:rsidR="001E43B1" w:rsidRPr="000C23D7">
        <w:rPr>
          <w:sz w:val="28"/>
          <w:szCs w:val="28"/>
          <w:lang w:val="en-US"/>
        </w:rPr>
        <w:t xml:space="preserve"> Enhancing cooperation between the European parliament and EU national parliaments on EU human rights policy </w:t>
      </w:r>
      <w:r w:rsidR="007D2D76" w:rsidRPr="000C23D7">
        <w:rPr>
          <w:sz w:val="28"/>
          <w:szCs w:val="28"/>
          <w:lang w:val="en-US"/>
        </w:rPr>
        <w:t>//</w:t>
      </w:r>
      <w:r w:rsidR="001E43B1" w:rsidRPr="000C23D7">
        <w:rPr>
          <w:sz w:val="28"/>
          <w:szCs w:val="28"/>
          <w:lang w:val="en-US"/>
        </w:rPr>
        <w:t xml:space="preserve"> </w:t>
      </w:r>
      <w:hyperlink r:id="rId230" w:tgtFrame="_new" w:history="1">
        <w:r w:rsidR="001E43B1" w:rsidRPr="000C23D7">
          <w:rPr>
            <w:rStyle w:val="Hyperlink"/>
            <w:rFonts w:eastAsiaTheme="majorEastAsia"/>
            <w:color w:val="auto"/>
            <w:sz w:val="28"/>
            <w:szCs w:val="28"/>
            <w:u w:val="none"/>
            <w:lang w:val="en-US"/>
          </w:rPr>
          <w:t>https://data.europa.eu/doi/10.2861/52456</w:t>
        </w:r>
      </w:hyperlink>
      <w:r w:rsidR="00A6086E" w:rsidRPr="000C23D7">
        <w:rPr>
          <w:rStyle w:val="Hyperlink"/>
          <w:rFonts w:eastAsiaTheme="majorEastAsia"/>
          <w:color w:val="auto"/>
          <w:sz w:val="28"/>
          <w:szCs w:val="28"/>
          <w:u w:val="none"/>
          <w:lang w:val="en-US"/>
        </w:rPr>
        <w:t>.</w:t>
      </w:r>
      <w:r w:rsidR="001E43B1" w:rsidRPr="000C23D7">
        <w:rPr>
          <w:sz w:val="28"/>
          <w:szCs w:val="28"/>
          <w:lang w:val="en-US"/>
        </w:rPr>
        <w:t xml:space="preserve"> 07.02.2025.</w:t>
      </w:r>
    </w:p>
    <w:p w14:paraId="512F0613" w14:textId="71B2C58F"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lastRenderedPageBreak/>
        <w:t>122</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Rollan K., Somerton M.</w:t>
      </w:r>
      <w:r w:rsidR="001E43B1" w:rsidRPr="000C23D7">
        <w:rPr>
          <w:sz w:val="28"/>
          <w:szCs w:val="28"/>
          <w:lang w:val="en-US"/>
        </w:rPr>
        <w:t xml:space="preserve"> Inclusive education reform in Kazakhstan: Civil society activism from the bottom-up // </w:t>
      </w:r>
      <w:r w:rsidR="001E43B1" w:rsidRPr="000C23D7">
        <w:rPr>
          <w:rStyle w:val="Emphasis"/>
          <w:i w:val="0"/>
          <w:sz w:val="28"/>
          <w:szCs w:val="28"/>
          <w:lang w:val="en-US"/>
        </w:rPr>
        <w:t>International Journal of Inclusive Education</w:t>
      </w:r>
      <w:r w:rsidR="00C81C8A" w:rsidRPr="000C23D7">
        <w:rPr>
          <w:sz w:val="28"/>
          <w:szCs w:val="28"/>
          <w:lang w:val="en-US"/>
        </w:rPr>
        <w:t>. – 2021. – Vol.</w:t>
      </w:r>
      <w:r w:rsidR="001E43B1" w:rsidRPr="000C23D7">
        <w:rPr>
          <w:sz w:val="28"/>
          <w:szCs w:val="28"/>
          <w:lang w:val="en-US"/>
        </w:rPr>
        <w:t xml:space="preserve"> 25</w:t>
      </w:r>
      <w:r w:rsidR="00C81C8A" w:rsidRPr="000C23D7">
        <w:rPr>
          <w:sz w:val="28"/>
          <w:szCs w:val="28"/>
          <w:lang w:val="en-US"/>
        </w:rPr>
        <w:t xml:space="preserve">, Issue </w:t>
      </w:r>
      <w:r w:rsidR="001E43B1" w:rsidRPr="000C23D7">
        <w:rPr>
          <w:sz w:val="28"/>
          <w:szCs w:val="28"/>
          <w:lang w:val="en-US"/>
        </w:rPr>
        <w:t>10</w:t>
      </w:r>
      <w:r w:rsidR="00C81C8A" w:rsidRPr="000C23D7">
        <w:rPr>
          <w:sz w:val="28"/>
          <w:szCs w:val="28"/>
          <w:lang w:val="en-US"/>
        </w:rPr>
        <w:t xml:space="preserve">. – P. </w:t>
      </w:r>
      <w:r w:rsidR="001E43B1" w:rsidRPr="000C23D7">
        <w:rPr>
          <w:sz w:val="28"/>
          <w:szCs w:val="28"/>
          <w:lang w:val="en-US"/>
        </w:rPr>
        <w:t>19</w:t>
      </w:r>
      <w:r w:rsidR="00C81C8A" w:rsidRPr="000C23D7">
        <w:rPr>
          <w:sz w:val="28"/>
          <w:szCs w:val="28"/>
          <w:lang w:val="en-US"/>
        </w:rPr>
        <w:t>-</w:t>
      </w:r>
      <w:r w:rsidR="001E43B1" w:rsidRPr="000C23D7">
        <w:rPr>
          <w:sz w:val="28"/>
          <w:szCs w:val="28"/>
          <w:lang w:val="en-US"/>
        </w:rPr>
        <w:t xml:space="preserve">24. </w:t>
      </w:r>
    </w:p>
    <w:p w14:paraId="1408E5C4" w14:textId="7C169CA6"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123</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Dzhuraev E., Muratalieva N.</w:t>
      </w:r>
      <w:r w:rsidR="001E43B1" w:rsidRPr="000C23D7">
        <w:rPr>
          <w:sz w:val="28"/>
          <w:szCs w:val="28"/>
          <w:lang w:val="en-US"/>
        </w:rPr>
        <w:t xml:space="preserve"> EU strategy in Central Asia. To the successful implementation of the new strategy </w:t>
      </w:r>
      <w:r w:rsidR="00C81C8A" w:rsidRPr="000C23D7">
        <w:rPr>
          <w:sz w:val="28"/>
          <w:szCs w:val="28"/>
          <w:lang w:val="en-US"/>
        </w:rPr>
        <w:t>(</w:t>
      </w:r>
      <w:r w:rsidR="001E43B1" w:rsidRPr="000C23D7">
        <w:rPr>
          <w:sz w:val="28"/>
          <w:szCs w:val="28"/>
          <w:lang w:val="en-US"/>
        </w:rPr>
        <w:t>2020</w:t>
      </w:r>
      <w:r w:rsidR="00C81C8A" w:rsidRPr="000C23D7">
        <w:rPr>
          <w:sz w:val="28"/>
          <w:szCs w:val="28"/>
          <w:lang w:val="en-US"/>
        </w:rPr>
        <w:t>) //</w:t>
      </w:r>
      <w:r w:rsidR="001E43B1" w:rsidRPr="000C23D7">
        <w:rPr>
          <w:sz w:val="28"/>
          <w:szCs w:val="28"/>
          <w:lang w:val="en-US"/>
        </w:rPr>
        <w:t xml:space="preserve"> </w:t>
      </w:r>
      <w:hyperlink r:id="rId231" w:tgtFrame="_new" w:history="1">
        <w:r w:rsidR="001E43B1" w:rsidRPr="000C23D7">
          <w:rPr>
            <w:rStyle w:val="Hyperlink"/>
            <w:rFonts w:eastAsiaTheme="majorEastAsia"/>
            <w:color w:val="auto"/>
            <w:sz w:val="28"/>
            <w:szCs w:val="28"/>
            <w:u w:val="none"/>
            <w:lang w:val="en-US"/>
          </w:rPr>
          <w:t>https://library.fes.de/pdf-files/bueros/bischkek/16168.pdf</w:t>
        </w:r>
      </w:hyperlink>
      <w:r w:rsidR="00C81C8A" w:rsidRPr="000C23D7">
        <w:rPr>
          <w:rStyle w:val="Hyperlink"/>
          <w:rFonts w:eastAsiaTheme="majorEastAsia"/>
          <w:color w:val="auto"/>
          <w:sz w:val="28"/>
          <w:szCs w:val="28"/>
          <w:u w:val="none"/>
          <w:lang w:val="en-US"/>
        </w:rPr>
        <w:t>.</w:t>
      </w:r>
      <w:r w:rsidR="001E43B1" w:rsidRPr="000C23D7">
        <w:rPr>
          <w:sz w:val="28"/>
          <w:szCs w:val="28"/>
          <w:lang w:val="en-US"/>
        </w:rPr>
        <w:t xml:space="preserve"> 16.02.2025.</w:t>
      </w:r>
    </w:p>
    <w:p w14:paraId="34634208" w14:textId="0483989C"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124</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Williamson H.</w:t>
      </w:r>
      <w:r w:rsidR="001E43B1" w:rsidRPr="000C23D7">
        <w:rPr>
          <w:sz w:val="28"/>
          <w:szCs w:val="28"/>
          <w:lang w:val="en-US"/>
        </w:rPr>
        <w:t xml:space="preserve"> Prominence of Central Asian countries on the Human Rights Council is an opportunity for change </w:t>
      </w:r>
      <w:r w:rsidR="00C81C8A" w:rsidRPr="000C23D7">
        <w:rPr>
          <w:sz w:val="28"/>
          <w:szCs w:val="28"/>
          <w:lang w:val="en-US"/>
        </w:rPr>
        <w:t>(</w:t>
      </w:r>
      <w:r w:rsidR="001E43B1" w:rsidRPr="000C23D7">
        <w:rPr>
          <w:sz w:val="28"/>
          <w:szCs w:val="28"/>
          <w:lang w:val="en-US"/>
        </w:rPr>
        <w:t>2023</w:t>
      </w:r>
      <w:r w:rsidR="00C81C8A" w:rsidRPr="000C23D7">
        <w:rPr>
          <w:sz w:val="28"/>
          <w:szCs w:val="28"/>
          <w:lang w:val="en-US"/>
        </w:rPr>
        <w:t>) //</w:t>
      </w:r>
      <w:r w:rsidR="001E43B1" w:rsidRPr="000C23D7">
        <w:rPr>
          <w:sz w:val="28"/>
          <w:szCs w:val="28"/>
          <w:lang w:val="en-US"/>
        </w:rPr>
        <w:t xml:space="preserve"> </w:t>
      </w:r>
      <w:hyperlink r:id="rId232" w:history="1">
        <w:r w:rsidR="00C81C8A" w:rsidRPr="000C23D7">
          <w:rPr>
            <w:rStyle w:val="Hyperlink"/>
            <w:rFonts w:eastAsiaTheme="majorEastAsia"/>
            <w:color w:val="auto"/>
            <w:sz w:val="28"/>
            <w:szCs w:val="28"/>
            <w:u w:val="none"/>
            <w:lang w:val="en-US"/>
          </w:rPr>
          <w:t>https://www.hrw.org/ news/2023/02/24/prominence-central-asian-countries.</w:t>
        </w:r>
      </w:hyperlink>
      <w:r w:rsidR="001E43B1" w:rsidRPr="000C23D7">
        <w:rPr>
          <w:sz w:val="28"/>
          <w:szCs w:val="28"/>
          <w:lang w:val="en-US"/>
        </w:rPr>
        <w:t xml:space="preserve"> 02.03.2025.</w:t>
      </w:r>
    </w:p>
    <w:p w14:paraId="5EE8FEBA" w14:textId="2ABA10B5"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125</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Axyonova V.</w:t>
      </w:r>
      <w:r w:rsidR="001E43B1" w:rsidRPr="000C23D7">
        <w:rPr>
          <w:sz w:val="28"/>
          <w:szCs w:val="28"/>
          <w:lang w:val="en-US"/>
        </w:rPr>
        <w:t xml:space="preserve"> Evaluation of the EU’s human rights policies and engagement in Central Asia </w:t>
      </w:r>
      <w:r w:rsidR="00C81C8A" w:rsidRPr="000C23D7">
        <w:rPr>
          <w:sz w:val="28"/>
          <w:szCs w:val="28"/>
          <w:lang w:val="en-US"/>
        </w:rPr>
        <w:t>(</w:t>
      </w:r>
      <w:r w:rsidR="001E43B1" w:rsidRPr="000C23D7">
        <w:rPr>
          <w:sz w:val="28"/>
          <w:szCs w:val="28"/>
          <w:lang w:val="en-US"/>
        </w:rPr>
        <w:t>2014</w:t>
      </w:r>
      <w:r w:rsidR="00C81C8A" w:rsidRPr="000C23D7">
        <w:rPr>
          <w:sz w:val="28"/>
          <w:szCs w:val="28"/>
          <w:lang w:val="en-US"/>
        </w:rPr>
        <w:t>) //</w:t>
      </w:r>
      <w:r w:rsidR="001E43B1" w:rsidRPr="000C23D7">
        <w:rPr>
          <w:sz w:val="28"/>
          <w:szCs w:val="28"/>
          <w:lang w:val="en-US"/>
        </w:rPr>
        <w:t xml:space="preserve"> </w:t>
      </w:r>
      <w:hyperlink r:id="rId233" w:history="1">
        <w:r w:rsidR="00C81C8A" w:rsidRPr="000C23D7">
          <w:rPr>
            <w:rStyle w:val="Hyperlink"/>
            <w:rFonts w:eastAsiaTheme="majorEastAsia"/>
            <w:color w:val="auto"/>
            <w:sz w:val="28"/>
            <w:szCs w:val="28"/>
            <w:u w:val="none"/>
            <w:lang w:val="en-US"/>
          </w:rPr>
          <w:t>https://eucentralasia.eu/evaluation.</w:t>
        </w:r>
      </w:hyperlink>
      <w:r w:rsidR="00C81C8A" w:rsidRPr="000C23D7">
        <w:rPr>
          <w:rStyle w:val="Hyperlink"/>
          <w:rFonts w:eastAsiaTheme="majorEastAsia"/>
          <w:color w:val="auto"/>
          <w:sz w:val="28"/>
          <w:szCs w:val="28"/>
          <w:u w:val="none"/>
          <w:lang w:val="en-US"/>
        </w:rPr>
        <w:t xml:space="preserve"> </w:t>
      </w:r>
      <w:r w:rsidR="001E43B1" w:rsidRPr="000C23D7">
        <w:rPr>
          <w:sz w:val="28"/>
          <w:szCs w:val="28"/>
          <w:lang w:val="en-US"/>
        </w:rPr>
        <w:t>14.01.2025.</w:t>
      </w:r>
    </w:p>
    <w:p w14:paraId="2B810CE6" w14:textId="7B5781CD"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126</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Perez M.T.</w:t>
      </w:r>
      <w:r w:rsidR="001E43B1" w:rsidRPr="000C23D7">
        <w:rPr>
          <w:sz w:val="28"/>
          <w:szCs w:val="28"/>
          <w:lang w:val="en-US"/>
        </w:rPr>
        <w:t xml:space="preserve"> European Union protection of human rights through its global policy: The implementation of the regime of restrictive measures against serious violations and abuses of human rights // </w:t>
      </w:r>
      <w:r w:rsidR="001E43B1" w:rsidRPr="000C23D7">
        <w:rPr>
          <w:rStyle w:val="Emphasis"/>
          <w:i w:val="0"/>
          <w:sz w:val="28"/>
          <w:szCs w:val="28"/>
          <w:lang w:val="en-US"/>
        </w:rPr>
        <w:t>The Age of Human Rights Journal</w:t>
      </w:r>
      <w:r w:rsidR="00A310B4" w:rsidRPr="000C23D7">
        <w:rPr>
          <w:sz w:val="28"/>
          <w:szCs w:val="28"/>
          <w:lang w:val="en-US"/>
        </w:rPr>
        <w:t>. – 2022. – Vol.</w:t>
      </w:r>
      <w:r w:rsidR="001E43B1" w:rsidRPr="000C23D7">
        <w:rPr>
          <w:sz w:val="28"/>
          <w:szCs w:val="28"/>
          <w:lang w:val="en-US"/>
        </w:rPr>
        <w:t xml:space="preserve"> 19</w:t>
      </w:r>
      <w:r w:rsidR="00A310B4" w:rsidRPr="000C23D7">
        <w:rPr>
          <w:sz w:val="28"/>
          <w:szCs w:val="28"/>
          <w:lang w:val="en-US"/>
        </w:rPr>
        <w:t xml:space="preserve">. – P. </w:t>
      </w:r>
      <w:r w:rsidR="001E43B1" w:rsidRPr="000C23D7">
        <w:rPr>
          <w:sz w:val="28"/>
          <w:szCs w:val="28"/>
          <w:lang w:val="en-US"/>
        </w:rPr>
        <w:t>255</w:t>
      </w:r>
      <w:r w:rsidR="00A310B4" w:rsidRPr="000C23D7">
        <w:rPr>
          <w:sz w:val="28"/>
          <w:szCs w:val="28"/>
          <w:lang w:val="en-US"/>
        </w:rPr>
        <w:t>-</w:t>
      </w:r>
      <w:r w:rsidR="001E43B1" w:rsidRPr="000C23D7">
        <w:rPr>
          <w:sz w:val="28"/>
          <w:szCs w:val="28"/>
          <w:lang w:val="en-US"/>
        </w:rPr>
        <w:t xml:space="preserve">269. </w:t>
      </w:r>
    </w:p>
    <w:p w14:paraId="10D8998A" w14:textId="08F44B45" w:rsidR="001E43B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127</w:t>
      </w:r>
      <w:r w:rsidR="00B71030" w:rsidRPr="000C23D7">
        <w:rPr>
          <w:rStyle w:val="Strong"/>
          <w:b w:val="0"/>
          <w:bCs w:val="0"/>
          <w:sz w:val="28"/>
          <w:szCs w:val="28"/>
          <w:lang w:val="kk-KZ"/>
        </w:rPr>
        <w:t xml:space="preserve"> </w:t>
      </w:r>
      <w:r w:rsidR="001E43B1" w:rsidRPr="000C23D7">
        <w:rPr>
          <w:rStyle w:val="Strong"/>
          <w:b w:val="0"/>
          <w:bCs w:val="0"/>
          <w:sz w:val="28"/>
          <w:szCs w:val="28"/>
          <w:lang w:val="en-US"/>
        </w:rPr>
        <w:t>Keijzer N., Bossuyt F.</w:t>
      </w:r>
      <w:r w:rsidR="001E43B1" w:rsidRPr="000C23D7">
        <w:rPr>
          <w:sz w:val="28"/>
          <w:szCs w:val="28"/>
          <w:lang w:val="en-US"/>
        </w:rPr>
        <w:t xml:space="preserve"> Partnership on paper, pragmatism on the ground: The European Union’s engagement with civil society organisations // </w:t>
      </w:r>
      <w:r w:rsidR="001E43B1" w:rsidRPr="000C23D7">
        <w:rPr>
          <w:rStyle w:val="Emphasis"/>
          <w:i w:val="0"/>
          <w:sz w:val="28"/>
          <w:szCs w:val="28"/>
          <w:lang w:val="en-US"/>
        </w:rPr>
        <w:t>Development in Practice</w:t>
      </w:r>
      <w:r w:rsidR="00A310B4" w:rsidRPr="000C23D7">
        <w:rPr>
          <w:sz w:val="28"/>
          <w:szCs w:val="28"/>
          <w:lang w:val="en-US"/>
        </w:rPr>
        <w:t>. – 2020. – Vol.</w:t>
      </w:r>
      <w:r w:rsidR="001E43B1" w:rsidRPr="000C23D7">
        <w:rPr>
          <w:sz w:val="28"/>
          <w:szCs w:val="28"/>
          <w:lang w:val="en-US"/>
        </w:rPr>
        <w:t xml:space="preserve"> 30</w:t>
      </w:r>
      <w:r w:rsidR="00A310B4" w:rsidRPr="000C23D7">
        <w:rPr>
          <w:sz w:val="28"/>
          <w:szCs w:val="28"/>
          <w:lang w:val="en-US"/>
        </w:rPr>
        <w:t xml:space="preserve">, Issue </w:t>
      </w:r>
      <w:r w:rsidR="001E43B1" w:rsidRPr="000C23D7">
        <w:rPr>
          <w:sz w:val="28"/>
          <w:szCs w:val="28"/>
          <w:lang w:val="en-US"/>
        </w:rPr>
        <w:t>6</w:t>
      </w:r>
      <w:r w:rsidR="00A310B4" w:rsidRPr="000C23D7">
        <w:rPr>
          <w:sz w:val="28"/>
          <w:szCs w:val="28"/>
          <w:lang w:val="en-US"/>
        </w:rPr>
        <w:t xml:space="preserve">. – P. </w:t>
      </w:r>
      <w:r w:rsidR="001E43B1" w:rsidRPr="000C23D7">
        <w:rPr>
          <w:sz w:val="28"/>
          <w:szCs w:val="28"/>
          <w:lang w:val="en-US"/>
        </w:rPr>
        <w:t>784</w:t>
      </w:r>
      <w:r w:rsidR="00A310B4" w:rsidRPr="000C23D7">
        <w:rPr>
          <w:sz w:val="28"/>
          <w:szCs w:val="28"/>
          <w:lang w:val="en-US"/>
        </w:rPr>
        <w:t>-</w:t>
      </w:r>
      <w:r w:rsidR="001E43B1" w:rsidRPr="000C23D7">
        <w:rPr>
          <w:sz w:val="28"/>
          <w:szCs w:val="28"/>
          <w:lang w:val="en-US"/>
        </w:rPr>
        <w:t xml:space="preserve">794. </w:t>
      </w:r>
    </w:p>
    <w:p w14:paraId="0955642D" w14:textId="1E520160"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128</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Zharkynbayeva R., Abdiraiymova A., Sarsenbayev A.</w:t>
      </w:r>
      <w:r w:rsidR="00A310B4" w:rsidRPr="000C23D7">
        <w:rPr>
          <w:rStyle w:val="Strong"/>
          <w:b w:val="0"/>
          <w:bCs w:val="0"/>
          <w:sz w:val="28"/>
          <w:szCs w:val="28"/>
          <w:lang w:val="en-US"/>
        </w:rPr>
        <w:t xml:space="preserve"> et al. </w:t>
      </w:r>
      <w:r w:rsidR="009B7501" w:rsidRPr="000C23D7">
        <w:rPr>
          <w:sz w:val="28"/>
          <w:szCs w:val="28"/>
          <w:lang w:val="en-US"/>
        </w:rPr>
        <w:t xml:space="preserve">Societal perspectives: Gender equality in Central Asia, between desideratum and realities // </w:t>
      </w:r>
      <w:r w:rsidR="009B7501" w:rsidRPr="000C23D7">
        <w:rPr>
          <w:rStyle w:val="Emphasis"/>
          <w:rFonts w:eastAsiaTheme="majorEastAsia"/>
          <w:i w:val="0"/>
          <w:sz w:val="28"/>
          <w:szCs w:val="28"/>
          <w:lang w:val="en-US"/>
        </w:rPr>
        <w:t>Codrul Cosminului</w:t>
      </w:r>
      <w:r w:rsidR="00A310B4" w:rsidRPr="000C23D7">
        <w:rPr>
          <w:rStyle w:val="Emphasis"/>
          <w:rFonts w:eastAsiaTheme="majorEastAsia"/>
          <w:i w:val="0"/>
          <w:sz w:val="28"/>
          <w:szCs w:val="28"/>
          <w:lang w:val="en-US"/>
        </w:rPr>
        <w:t>. – 2020. – Vol.</w:t>
      </w:r>
      <w:r w:rsidR="009B7501" w:rsidRPr="000C23D7">
        <w:rPr>
          <w:sz w:val="28"/>
          <w:szCs w:val="28"/>
          <w:lang w:val="en-US"/>
        </w:rPr>
        <w:t xml:space="preserve"> 26</w:t>
      </w:r>
      <w:r w:rsidR="00A310B4" w:rsidRPr="000C23D7">
        <w:rPr>
          <w:sz w:val="28"/>
          <w:szCs w:val="28"/>
          <w:lang w:val="en-US"/>
        </w:rPr>
        <w:t xml:space="preserve">, Issue </w:t>
      </w:r>
      <w:r w:rsidR="009B7501" w:rsidRPr="000C23D7">
        <w:rPr>
          <w:sz w:val="28"/>
          <w:szCs w:val="28"/>
          <w:lang w:val="en-US"/>
        </w:rPr>
        <w:t>2</w:t>
      </w:r>
      <w:r w:rsidR="00A310B4" w:rsidRPr="000C23D7">
        <w:rPr>
          <w:sz w:val="28"/>
          <w:szCs w:val="28"/>
          <w:lang w:val="en-US"/>
        </w:rPr>
        <w:t xml:space="preserve">. – P. </w:t>
      </w:r>
      <w:r w:rsidR="009B7501" w:rsidRPr="000C23D7">
        <w:rPr>
          <w:sz w:val="28"/>
          <w:szCs w:val="28"/>
          <w:lang w:val="en-US"/>
        </w:rPr>
        <w:t>331</w:t>
      </w:r>
      <w:r w:rsidR="00A310B4" w:rsidRPr="000C23D7">
        <w:rPr>
          <w:sz w:val="28"/>
          <w:szCs w:val="28"/>
          <w:lang w:val="en-US"/>
        </w:rPr>
        <w:t>-</w:t>
      </w:r>
      <w:r w:rsidR="009B7501" w:rsidRPr="000C23D7">
        <w:rPr>
          <w:sz w:val="28"/>
          <w:szCs w:val="28"/>
          <w:lang w:val="en-US"/>
        </w:rPr>
        <w:t xml:space="preserve">356. </w:t>
      </w:r>
    </w:p>
    <w:p w14:paraId="2BF0BDBC" w14:textId="329FC380"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129</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Yanovskaya O., Lipovka A.</w:t>
      </w:r>
      <w:r w:rsidR="009B7501" w:rsidRPr="000C23D7">
        <w:rPr>
          <w:sz w:val="28"/>
          <w:szCs w:val="28"/>
          <w:lang w:val="en-US"/>
        </w:rPr>
        <w:t xml:space="preserve"> Gender stereotypes and family decision-making: Comparative study of Central Europe and Central Asia // </w:t>
      </w:r>
      <w:r w:rsidR="009B7501" w:rsidRPr="000C23D7">
        <w:rPr>
          <w:rStyle w:val="Emphasis"/>
          <w:rFonts w:eastAsiaTheme="majorEastAsia"/>
          <w:i w:val="0"/>
          <w:sz w:val="28"/>
          <w:szCs w:val="28"/>
          <w:lang w:val="en-US"/>
        </w:rPr>
        <w:t>Central European Management Journal</w:t>
      </w:r>
      <w:r w:rsidR="00A310B4" w:rsidRPr="000C23D7">
        <w:rPr>
          <w:rStyle w:val="Emphasis"/>
          <w:rFonts w:eastAsiaTheme="majorEastAsia"/>
          <w:i w:val="0"/>
          <w:sz w:val="28"/>
          <w:szCs w:val="28"/>
          <w:lang w:val="en-US"/>
        </w:rPr>
        <w:t>. – 2022. – Vol.</w:t>
      </w:r>
      <w:r w:rsidR="009B7501" w:rsidRPr="000C23D7">
        <w:rPr>
          <w:sz w:val="28"/>
          <w:szCs w:val="28"/>
          <w:lang w:val="en-US"/>
        </w:rPr>
        <w:t xml:space="preserve"> 30</w:t>
      </w:r>
      <w:r w:rsidR="00A310B4" w:rsidRPr="000C23D7">
        <w:rPr>
          <w:sz w:val="28"/>
          <w:szCs w:val="28"/>
          <w:lang w:val="en-US"/>
        </w:rPr>
        <w:t xml:space="preserve">, Issue </w:t>
      </w:r>
      <w:r w:rsidR="009B7501" w:rsidRPr="000C23D7">
        <w:rPr>
          <w:sz w:val="28"/>
          <w:szCs w:val="28"/>
          <w:lang w:val="en-US"/>
        </w:rPr>
        <w:t>3</w:t>
      </w:r>
      <w:r w:rsidR="00A310B4" w:rsidRPr="000C23D7">
        <w:rPr>
          <w:sz w:val="28"/>
          <w:szCs w:val="28"/>
          <w:lang w:val="en-US"/>
        </w:rPr>
        <w:t xml:space="preserve">. – P. </w:t>
      </w:r>
      <w:r w:rsidR="009B7501" w:rsidRPr="000C23D7">
        <w:rPr>
          <w:sz w:val="28"/>
          <w:szCs w:val="28"/>
          <w:lang w:val="en-US"/>
        </w:rPr>
        <w:t>61</w:t>
      </w:r>
      <w:r w:rsidR="00A310B4" w:rsidRPr="000C23D7">
        <w:rPr>
          <w:sz w:val="28"/>
          <w:szCs w:val="28"/>
          <w:lang w:val="en-US"/>
        </w:rPr>
        <w:t>-</w:t>
      </w:r>
      <w:r w:rsidR="009B7501" w:rsidRPr="000C23D7">
        <w:rPr>
          <w:sz w:val="28"/>
          <w:szCs w:val="28"/>
          <w:lang w:val="en-US"/>
        </w:rPr>
        <w:t xml:space="preserve">84. </w:t>
      </w:r>
    </w:p>
    <w:p w14:paraId="4DAB8F4A" w14:textId="4C846694"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130</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Urbaeva J.</w:t>
      </w:r>
      <w:r w:rsidR="009B7501" w:rsidRPr="000C23D7">
        <w:rPr>
          <w:sz w:val="28"/>
          <w:szCs w:val="28"/>
          <w:lang w:val="en-US"/>
        </w:rPr>
        <w:t xml:space="preserve"> Opportunity, social mobility, and women’s views on gender roles in Central Asia // </w:t>
      </w:r>
      <w:r w:rsidR="009B7501" w:rsidRPr="000C23D7">
        <w:rPr>
          <w:rStyle w:val="Emphasis"/>
          <w:rFonts w:eastAsiaTheme="majorEastAsia"/>
          <w:i w:val="0"/>
          <w:sz w:val="28"/>
          <w:szCs w:val="28"/>
          <w:lang w:val="en-US"/>
        </w:rPr>
        <w:t>Social Work</w:t>
      </w:r>
      <w:r w:rsidR="00A310B4" w:rsidRPr="000C23D7">
        <w:rPr>
          <w:sz w:val="28"/>
          <w:szCs w:val="28"/>
          <w:lang w:val="en-US"/>
        </w:rPr>
        <w:t>. – 2019. – Vol.</w:t>
      </w:r>
      <w:r w:rsidR="009B7501" w:rsidRPr="000C23D7">
        <w:rPr>
          <w:sz w:val="28"/>
          <w:szCs w:val="28"/>
          <w:lang w:val="en-US"/>
        </w:rPr>
        <w:t xml:space="preserve"> 64</w:t>
      </w:r>
      <w:r w:rsidR="00A310B4" w:rsidRPr="000C23D7">
        <w:rPr>
          <w:sz w:val="28"/>
          <w:szCs w:val="28"/>
          <w:lang w:val="en-US"/>
        </w:rPr>
        <w:t xml:space="preserve">, Issue </w:t>
      </w:r>
      <w:r w:rsidR="009B7501" w:rsidRPr="000C23D7">
        <w:rPr>
          <w:sz w:val="28"/>
          <w:szCs w:val="28"/>
          <w:lang w:val="en-US"/>
        </w:rPr>
        <w:t>3</w:t>
      </w:r>
      <w:r w:rsidR="00A310B4" w:rsidRPr="000C23D7">
        <w:rPr>
          <w:sz w:val="28"/>
          <w:szCs w:val="28"/>
          <w:lang w:val="en-US"/>
        </w:rPr>
        <w:t xml:space="preserve">. – P. </w:t>
      </w:r>
      <w:r w:rsidR="009B7501" w:rsidRPr="000C23D7">
        <w:rPr>
          <w:sz w:val="28"/>
          <w:szCs w:val="28"/>
          <w:lang w:val="en-US"/>
        </w:rPr>
        <w:t>207</w:t>
      </w:r>
      <w:r w:rsidR="00A310B4" w:rsidRPr="000C23D7">
        <w:rPr>
          <w:sz w:val="28"/>
          <w:szCs w:val="28"/>
          <w:lang w:val="en-US"/>
        </w:rPr>
        <w:t>-</w:t>
      </w:r>
      <w:r w:rsidR="009B7501" w:rsidRPr="000C23D7">
        <w:rPr>
          <w:sz w:val="28"/>
          <w:szCs w:val="28"/>
          <w:lang w:val="en-US"/>
        </w:rPr>
        <w:t xml:space="preserve">215. </w:t>
      </w:r>
    </w:p>
    <w:p w14:paraId="49A4FA5A" w14:textId="31068631"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131</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Alexandrov T., Jorayev G., Tutumlu A.</w:t>
      </w:r>
      <w:r w:rsidR="009B7501" w:rsidRPr="000C23D7">
        <w:rPr>
          <w:sz w:val="28"/>
          <w:szCs w:val="28"/>
          <w:lang w:val="en-US"/>
        </w:rPr>
        <w:t xml:space="preserve"> Ethno-cultural associations in Kazakhstan: The Soviet footprint and resources for civil society // </w:t>
      </w:r>
      <w:r w:rsidR="009B7501" w:rsidRPr="000C23D7">
        <w:rPr>
          <w:rStyle w:val="Emphasis"/>
          <w:rFonts w:eastAsiaTheme="majorEastAsia"/>
          <w:i w:val="0"/>
          <w:sz w:val="28"/>
          <w:szCs w:val="28"/>
          <w:lang w:val="en-US"/>
        </w:rPr>
        <w:t>Cambridge</w:t>
      </w:r>
      <w:r w:rsidR="009B7501" w:rsidRPr="000C23D7">
        <w:rPr>
          <w:rStyle w:val="Emphasis"/>
          <w:rFonts w:eastAsiaTheme="majorEastAsia"/>
          <w:sz w:val="28"/>
          <w:szCs w:val="28"/>
          <w:lang w:val="en-US"/>
        </w:rPr>
        <w:t xml:space="preserve"> </w:t>
      </w:r>
      <w:r w:rsidR="009B7501" w:rsidRPr="000C23D7">
        <w:rPr>
          <w:rStyle w:val="Emphasis"/>
          <w:rFonts w:eastAsiaTheme="majorEastAsia"/>
          <w:i w:val="0"/>
          <w:sz w:val="28"/>
          <w:szCs w:val="28"/>
          <w:lang w:val="en-US"/>
        </w:rPr>
        <w:t>Journal of Eurasian Studies</w:t>
      </w:r>
      <w:r w:rsidR="00A310B4" w:rsidRPr="000C23D7">
        <w:rPr>
          <w:rStyle w:val="Emphasis"/>
          <w:rFonts w:eastAsiaTheme="majorEastAsia"/>
          <w:i w:val="0"/>
          <w:sz w:val="28"/>
          <w:szCs w:val="28"/>
          <w:lang w:val="en-US"/>
        </w:rPr>
        <w:t>. – 2018. – Vol.</w:t>
      </w:r>
      <w:r w:rsidR="009B7501" w:rsidRPr="000C23D7">
        <w:rPr>
          <w:sz w:val="28"/>
          <w:szCs w:val="28"/>
          <w:lang w:val="en-US"/>
        </w:rPr>
        <w:t xml:space="preserve"> 2</w:t>
      </w:r>
      <w:r w:rsidR="00A310B4" w:rsidRPr="000C23D7">
        <w:rPr>
          <w:sz w:val="28"/>
          <w:szCs w:val="28"/>
          <w:lang w:val="en-US"/>
        </w:rPr>
        <w:t xml:space="preserve">. – P. </w:t>
      </w:r>
      <w:r w:rsidR="009B7501" w:rsidRPr="000C23D7">
        <w:rPr>
          <w:sz w:val="28"/>
          <w:szCs w:val="28"/>
          <w:lang w:val="en-US"/>
        </w:rPr>
        <w:t>1</w:t>
      </w:r>
      <w:r w:rsidR="00A310B4" w:rsidRPr="000C23D7">
        <w:rPr>
          <w:sz w:val="28"/>
          <w:szCs w:val="28"/>
          <w:lang w:val="en-US"/>
        </w:rPr>
        <w:t>-</w:t>
      </w:r>
      <w:r w:rsidR="009B7501" w:rsidRPr="000C23D7">
        <w:rPr>
          <w:sz w:val="28"/>
          <w:szCs w:val="28"/>
          <w:lang w:val="en-US"/>
        </w:rPr>
        <w:t xml:space="preserve">20. </w:t>
      </w:r>
    </w:p>
    <w:p w14:paraId="59251AD2" w14:textId="11311D78"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132</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Karatayev M., Rivotti P., Sobral-Mourao Z.</w:t>
      </w:r>
      <w:r w:rsidR="00A310B4" w:rsidRPr="000C23D7">
        <w:rPr>
          <w:rStyle w:val="Strong"/>
          <w:b w:val="0"/>
          <w:bCs w:val="0"/>
          <w:sz w:val="28"/>
          <w:szCs w:val="28"/>
          <w:lang w:val="en-US"/>
        </w:rPr>
        <w:t xml:space="preserve"> et al. </w:t>
      </w:r>
      <w:r w:rsidR="009B7501" w:rsidRPr="000C23D7">
        <w:rPr>
          <w:sz w:val="28"/>
          <w:szCs w:val="28"/>
          <w:lang w:val="en-US"/>
        </w:rPr>
        <w:t xml:space="preserve">The water-energy-food nexus in Kazakhstan: Challenges and opportunities // </w:t>
      </w:r>
      <w:r w:rsidR="009B7501" w:rsidRPr="000C23D7">
        <w:rPr>
          <w:rStyle w:val="Emphasis"/>
          <w:rFonts w:eastAsiaTheme="majorEastAsia"/>
          <w:i w:val="0"/>
          <w:sz w:val="28"/>
          <w:szCs w:val="28"/>
          <w:lang w:val="en-US"/>
        </w:rPr>
        <w:t>Energy Procedia</w:t>
      </w:r>
      <w:r w:rsidR="00A310B4" w:rsidRPr="000C23D7">
        <w:rPr>
          <w:rStyle w:val="Emphasis"/>
          <w:rFonts w:eastAsiaTheme="majorEastAsia"/>
          <w:i w:val="0"/>
          <w:sz w:val="28"/>
          <w:szCs w:val="28"/>
          <w:lang w:val="en-US"/>
        </w:rPr>
        <w:t>. – 2017. – Vol. </w:t>
      </w:r>
      <w:r w:rsidR="009B7501" w:rsidRPr="000C23D7">
        <w:rPr>
          <w:sz w:val="28"/>
          <w:szCs w:val="28"/>
          <w:lang w:val="en-US"/>
        </w:rPr>
        <w:t>125</w:t>
      </w:r>
      <w:r w:rsidR="00A310B4" w:rsidRPr="000C23D7">
        <w:rPr>
          <w:sz w:val="28"/>
          <w:szCs w:val="28"/>
          <w:lang w:val="en-US"/>
        </w:rPr>
        <w:t xml:space="preserve">. – P. </w:t>
      </w:r>
      <w:r w:rsidR="009B7501" w:rsidRPr="000C23D7">
        <w:rPr>
          <w:sz w:val="28"/>
          <w:szCs w:val="28"/>
          <w:lang w:val="en-US"/>
        </w:rPr>
        <w:t>63</w:t>
      </w:r>
      <w:r w:rsidR="00A310B4" w:rsidRPr="000C23D7">
        <w:rPr>
          <w:sz w:val="28"/>
          <w:szCs w:val="28"/>
          <w:lang w:val="en-US"/>
        </w:rPr>
        <w:t>-</w:t>
      </w:r>
      <w:r w:rsidR="009B7501" w:rsidRPr="000C23D7">
        <w:rPr>
          <w:sz w:val="28"/>
          <w:szCs w:val="28"/>
          <w:lang w:val="en-US"/>
        </w:rPr>
        <w:t xml:space="preserve">70. </w:t>
      </w:r>
    </w:p>
    <w:p w14:paraId="7F82D91B" w14:textId="5698821C"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133</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Miruktamova F.</w:t>
      </w:r>
      <w:r w:rsidR="009B7501" w:rsidRPr="000C23D7">
        <w:rPr>
          <w:sz w:val="28"/>
          <w:szCs w:val="28"/>
          <w:lang w:val="en-US"/>
        </w:rPr>
        <w:t xml:space="preserve"> Ensuring children’s rights in Uzbekistan // </w:t>
      </w:r>
      <w:r w:rsidR="009B7501" w:rsidRPr="000C23D7">
        <w:rPr>
          <w:rStyle w:val="Emphasis"/>
          <w:rFonts w:eastAsiaTheme="majorEastAsia"/>
          <w:i w:val="0"/>
          <w:sz w:val="28"/>
          <w:szCs w:val="28"/>
          <w:lang w:val="en-US"/>
        </w:rPr>
        <w:t>International Journal of Research</w:t>
      </w:r>
      <w:r w:rsidR="00A310B4" w:rsidRPr="000C23D7">
        <w:rPr>
          <w:rStyle w:val="Emphasis"/>
          <w:rFonts w:eastAsiaTheme="majorEastAsia"/>
          <w:i w:val="0"/>
          <w:sz w:val="28"/>
          <w:szCs w:val="28"/>
          <w:lang w:val="en-US"/>
        </w:rPr>
        <w:t>. – 2020. – Vol.</w:t>
      </w:r>
      <w:r w:rsidR="009B7501" w:rsidRPr="000C23D7">
        <w:rPr>
          <w:sz w:val="28"/>
          <w:szCs w:val="28"/>
          <w:lang w:val="en-US"/>
        </w:rPr>
        <w:t xml:space="preserve"> 3</w:t>
      </w:r>
      <w:r w:rsidR="00A310B4" w:rsidRPr="000C23D7">
        <w:rPr>
          <w:sz w:val="28"/>
          <w:szCs w:val="28"/>
          <w:lang w:val="en-US"/>
        </w:rPr>
        <w:t xml:space="preserve">, Issue </w:t>
      </w:r>
      <w:r w:rsidR="009B7501" w:rsidRPr="000C23D7">
        <w:rPr>
          <w:sz w:val="28"/>
          <w:szCs w:val="28"/>
          <w:lang w:val="en-US"/>
        </w:rPr>
        <w:t>17</w:t>
      </w:r>
      <w:r w:rsidR="00A310B4" w:rsidRPr="000C23D7">
        <w:rPr>
          <w:sz w:val="28"/>
          <w:szCs w:val="28"/>
          <w:lang w:val="en-US"/>
        </w:rPr>
        <w:t xml:space="preserve">. – P. </w:t>
      </w:r>
      <w:r w:rsidR="009B7501" w:rsidRPr="000C23D7">
        <w:rPr>
          <w:sz w:val="28"/>
          <w:szCs w:val="28"/>
          <w:lang w:val="en-US"/>
        </w:rPr>
        <w:t>71</w:t>
      </w:r>
      <w:r w:rsidR="00A310B4" w:rsidRPr="000C23D7">
        <w:rPr>
          <w:sz w:val="28"/>
          <w:szCs w:val="28"/>
          <w:lang w:val="en-US"/>
        </w:rPr>
        <w:t>-</w:t>
      </w:r>
      <w:r w:rsidR="009B7501" w:rsidRPr="000C23D7">
        <w:rPr>
          <w:sz w:val="28"/>
          <w:szCs w:val="28"/>
          <w:lang w:val="en-US"/>
        </w:rPr>
        <w:t xml:space="preserve">75. </w:t>
      </w:r>
    </w:p>
    <w:p w14:paraId="59CFD373" w14:textId="26451D7D"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134</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Kuldysheva G., Mamazakirov R., Shookumova D.</w:t>
      </w:r>
      <w:r w:rsidR="008F3368" w:rsidRPr="000C23D7">
        <w:rPr>
          <w:rStyle w:val="Strong"/>
          <w:b w:val="0"/>
          <w:bCs w:val="0"/>
          <w:sz w:val="28"/>
          <w:szCs w:val="28"/>
          <w:lang w:val="en-US"/>
        </w:rPr>
        <w:t xml:space="preserve"> et al.</w:t>
      </w:r>
      <w:r w:rsidR="009B7501" w:rsidRPr="000C23D7">
        <w:rPr>
          <w:sz w:val="28"/>
          <w:szCs w:val="28"/>
          <w:lang w:val="en-US"/>
        </w:rPr>
        <w:t xml:space="preserve"> On the women social rights legislative regulation in the Kyrgyz Republic // </w:t>
      </w:r>
      <w:r w:rsidR="009B7501" w:rsidRPr="000C23D7">
        <w:rPr>
          <w:rStyle w:val="Emphasis"/>
          <w:rFonts w:eastAsiaTheme="majorEastAsia"/>
          <w:i w:val="0"/>
          <w:sz w:val="28"/>
          <w:szCs w:val="28"/>
          <w:lang w:val="en-US"/>
        </w:rPr>
        <w:t>Open Journal of Political Science</w:t>
      </w:r>
      <w:r w:rsidR="008F3368" w:rsidRPr="000C23D7">
        <w:rPr>
          <w:rStyle w:val="Emphasis"/>
          <w:rFonts w:eastAsiaTheme="majorEastAsia"/>
          <w:i w:val="0"/>
          <w:sz w:val="28"/>
          <w:szCs w:val="28"/>
          <w:lang w:val="en-US"/>
        </w:rPr>
        <w:t>. – 2021. – Vol.</w:t>
      </w:r>
      <w:r w:rsidR="009B7501" w:rsidRPr="000C23D7">
        <w:rPr>
          <w:sz w:val="28"/>
          <w:szCs w:val="28"/>
          <w:lang w:val="en-US"/>
        </w:rPr>
        <w:t xml:space="preserve"> 11</w:t>
      </w:r>
      <w:r w:rsidR="008F3368" w:rsidRPr="000C23D7">
        <w:rPr>
          <w:sz w:val="28"/>
          <w:szCs w:val="28"/>
          <w:lang w:val="en-US"/>
        </w:rPr>
        <w:t xml:space="preserve">, Issue </w:t>
      </w:r>
      <w:r w:rsidR="009B7501" w:rsidRPr="000C23D7">
        <w:rPr>
          <w:sz w:val="28"/>
          <w:szCs w:val="28"/>
          <w:lang w:val="en-US"/>
        </w:rPr>
        <w:t>1</w:t>
      </w:r>
      <w:r w:rsidR="008F3368" w:rsidRPr="000C23D7">
        <w:rPr>
          <w:sz w:val="28"/>
          <w:szCs w:val="28"/>
          <w:lang w:val="en-US"/>
        </w:rPr>
        <w:t xml:space="preserve">. – P. </w:t>
      </w:r>
      <w:r w:rsidR="009B7501" w:rsidRPr="000C23D7">
        <w:rPr>
          <w:sz w:val="28"/>
          <w:szCs w:val="28"/>
          <w:lang w:val="en-US"/>
        </w:rPr>
        <w:t>169</w:t>
      </w:r>
      <w:r w:rsidR="008F3368" w:rsidRPr="000C23D7">
        <w:rPr>
          <w:sz w:val="28"/>
          <w:szCs w:val="28"/>
          <w:lang w:val="en-US"/>
        </w:rPr>
        <w:t>-</w:t>
      </w:r>
      <w:r w:rsidR="009B7501" w:rsidRPr="000C23D7">
        <w:rPr>
          <w:sz w:val="28"/>
          <w:szCs w:val="28"/>
          <w:lang w:val="en-US"/>
        </w:rPr>
        <w:t xml:space="preserve">175. </w:t>
      </w:r>
    </w:p>
    <w:p w14:paraId="14EFB953" w14:textId="16CA90BD"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135</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Pierobon C.</w:t>
      </w:r>
      <w:r w:rsidR="009B7501" w:rsidRPr="000C23D7">
        <w:rPr>
          <w:sz w:val="28"/>
          <w:szCs w:val="28"/>
          <w:lang w:val="en-US"/>
        </w:rPr>
        <w:t xml:space="preserve"> EU’s Support to civil society in Kazakhstan: A pilot evaluation of the social capital generated // </w:t>
      </w:r>
      <w:r w:rsidR="009B7501" w:rsidRPr="000C23D7">
        <w:rPr>
          <w:rStyle w:val="Emphasis"/>
          <w:rFonts w:eastAsiaTheme="majorEastAsia"/>
          <w:i w:val="0"/>
          <w:sz w:val="28"/>
          <w:szCs w:val="28"/>
          <w:lang w:val="en-US"/>
        </w:rPr>
        <w:t>Evaluation</w:t>
      </w:r>
      <w:r w:rsidR="008F3368" w:rsidRPr="000C23D7">
        <w:rPr>
          <w:sz w:val="28"/>
          <w:szCs w:val="28"/>
          <w:lang w:val="en-US"/>
        </w:rPr>
        <w:t>. – 2019. – Vol.</w:t>
      </w:r>
      <w:r w:rsidR="009B7501" w:rsidRPr="000C23D7">
        <w:rPr>
          <w:sz w:val="28"/>
          <w:szCs w:val="28"/>
          <w:lang w:val="en-US"/>
        </w:rPr>
        <w:t xml:space="preserve"> 25</w:t>
      </w:r>
      <w:r w:rsidR="008F3368" w:rsidRPr="000C23D7">
        <w:rPr>
          <w:sz w:val="28"/>
          <w:szCs w:val="28"/>
          <w:lang w:val="en-US"/>
        </w:rPr>
        <w:t xml:space="preserve">, Issue </w:t>
      </w:r>
      <w:r w:rsidR="009B7501" w:rsidRPr="000C23D7">
        <w:rPr>
          <w:sz w:val="28"/>
          <w:szCs w:val="28"/>
          <w:lang w:val="en-US"/>
        </w:rPr>
        <w:t>2</w:t>
      </w:r>
      <w:r w:rsidR="008F3368" w:rsidRPr="000C23D7">
        <w:rPr>
          <w:sz w:val="28"/>
          <w:szCs w:val="28"/>
          <w:lang w:val="en-US"/>
        </w:rPr>
        <w:t>. – P. </w:t>
      </w:r>
      <w:r w:rsidR="009B7501" w:rsidRPr="000C23D7">
        <w:rPr>
          <w:sz w:val="28"/>
          <w:szCs w:val="28"/>
          <w:lang w:val="en-US"/>
        </w:rPr>
        <w:t>207</w:t>
      </w:r>
      <w:r w:rsidR="008F3368" w:rsidRPr="000C23D7">
        <w:rPr>
          <w:sz w:val="28"/>
          <w:szCs w:val="28"/>
          <w:lang w:val="en-US"/>
        </w:rPr>
        <w:t>-</w:t>
      </w:r>
      <w:r w:rsidR="009B7501" w:rsidRPr="000C23D7">
        <w:rPr>
          <w:sz w:val="28"/>
          <w:szCs w:val="28"/>
          <w:lang w:val="en-US"/>
        </w:rPr>
        <w:t xml:space="preserve">223. </w:t>
      </w:r>
    </w:p>
    <w:p w14:paraId="4BA550C3" w14:textId="3536B9AE"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136</w:t>
      </w:r>
      <w:r w:rsidR="003975C3" w:rsidRPr="000C23D7">
        <w:rPr>
          <w:rStyle w:val="Strong"/>
          <w:b w:val="0"/>
          <w:bCs w:val="0"/>
          <w:sz w:val="28"/>
          <w:szCs w:val="28"/>
          <w:lang w:val="kk-KZ"/>
        </w:rPr>
        <w:t xml:space="preserve"> </w:t>
      </w:r>
      <w:r w:rsidR="009B7501" w:rsidRPr="000C23D7">
        <w:rPr>
          <w:rStyle w:val="Strong"/>
          <w:b w:val="0"/>
          <w:bCs w:val="0"/>
          <w:sz w:val="28"/>
          <w:szCs w:val="28"/>
          <w:lang w:val="en-US"/>
        </w:rPr>
        <w:t>Einsiedel J.</w:t>
      </w:r>
      <w:r w:rsidR="009B7501" w:rsidRPr="000C23D7">
        <w:rPr>
          <w:sz w:val="28"/>
          <w:szCs w:val="28"/>
          <w:lang w:val="en-US"/>
        </w:rPr>
        <w:t xml:space="preserve"> The effectiveness of international civil society organizations in protecting human rights in countries with limited human rights. A case study of Turkmenistan. – Glasgow: The University of the West of Scotland, 2020. – </w:t>
      </w:r>
      <w:r w:rsidR="003975C3" w:rsidRPr="000C23D7">
        <w:rPr>
          <w:sz w:val="28"/>
          <w:szCs w:val="28"/>
          <w:lang w:val="kk-KZ"/>
        </w:rPr>
        <w:t>60 р</w:t>
      </w:r>
      <w:r w:rsidR="009B7501" w:rsidRPr="000C23D7">
        <w:rPr>
          <w:sz w:val="28"/>
          <w:szCs w:val="28"/>
          <w:lang w:val="kk-KZ"/>
        </w:rPr>
        <w:t>.</w:t>
      </w:r>
    </w:p>
    <w:p w14:paraId="201817BE" w14:textId="62E95B71"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137</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Zukhriddinovich E.D.</w:t>
      </w:r>
      <w:r w:rsidR="009B7501" w:rsidRPr="000C23D7">
        <w:rPr>
          <w:sz w:val="28"/>
          <w:szCs w:val="28"/>
          <w:lang w:val="en-US"/>
        </w:rPr>
        <w:t xml:space="preserve"> Analysis of the policy of the Republic of Uzbekistan regarding international non-governmental organization // </w:t>
      </w:r>
      <w:r w:rsidR="009B7501" w:rsidRPr="000C23D7">
        <w:rPr>
          <w:rStyle w:val="Emphasis"/>
          <w:rFonts w:eastAsiaTheme="majorEastAsia"/>
          <w:i w:val="0"/>
          <w:sz w:val="28"/>
          <w:szCs w:val="28"/>
          <w:lang w:val="en-US"/>
        </w:rPr>
        <w:t>American Journal of Political Science</w:t>
      </w:r>
      <w:r w:rsidR="00EC6B67" w:rsidRPr="000C23D7">
        <w:rPr>
          <w:sz w:val="28"/>
          <w:szCs w:val="28"/>
          <w:lang w:val="en-US"/>
        </w:rPr>
        <w:t>. – 2020. – Vol.</w:t>
      </w:r>
      <w:r w:rsidR="009B7501" w:rsidRPr="000C23D7">
        <w:rPr>
          <w:sz w:val="28"/>
          <w:szCs w:val="28"/>
          <w:lang w:val="en-US"/>
        </w:rPr>
        <w:t xml:space="preserve"> 3</w:t>
      </w:r>
      <w:r w:rsidR="00EC6B67" w:rsidRPr="000C23D7">
        <w:rPr>
          <w:sz w:val="28"/>
          <w:szCs w:val="28"/>
          <w:lang w:val="en-US"/>
        </w:rPr>
        <w:t xml:space="preserve">, Issue </w:t>
      </w:r>
      <w:r w:rsidR="009B7501" w:rsidRPr="000C23D7">
        <w:rPr>
          <w:sz w:val="28"/>
          <w:szCs w:val="28"/>
          <w:lang w:val="en-US"/>
        </w:rPr>
        <w:t>1</w:t>
      </w:r>
      <w:r w:rsidR="00EC6B67" w:rsidRPr="000C23D7">
        <w:rPr>
          <w:sz w:val="28"/>
          <w:szCs w:val="28"/>
          <w:lang w:val="en-US"/>
        </w:rPr>
        <w:t xml:space="preserve">. – P. </w:t>
      </w:r>
      <w:r w:rsidR="009B7501" w:rsidRPr="000C23D7">
        <w:rPr>
          <w:sz w:val="28"/>
          <w:szCs w:val="28"/>
          <w:lang w:val="en-US"/>
        </w:rPr>
        <w:t>9</w:t>
      </w:r>
      <w:r w:rsidR="00EC6B67" w:rsidRPr="000C23D7">
        <w:rPr>
          <w:sz w:val="28"/>
          <w:szCs w:val="28"/>
          <w:lang w:val="en-US"/>
        </w:rPr>
        <w:t>-</w:t>
      </w:r>
      <w:r w:rsidR="009B7501" w:rsidRPr="000C23D7">
        <w:rPr>
          <w:sz w:val="28"/>
          <w:szCs w:val="28"/>
          <w:lang w:val="en-US"/>
        </w:rPr>
        <w:t xml:space="preserve">15. </w:t>
      </w:r>
    </w:p>
    <w:p w14:paraId="575391C3" w14:textId="3EFD41F8"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lastRenderedPageBreak/>
        <w:t>138</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Fawn R., Kluczewska K., Korneev O.</w:t>
      </w:r>
      <w:r w:rsidR="009B7501" w:rsidRPr="000C23D7">
        <w:rPr>
          <w:sz w:val="28"/>
          <w:szCs w:val="28"/>
          <w:lang w:val="en-US"/>
        </w:rPr>
        <w:t xml:space="preserve"> EU–Central Asian interactions: perceptions, interests and practices // </w:t>
      </w:r>
      <w:r w:rsidR="009B7501" w:rsidRPr="000C23D7">
        <w:rPr>
          <w:rStyle w:val="Emphasis"/>
          <w:rFonts w:eastAsiaTheme="majorEastAsia"/>
          <w:i w:val="0"/>
          <w:sz w:val="28"/>
          <w:szCs w:val="28"/>
          <w:lang w:val="en-US"/>
        </w:rPr>
        <w:t>Central Asian Survey</w:t>
      </w:r>
      <w:r w:rsidR="00EC6B67" w:rsidRPr="000C23D7">
        <w:rPr>
          <w:sz w:val="28"/>
          <w:szCs w:val="28"/>
          <w:lang w:val="en-US"/>
        </w:rPr>
        <w:t>. – 2022. – Vol.</w:t>
      </w:r>
      <w:r w:rsidR="009B7501" w:rsidRPr="000C23D7">
        <w:rPr>
          <w:sz w:val="28"/>
          <w:szCs w:val="28"/>
          <w:lang w:val="en-US"/>
        </w:rPr>
        <w:t xml:space="preserve"> 41</w:t>
      </w:r>
      <w:r w:rsidR="00EC6B67" w:rsidRPr="000C23D7">
        <w:rPr>
          <w:sz w:val="28"/>
          <w:szCs w:val="28"/>
          <w:lang w:val="en-US"/>
        </w:rPr>
        <w:t>, Issue </w:t>
      </w:r>
      <w:r w:rsidR="009B7501" w:rsidRPr="000C23D7">
        <w:rPr>
          <w:sz w:val="28"/>
          <w:szCs w:val="28"/>
          <w:lang w:val="en-US"/>
        </w:rPr>
        <w:t>4</w:t>
      </w:r>
      <w:r w:rsidR="00EC6B67" w:rsidRPr="000C23D7">
        <w:rPr>
          <w:sz w:val="28"/>
          <w:szCs w:val="28"/>
          <w:lang w:val="en-US"/>
        </w:rPr>
        <w:t>. – P.</w:t>
      </w:r>
      <w:r w:rsidR="009B7501" w:rsidRPr="000C23D7">
        <w:rPr>
          <w:sz w:val="28"/>
          <w:szCs w:val="28"/>
          <w:lang w:val="en-US"/>
        </w:rPr>
        <w:t xml:space="preserve"> 617</w:t>
      </w:r>
      <w:r w:rsidR="00EC6B67" w:rsidRPr="000C23D7">
        <w:rPr>
          <w:sz w:val="28"/>
          <w:szCs w:val="28"/>
          <w:lang w:val="en-US"/>
        </w:rPr>
        <w:t>-</w:t>
      </w:r>
      <w:r w:rsidR="009B7501" w:rsidRPr="000C23D7">
        <w:rPr>
          <w:sz w:val="28"/>
          <w:szCs w:val="28"/>
          <w:lang w:val="en-US"/>
        </w:rPr>
        <w:t xml:space="preserve">638. </w:t>
      </w:r>
    </w:p>
    <w:p w14:paraId="3C0BD974" w14:textId="43932676"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139</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Malgazhdarova M., Akhmetzhanova L., Shaimardanov Z</w:t>
      </w:r>
      <w:r w:rsidR="00EC6B67" w:rsidRPr="000C23D7">
        <w:rPr>
          <w:rStyle w:val="Strong"/>
          <w:b w:val="0"/>
          <w:bCs w:val="0"/>
          <w:sz w:val="28"/>
          <w:szCs w:val="28"/>
          <w:lang w:val="en-US"/>
        </w:rPr>
        <w:t xml:space="preserve"> et al.</w:t>
      </w:r>
      <w:r w:rsidR="009B7501" w:rsidRPr="000C23D7">
        <w:rPr>
          <w:sz w:val="28"/>
          <w:szCs w:val="28"/>
          <w:lang w:val="en-US"/>
        </w:rPr>
        <w:t xml:space="preserve"> The European Union and Central Asian Countries’ Activities in the Field of Human Rights: Peculiarities and Directions // </w:t>
      </w:r>
      <w:r w:rsidR="009B7501" w:rsidRPr="000C23D7">
        <w:rPr>
          <w:rStyle w:val="Emphasis"/>
          <w:rFonts w:eastAsiaTheme="majorEastAsia"/>
          <w:i w:val="0"/>
          <w:sz w:val="28"/>
          <w:szCs w:val="28"/>
          <w:lang w:val="en-US"/>
        </w:rPr>
        <w:t>European Review</w:t>
      </w:r>
      <w:r w:rsidR="00EC6B67" w:rsidRPr="000C23D7">
        <w:rPr>
          <w:rStyle w:val="Emphasis"/>
          <w:rFonts w:eastAsiaTheme="majorEastAsia"/>
          <w:i w:val="0"/>
          <w:sz w:val="28"/>
          <w:szCs w:val="28"/>
          <w:lang w:val="en-US"/>
        </w:rPr>
        <w:t xml:space="preserve">. – 2024. – Vol. </w:t>
      </w:r>
      <w:r w:rsidR="009B7501" w:rsidRPr="000C23D7">
        <w:rPr>
          <w:sz w:val="28"/>
          <w:szCs w:val="28"/>
          <w:lang w:val="en-US"/>
        </w:rPr>
        <w:t>32</w:t>
      </w:r>
      <w:r w:rsidR="00EC6B67" w:rsidRPr="000C23D7">
        <w:rPr>
          <w:sz w:val="28"/>
          <w:szCs w:val="28"/>
          <w:lang w:val="en-US"/>
        </w:rPr>
        <w:t xml:space="preserve">, Issue </w:t>
      </w:r>
      <w:r w:rsidR="009B7501" w:rsidRPr="000C23D7">
        <w:rPr>
          <w:sz w:val="28"/>
          <w:szCs w:val="28"/>
          <w:lang w:val="en-US"/>
        </w:rPr>
        <w:t>3</w:t>
      </w:r>
      <w:r w:rsidR="00EC6B67" w:rsidRPr="000C23D7">
        <w:rPr>
          <w:sz w:val="28"/>
          <w:szCs w:val="28"/>
          <w:lang w:val="en-US"/>
        </w:rPr>
        <w:t>. – P. </w:t>
      </w:r>
      <w:r w:rsidR="009B7501" w:rsidRPr="000C23D7">
        <w:rPr>
          <w:sz w:val="28"/>
          <w:szCs w:val="28"/>
          <w:lang w:val="en-US"/>
        </w:rPr>
        <w:t>291</w:t>
      </w:r>
      <w:r w:rsidR="00EC6B67" w:rsidRPr="000C23D7">
        <w:rPr>
          <w:sz w:val="28"/>
          <w:szCs w:val="28"/>
          <w:lang w:val="en-US"/>
        </w:rPr>
        <w:t>-</w:t>
      </w:r>
      <w:r w:rsidR="009B7501" w:rsidRPr="000C23D7">
        <w:rPr>
          <w:sz w:val="28"/>
          <w:szCs w:val="28"/>
          <w:lang w:val="en-US"/>
        </w:rPr>
        <w:t xml:space="preserve">307. </w:t>
      </w:r>
    </w:p>
    <w:p w14:paraId="2DA21B65" w14:textId="68B459C2"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140</w:t>
      </w:r>
      <w:r w:rsidR="009B7501" w:rsidRPr="000C23D7">
        <w:rPr>
          <w:sz w:val="28"/>
          <w:szCs w:val="28"/>
          <w:lang w:val="en-US"/>
        </w:rPr>
        <w:t xml:space="preserve"> First EU–Central Asia summit, 4 April 2025 </w:t>
      </w:r>
      <w:r w:rsidR="00EC6B67" w:rsidRPr="000C23D7">
        <w:rPr>
          <w:sz w:val="28"/>
          <w:szCs w:val="28"/>
          <w:lang w:val="en-US"/>
        </w:rPr>
        <w:t xml:space="preserve">/ </w:t>
      </w:r>
      <w:r w:rsidR="00EC6B67" w:rsidRPr="000C23D7">
        <w:rPr>
          <w:rStyle w:val="Strong"/>
          <w:b w:val="0"/>
          <w:bCs w:val="0"/>
          <w:sz w:val="28"/>
          <w:szCs w:val="28"/>
          <w:lang w:val="en-US"/>
        </w:rPr>
        <w:t>Council of the European Union</w:t>
      </w:r>
      <w:r w:rsidR="00EC6B67" w:rsidRPr="000C23D7">
        <w:rPr>
          <w:sz w:val="28"/>
          <w:szCs w:val="28"/>
          <w:lang w:val="en-US"/>
        </w:rPr>
        <w:t xml:space="preserve"> //</w:t>
      </w:r>
      <w:r w:rsidR="009B7501" w:rsidRPr="000C23D7">
        <w:rPr>
          <w:sz w:val="28"/>
          <w:szCs w:val="28"/>
          <w:lang w:val="en-US"/>
        </w:rPr>
        <w:t xml:space="preserve"> </w:t>
      </w:r>
      <w:hyperlink r:id="rId234" w:history="1">
        <w:r w:rsidR="00EC6B67" w:rsidRPr="000C23D7">
          <w:rPr>
            <w:rStyle w:val="Hyperlink"/>
            <w:color w:val="auto"/>
            <w:sz w:val="28"/>
            <w:szCs w:val="28"/>
            <w:u w:val="none"/>
            <w:lang w:val="en-US"/>
          </w:rPr>
          <w:t>https://www.consilium.europa.eu/en/meetings.</w:t>
        </w:r>
      </w:hyperlink>
      <w:r w:rsidR="009B7501" w:rsidRPr="000C23D7">
        <w:rPr>
          <w:sz w:val="28"/>
          <w:szCs w:val="28"/>
          <w:lang w:val="en-US"/>
        </w:rPr>
        <w:t xml:space="preserve"> 04.04.2025.</w:t>
      </w:r>
    </w:p>
    <w:p w14:paraId="3F01CCE1" w14:textId="43BE8D2D"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141</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Rankin J.</w:t>
      </w:r>
      <w:r w:rsidR="009B7501" w:rsidRPr="000C23D7">
        <w:rPr>
          <w:sz w:val="28"/>
          <w:szCs w:val="28"/>
          <w:lang w:val="en-US"/>
        </w:rPr>
        <w:t xml:space="preserve"> EU urged to put human rights centre stage at first Central Asia summit // </w:t>
      </w:r>
      <w:hyperlink r:id="rId235" w:history="1">
        <w:r w:rsidR="00EC6B67" w:rsidRPr="000C23D7">
          <w:rPr>
            <w:rStyle w:val="Hyperlink"/>
            <w:color w:val="auto"/>
            <w:sz w:val="28"/>
            <w:szCs w:val="28"/>
            <w:u w:val="none"/>
            <w:lang w:val="en-US"/>
          </w:rPr>
          <w:t>https://www.theguardian.com/world/2025/apr/04/eu-urged-to.</w:t>
        </w:r>
      </w:hyperlink>
      <w:r w:rsidR="009B7501" w:rsidRPr="000C23D7">
        <w:rPr>
          <w:sz w:val="28"/>
          <w:szCs w:val="28"/>
          <w:lang w:val="en-US"/>
        </w:rPr>
        <w:t xml:space="preserve"> 05.04.2025.</w:t>
      </w:r>
    </w:p>
    <w:p w14:paraId="431DAFC0" w14:textId="213541BE"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142</w:t>
      </w:r>
      <w:r w:rsidR="00B71030" w:rsidRPr="000C23D7">
        <w:rPr>
          <w:rStyle w:val="Strong"/>
          <w:b w:val="0"/>
          <w:bCs w:val="0"/>
          <w:sz w:val="28"/>
          <w:szCs w:val="28"/>
          <w:lang w:val="kk-KZ"/>
        </w:rPr>
        <w:t xml:space="preserve"> </w:t>
      </w:r>
      <w:r w:rsidR="009B7501" w:rsidRPr="000C23D7">
        <w:rPr>
          <w:sz w:val="28"/>
          <w:szCs w:val="28"/>
          <w:lang w:val="en-US"/>
        </w:rPr>
        <w:t>Kazakhstan: Annual human rights dialogue in Brussels</w:t>
      </w:r>
      <w:r w:rsidR="00EC6B67" w:rsidRPr="000C23D7">
        <w:rPr>
          <w:sz w:val="28"/>
          <w:szCs w:val="28"/>
          <w:lang w:val="en-US"/>
        </w:rPr>
        <w:t>.</w:t>
      </w:r>
      <w:r w:rsidR="009B7501" w:rsidRPr="000C23D7">
        <w:rPr>
          <w:sz w:val="28"/>
          <w:szCs w:val="28"/>
          <w:lang w:val="en-US"/>
        </w:rPr>
        <w:t xml:space="preserve"> – 2025</w:t>
      </w:r>
      <w:r w:rsidR="00EC6B67" w:rsidRPr="000C23D7">
        <w:rPr>
          <w:sz w:val="28"/>
          <w:szCs w:val="28"/>
          <w:lang w:val="en-US"/>
        </w:rPr>
        <w:t xml:space="preserve"> //</w:t>
      </w:r>
      <w:r w:rsidR="009B7501" w:rsidRPr="000C23D7">
        <w:rPr>
          <w:sz w:val="28"/>
          <w:szCs w:val="28"/>
          <w:lang w:val="en-US"/>
        </w:rPr>
        <w:t xml:space="preserve"> </w:t>
      </w:r>
      <w:hyperlink r:id="rId236" w:history="1">
        <w:r w:rsidR="00EC6B67" w:rsidRPr="000C23D7">
          <w:rPr>
            <w:rStyle w:val="Hyperlink"/>
            <w:color w:val="auto"/>
            <w:sz w:val="28"/>
            <w:szCs w:val="28"/>
            <w:u w:val="none"/>
            <w:lang w:val="en-US"/>
          </w:rPr>
          <w:t>https://www.eeas.europa.eu/eeas/kazakhstan-annual-human-rights.</w:t>
        </w:r>
      </w:hyperlink>
      <w:r w:rsidR="009B7501" w:rsidRPr="000C23D7">
        <w:rPr>
          <w:sz w:val="28"/>
          <w:szCs w:val="28"/>
          <w:lang w:val="en-US"/>
        </w:rPr>
        <w:t xml:space="preserve"> 07.03.2025.</w:t>
      </w:r>
    </w:p>
    <w:p w14:paraId="64EC34AF" w14:textId="38A97570"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143</w:t>
      </w:r>
      <w:r w:rsidR="00B71030" w:rsidRPr="000C23D7">
        <w:rPr>
          <w:rStyle w:val="Strong"/>
          <w:b w:val="0"/>
          <w:bCs w:val="0"/>
          <w:sz w:val="28"/>
          <w:szCs w:val="28"/>
          <w:lang w:val="kk-KZ"/>
        </w:rPr>
        <w:t xml:space="preserve"> </w:t>
      </w:r>
      <w:r w:rsidR="009B7501" w:rsidRPr="000C23D7">
        <w:rPr>
          <w:sz w:val="28"/>
          <w:szCs w:val="28"/>
          <w:lang w:val="en-US"/>
        </w:rPr>
        <w:t>Analysis of the Kyrgyz Republic Law on Foreign Representatives. – 2024</w:t>
      </w:r>
      <w:r w:rsidR="00EC6B67" w:rsidRPr="000C23D7">
        <w:rPr>
          <w:sz w:val="28"/>
          <w:szCs w:val="28"/>
          <w:lang w:val="en-US"/>
        </w:rPr>
        <w:t xml:space="preserve"> // </w:t>
      </w:r>
      <w:hyperlink r:id="rId237" w:history="1">
        <w:r w:rsidR="00EC6B67" w:rsidRPr="000C23D7">
          <w:rPr>
            <w:rStyle w:val="Hyperlink"/>
            <w:color w:val="auto"/>
            <w:sz w:val="28"/>
            <w:szCs w:val="28"/>
            <w:u w:val="none"/>
            <w:lang w:val="en-US"/>
          </w:rPr>
          <w:t>https://www.icnl.org/wp-content/uploads/2024.04-Final-Analysis.</w:t>
        </w:r>
      </w:hyperlink>
      <w:r w:rsidR="009B7501" w:rsidRPr="000C23D7">
        <w:rPr>
          <w:sz w:val="28"/>
          <w:szCs w:val="28"/>
          <w:lang w:val="en-US"/>
        </w:rPr>
        <w:t xml:space="preserve"> 15.04.2025.</w:t>
      </w:r>
    </w:p>
    <w:p w14:paraId="54AE18E8" w14:textId="06BC0FAA"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144</w:t>
      </w:r>
      <w:r w:rsidR="00B71030" w:rsidRPr="000C23D7">
        <w:rPr>
          <w:rStyle w:val="Strong"/>
          <w:b w:val="0"/>
          <w:bCs w:val="0"/>
          <w:sz w:val="28"/>
          <w:szCs w:val="28"/>
          <w:lang w:val="kk-KZ"/>
        </w:rPr>
        <w:t xml:space="preserve"> </w:t>
      </w:r>
      <w:r w:rsidR="009B7501" w:rsidRPr="000C23D7">
        <w:rPr>
          <w:sz w:val="28"/>
          <w:szCs w:val="28"/>
          <w:lang w:val="en-US"/>
        </w:rPr>
        <w:t xml:space="preserve">Enhanced Partnership and Cooperation Agreement between the European Union and its Member States, of the one part, and the Republic of Kazakhstan, of the other part (OJ L 52, 25.2.2020) </w:t>
      </w:r>
      <w:r w:rsidR="00EC6B67" w:rsidRPr="000C23D7">
        <w:rPr>
          <w:sz w:val="28"/>
          <w:szCs w:val="28"/>
          <w:lang w:val="en-US"/>
        </w:rPr>
        <w:t>//</w:t>
      </w:r>
      <w:r w:rsidR="009B7501" w:rsidRPr="000C23D7">
        <w:rPr>
          <w:sz w:val="28"/>
          <w:szCs w:val="28"/>
          <w:lang w:val="en-US"/>
        </w:rPr>
        <w:t xml:space="preserve"> </w:t>
      </w:r>
      <w:hyperlink r:id="rId238" w:history="1">
        <w:r w:rsidR="00EC6B67" w:rsidRPr="000C23D7">
          <w:rPr>
            <w:rStyle w:val="Hyperlink"/>
            <w:color w:val="auto"/>
            <w:sz w:val="28"/>
            <w:szCs w:val="28"/>
            <w:u w:val="none"/>
            <w:lang w:val="en-US"/>
          </w:rPr>
          <w:t>https://eur-lex.europa.eu/legal-content.</w:t>
        </w:r>
      </w:hyperlink>
      <w:r w:rsidR="009B7501" w:rsidRPr="000C23D7">
        <w:rPr>
          <w:sz w:val="28"/>
          <w:szCs w:val="28"/>
          <w:lang w:val="en-US"/>
        </w:rPr>
        <w:t xml:space="preserve"> 18.03.2025.</w:t>
      </w:r>
    </w:p>
    <w:p w14:paraId="35FE555F" w14:textId="2DDE3BA3"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145</w:t>
      </w:r>
      <w:r w:rsidR="009B7501" w:rsidRPr="000C23D7">
        <w:rPr>
          <w:sz w:val="28"/>
          <w:szCs w:val="28"/>
          <w:lang w:val="en-US"/>
        </w:rPr>
        <w:t xml:space="preserve"> EU trade relations with Kazakhstan: Facts, figures and latest developments</w:t>
      </w:r>
      <w:r w:rsidR="00EC6B67" w:rsidRPr="000C23D7">
        <w:rPr>
          <w:sz w:val="28"/>
          <w:szCs w:val="28"/>
          <w:lang w:val="en-US"/>
        </w:rPr>
        <w:t>.</w:t>
      </w:r>
      <w:r w:rsidR="009B7501" w:rsidRPr="000C23D7">
        <w:rPr>
          <w:sz w:val="28"/>
          <w:szCs w:val="28"/>
          <w:lang w:val="en-US"/>
        </w:rPr>
        <w:t xml:space="preserve"> – 2024</w:t>
      </w:r>
      <w:r w:rsidR="00EC6B67" w:rsidRPr="000C23D7">
        <w:rPr>
          <w:sz w:val="28"/>
          <w:szCs w:val="28"/>
          <w:lang w:val="en-US"/>
        </w:rPr>
        <w:t xml:space="preserve"> //</w:t>
      </w:r>
      <w:r w:rsidR="009B7501" w:rsidRPr="000C23D7">
        <w:rPr>
          <w:sz w:val="28"/>
          <w:szCs w:val="28"/>
          <w:lang w:val="en-US"/>
        </w:rPr>
        <w:t xml:space="preserve"> </w:t>
      </w:r>
      <w:hyperlink r:id="rId239" w:history="1">
        <w:r w:rsidR="00EC6B67" w:rsidRPr="000C23D7">
          <w:rPr>
            <w:rStyle w:val="Hyperlink"/>
            <w:color w:val="auto"/>
            <w:sz w:val="28"/>
            <w:szCs w:val="28"/>
            <w:u w:val="none"/>
            <w:lang w:val="en-US"/>
          </w:rPr>
          <w:t>https://policy.trade.ec.europa.eu/eu-trade.</w:t>
        </w:r>
      </w:hyperlink>
      <w:r w:rsidR="00EC6B67" w:rsidRPr="000C23D7">
        <w:rPr>
          <w:sz w:val="28"/>
          <w:szCs w:val="28"/>
          <w:lang w:val="en-US"/>
        </w:rPr>
        <w:t xml:space="preserve"> 23.03.2025</w:t>
      </w:r>
      <w:r w:rsidR="009B7501" w:rsidRPr="000C23D7">
        <w:rPr>
          <w:sz w:val="28"/>
          <w:szCs w:val="28"/>
          <w:lang w:val="en-US"/>
        </w:rPr>
        <w:t>.</w:t>
      </w:r>
    </w:p>
    <w:p w14:paraId="791DF639" w14:textId="5698CB14" w:rsidR="009B7501"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146</w:t>
      </w:r>
      <w:r w:rsidR="009B7501" w:rsidRPr="000C23D7">
        <w:rPr>
          <w:sz w:val="28"/>
          <w:szCs w:val="28"/>
          <w:lang w:val="en-US"/>
        </w:rPr>
        <w:t xml:space="preserve"> European Union and Kazakhstan. – 2023</w:t>
      </w:r>
      <w:r w:rsidR="00EC6B67" w:rsidRPr="000C23D7">
        <w:rPr>
          <w:sz w:val="28"/>
          <w:szCs w:val="28"/>
          <w:lang w:val="en-US"/>
        </w:rPr>
        <w:t xml:space="preserve"> / </w:t>
      </w:r>
      <w:r w:rsidR="00EC6B67" w:rsidRPr="000C23D7">
        <w:rPr>
          <w:rStyle w:val="Strong"/>
          <w:b w:val="0"/>
          <w:bCs w:val="0"/>
          <w:sz w:val="28"/>
          <w:szCs w:val="28"/>
          <w:lang w:val="en-US"/>
        </w:rPr>
        <w:t>European External Action Service //</w:t>
      </w:r>
      <w:r w:rsidR="009B7501" w:rsidRPr="000C23D7">
        <w:rPr>
          <w:sz w:val="28"/>
          <w:szCs w:val="28"/>
          <w:lang w:val="en-US"/>
        </w:rPr>
        <w:t xml:space="preserve"> </w:t>
      </w:r>
      <w:hyperlink r:id="rId240" w:history="1">
        <w:r w:rsidR="00EC6B67" w:rsidRPr="000C23D7">
          <w:rPr>
            <w:rStyle w:val="Hyperlink"/>
            <w:color w:val="auto"/>
            <w:sz w:val="28"/>
            <w:szCs w:val="28"/>
            <w:u w:val="none"/>
            <w:lang w:val="en-US"/>
          </w:rPr>
          <w:t>https://www.eeas.europa.eu/kazakhstan/european-union-and.</w:t>
        </w:r>
      </w:hyperlink>
      <w:r w:rsidR="009B7501" w:rsidRPr="000C23D7">
        <w:rPr>
          <w:sz w:val="28"/>
          <w:szCs w:val="28"/>
          <w:lang w:val="en-US"/>
        </w:rPr>
        <w:t xml:space="preserve"> 30.03.2025.</w:t>
      </w:r>
    </w:p>
    <w:p w14:paraId="0D7BEB4F" w14:textId="022DCB24" w:rsidR="009B7501" w:rsidRPr="000C23D7" w:rsidRDefault="006423E6" w:rsidP="00B71030">
      <w:pPr>
        <w:pStyle w:val="NormalWeb"/>
        <w:tabs>
          <w:tab w:val="left" w:pos="1276"/>
        </w:tabs>
        <w:spacing w:before="0" w:beforeAutospacing="0" w:after="0" w:afterAutospacing="0"/>
        <w:ind w:firstLine="709"/>
        <w:jc w:val="both"/>
        <w:rPr>
          <w:sz w:val="28"/>
          <w:szCs w:val="28"/>
        </w:rPr>
      </w:pPr>
      <w:r w:rsidRPr="000C23D7">
        <w:rPr>
          <w:rStyle w:val="Strong"/>
          <w:b w:val="0"/>
          <w:bCs w:val="0"/>
          <w:sz w:val="28"/>
          <w:szCs w:val="28"/>
          <w:lang w:val="kk-KZ"/>
        </w:rPr>
        <w:t>147</w:t>
      </w:r>
      <w:r w:rsidR="009B7501" w:rsidRPr="000C23D7">
        <w:rPr>
          <w:sz w:val="28"/>
          <w:szCs w:val="28"/>
          <w:lang w:val="en-US"/>
        </w:rPr>
        <w:t xml:space="preserve"> Benefits of the EU–Kazakhstan enhanced partnership and cooperation agreement. – 2020</w:t>
      </w:r>
      <w:r w:rsidR="00EC6B67" w:rsidRPr="000C23D7">
        <w:rPr>
          <w:sz w:val="28"/>
          <w:szCs w:val="28"/>
          <w:lang w:val="en-US"/>
        </w:rPr>
        <w:t xml:space="preserve"> / </w:t>
      </w:r>
      <w:r w:rsidR="00EC6B67" w:rsidRPr="000C23D7">
        <w:rPr>
          <w:rStyle w:val="Strong"/>
          <w:b w:val="0"/>
          <w:bCs w:val="0"/>
          <w:sz w:val="28"/>
          <w:szCs w:val="28"/>
          <w:lang w:val="en-US"/>
        </w:rPr>
        <w:t>World Monitor //</w:t>
      </w:r>
      <w:r w:rsidR="009B7501" w:rsidRPr="000C23D7">
        <w:rPr>
          <w:sz w:val="28"/>
          <w:szCs w:val="28"/>
          <w:lang w:val="en-US"/>
        </w:rPr>
        <w:t xml:space="preserve"> </w:t>
      </w:r>
      <w:hyperlink r:id="rId241" w:history="1">
        <w:r w:rsidR="00EC6B67" w:rsidRPr="000C23D7">
          <w:rPr>
            <w:rStyle w:val="Hyperlink"/>
            <w:color w:val="auto"/>
            <w:sz w:val="28"/>
            <w:szCs w:val="28"/>
            <w:u w:val="none"/>
            <w:lang w:val="en-US"/>
          </w:rPr>
          <w:t>https://worldmonitor.kz/en.</w:t>
        </w:r>
      </w:hyperlink>
      <w:r w:rsidR="009B7501" w:rsidRPr="000C23D7">
        <w:rPr>
          <w:sz w:val="28"/>
          <w:szCs w:val="28"/>
          <w:lang w:val="en-US"/>
        </w:rPr>
        <w:t xml:space="preserve"> </w:t>
      </w:r>
      <w:r w:rsidR="009B7501" w:rsidRPr="00C57BD3">
        <w:rPr>
          <w:sz w:val="28"/>
          <w:szCs w:val="28"/>
        </w:rPr>
        <w:t>12.04.2025.</w:t>
      </w:r>
    </w:p>
    <w:p w14:paraId="65FF0040" w14:textId="76F5002D" w:rsidR="009B7501" w:rsidRPr="000C23D7" w:rsidRDefault="006423E6" w:rsidP="00B71030">
      <w:pPr>
        <w:pStyle w:val="NormalWeb"/>
        <w:tabs>
          <w:tab w:val="left" w:pos="1276"/>
        </w:tabs>
        <w:spacing w:before="0" w:beforeAutospacing="0" w:after="0" w:afterAutospacing="0"/>
        <w:ind w:firstLine="709"/>
        <w:jc w:val="both"/>
        <w:rPr>
          <w:sz w:val="28"/>
          <w:szCs w:val="28"/>
        </w:rPr>
      </w:pPr>
      <w:r w:rsidRPr="000C23D7">
        <w:rPr>
          <w:rStyle w:val="Strong"/>
          <w:b w:val="0"/>
          <w:bCs w:val="0"/>
          <w:sz w:val="28"/>
          <w:szCs w:val="28"/>
          <w:lang w:val="kk-KZ"/>
        </w:rPr>
        <w:t>148</w:t>
      </w:r>
      <w:r w:rsidR="00B71030" w:rsidRPr="000C23D7">
        <w:rPr>
          <w:rStyle w:val="Strong"/>
          <w:b w:val="0"/>
          <w:bCs w:val="0"/>
          <w:sz w:val="28"/>
          <w:szCs w:val="28"/>
          <w:lang w:val="kk-KZ"/>
        </w:rPr>
        <w:t xml:space="preserve"> </w:t>
      </w:r>
      <w:r w:rsidR="009B7501" w:rsidRPr="000C23D7">
        <w:rPr>
          <w:sz w:val="28"/>
          <w:szCs w:val="28"/>
        </w:rPr>
        <w:t xml:space="preserve">Партнерство Казахстана и ЕС становится все более важным в Евразии </w:t>
      </w:r>
      <w:r w:rsidR="00EC6B67" w:rsidRPr="000C23D7">
        <w:rPr>
          <w:sz w:val="28"/>
          <w:szCs w:val="28"/>
        </w:rPr>
        <w:t>//</w:t>
      </w:r>
      <w:r w:rsidR="009B7501" w:rsidRPr="000C23D7">
        <w:rPr>
          <w:sz w:val="28"/>
          <w:szCs w:val="28"/>
        </w:rPr>
        <w:t xml:space="preserve"> </w:t>
      </w:r>
      <w:hyperlink r:id="rId242" w:history="1">
        <w:r w:rsidR="00EC6B67" w:rsidRPr="000C23D7">
          <w:rPr>
            <w:rStyle w:val="Hyperlink"/>
            <w:color w:val="auto"/>
            <w:sz w:val="28"/>
            <w:szCs w:val="28"/>
            <w:u w:val="none"/>
          </w:rPr>
          <w:t>https://www.inform.kz/ru/partnerstvo-kazahstana-ies-stanovitsya.</w:t>
        </w:r>
      </w:hyperlink>
      <w:r w:rsidR="009B7501" w:rsidRPr="000C23D7">
        <w:rPr>
          <w:sz w:val="28"/>
          <w:szCs w:val="28"/>
        </w:rPr>
        <w:t xml:space="preserve"> 08.04.2025.</w:t>
      </w:r>
    </w:p>
    <w:p w14:paraId="02B98D31" w14:textId="6480D083" w:rsidR="009B7501" w:rsidRPr="000C23D7" w:rsidRDefault="006423E6" w:rsidP="00B71030">
      <w:pPr>
        <w:pStyle w:val="NormalWeb"/>
        <w:tabs>
          <w:tab w:val="left" w:pos="1276"/>
        </w:tabs>
        <w:spacing w:before="0" w:beforeAutospacing="0" w:after="0" w:afterAutospacing="0"/>
        <w:ind w:firstLine="709"/>
        <w:jc w:val="both"/>
        <w:rPr>
          <w:sz w:val="28"/>
          <w:szCs w:val="28"/>
        </w:rPr>
      </w:pPr>
      <w:r w:rsidRPr="000C23D7">
        <w:rPr>
          <w:rStyle w:val="Strong"/>
          <w:b w:val="0"/>
          <w:bCs w:val="0"/>
          <w:sz w:val="28"/>
          <w:szCs w:val="28"/>
          <w:lang w:val="kk-KZ"/>
        </w:rPr>
        <w:t>149</w:t>
      </w:r>
      <w:r w:rsidR="00B71030" w:rsidRPr="000C23D7">
        <w:rPr>
          <w:rStyle w:val="Strong"/>
          <w:b w:val="0"/>
          <w:bCs w:val="0"/>
          <w:sz w:val="28"/>
          <w:szCs w:val="28"/>
          <w:lang w:val="kk-KZ"/>
        </w:rPr>
        <w:t xml:space="preserve"> </w:t>
      </w:r>
      <w:r w:rsidR="009B7501" w:rsidRPr="000C23D7">
        <w:rPr>
          <w:sz w:val="28"/>
          <w:szCs w:val="28"/>
        </w:rPr>
        <w:t xml:space="preserve">Как соглашение о расширенном партнерстве влияет на укрепление казахстанско-европейских связей </w:t>
      </w:r>
      <w:r w:rsidR="00EC6B67" w:rsidRPr="000C23D7">
        <w:rPr>
          <w:sz w:val="28"/>
          <w:szCs w:val="28"/>
        </w:rPr>
        <w:t>(</w:t>
      </w:r>
      <w:r w:rsidR="009B7501" w:rsidRPr="000C23D7">
        <w:rPr>
          <w:sz w:val="28"/>
          <w:szCs w:val="28"/>
        </w:rPr>
        <w:t>2024</w:t>
      </w:r>
      <w:r w:rsidR="00EC6B67" w:rsidRPr="000C23D7">
        <w:rPr>
          <w:sz w:val="28"/>
          <w:szCs w:val="28"/>
        </w:rPr>
        <w:t>) //</w:t>
      </w:r>
      <w:r w:rsidR="009B7501" w:rsidRPr="000C23D7">
        <w:rPr>
          <w:sz w:val="28"/>
          <w:szCs w:val="28"/>
        </w:rPr>
        <w:t xml:space="preserve"> </w:t>
      </w:r>
      <w:hyperlink r:id="rId243" w:history="1">
        <w:r w:rsidR="00EC6B67" w:rsidRPr="000C23D7">
          <w:rPr>
            <w:rStyle w:val="Hyperlink"/>
            <w:color w:val="auto"/>
            <w:sz w:val="28"/>
            <w:szCs w:val="28"/>
            <w:u w:val="none"/>
          </w:rPr>
          <w:t>https://www.nur.kz/nurfin/economy /2069697-kak-soglashenie-o-rasshirennom-partnerstve-vliyaet-na.</w:t>
        </w:r>
      </w:hyperlink>
      <w:r w:rsidR="009B7501" w:rsidRPr="000C23D7">
        <w:rPr>
          <w:sz w:val="28"/>
          <w:szCs w:val="28"/>
        </w:rPr>
        <w:t xml:space="preserve"> 15.04.2025.</w:t>
      </w:r>
    </w:p>
    <w:p w14:paraId="236A4088" w14:textId="2829E202" w:rsidR="009B7501" w:rsidRPr="002064D8"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150</w:t>
      </w:r>
      <w:r w:rsidR="00B71030" w:rsidRPr="000C23D7">
        <w:rPr>
          <w:rStyle w:val="Strong"/>
          <w:b w:val="0"/>
          <w:bCs w:val="0"/>
          <w:sz w:val="28"/>
          <w:szCs w:val="28"/>
          <w:lang w:val="kk-KZ"/>
        </w:rPr>
        <w:t xml:space="preserve"> </w:t>
      </w:r>
      <w:r w:rsidR="009B7501" w:rsidRPr="000C23D7">
        <w:rPr>
          <w:sz w:val="28"/>
          <w:szCs w:val="28"/>
        </w:rPr>
        <w:t xml:space="preserve">Глава государства принял посла Европейского Союза в Казахстане Кестутиса Янкаускаса </w:t>
      </w:r>
      <w:r w:rsidR="00EC6B67" w:rsidRPr="000C23D7">
        <w:rPr>
          <w:sz w:val="28"/>
          <w:szCs w:val="28"/>
        </w:rPr>
        <w:t>(</w:t>
      </w:r>
      <w:r w:rsidR="009B7501" w:rsidRPr="000C23D7">
        <w:rPr>
          <w:sz w:val="28"/>
          <w:szCs w:val="28"/>
        </w:rPr>
        <w:t>2023</w:t>
      </w:r>
      <w:r w:rsidR="00EC6B67" w:rsidRPr="000C23D7">
        <w:rPr>
          <w:sz w:val="28"/>
          <w:szCs w:val="28"/>
        </w:rPr>
        <w:t>) //</w:t>
      </w:r>
      <w:r w:rsidR="009B7501" w:rsidRPr="000C23D7">
        <w:rPr>
          <w:sz w:val="28"/>
          <w:szCs w:val="28"/>
        </w:rPr>
        <w:t xml:space="preserve"> </w:t>
      </w:r>
      <w:hyperlink r:id="rId244" w:history="1">
        <w:r w:rsidR="00EC6B67" w:rsidRPr="000C23D7">
          <w:rPr>
            <w:rStyle w:val="Hyperlink"/>
            <w:color w:val="auto"/>
            <w:sz w:val="28"/>
            <w:szCs w:val="28"/>
            <w:u w:val="none"/>
          </w:rPr>
          <w:t>https://www.akorda.kz/ru/glava.</w:t>
        </w:r>
      </w:hyperlink>
      <w:r w:rsidR="009B7501" w:rsidRPr="000C23D7">
        <w:rPr>
          <w:sz w:val="28"/>
          <w:szCs w:val="28"/>
        </w:rPr>
        <w:t xml:space="preserve"> </w:t>
      </w:r>
      <w:r w:rsidR="009B7501" w:rsidRPr="002064D8">
        <w:rPr>
          <w:sz w:val="28"/>
          <w:szCs w:val="28"/>
          <w:lang w:val="en-US"/>
        </w:rPr>
        <w:t>18.04.2025.</w:t>
      </w:r>
    </w:p>
    <w:p w14:paraId="62E4FC17" w14:textId="0E243BF6" w:rsidR="009B7501" w:rsidRPr="00C57BD3" w:rsidRDefault="006423E6" w:rsidP="00B71030">
      <w:pPr>
        <w:pStyle w:val="NormalWeb"/>
        <w:tabs>
          <w:tab w:val="left" w:pos="1276"/>
        </w:tabs>
        <w:spacing w:before="0" w:beforeAutospacing="0" w:after="0" w:afterAutospacing="0"/>
        <w:ind w:firstLine="709"/>
        <w:jc w:val="both"/>
        <w:rPr>
          <w:sz w:val="28"/>
          <w:szCs w:val="28"/>
        </w:rPr>
      </w:pPr>
      <w:r w:rsidRPr="000C23D7">
        <w:rPr>
          <w:rStyle w:val="Strong"/>
          <w:b w:val="0"/>
          <w:bCs w:val="0"/>
          <w:sz w:val="28"/>
          <w:szCs w:val="28"/>
          <w:lang w:val="kk-KZ"/>
        </w:rPr>
        <w:t>151</w:t>
      </w:r>
      <w:r w:rsidR="00B71030" w:rsidRPr="000C23D7">
        <w:rPr>
          <w:rStyle w:val="Strong"/>
          <w:b w:val="0"/>
          <w:bCs w:val="0"/>
          <w:sz w:val="28"/>
          <w:szCs w:val="28"/>
          <w:lang w:val="kk-KZ"/>
        </w:rPr>
        <w:t xml:space="preserve"> </w:t>
      </w:r>
      <w:r w:rsidR="009B7501" w:rsidRPr="000C23D7">
        <w:rPr>
          <w:rStyle w:val="Strong"/>
          <w:b w:val="0"/>
          <w:bCs w:val="0"/>
          <w:sz w:val="28"/>
          <w:szCs w:val="28"/>
          <w:lang w:val="en-US"/>
        </w:rPr>
        <w:t>Kazakhstan.</w:t>
      </w:r>
      <w:r w:rsidR="009B7501" w:rsidRPr="000C23D7">
        <w:rPr>
          <w:sz w:val="28"/>
          <w:szCs w:val="28"/>
          <w:lang w:val="en-US"/>
        </w:rPr>
        <w:t xml:space="preserve"> Third periodic report submitted by Kazakhstan under article 40 of the Covenant, due in 2024: International Covenant on Civil and Political Rights (CCPR/C/KAZ/3) </w:t>
      </w:r>
      <w:r w:rsidR="00EC6B67" w:rsidRPr="000C23D7">
        <w:rPr>
          <w:sz w:val="28"/>
          <w:szCs w:val="28"/>
          <w:lang w:val="en-US"/>
        </w:rPr>
        <w:t>//</w:t>
      </w:r>
      <w:r w:rsidR="009B7501" w:rsidRPr="000C23D7">
        <w:rPr>
          <w:sz w:val="28"/>
          <w:szCs w:val="28"/>
          <w:lang w:val="en-US"/>
        </w:rPr>
        <w:t xml:space="preserve"> </w:t>
      </w:r>
      <w:hyperlink r:id="rId245" w:tgtFrame="_new" w:history="1">
        <w:r w:rsidR="009B7501" w:rsidRPr="000C23D7">
          <w:rPr>
            <w:rStyle w:val="Hyperlink"/>
            <w:color w:val="auto"/>
            <w:sz w:val="28"/>
            <w:szCs w:val="28"/>
            <w:u w:val="none"/>
            <w:lang w:val="en-US"/>
          </w:rPr>
          <w:t>https://docs.un.org/ru/CCPR/C/KAZ/3</w:t>
        </w:r>
      </w:hyperlink>
      <w:r w:rsidR="00EC6B67" w:rsidRPr="000C23D7">
        <w:rPr>
          <w:rStyle w:val="Hyperlink"/>
          <w:color w:val="auto"/>
          <w:sz w:val="28"/>
          <w:szCs w:val="28"/>
          <w:u w:val="none"/>
          <w:lang w:val="en-US"/>
        </w:rPr>
        <w:t>.</w:t>
      </w:r>
      <w:r w:rsidR="009B7501" w:rsidRPr="000C23D7">
        <w:rPr>
          <w:sz w:val="28"/>
          <w:szCs w:val="28"/>
          <w:lang w:val="en-US"/>
        </w:rPr>
        <w:t xml:space="preserve"> </w:t>
      </w:r>
      <w:r w:rsidR="009B7501" w:rsidRPr="00C57BD3">
        <w:rPr>
          <w:sz w:val="28"/>
          <w:szCs w:val="28"/>
        </w:rPr>
        <w:t>20.04.2025.</w:t>
      </w:r>
    </w:p>
    <w:p w14:paraId="05A7D726" w14:textId="02C1EEE6" w:rsidR="009B7501" w:rsidRPr="000C23D7" w:rsidRDefault="006423E6" w:rsidP="00B71030">
      <w:pPr>
        <w:pStyle w:val="NormalWeb"/>
        <w:tabs>
          <w:tab w:val="left" w:pos="1276"/>
        </w:tabs>
        <w:spacing w:before="0" w:beforeAutospacing="0" w:after="0" w:afterAutospacing="0"/>
        <w:ind w:firstLine="709"/>
        <w:jc w:val="both"/>
        <w:rPr>
          <w:sz w:val="28"/>
          <w:szCs w:val="28"/>
        </w:rPr>
      </w:pPr>
      <w:r w:rsidRPr="000C23D7">
        <w:rPr>
          <w:rStyle w:val="Strong"/>
          <w:b w:val="0"/>
          <w:bCs w:val="0"/>
          <w:sz w:val="28"/>
          <w:szCs w:val="28"/>
          <w:lang w:val="kk-KZ"/>
        </w:rPr>
        <w:t>152</w:t>
      </w:r>
      <w:r w:rsidR="00B71030" w:rsidRPr="000C23D7">
        <w:rPr>
          <w:rStyle w:val="Strong"/>
          <w:b w:val="0"/>
          <w:bCs w:val="0"/>
          <w:sz w:val="28"/>
          <w:szCs w:val="28"/>
          <w:lang w:val="kk-KZ"/>
        </w:rPr>
        <w:t xml:space="preserve"> </w:t>
      </w:r>
      <w:r w:rsidR="009B7501" w:rsidRPr="000C23D7">
        <w:rPr>
          <w:rStyle w:val="Strong"/>
          <w:b w:val="0"/>
          <w:bCs w:val="0"/>
          <w:sz w:val="28"/>
          <w:szCs w:val="28"/>
        </w:rPr>
        <w:t>Конституция Республики Казахстан</w:t>
      </w:r>
      <w:r w:rsidR="00AB2CA5" w:rsidRPr="000C23D7">
        <w:rPr>
          <w:rStyle w:val="Strong"/>
          <w:b w:val="0"/>
          <w:bCs w:val="0"/>
          <w:sz w:val="28"/>
          <w:szCs w:val="28"/>
        </w:rPr>
        <w:t xml:space="preserve"> // </w:t>
      </w:r>
      <w:hyperlink r:id="rId246" w:history="1">
        <w:r w:rsidR="00EC6B67" w:rsidRPr="000C23D7">
          <w:rPr>
            <w:rStyle w:val="Hyperlink"/>
            <w:color w:val="auto"/>
            <w:sz w:val="28"/>
            <w:szCs w:val="28"/>
            <w:u w:val="none"/>
          </w:rPr>
          <w:t>https://www.akorda.</w:t>
        </w:r>
      </w:hyperlink>
      <w:r w:rsidR="009B7501" w:rsidRPr="000C23D7">
        <w:rPr>
          <w:sz w:val="28"/>
          <w:szCs w:val="28"/>
        </w:rPr>
        <w:t xml:space="preserve"> 22.04.2025.</w:t>
      </w:r>
    </w:p>
    <w:p w14:paraId="12F589A6" w14:textId="52FF4218" w:rsidR="009B7501" w:rsidRPr="002064D8" w:rsidRDefault="006423E6" w:rsidP="00B71030">
      <w:pPr>
        <w:pStyle w:val="NormalWeb"/>
        <w:tabs>
          <w:tab w:val="left" w:pos="1276"/>
        </w:tabs>
        <w:spacing w:before="0" w:beforeAutospacing="0" w:after="0" w:afterAutospacing="0"/>
        <w:ind w:firstLine="709"/>
        <w:jc w:val="both"/>
        <w:rPr>
          <w:sz w:val="28"/>
          <w:szCs w:val="28"/>
          <w:lang w:val="en-US"/>
        </w:rPr>
      </w:pPr>
      <w:r w:rsidRPr="000C23D7">
        <w:rPr>
          <w:rStyle w:val="Strong"/>
          <w:b w:val="0"/>
          <w:bCs w:val="0"/>
          <w:sz w:val="28"/>
          <w:szCs w:val="28"/>
          <w:lang w:val="kk-KZ"/>
        </w:rPr>
        <w:t>153</w:t>
      </w:r>
      <w:r w:rsidR="00B71030" w:rsidRPr="000C23D7">
        <w:rPr>
          <w:rStyle w:val="Strong"/>
          <w:b w:val="0"/>
          <w:bCs w:val="0"/>
          <w:sz w:val="28"/>
          <w:szCs w:val="28"/>
          <w:lang w:val="kk-KZ"/>
        </w:rPr>
        <w:t xml:space="preserve"> </w:t>
      </w:r>
      <w:r w:rsidR="009B7501" w:rsidRPr="000C23D7">
        <w:rPr>
          <w:rStyle w:val="Strong"/>
          <w:b w:val="0"/>
          <w:bCs w:val="0"/>
          <w:sz w:val="28"/>
          <w:szCs w:val="28"/>
        </w:rPr>
        <w:t>Закон Республики Казахстан</w:t>
      </w:r>
      <w:r w:rsidR="00AB2CA5" w:rsidRPr="000C23D7">
        <w:rPr>
          <w:rStyle w:val="Strong"/>
          <w:b w:val="0"/>
          <w:bCs w:val="0"/>
          <w:sz w:val="28"/>
          <w:szCs w:val="28"/>
        </w:rPr>
        <w:t>.</w:t>
      </w:r>
      <w:r w:rsidR="009B7501" w:rsidRPr="000C23D7">
        <w:rPr>
          <w:rStyle w:val="Strong"/>
          <w:b w:val="0"/>
          <w:bCs w:val="0"/>
          <w:sz w:val="28"/>
          <w:szCs w:val="28"/>
        </w:rPr>
        <w:t xml:space="preserve"> </w:t>
      </w:r>
      <w:r w:rsidR="00AB2CA5" w:rsidRPr="000C23D7">
        <w:rPr>
          <w:sz w:val="28"/>
          <w:szCs w:val="28"/>
        </w:rPr>
        <w:t>Об Уполномоченном по правам человека в Республике Казахстан: принят</w:t>
      </w:r>
      <w:r w:rsidR="009B7501" w:rsidRPr="000C23D7">
        <w:rPr>
          <w:rStyle w:val="Strong"/>
          <w:b w:val="0"/>
          <w:bCs w:val="0"/>
          <w:sz w:val="28"/>
          <w:szCs w:val="28"/>
        </w:rPr>
        <w:t xml:space="preserve"> 5 ноября 2022 года</w:t>
      </w:r>
      <w:r w:rsidR="00AB2CA5" w:rsidRPr="000C23D7">
        <w:rPr>
          <w:rStyle w:val="Strong"/>
          <w:b w:val="0"/>
          <w:bCs w:val="0"/>
          <w:sz w:val="28"/>
          <w:szCs w:val="28"/>
        </w:rPr>
        <w:t>,</w:t>
      </w:r>
      <w:r w:rsidR="009B7501" w:rsidRPr="000C23D7">
        <w:rPr>
          <w:rStyle w:val="Strong"/>
          <w:b w:val="0"/>
          <w:bCs w:val="0"/>
          <w:sz w:val="28"/>
          <w:szCs w:val="28"/>
        </w:rPr>
        <w:t xml:space="preserve"> №154-VII ЗРК</w:t>
      </w:r>
      <w:r w:rsidR="00AB2CA5" w:rsidRPr="000C23D7">
        <w:rPr>
          <w:rStyle w:val="Strong"/>
          <w:b w:val="0"/>
          <w:bCs w:val="0"/>
          <w:sz w:val="28"/>
          <w:szCs w:val="28"/>
        </w:rPr>
        <w:t xml:space="preserve"> //</w:t>
      </w:r>
      <w:r w:rsidR="009B7501" w:rsidRPr="000C23D7">
        <w:rPr>
          <w:sz w:val="28"/>
          <w:szCs w:val="28"/>
        </w:rPr>
        <w:t xml:space="preserve"> </w:t>
      </w:r>
      <w:hyperlink r:id="rId247" w:tgtFrame="_new" w:history="1">
        <w:r w:rsidR="009B7501" w:rsidRPr="000C23D7">
          <w:rPr>
            <w:rStyle w:val="Hyperlink"/>
            <w:color w:val="auto"/>
            <w:sz w:val="28"/>
            <w:szCs w:val="28"/>
            <w:u w:val="none"/>
          </w:rPr>
          <w:t>https://adilet.zan.kz/eng/docs/Z2200000154</w:t>
        </w:r>
      </w:hyperlink>
      <w:r w:rsidR="00AB2CA5" w:rsidRPr="000C23D7">
        <w:rPr>
          <w:rStyle w:val="Hyperlink"/>
          <w:color w:val="auto"/>
          <w:sz w:val="28"/>
          <w:szCs w:val="28"/>
          <w:u w:val="none"/>
        </w:rPr>
        <w:t>.</w:t>
      </w:r>
      <w:r w:rsidR="009B7501" w:rsidRPr="000C23D7">
        <w:rPr>
          <w:sz w:val="28"/>
          <w:szCs w:val="28"/>
        </w:rPr>
        <w:t xml:space="preserve"> </w:t>
      </w:r>
      <w:r w:rsidR="009B7501" w:rsidRPr="002064D8">
        <w:rPr>
          <w:sz w:val="28"/>
          <w:szCs w:val="28"/>
          <w:lang w:val="en-US"/>
        </w:rPr>
        <w:t>25.04.2025.</w:t>
      </w:r>
    </w:p>
    <w:p w14:paraId="70AE6BA9" w14:textId="3E77AD8F" w:rsidR="009B7501" w:rsidRPr="00C57BD3" w:rsidRDefault="006423E6" w:rsidP="00B71030">
      <w:pPr>
        <w:pStyle w:val="NormalWeb"/>
        <w:tabs>
          <w:tab w:val="left" w:pos="1276"/>
        </w:tabs>
        <w:spacing w:before="0" w:beforeAutospacing="0" w:after="0" w:afterAutospacing="0"/>
        <w:ind w:firstLine="709"/>
        <w:jc w:val="both"/>
        <w:rPr>
          <w:sz w:val="28"/>
          <w:szCs w:val="28"/>
        </w:rPr>
      </w:pPr>
      <w:r w:rsidRPr="000C23D7">
        <w:rPr>
          <w:rStyle w:val="Strong"/>
          <w:b w:val="0"/>
          <w:bCs w:val="0"/>
          <w:sz w:val="28"/>
          <w:szCs w:val="28"/>
          <w:lang w:val="kk-KZ"/>
        </w:rPr>
        <w:t>154</w:t>
      </w:r>
      <w:r w:rsidR="00B71030" w:rsidRPr="000C23D7">
        <w:rPr>
          <w:rStyle w:val="Strong"/>
          <w:b w:val="0"/>
          <w:bCs w:val="0"/>
          <w:sz w:val="28"/>
          <w:szCs w:val="28"/>
          <w:lang w:val="kk-KZ"/>
        </w:rPr>
        <w:t xml:space="preserve"> </w:t>
      </w:r>
      <w:r w:rsidR="009B7501" w:rsidRPr="000C23D7">
        <w:rPr>
          <w:sz w:val="28"/>
          <w:szCs w:val="28"/>
          <w:lang w:val="en-US"/>
        </w:rPr>
        <w:t xml:space="preserve">Activities of the Global Alliance of National Human Rights Institutions in accrediting national institutions in compliance with the principles relating to the status of national institutions for the promotion and protection of human rights (the Paris Principles): Report of the </w:t>
      </w:r>
      <w:r w:rsidR="00AB2CA5" w:rsidRPr="000C23D7">
        <w:rPr>
          <w:sz w:val="28"/>
          <w:szCs w:val="28"/>
          <w:lang w:val="en-US"/>
        </w:rPr>
        <w:t>Secretary-General (A/HRC/33/34)</w:t>
      </w:r>
      <w:r w:rsidR="009B7501" w:rsidRPr="000C23D7">
        <w:rPr>
          <w:sz w:val="28"/>
          <w:szCs w:val="28"/>
          <w:lang w:val="en-US"/>
        </w:rPr>
        <w:t>. – 2016</w:t>
      </w:r>
      <w:r w:rsidR="00AB2CA5" w:rsidRPr="000C23D7">
        <w:rPr>
          <w:sz w:val="28"/>
          <w:szCs w:val="28"/>
          <w:lang w:val="en-US"/>
        </w:rPr>
        <w:t xml:space="preserve"> //</w:t>
      </w:r>
      <w:r w:rsidR="009B7501" w:rsidRPr="000C23D7">
        <w:rPr>
          <w:sz w:val="28"/>
          <w:szCs w:val="28"/>
          <w:lang w:val="en-US"/>
        </w:rPr>
        <w:t xml:space="preserve"> </w:t>
      </w:r>
      <w:hyperlink r:id="rId248" w:tgtFrame="_new" w:history="1">
        <w:r w:rsidR="009B7501" w:rsidRPr="000C23D7">
          <w:rPr>
            <w:rStyle w:val="Hyperlink"/>
            <w:color w:val="auto"/>
            <w:sz w:val="28"/>
            <w:szCs w:val="28"/>
            <w:u w:val="none"/>
            <w:lang w:val="en-US"/>
          </w:rPr>
          <w:t>https://docs.un.org/ru/A/HRC/33/34</w:t>
        </w:r>
      </w:hyperlink>
      <w:r w:rsidR="00AB2CA5" w:rsidRPr="000C23D7">
        <w:rPr>
          <w:rStyle w:val="Hyperlink"/>
          <w:color w:val="auto"/>
          <w:sz w:val="28"/>
          <w:szCs w:val="28"/>
          <w:u w:val="none"/>
          <w:lang w:val="en-US"/>
        </w:rPr>
        <w:t>.</w:t>
      </w:r>
      <w:r w:rsidR="009B7501" w:rsidRPr="000C23D7">
        <w:rPr>
          <w:sz w:val="28"/>
          <w:szCs w:val="28"/>
          <w:lang w:val="en-US"/>
        </w:rPr>
        <w:t xml:space="preserve"> </w:t>
      </w:r>
      <w:r w:rsidR="009B7501" w:rsidRPr="00C57BD3">
        <w:rPr>
          <w:sz w:val="28"/>
          <w:szCs w:val="28"/>
        </w:rPr>
        <w:t>28.04.2025.</w:t>
      </w:r>
    </w:p>
    <w:p w14:paraId="6E6521BC" w14:textId="5FCCC5A3" w:rsidR="009B7501" w:rsidRPr="000C23D7" w:rsidRDefault="006423E6" w:rsidP="00B71030">
      <w:pPr>
        <w:pStyle w:val="NormalWeb"/>
        <w:tabs>
          <w:tab w:val="left" w:pos="1276"/>
        </w:tabs>
        <w:spacing w:before="0" w:beforeAutospacing="0" w:after="0" w:afterAutospacing="0"/>
        <w:ind w:firstLine="709"/>
        <w:jc w:val="both"/>
        <w:rPr>
          <w:sz w:val="28"/>
          <w:szCs w:val="28"/>
        </w:rPr>
      </w:pPr>
      <w:r w:rsidRPr="000C23D7">
        <w:rPr>
          <w:rStyle w:val="Strong"/>
          <w:b w:val="0"/>
          <w:bCs w:val="0"/>
          <w:sz w:val="28"/>
          <w:szCs w:val="28"/>
          <w:lang w:val="kk-KZ"/>
        </w:rPr>
        <w:t>155</w:t>
      </w:r>
      <w:r w:rsidR="00B71030" w:rsidRPr="000C23D7">
        <w:rPr>
          <w:rStyle w:val="Strong"/>
          <w:b w:val="0"/>
          <w:bCs w:val="0"/>
          <w:sz w:val="28"/>
          <w:szCs w:val="28"/>
          <w:lang w:val="kk-KZ"/>
        </w:rPr>
        <w:t xml:space="preserve"> </w:t>
      </w:r>
      <w:r w:rsidR="009B7501" w:rsidRPr="000C23D7">
        <w:rPr>
          <w:rStyle w:val="Strong"/>
          <w:b w:val="0"/>
          <w:bCs w:val="0"/>
          <w:sz w:val="28"/>
          <w:szCs w:val="28"/>
        </w:rPr>
        <w:t>Закон Республики Казахстан</w:t>
      </w:r>
      <w:r w:rsidR="00AB2CA5" w:rsidRPr="000C23D7">
        <w:rPr>
          <w:rStyle w:val="Strong"/>
          <w:b w:val="0"/>
          <w:bCs w:val="0"/>
          <w:sz w:val="28"/>
          <w:szCs w:val="28"/>
        </w:rPr>
        <w:t>.</w:t>
      </w:r>
      <w:r w:rsidR="009B7501" w:rsidRPr="000C23D7">
        <w:rPr>
          <w:rStyle w:val="Strong"/>
          <w:b w:val="0"/>
          <w:bCs w:val="0"/>
          <w:sz w:val="28"/>
          <w:szCs w:val="28"/>
        </w:rPr>
        <w:t xml:space="preserve"> </w:t>
      </w:r>
      <w:r w:rsidR="009B7501" w:rsidRPr="000C23D7">
        <w:rPr>
          <w:sz w:val="28"/>
          <w:szCs w:val="28"/>
        </w:rPr>
        <w:t xml:space="preserve">О внесении изменений и дополнений в некоторые законодательные акты Республики Казахстан по вопросам </w:t>
      </w:r>
      <w:r w:rsidR="009B7501" w:rsidRPr="000C23D7">
        <w:rPr>
          <w:sz w:val="28"/>
          <w:szCs w:val="28"/>
        </w:rPr>
        <w:lastRenderedPageBreak/>
        <w:t>обеспечения прав женщин и безопасности детей</w:t>
      </w:r>
      <w:r w:rsidR="00AB2CA5" w:rsidRPr="000C23D7">
        <w:rPr>
          <w:sz w:val="28"/>
          <w:szCs w:val="28"/>
        </w:rPr>
        <w:t>:</w:t>
      </w:r>
      <w:r w:rsidR="009B7501" w:rsidRPr="000C23D7">
        <w:rPr>
          <w:sz w:val="28"/>
          <w:szCs w:val="28"/>
        </w:rPr>
        <w:t xml:space="preserve"> </w:t>
      </w:r>
      <w:r w:rsidR="00AB2CA5" w:rsidRPr="000C23D7">
        <w:rPr>
          <w:sz w:val="28"/>
          <w:szCs w:val="28"/>
        </w:rPr>
        <w:t>принят</w:t>
      </w:r>
      <w:r w:rsidR="00AB2CA5" w:rsidRPr="000C23D7">
        <w:rPr>
          <w:rStyle w:val="Strong"/>
          <w:b w:val="0"/>
          <w:bCs w:val="0"/>
          <w:sz w:val="28"/>
          <w:szCs w:val="28"/>
        </w:rPr>
        <w:t xml:space="preserve"> 15 апреля 2024 года, №72-VIII //</w:t>
      </w:r>
      <w:r w:rsidR="009B7501" w:rsidRPr="000C23D7">
        <w:rPr>
          <w:sz w:val="28"/>
          <w:szCs w:val="28"/>
        </w:rPr>
        <w:t xml:space="preserve"> </w:t>
      </w:r>
      <w:hyperlink r:id="rId249" w:history="1">
        <w:r w:rsidR="00AB2CA5" w:rsidRPr="000C23D7">
          <w:rPr>
            <w:rStyle w:val="Hyperlink"/>
            <w:color w:val="auto"/>
            <w:sz w:val="28"/>
            <w:szCs w:val="28"/>
            <w:u w:val="none"/>
          </w:rPr>
          <w:t>https://online.zakon.kz/Document/?doc_id=34339586.</w:t>
        </w:r>
      </w:hyperlink>
      <w:r w:rsidR="009B7501" w:rsidRPr="000C23D7">
        <w:rPr>
          <w:sz w:val="28"/>
          <w:szCs w:val="28"/>
        </w:rPr>
        <w:t xml:space="preserve"> 30.04.2025.</w:t>
      </w:r>
    </w:p>
    <w:p w14:paraId="52A5EA43" w14:textId="2BE0E1FE" w:rsidR="00F03628" w:rsidRPr="002064D8"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156</w:t>
      </w:r>
      <w:r w:rsidR="00B71030" w:rsidRPr="000C23D7">
        <w:rPr>
          <w:sz w:val="28"/>
          <w:szCs w:val="28"/>
          <w:lang w:val="kk-KZ"/>
        </w:rPr>
        <w:t xml:space="preserve"> </w:t>
      </w:r>
      <w:r w:rsidR="00AB2CA5" w:rsidRPr="000C23D7">
        <w:rPr>
          <w:sz w:val="28"/>
          <w:szCs w:val="28"/>
        </w:rPr>
        <w:t xml:space="preserve">Указ Президента Республики Казахстан. О Плане действий в области прав человека и верховенства права закона: утв. 8 декабря 2023 года, №409 // https://adilet.zan.kz/rus/docs/U2300000409. </w:t>
      </w:r>
      <w:r w:rsidR="00AB2CA5" w:rsidRPr="002064D8">
        <w:rPr>
          <w:sz w:val="28"/>
          <w:szCs w:val="28"/>
          <w:lang w:val="en-US"/>
        </w:rPr>
        <w:t>18.01.2025.</w:t>
      </w:r>
    </w:p>
    <w:p w14:paraId="4218EE45" w14:textId="697B0756" w:rsidR="00F03628" w:rsidRPr="00C57BD3"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157</w:t>
      </w:r>
      <w:r w:rsidR="00B71030" w:rsidRPr="000C23D7">
        <w:rPr>
          <w:sz w:val="28"/>
          <w:szCs w:val="28"/>
          <w:lang w:val="kk-KZ"/>
        </w:rPr>
        <w:t xml:space="preserve"> </w:t>
      </w:r>
      <w:r w:rsidR="00F03628" w:rsidRPr="000C23D7">
        <w:rPr>
          <w:sz w:val="28"/>
          <w:szCs w:val="28"/>
          <w:lang w:val="en-US"/>
        </w:rPr>
        <w:t>Kazakhstan. Information received from Kazakhstan on follow-up to the concluding observations on its fourth periodic report (CAT/C/KAZ/FCO/4). – 2024</w:t>
      </w:r>
      <w:r w:rsidR="00CB7425" w:rsidRPr="000C23D7">
        <w:rPr>
          <w:sz w:val="28"/>
          <w:szCs w:val="28"/>
          <w:lang w:val="en-US"/>
        </w:rPr>
        <w:t xml:space="preserve"> // </w:t>
      </w:r>
      <w:hyperlink r:id="rId250" w:tgtFrame="_new" w:history="1">
        <w:r w:rsidR="00F03628" w:rsidRPr="000C23D7">
          <w:rPr>
            <w:rStyle w:val="Hyperlink"/>
            <w:color w:val="auto"/>
            <w:sz w:val="28"/>
            <w:szCs w:val="28"/>
            <w:u w:val="none"/>
            <w:lang w:val="en-US"/>
          </w:rPr>
          <w:t>https://docs.un.org/en/CAT/C/KAZ/FCO/4</w:t>
        </w:r>
      </w:hyperlink>
      <w:r w:rsidR="00CB7425" w:rsidRPr="000C23D7">
        <w:rPr>
          <w:rStyle w:val="Hyperlink"/>
          <w:color w:val="auto"/>
          <w:sz w:val="28"/>
          <w:szCs w:val="28"/>
          <w:u w:val="none"/>
          <w:lang w:val="en-US"/>
        </w:rPr>
        <w:t>.</w:t>
      </w:r>
      <w:r w:rsidR="00F03628" w:rsidRPr="000C23D7">
        <w:rPr>
          <w:sz w:val="28"/>
          <w:szCs w:val="28"/>
          <w:lang w:val="en-US"/>
        </w:rPr>
        <w:t xml:space="preserve"> </w:t>
      </w:r>
      <w:r w:rsidR="00F03628" w:rsidRPr="00C57BD3">
        <w:rPr>
          <w:sz w:val="28"/>
          <w:szCs w:val="28"/>
        </w:rPr>
        <w:t>10.01.2025.</w:t>
      </w:r>
    </w:p>
    <w:p w14:paraId="5179B66A" w14:textId="5453994A" w:rsidR="00F03628" w:rsidRPr="000C23D7"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158</w:t>
      </w:r>
      <w:r w:rsidR="00B71030" w:rsidRPr="000C23D7">
        <w:rPr>
          <w:sz w:val="28"/>
          <w:szCs w:val="28"/>
          <w:lang w:val="kk-KZ"/>
        </w:rPr>
        <w:t xml:space="preserve"> </w:t>
      </w:r>
      <w:r w:rsidR="00F03628" w:rsidRPr="000C23D7">
        <w:rPr>
          <w:sz w:val="28"/>
          <w:szCs w:val="28"/>
        </w:rPr>
        <w:t>Закон Республики Казахстан</w:t>
      </w:r>
      <w:r w:rsidR="00CB7425" w:rsidRPr="000C23D7">
        <w:rPr>
          <w:sz w:val="28"/>
          <w:szCs w:val="28"/>
        </w:rPr>
        <w:t>.</w:t>
      </w:r>
      <w:r w:rsidR="00F03628" w:rsidRPr="000C23D7">
        <w:rPr>
          <w:sz w:val="28"/>
          <w:szCs w:val="28"/>
        </w:rPr>
        <w:t xml:space="preserve"> </w:t>
      </w:r>
      <w:r w:rsidR="00CB7425" w:rsidRPr="000C23D7">
        <w:rPr>
          <w:sz w:val="28"/>
          <w:szCs w:val="28"/>
        </w:rPr>
        <w:t>О порядке организации и проведения мирных собраний в Республике Казахстан: принят</w:t>
      </w:r>
      <w:r w:rsidR="00F03628" w:rsidRPr="000C23D7">
        <w:rPr>
          <w:sz w:val="28"/>
          <w:szCs w:val="28"/>
        </w:rPr>
        <w:t xml:space="preserve"> 25 мая 2020 года</w:t>
      </w:r>
      <w:r w:rsidR="00CB7425" w:rsidRPr="000C23D7">
        <w:rPr>
          <w:sz w:val="28"/>
          <w:szCs w:val="28"/>
        </w:rPr>
        <w:t>,</w:t>
      </w:r>
      <w:r w:rsidR="00F03628" w:rsidRPr="000C23D7">
        <w:rPr>
          <w:sz w:val="28"/>
          <w:szCs w:val="28"/>
        </w:rPr>
        <w:t xml:space="preserve"> №333-VI</w:t>
      </w:r>
      <w:r w:rsidR="00CB7425" w:rsidRPr="000C23D7">
        <w:rPr>
          <w:sz w:val="28"/>
          <w:szCs w:val="28"/>
        </w:rPr>
        <w:t xml:space="preserve"> (</w:t>
      </w:r>
      <w:r w:rsidR="00F03628" w:rsidRPr="000C23D7">
        <w:rPr>
          <w:sz w:val="28"/>
          <w:szCs w:val="28"/>
        </w:rPr>
        <w:t>с изм</w:t>
      </w:r>
      <w:r w:rsidR="00CB7425" w:rsidRPr="000C23D7">
        <w:rPr>
          <w:sz w:val="28"/>
          <w:szCs w:val="28"/>
        </w:rPr>
        <w:t>.</w:t>
      </w:r>
      <w:r w:rsidR="00F03628" w:rsidRPr="000C23D7">
        <w:rPr>
          <w:sz w:val="28"/>
          <w:szCs w:val="28"/>
        </w:rPr>
        <w:t xml:space="preserve"> от 22.01.2025 г.) </w:t>
      </w:r>
      <w:r w:rsidR="00CB7425" w:rsidRPr="000C23D7">
        <w:rPr>
          <w:sz w:val="28"/>
          <w:szCs w:val="28"/>
        </w:rPr>
        <w:t>//</w:t>
      </w:r>
      <w:r w:rsidR="00F03628" w:rsidRPr="000C23D7">
        <w:rPr>
          <w:sz w:val="28"/>
          <w:szCs w:val="28"/>
        </w:rPr>
        <w:t xml:space="preserve"> </w:t>
      </w:r>
      <w:hyperlink r:id="rId251" w:history="1">
        <w:r w:rsidR="00CB7425" w:rsidRPr="000C23D7">
          <w:rPr>
            <w:rStyle w:val="Hyperlink"/>
            <w:color w:val="auto"/>
            <w:sz w:val="28"/>
            <w:szCs w:val="28"/>
            <w:u w:val="none"/>
          </w:rPr>
          <w:t>https://online.zakon.kz/Document/?.</w:t>
        </w:r>
      </w:hyperlink>
      <w:r w:rsidR="00F03628" w:rsidRPr="000C23D7">
        <w:rPr>
          <w:sz w:val="28"/>
          <w:szCs w:val="28"/>
        </w:rPr>
        <w:t xml:space="preserve"> 12.01.2025.</w:t>
      </w:r>
    </w:p>
    <w:p w14:paraId="4557E92F" w14:textId="7E28CB17" w:rsidR="00F03628" w:rsidRPr="000C23D7"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159</w:t>
      </w:r>
      <w:r w:rsidR="00B71030" w:rsidRPr="000C23D7">
        <w:rPr>
          <w:sz w:val="28"/>
          <w:szCs w:val="28"/>
          <w:lang w:val="kk-KZ"/>
        </w:rPr>
        <w:t xml:space="preserve"> </w:t>
      </w:r>
      <w:r w:rsidR="00F03628" w:rsidRPr="000C23D7">
        <w:rPr>
          <w:sz w:val="28"/>
          <w:szCs w:val="28"/>
        </w:rPr>
        <w:t>Конституционный закон Республики Казахстан</w:t>
      </w:r>
      <w:r w:rsidR="00E177F3" w:rsidRPr="000C23D7">
        <w:rPr>
          <w:sz w:val="28"/>
          <w:szCs w:val="28"/>
        </w:rPr>
        <w:t>. О прокуратуре: принят</w:t>
      </w:r>
      <w:r w:rsidR="00F03628" w:rsidRPr="000C23D7">
        <w:rPr>
          <w:sz w:val="28"/>
          <w:szCs w:val="28"/>
        </w:rPr>
        <w:t xml:space="preserve"> 5 ноября 2022 года</w:t>
      </w:r>
      <w:r w:rsidR="00E177F3" w:rsidRPr="000C23D7">
        <w:rPr>
          <w:sz w:val="28"/>
          <w:szCs w:val="28"/>
        </w:rPr>
        <w:t>,</w:t>
      </w:r>
      <w:r w:rsidR="00F03628" w:rsidRPr="000C23D7">
        <w:rPr>
          <w:sz w:val="28"/>
          <w:szCs w:val="28"/>
        </w:rPr>
        <w:t xml:space="preserve"> №155-VII ЗРК</w:t>
      </w:r>
      <w:r w:rsidR="00E177F3" w:rsidRPr="000C23D7">
        <w:rPr>
          <w:sz w:val="28"/>
          <w:szCs w:val="28"/>
        </w:rPr>
        <w:t xml:space="preserve"> //</w:t>
      </w:r>
      <w:r w:rsidR="00F03628" w:rsidRPr="000C23D7">
        <w:rPr>
          <w:sz w:val="28"/>
          <w:szCs w:val="28"/>
        </w:rPr>
        <w:t xml:space="preserve"> </w:t>
      </w:r>
      <w:hyperlink r:id="rId252" w:history="1">
        <w:r w:rsidR="00CB7425" w:rsidRPr="000C23D7">
          <w:rPr>
            <w:rStyle w:val="Hyperlink"/>
            <w:color w:val="auto"/>
            <w:sz w:val="28"/>
            <w:szCs w:val="28"/>
            <w:u w:val="none"/>
          </w:rPr>
          <w:t>https://adilet.zan.kz/rus.</w:t>
        </w:r>
      </w:hyperlink>
      <w:r w:rsidR="00F03628" w:rsidRPr="000C23D7">
        <w:rPr>
          <w:sz w:val="28"/>
          <w:szCs w:val="28"/>
        </w:rPr>
        <w:t xml:space="preserve"> 15.01.2025.</w:t>
      </w:r>
    </w:p>
    <w:p w14:paraId="58998065" w14:textId="6EB8A7EE" w:rsidR="00F03628" w:rsidRPr="000C23D7"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160</w:t>
      </w:r>
      <w:r w:rsidR="00B71030" w:rsidRPr="000C23D7">
        <w:rPr>
          <w:sz w:val="28"/>
          <w:szCs w:val="28"/>
          <w:lang w:val="kk-KZ"/>
        </w:rPr>
        <w:t xml:space="preserve"> </w:t>
      </w:r>
      <w:r w:rsidR="00AB2CA5" w:rsidRPr="000C23D7">
        <w:rPr>
          <w:sz w:val="28"/>
          <w:szCs w:val="28"/>
        </w:rPr>
        <w:t xml:space="preserve">Продвижение равных прав и возможностей мужчин и женщин // О Плане действий в области прав человека и верховенства права закона: утв. </w:t>
      </w:r>
      <w:r w:rsidR="00E177F3" w:rsidRPr="000C23D7">
        <w:rPr>
          <w:sz w:val="28"/>
          <w:szCs w:val="28"/>
        </w:rPr>
        <w:t>Указ</w:t>
      </w:r>
      <w:r w:rsidR="00AB2CA5" w:rsidRPr="000C23D7">
        <w:rPr>
          <w:sz w:val="28"/>
          <w:szCs w:val="28"/>
        </w:rPr>
        <w:t>ом</w:t>
      </w:r>
      <w:r w:rsidR="00E177F3" w:rsidRPr="000C23D7">
        <w:rPr>
          <w:sz w:val="28"/>
          <w:szCs w:val="28"/>
        </w:rPr>
        <w:t xml:space="preserve"> Президента Республики Казахстан</w:t>
      </w:r>
      <w:r w:rsidR="00AB2CA5" w:rsidRPr="000C23D7">
        <w:rPr>
          <w:sz w:val="28"/>
          <w:szCs w:val="28"/>
        </w:rPr>
        <w:t xml:space="preserve"> от</w:t>
      </w:r>
      <w:r w:rsidR="00E177F3" w:rsidRPr="000C23D7">
        <w:rPr>
          <w:sz w:val="28"/>
          <w:szCs w:val="28"/>
        </w:rPr>
        <w:t xml:space="preserve"> 8 декабря 2023 года, №</w:t>
      </w:r>
      <w:r w:rsidR="00F03628" w:rsidRPr="000C23D7">
        <w:rPr>
          <w:sz w:val="28"/>
          <w:szCs w:val="28"/>
        </w:rPr>
        <w:t xml:space="preserve">409 </w:t>
      </w:r>
      <w:r w:rsidR="00E177F3" w:rsidRPr="000C23D7">
        <w:rPr>
          <w:sz w:val="28"/>
          <w:szCs w:val="28"/>
        </w:rPr>
        <w:t>// https://adilet.zan.kz/rus/docs/U2300000409.</w:t>
      </w:r>
      <w:r w:rsidR="00F03628" w:rsidRPr="000C23D7">
        <w:rPr>
          <w:sz w:val="28"/>
          <w:szCs w:val="28"/>
        </w:rPr>
        <w:t xml:space="preserve"> 18.01.2025.</w:t>
      </w:r>
    </w:p>
    <w:p w14:paraId="13DF981B" w14:textId="7A8F77B5" w:rsidR="00F03628" w:rsidRPr="000C23D7"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161</w:t>
      </w:r>
      <w:r w:rsidR="00F03628" w:rsidRPr="000C23D7">
        <w:rPr>
          <w:sz w:val="28"/>
          <w:szCs w:val="28"/>
        </w:rPr>
        <w:t xml:space="preserve"> Реализация концепции «Слышащего государства» в Казахстане </w:t>
      </w:r>
      <w:r w:rsidR="00E177F3" w:rsidRPr="000C23D7">
        <w:rPr>
          <w:sz w:val="28"/>
          <w:szCs w:val="28"/>
        </w:rPr>
        <w:t>(</w:t>
      </w:r>
      <w:r w:rsidR="00F03628" w:rsidRPr="000C23D7">
        <w:rPr>
          <w:sz w:val="28"/>
          <w:szCs w:val="28"/>
        </w:rPr>
        <w:t>2023</w:t>
      </w:r>
      <w:r w:rsidR="00E177F3" w:rsidRPr="000C23D7">
        <w:rPr>
          <w:sz w:val="28"/>
          <w:szCs w:val="28"/>
        </w:rPr>
        <w:t>) / Казахстанский институт стратегических исследований //</w:t>
      </w:r>
      <w:r w:rsidR="00F03628" w:rsidRPr="000C23D7">
        <w:rPr>
          <w:sz w:val="28"/>
          <w:szCs w:val="28"/>
        </w:rPr>
        <w:t xml:space="preserve"> </w:t>
      </w:r>
      <w:hyperlink r:id="rId253" w:history="1">
        <w:r w:rsidR="00E177F3" w:rsidRPr="000C23D7">
          <w:rPr>
            <w:rStyle w:val="Hyperlink"/>
            <w:color w:val="auto"/>
            <w:sz w:val="28"/>
            <w:szCs w:val="28"/>
            <w:u w:val="none"/>
          </w:rPr>
          <w:t>https://kisi.kz/ru/realizachiya-konchepchii-slyshashhego-gosudarstva-v.</w:t>
        </w:r>
      </w:hyperlink>
      <w:r w:rsidR="00F03628" w:rsidRPr="000C23D7">
        <w:rPr>
          <w:sz w:val="28"/>
          <w:szCs w:val="28"/>
        </w:rPr>
        <w:t xml:space="preserve"> 20.01.2025.</w:t>
      </w:r>
    </w:p>
    <w:p w14:paraId="03DB0F7D" w14:textId="52CD8EF3" w:rsidR="00F03628"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162</w:t>
      </w:r>
      <w:r w:rsidR="00B71030" w:rsidRPr="000C23D7">
        <w:rPr>
          <w:sz w:val="28"/>
          <w:szCs w:val="28"/>
          <w:lang w:val="kk-KZ"/>
        </w:rPr>
        <w:t xml:space="preserve"> </w:t>
      </w:r>
      <w:r w:rsidR="00F03628" w:rsidRPr="000C23D7">
        <w:rPr>
          <w:sz w:val="28"/>
          <w:szCs w:val="28"/>
        </w:rPr>
        <w:t>Закон Республики Казахстан</w:t>
      </w:r>
      <w:r w:rsidR="00E177F3" w:rsidRPr="000C23D7">
        <w:rPr>
          <w:sz w:val="28"/>
          <w:szCs w:val="28"/>
        </w:rPr>
        <w:t>.</w:t>
      </w:r>
      <w:r w:rsidR="00F03628" w:rsidRPr="000C23D7">
        <w:rPr>
          <w:sz w:val="28"/>
          <w:szCs w:val="28"/>
        </w:rPr>
        <w:t xml:space="preserve"> Об общественном контроле</w:t>
      </w:r>
      <w:r w:rsidR="00E177F3" w:rsidRPr="000C23D7">
        <w:rPr>
          <w:sz w:val="28"/>
          <w:szCs w:val="28"/>
        </w:rPr>
        <w:t>: принят</w:t>
      </w:r>
      <w:r w:rsidR="00F03628" w:rsidRPr="000C23D7">
        <w:rPr>
          <w:sz w:val="28"/>
          <w:szCs w:val="28"/>
        </w:rPr>
        <w:t xml:space="preserve"> 2</w:t>
      </w:r>
      <w:r w:rsidR="00E177F3" w:rsidRPr="000C23D7">
        <w:rPr>
          <w:sz w:val="28"/>
          <w:szCs w:val="28"/>
        </w:rPr>
        <w:t> </w:t>
      </w:r>
      <w:r w:rsidR="00F03628" w:rsidRPr="000C23D7">
        <w:rPr>
          <w:sz w:val="28"/>
          <w:szCs w:val="28"/>
        </w:rPr>
        <w:t>октября 2023 года</w:t>
      </w:r>
      <w:r w:rsidR="00E177F3" w:rsidRPr="000C23D7">
        <w:rPr>
          <w:sz w:val="28"/>
          <w:szCs w:val="28"/>
        </w:rPr>
        <w:t>,</w:t>
      </w:r>
      <w:r w:rsidR="00F03628" w:rsidRPr="000C23D7">
        <w:rPr>
          <w:sz w:val="28"/>
          <w:szCs w:val="28"/>
        </w:rPr>
        <w:t xml:space="preserve"> №30-VIII ЗРК </w:t>
      </w:r>
      <w:r w:rsidR="00E177F3" w:rsidRPr="000C23D7">
        <w:rPr>
          <w:sz w:val="28"/>
          <w:szCs w:val="28"/>
        </w:rPr>
        <w:t>//</w:t>
      </w:r>
      <w:r w:rsidR="00F03628" w:rsidRPr="000C23D7">
        <w:rPr>
          <w:sz w:val="28"/>
          <w:szCs w:val="28"/>
        </w:rPr>
        <w:t xml:space="preserve"> </w:t>
      </w:r>
      <w:hyperlink r:id="rId254" w:history="1">
        <w:r w:rsidR="00E177F3" w:rsidRPr="000C23D7">
          <w:rPr>
            <w:rStyle w:val="Hyperlink"/>
            <w:color w:val="auto"/>
            <w:sz w:val="28"/>
            <w:szCs w:val="28"/>
            <w:u w:val="none"/>
          </w:rPr>
          <w:t>https://www.gov.kz/memleket.</w:t>
        </w:r>
      </w:hyperlink>
      <w:r w:rsidR="00F03628" w:rsidRPr="000C23D7">
        <w:rPr>
          <w:sz w:val="28"/>
          <w:szCs w:val="28"/>
        </w:rPr>
        <w:t xml:space="preserve"> </w:t>
      </w:r>
      <w:r w:rsidR="00F03628" w:rsidRPr="000C23D7">
        <w:rPr>
          <w:sz w:val="28"/>
          <w:szCs w:val="28"/>
          <w:lang w:val="en-US"/>
        </w:rPr>
        <w:t>25.01.2025.</w:t>
      </w:r>
    </w:p>
    <w:p w14:paraId="05EDF36C" w14:textId="3AA1B009" w:rsidR="00F03628" w:rsidRPr="00C57BD3"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163</w:t>
      </w:r>
      <w:r w:rsidR="00F03628" w:rsidRPr="000C23D7">
        <w:rPr>
          <w:sz w:val="28"/>
          <w:szCs w:val="28"/>
          <w:lang w:val="en-US"/>
        </w:rPr>
        <w:t xml:space="preserve"> National report submitted pursuant to Human Rights Council resolutions 5/1 and 16/21 </w:t>
      </w:r>
      <w:r w:rsidR="00E177F3" w:rsidRPr="000C23D7">
        <w:rPr>
          <w:sz w:val="28"/>
          <w:szCs w:val="28"/>
          <w:lang w:val="en-US"/>
        </w:rPr>
        <w:t>(</w:t>
      </w:r>
      <w:r w:rsidR="00F03628" w:rsidRPr="000C23D7">
        <w:rPr>
          <w:sz w:val="28"/>
          <w:szCs w:val="28"/>
          <w:lang w:val="en-US"/>
        </w:rPr>
        <w:t>2025</w:t>
      </w:r>
      <w:r w:rsidR="00E177F3" w:rsidRPr="000C23D7">
        <w:rPr>
          <w:sz w:val="28"/>
          <w:szCs w:val="28"/>
          <w:lang w:val="en-US"/>
        </w:rPr>
        <w:t>) / Human Rights Council Working Group on the Universal Periodic Review //</w:t>
      </w:r>
      <w:r w:rsidR="00F03628" w:rsidRPr="000C23D7">
        <w:rPr>
          <w:sz w:val="28"/>
          <w:szCs w:val="28"/>
          <w:lang w:val="en-US"/>
        </w:rPr>
        <w:t xml:space="preserve"> </w:t>
      </w:r>
      <w:hyperlink r:id="rId255" w:history="1">
        <w:r w:rsidR="00E177F3" w:rsidRPr="000C23D7">
          <w:rPr>
            <w:rStyle w:val="Hyperlink"/>
            <w:color w:val="auto"/>
            <w:sz w:val="28"/>
            <w:szCs w:val="28"/>
            <w:u w:val="none"/>
            <w:lang w:val="en-US"/>
          </w:rPr>
          <w:t>https://iraq.un.org/en/288275-national-report.</w:t>
        </w:r>
      </w:hyperlink>
      <w:r w:rsidR="00F03628" w:rsidRPr="000C23D7">
        <w:rPr>
          <w:sz w:val="28"/>
          <w:szCs w:val="28"/>
          <w:lang w:val="en-US"/>
        </w:rPr>
        <w:t xml:space="preserve"> </w:t>
      </w:r>
      <w:r w:rsidR="00F03628" w:rsidRPr="00C57BD3">
        <w:rPr>
          <w:sz w:val="28"/>
          <w:szCs w:val="28"/>
        </w:rPr>
        <w:t>05.02.2025.</w:t>
      </w:r>
    </w:p>
    <w:p w14:paraId="14A034E1" w14:textId="419454B7" w:rsidR="00F03628" w:rsidRPr="000C23D7"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164</w:t>
      </w:r>
      <w:r w:rsidR="00B71030" w:rsidRPr="000C23D7">
        <w:rPr>
          <w:sz w:val="28"/>
          <w:szCs w:val="28"/>
          <w:lang w:val="kk-KZ"/>
        </w:rPr>
        <w:t xml:space="preserve"> </w:t>
      </w:r>
      <w:r w:rsidR="00F03628" w:rsidRPr="000C23D7">
        <w:rPr>
          <w:sz w:val="28"/>
          <w:szCs w:val="28"/>
        </w:rPr>
        <w:t>Закон Республики Казахстан</w:t>
      </w:r>
      <w:r w:rsidR="00E177F3" w:rsidRPr="000C23D7">
        <w:rPr>
          <w:sz w:val="28"/>
          <w:szCs w:val="28"/>
        </w:rPr>
        <w:t>.</w:t>
      </w:r>
      <w:r w:rsidR="00F03628" w:rsidRPr="000C23D7">
        <w:rPr>
          <w:sz w:val="28"/>
          <w:szCs w:val="28"/>
        </w:rPr>
        <w:t xml:space="preserve"> О масс-медиа</w:t>
      </w:r>
      <w:r w:rsidR="00E177F3" w:rsidRPr="000C23D7">
        <w:rPr>
          <w:sz w:val="28"/>
          <w:szCs w:val="28"/>
        </w:rPr>
        <w:t>: принят</w:t>
      </w:r>
      <w:r w:rsidR="00F03628" w:rsidRPr="000C23D7">
        <w:rPr>
          <w:sz w:val="28"/>
          <w:szCs w:val="28"/>
        </w:rPr>
        <w:t xml:space="preserve"> 19 июня 2024 года</w:t>
      </w:r>
      <w:r w:rsidR="00E177F3" w:rsidRPr="000C23D7">
        <w:rPr>
          <w:sz w:val="28"/>
          <w:szCs w:val="28"/>
        </w:rPr>
        <w:t>,</w:t>
      </w:r>
      <w:r w:rsidR="00F03628" w:rsidRPr="000C23D7">
        <w:rPr>
          <w:sz w:val="28"/>
          <w:szCs w:val="28"/>
        </w:rPr>
        <w:t xml:space="preserve"> №93-VIII </w:t>
      </w:r>
      <w:r w:rsidR="00E177F3" w:rsidRPr="000C23D7">
        <w:rPr>
          <w:sz w:val="28"/>
          <w:szCs w:val="28"/>
        </w:rPr>
        <w:t xml:space="preserve">// </w:t>
      </w:r>
      <w:hyperlink r:id="rId256" w:tgtFrame="_new" w:history="1">
        <w:r w:rsidR="00F03628" w:rsidRPr="000C23D7">
          <w:rPr>
            <w:rStyle w:val="Hyperlink"/>
            <w:color w:val="auto"/>
            <w:sz w:val="28"/>
            <w:szCs w:val="28"/>
            <w:u w:val="none"/>
          </w:rPr>
          <w:t>https://online.zakon.kz/Document/?doc_id=38665430</w:t>
        </w:r>
      </w:hyperlink>
      <w:r w:rsidR="00E177F3" w:rsidRPr="000C23D7">
        <w:rPr>
          <w:rStyle w:val="Hyperlink"/>
          <w:color w:val="auto"/>
          <w:sz w:val="28"/>
          <w:szCs w:val="28"/>
          <w:u w:val="none"/>
        </w:rPr>
        <w:t>.</w:t>
      </w:r>
      <w:r w:rsidR="00F03628" w:rsidRPr="000C23D7">
        <w:rPr>
          <w:sz w:val="28"/>
          <w:szCs w:val="28"/>
        </w:rPr>
        <w:t xml:space="preserve"> 08.02.2025.</w:t>
      </w:r>
    </w:p>
    <w:p w14:paraId="61194985" w14:textId="57470C21" w:rsidR="00F03628"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165</w:t>
      </w:r>
      <w:r w:rsidR="00B71030" w:rsidRPr="000C23D7">
        <w:rPr>
          <w:sz w:val="28"/>
          <w:szCs w:val="28"/>
          <w:lang w:val="kk-KZ"/>
        </w:rPr>
        <w:t xml:space="preserve"> </w:t>
      </w:r>
      <w:r w:rsidR="00F03628" w:rsidRPr="000C23D7">
        <w:rPr>
          <w:sz w:val="28"/>
          <w:szCs w:val="28"/>
        </w:rPr>
        <w:t>Указ Президента Республики Казахстан</w:t>
      </w:r>
      <w:r w:rsidR="00F33978" w:rsidRPr="000C23D7">
        <w:rPr>
          <w:sz w:val="28"/>
          <w:szCs w:val="28"/>
        </w:rPr>
        <w:t>.</w:t>
      </w:r>
      <w:r w:rsidR="00F03628" w:rsidRPr="000C23D7">
        <w:rPr>
          <w:sz w:val="28"/>
          <w:szCs w:val="28"/>
        </w:rPr>
        <w:t xml:space="preserve"> Об утверждении Национального плана развития Республики Казахстан до 2029 года и признании утратившими силу некоторых указов Президента Республики Казахстан</w:t>
      </w:r>
      <w:r w:rsidR="00E177F3" w:rsidRPr="000C23D7">
        <w:rPr>
          <w:sz w:val="28"/>
          <w:szCs w:val="28"/>
        </w:rPr>
        <w:t>:</w:t>
      </w:r>
      <w:r w:rsidR="00F03628" w:rsidRPr="000C23D7">
        <w:rPr>
          <w:sz w:val="28"/>
          <w:szCs w:val="28"/>
        </w:rPr>
        <w:t xml:space="preserve"> </w:t>
      </w:r>
      <w:r w:rsidR="00E177F3" w:rsidRPr="000C23D7">
        <w:rPr>
          <w:sz w:val="28"/>
          <w:szCs w:val="28"/>
        </w:rPr>
        <w:t>утв. 30 июля 2024 года, №611 //</w:t>
      </w:r>
      <w:r w:rsidR="00F03628" w:rsidRPr="000C23D7">
        <w:rPr>
          <w:sz w:val="28"/>
          <w:szCs w:val="28"/>
        </w:rPr>
        <w:t xml:space="preserve"> </w:t>
      </w:r>
      <w:hyperlink r:id="rId257" w:history="1">
        <w:r w:rsidR="00E177F3" w:rsidRPr="000C23D7">
          <w:rPr>
            <w:rStyle w:val="Hyperlink"/>
            <w:color w:val="auto"/>
            <w:sz w:val="28"/>
            <w:szCs w:val="28"/>
            <w:u w:val="none"/>
          </w:rPr>
          <w:t>https://online.zakon.kz/Document/?doc_id.</w:t>
        </w:r>
      </w:hyperlink>
      <w:r w:rsidR="00F03628" w:rsidRPr="000C23D7">
        <w:rPr>
          <w:sz w:val="28"/>
          <w:szCs w:val="28"/>
        </w:rPr>
        <w:t xml:space="preserve"> </w:t>
      </w:r>
      <w:r w:rsidR="00F03628" w:rsidRPr="000C23D7">
        <w:rPr>
          <w:sz w:val="28"/>
          <w:szCs w:val="28"/>
          <w:lang w:val="en-US"/>
        </w:rPr>
        <w:t>10.02.2025.</w:t>
      </w:r>
    </w:p>
    <w:p w14:paraId="22264C7C" w14:textId="7D8C621D" w:rsidR="00F03628"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166</w:t>
      </w:r>
      <w:r w:rsidR="00F03628" w:rsidRPr="000C23D7">
        <w:rPr>
          <w:sz w:val="28"/>
          <w:szCs w:val="28"/>
          <w:lang w:val="en-US"/>
        </w:rPr>
        <w:t xml:space="preserve"> Kazakhstan: new law to protect women improved but incomplete </w:t>
      </w:r>
      <w:r w:rsidR="00F33978" w:rsidRPr="000C23D7">
        <w:rPr>
          <w:sz w:val="28"/>
          <w:szCs w:val="28"/>
          <w:lang w:val="en-US"/>
        </w:rPr>
        <w:t xml:space="preserve">(2024) / Human Rights Watch // </w:t>
      </w:r>
      <w:hyperlink r:id="rId258" w:history="1">
        <w:r w:rsidR="00F33978" w:rsidRPr="000C23D7">
          <w:rPr>
            <w:rStyle w:val="Hyperlink"/>
            <w:color w:val="auto"/>
            <w:sz w:val="28"/>
            <w:szCs w:val="28"/>
            <w:u w:val="none"/>
            <w:lang w:val="en-US"/>
          </w:rPr>
          <w:t>https://www.hrw.org/news/2024/04/23/.</w:t>
        </w:r>
      </w:hyperlink>
      <w:r w:rsidR="00F03628" w:rsidRPr="000C23D7">
        <w:rPr>
          <w:sz w:val="28"/>
          <w:szCs w:val="28"/>
          <w:lang w:val="en-US"/>
        </w:rPr>
        <w:t xml:space="preserve"> 12.02.2025.</w:t>
      </w:r>
    </w:p>
    <w:p w14:paraId="3250EA5E" w14:textId="6BB9619D" w:rsidR="00F03628" w:rsidRPr="000C23D7"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167</w:t>
      </w:r>
      <w:r w:rsidR="00B71030" w:rsidRPr="000C23D7">
        <w:rPr>
          <w:sz w:val="28"/>
          <w:szCs w:val="28"/>
          <w:lang w:val="kk-KZ"/>
        </w:rPr>
        <w:t xml:space="preserve"> </w:t>
      </w:r>
      <w:r w:rsidR="00F03628" w:rsidRPr="000C23D7">
        <w:rPr>
          <w:sz w:val="28"/>
          <w:szCs w:val="28"/>
          <w:lang w:val="en-US"/>
        </w:rPr>
        <w:t xml:space="preserve">Resolutions of the Human Rights Council at the UN General Assembly </w:t>
      </w:r>
      <w:r w:rsidR="00F33978" w:rsidRPr="000C23D7">
        <w:rPr>
          <w:sz w:val="28"/>
          <w:szCs w:val="28"/>
          <w:lang w:val="en-US"/>
        </w:rPr>
        <w:t>/ Human Rights Council //</w:t>
      </w:r>
      <w:r w:rsidR="00F03628" w:rsidRPr="000C23D7">
        <w:rPr>
          <w:sz w:val="28"/>
          <w:szCs w:val="28"/>
          <w:lang w:val="en-US"/>
        </w:rPr>
        <w:t xml:space="preserve"> </w:t>
      </w:r>
      <w:hyperlink r:id="rId259" w:tgtFrame="_new" w:history="1">
        <w:r w:rsidR="00F03628" w:rsidRPr="000C23D7">
          <w:rPr>
            <w:rStyle w:val="Hyperlink"/>
            <w:color w:val="auto"/>
            <w:sz w:val="28"/>
            <w:szCs w:val="28"/>
            <w:u w:val="none"/>
            <w:lang w:val="en-US"/>
          </w:rPr>
          <w:t>https://docs.un.org/en/A/HRC/RES/58/22</w:t>
        </w:r>
      </w:hyperlink>
      <w:r w:rsidR="00F33978" w:rsidRPr="000C23D7">
        <w:rPr>
          <w:rStyle w:val="Hyperlink"/>
          <w:color w:val="auto"/>
          <w:sz w:val="28"/>
          <w:szCs w:val="28"/>
          <w:u w:val="none"/>
          <w:lang w:val="en-US"/>
        </w:rPr>
        <w:t>.</w:t>
      </w:r>
      <w:r w:rsidR="00F03628" w:rsidRPr="000C23D7">
        <w:rPr>
          <w:sz w:val="28"/>
          <w:szCs w:val="28"/>
          <w:lang w:val="en-US"/>
        </w:rPr>
        <w:t xml:space="preserve"> </w:t>
      </w:r>
      <w:r w:rsidR="00F03628" w:rsidRPr="000C23D7">
        <w:rPr>
          <w:sz w:val="28"/>
          <w:szCs w:val="28"/>
        </w:rPr>
        <w:t>15.02.2025.</w:t>
      </w:r>
    </w:p>
    <w:p w14:paraId="653BF043" w14:textId="4615AFA6" w:rsidR="00F03628"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168</w:t>
      </w:r>
      <w:r w:rsidR="00B71030" w:rsidRPr="000C23D7">
        <w:rPr>
          <w:sz w:val="28"/>
          <w:szCs w:val="28"/>
          <w:lang w:val="kk-KZ"/>
        </w:rPr>
        <w:t xml:space="preserve"> </w:t>
      </w:r>
      <w:r w:rsidR="00F03628" w:rsidRPr="000C23D7">
        <w:rPr>
          <w:sz w:val="28"/>
          <w:szCs w:val="28"/>
        </w:rPr>
        <w:t xml:space="preserve">Об итогах деятельности Конституционного Суда за 2023 год </w:t>
      </w:r>
      <w:r w:rsidR="00F33978" w:rsidRPr="000C23D7">
        <w:rPr>
          <w:sz w:val="28"/>
          <w:szCs w:val="28"/>
        </w:rPr>
        <w:t xml:space="preserve">// </w:t>
      </w:r>
      <w:hyperlink r:id="rId260" w:history="1">
        <w:r w:rsidR="00F33978" w:rsidRPr="000C23D7">
          <w:rPr>
            <w:rStyle w:val="Hyperlink"/>
            <w:color w:val="auto"/>
            <w:sz w:val="28"/>
            <w:szCs w:val="28"/>
            <w:u w:val="none"/>
          </w:rPr>
          <w:t>https://www.gov.kz/memleket/entities/ksrk/press/news/details/683585?.</w:t>
        </w:r>
      </w:hyperlink>
      <w:r w:rsidR="00F03628" w:rsidRPr="000C23D7">
        <w:rPr>
          <w:sz w:val="28"/>
          <w:szCs w:val="28"/>
        </w:rPr>
        <w:t xml:space="preserve"> </w:t>
      </w:r>
      <w:r w:rsidR="00F03628" w:rsidRPr="000C23D7">
        <w:rPr>
          <w:sz w:val="28"/>
          <w:szCs w:val="28"/>
          <w:lang w:val="en-US"/>
        </w:rPr>
        <w:t>18.02.2025.</w:t>
      </w:r>
    </w:p>
    <w:p w14:paraId="477D2B8E" w14:textId="1FE3132B" w:rsidR="00F03628"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169</w:t>
      </w:r>
      <w:r w:rsidR="00F03628" w:rsidRPr="000C23D7">
        <w:rPr>
          <w:sz w:val="28"/>
          <w:szCs w:val="28"/>
          <w:lang w:val="en-US"/>
        </w:rPr>
        <w:t xml:space="preserve"> Kazakh president urged to repeal new media law and carry out real reform instead </w:t>
      </w:r>
      <w:r w:rsidR="00F33978" w:rsidRPr="000C23D7">
        <w:rPr>
          <w:sz w:val="28"/>
          <w:szCs w:val="28"/>
          <w:lang w:val="en-US"/>
        </w:rPr>
        <w:t>(2024) //</w:t>
      </w:r>
      <w:r w:rsidR="00F03628" w:rsidRPr="000C23D7">
        <w:rPr>
          <w:sz w:val="28"/>
          <w:szCs w:val="28"/>
          <w:lang w:val="en-US"/>
        </w:rPr>
        <w:t xml:space="preserve"> </w:t>
      </w:r>
      <w:hyperlink r:id="rId261" w:history="1">
        <w:r w:rsidR="00F33978" w:rsidRPr="000C23D7">
          <w:rPr>
            <w:rStyle w:val="Hyperlink"/>
            <w:color w:val="auto"/>
            <w:sz w:val="28"/>
            <w:szCs w:val="28"/>
            <w:u w:val="none"/>
            <w:lang w:val="en-US"/>
          </w:rPr>
          <w:t>https://rsf.org/en/kazakh-president-urged-repeal-new.</w:t>
        </w:r>
      </w:hyperlink>
      <w:r w:rsidR="00F03628" w:rsidRPr="000C23D7">
        <w:rPr>
          <w:sz w:val="28"/>
          <w:szCs w:val="28"/>
          <w:lang w:val="en-US"/>
        </w:rPr>
        <w:t xml:space="preserve"> 20.02.2025.</w:t>
      </w:r>
    </w:p>
    <w:p w14:paraId="27FCD209" w14:textId="60DB2F4D" w:rsidR="00F03628" w:rsidRPr="00C57BD3"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170</w:t>
      </w:r>
      <w:r w:rsidR="00B71030" w:rsidRPr="000C23D7">
        <w:rPr>
          <w:sz w:val="28"/>
          <w:szCs w:val="28"/>
          <w:lang w:val="kk-KZ"/>
        </w:rPr>
        <w:t xml:space="preserve"> </w:t>
      </w:r>
      <w:r w:rsidR="00F03628" w:rsidRPr="000C23D7">
        <w:rPr>
          <w:sz w:val="28"/>
          <w:szCs w:val="28"/>
          <w:lang w:val="en-US"/>
        </w:rPr>
        <w:t xml:space="preserve">International Experts Praise Kazakhstan’s Reforms in Human Rights Protection </w:t>
      </w:r>
      <w:r w:rsidR="00F33978" w:rsidRPr="000C23D7">
        <w:rPr>
          <w:sz w:val="28"/>
          <w:szCs w:val="28"/>
          <w:lang w:val="en-US"/>
        </w:rPr>
        <w:t>//</w:t>
      </w:r>
      <w:r w:rsidR="00F03628" w:rsidRPr="000C23D7">
        <w:rPr>
          <w:sz w:val="28"/>
          <w:szCs w:val="28"/>
          <w:lang w:val="en-US"/>
        </w:rPr>
        <w:t xml:space="preserve"> </w:t>
      </w:r>
      <w:hyperlink r:id="rId262" w:history="1">
        <w:r w:rsidR="00F33978" w:rsidRPr="000C23D7">
          <w:rPr>
            <w:rStyle w:val="Hyperlink"/>
            <w:color w:val="auto"/>
            <w:sz w:val="28"/>
            <w:szCs w:val="28"/>
            <w:u w:val="none"/>
            <w:lang w:val="en-US"/>
          </w:rPr>
          <w:t>https://astanatimes.com/2025/07/international-experts.</w:t>
        </w:r>
      </w:hyperlink>
      <w:r w:rsidR="00F03628" w:rsidRPr="000C23D7">
        <w:rPr>
          <w:sz w:val="28"/>
          <w:szCs w:val="28"/>
          <w:lang w:val="en-US"/>
        </w:rPr>
        <w:t xml:space="preserve"> </w:t>
      </w:r>
      <w:r w:rsidR="00F03628" w:rsidRPr="00C57BD3">
        <w:rPr>
          <w:sz w:val="28"/>
          <w:szCs w:val="28"/>
        </w:rPr>
        <w:t>25.02.2025.</w:t>
      </w:r>
    </w:p>
    <w:p w14:paraId="291268E1" w14:textId="1A0C38F2" w:rsidR="00F03628" w:rsidRPr="002064D8"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171</w:t>
      </w:r>
      <w:r w:rsidR="00B71030" w:rsidRPr="000C23D7">
        <w:rPr>
          <w:sz w:val="28"/>
          <w:szCs w:val="28"/>
          <w:lang w:val="kk-KZ"/>
        </w:rPr>
        <w:t xml:space="preserve"> </w:t>
      </w:r>
      <w:r w:rsidR="00F03628" w:rsidRPr="000C23D7">
        <w:rPr>
          <w:sz w:val="28"/>
          <w:szCs w:val="28"/>
        </w:rPr>
        <w:t>Закон Республики Казахстан</w:t>
      </w:r>
      <w:r w:rsidR="00F33978" w:rsidRPr="000C23D7">
        <w:rPr>
          <w:sz w:val="28"/>
          <w:szCs w:val="28"/>
        </w:rPr>
        <w:t>.</w:t>
      </w:r>
      <w:r w:rsidR="00F03628" w:rsidRPr="000C23D7">
        <w:rPr>
          <w:sz w:val="28"/>
          <w:szCs w:val="28"/>
        </w:rPr>
        <w:t xml:space="preserve"> </w:t>
      </w:r>
      <w:r w:rsidR="00F33978" w:rsidRPr="000C23D7">
        <w:rPr>
          <w:sz w:val="28"/>
          <w:szCs w:val="28"/>
        </w:rPr>
        <w:t>О противодействии торговле людьми: принят</w:t>
      </w:r>
      <w:r w:rsidR="00F03628" w:rsidRPr="000C23D7">
        <w:rPr>
          <w:sz w:val="28"/>
          <w:szCs w:val="28"/>
        </w:rPr>
        <w:t xml:space="preserve"> 5 </w:t>
      </w:r>
      <w:r w:rsidR="00F33978" w:rsidRPr="000C23D7">
        <w:rPr>
          <w:sz w:val="28"/>
          <w:szCs w:val="28"/>
        </w:rPr>
        <w:t>июля</w:t>
      </w:r>
      <w:r w:rsidR="00F03628" w:rsidRPr="000C23D7">
        <w:rPr>
          <w:sz w:val="28"/>
          <w:szCs w:val="28"/>
        </w:rPr>
        <w:t xml:space="preserve"> 2024 года</w:t>
      </w:r>
      <w:r w:rsidR="00F33978" w:rsidRPr="000C23D7">
        <w:rPr>
          <w:sz w:val="28"/>
          <w:szCs w:val="28"/>
        </w:rPr>
        <w:t>,</w:t>
      </w:r>
      <w:r w:rsidR="00F03628" w:rsidRPr="000C23D7">
        <w:rPr>
          <w:sz w:val="28"/>
          <w:szCs w:val="28"/>
        </w:rPr>
        <w:t xml:space="preserve"> №</w:t>
      </w:r>
      <w:r w:rsidR="00F33978" w:rsidRPr="000C23D7">
        <w:rPr>
          <w:sz w:val="28"/>
          <w:szCs w:val="28"/>
        </w:rPr>
        <w:t>110</w:t>
      </w:r>
      <w:r w:rsidR="00F03628" w:rsidRPr="000C23D7">
        <w:rPr>
          <w:sz w:val="28"/>
          <w:szCs w:val="28"/>
        </w:rPr>
        <w:t xml:space="preserve">-VIII </w:t>
      </w:r>
      <w:r w:rsidR="00F33978" w:rsidRPr="000C23D7">
        <w:rPr>
          <w:sz w:val="28"/>
          <w:szCs w:val="28"/>
        </w:rPr>
        <w:t>// https://adilet.zan.kz/rus/docs.</w:t>
      </w:r>
      <w:r w:rsidR="00F03628" w:rsidRPr="000C23D7">
        <w:rPr>
          <w:sz w:val="28"/>
          <w:szCs w:val="28"/>
        </w:rPr>
        <w:t xml:space="preserve"> </w:t>
      </w:r>
      <w:r w:rsidR="00F03628" w:rsidRPr="002064D8">
        <w:rPr>
          <w:sz w:val="28"/>
          <w:szCs w:val="28"/>
          <w:lang w:val="en-US"/>
        </w:rPr>
        <w:t>28.02.2025.</w:t>
      </w:r>
    </w:p>
    <w:p w14:paraId="424E4FC3" w14:textId="290AC7B8" w:rsidR="00F03628"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172</w:t>
      </w:r>
      <w:r w:rsidR="00B71030" w:rsidRPr="000C23D7">
        <w:rPr>
          <w:sz w:val="28"/>
          <w:szCs w:val="28"/>
          <w:lang w:val="kk-KZ"/>
        </w:rPr>
        <w:t xml:space="preserve"> </w:t>
      </w:r>
      <w:r w:rsidR="00F03628" w:rsidRPr="000C23D7">
        <w:rPr>
          <w:sz w:val="28"/>
          <w:szCs w:val="28"/>
          <w:lang w:val="en-US"/>
        </w:rPr>
        <w:t>Human Rights Watch. Kazakhstan</w:t>
      </w:r>
      <w:r w:rsidR="00F33978" w:rsidRPr="000C23D7">
        <w:rPr>
          <w:sz w:val="28"/>
          <w:szCs w:val="28"/>
          <w:lang w:val="en-US"/>
        </w:rPr>
        <w:t xml:space="preserve"> (</w:t>
      </w:r>
      <w:r w:rsidR="00F03628" w:rsidRPr="000C23D7">
        <w:rPr>
          <w:sz w:val="28"/>
          <w:szCs w:val="28"/>
          <w:lang w:val="en-US"/>
        </w:rPr>
        <w:t>Events of 2024</w:t>
      </w:r>
      <w:r w:rsidR="00F33978" w:rsidRPr="000C23D7">
        <w:rPr>
          <w:sz w:val="28"/>
          <w:szCs w:val="28"/>
          <w:lang w:val="en-US"/>
        </w:rPr>
        <w:t>) //</w:t>
      </w:r>
      <w:r w:rsidR="00F03628" w:rsidRPr="000C23D7">
        <w:rPr>
          <w:sz w:val="28"/>
          <w:szCs w:val="28"/>
          <w:lang w:val="en-US"/>
        </w:rPr>
        <w:t xml:space="preserve"> </w:t>
      </w:r>
      <w:hyperlink r:id="rId263" w:tgtFrame="_new" w:history="1">
        <w:r w:rsidR="00F03628" w:rsidRPr="000C23D7">
          <w:rPr>
            <w:rStyle w:val="Hyperlink"/>
            <w:color w:val="auto"/>
            <w:sz w:val="28"/>
            <w:szCs w:val="28"/>
            <w:u w:val="none"/>
            <w:lang w:val="en-US"/>
          </w:rPr>
          <w:t>https://www.hrw.org/world-report/2025/country-chapters/kazakhstan</w:t>
        </w:r>
      </w:hyperlink>
      <w:r w:rsidR="00F33978" w:rsidRPr="000C23D7">
        <w:rPr>
          <w:rStyle w:val="Hyperlink"/>
          <w:color w:val="auto"/>
          <w:sz w:val="28"/>
          <w:szCs w:val="28"/>
          <w:u w:val="none"/>
          <w:lang w:val="en-US"/>
        </w:rPr>
        <w:t>.</w:t>
      </w:r>
      <w:r w:rsidR="00F03628" w:rsidRPr="000C23D7">
        <w:rPr>
          <w:sz w:val="28"/>
          <w:szCs w:val="28"/>
          <w:lang w:val="en-US"/>
        </w:rPr>
        <w:t xml:space="preserve"> 03.03.2025.</w:t>
      </w:r>
    </w:p>
    <w:p w14:paraId="5156C561" w14:textId="17A44E40" w:rsidR="00F03628"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lastRenderedPageBreak/>
        <w:t>173</w:t>
      </w:r>
      <w:r w:rsidR="00F03628" w:rsidRPr="000C23D7">
        <w:rPr>
          <w:sz w:val="28"/>
          <w:szCs w:val="28"/>
          <w:lang w:val="en-US"/>
        </w:rPr>
        <w:t xml:space="preserve"> Central Asia Rule of Law Programme </w:t>
      </w:r>
      <w:r w:rsidR="00F33978" w:rsidRPr="000C23D7">
        <w:rPr>
          <w:sz w:val="28"/>
          <w:szCs w:val="28"/>
          <w:lang w:val="en-US"/>
        </w:rPr>
        <w:t>(</w:t>
      </w:r>
      <w:r w:rsidR="00F03628" w:rsidRPr="000C23D7">
        <w:rPr>
          <w:sz w:val="28"/>
          <w:szCs w:val="28"/>
          <w:lang w:val="en-US"/>
        </w:rPr>
        <w:t>2020</w:t>
      </w:r>
      <w:r w:rsidR="00F33978" w:rsidRPr="000C23D7">
        <w:rPr>
          <w:sz w:val="28"/>
          <w:szCs w:val="28"/>
          <w:lang w:val="en-US"/>
        </w:rPr>
        <w:t>) /</w:t>
      </w:r>
      <w:r w:rsidR="00F03628" w:rsidRPr="000C23D7">
        <w:rPr>
          <w:sz w:val="28"/>
          <w:szCs w:val="28"/>
          <w:lang w:val="en-US"/>
        </w:rPr>
        <w:t xml:space="preserve"> Council of Europe </w:t>
      </w:r>
      <w:r w:rsidR="00F33978" w:rsidRPr="000C23D7">
        <w:rPr>
          <w:sz w:val="28"/>
          <w:szCs w:val="28"/>
          <w:lang w:val="en-US"/>
        </w:rPr>
        <w:t>/</w:t>
      </w:r>
      <w:r w:rsidR="00F03628" w:rsidRPr="000C23D7">
        <w:rPr>
          <w:sz w:val="28"/>
          <w:szCs w:val="28"/>
          <w:lang w:val="en-US"/>
        </w:rPr>
        <w:t>/</w:t>
      </w:r>
      <w:r w:rsidR="00F33978" w:rsidRPr="000C23D7">
        <w:rPr>
          <w:sz w:val="28"/>
          <w:szCs w:val="28"/>
          <w:lang w:val="en-US"/>
        </w:rPr>
        <w:t xml:space="preserve"> </w:t>
      </w:r>
      <w:hyperlink r:id="rId264" w:history="1">
        <w:r w:rsidR="00F33978" w:rsidRPr="000C23D7">
          <w:rPr>
            <w:rStyle w:val="Hyperlink"/>
            <w:color w:val="auto"/>
            <w:sz w:val="28"/>
            <w:szCs w:val="28"/>
            <w:u w:val="none"/>
            <w:lang w:val="en-US"/>
          </w:rPr>
          <w:t>https://www.eeas.europa.eu/eeas/central-asia-rule-law-programme_und_</w:t>
        </w:r>
      </w:hyperlink>
      <w:r w:rsidR="00F33978" w:rsidRPr="000C23D7">
        <w:rPr>
          <w:rStyle w:val="Hyperlink"/>
          <w:color w:val="auto"/>
          <w:sz w:val="28"/>
          <w:szCs w:val="28"/>
          <w:u w:val="none"/>
          <w:lang w:val="en-US"/>
        </w:rPr>
        <w:t xml:space="preserve">. </w:t>
      </w:r>
      <w:r w:rsidR="00F03628" w:rsidRPr="000C23D7">
        <w:rPr>
          <w:sz w:val="28"/>
          <w:szCs w:val="28"/>
          <w:lang w:val="en-US"/>
        </w:rPr>
        <w:t>05.03.2025.</w:t>
      </w:r>
    </w:p>
    <w:p w14:paraId="08DEF667" w14:textId="50BEFD56" w:rsidR="00F03628"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174</w:t>
      </w:r>
      <w:r w:rsidR="00F03628" w:rsidRPr="000C23D7">
        <w:rPr>
          <w:sz w:val="28"/>
          <w:szCs w:val="28"/>
          <w:lang w:val="en-US"/>
        </w:rPr>
        <w:t xml:space="preserve"> CSI’s Regional Forum “Civil Society at the Crossroads” convenes key stakeholders in Almaty </w:t>
      </w:r>
      <w:r w:rsidR="00F33978" w:rsidRPr="000C23D7">
        <w:rPr>
          <w:sz w:val="28"/>
          <w:szCs w:val="28"/>
          <w:lang w:val="en-US"/>
        </w:rPr>
        <w:t>(</w:t>
      </w:r>
      <w:r w:rsidR="00F03628" w:rsidRPr="000C23D7">
        <w:rPr>
          <w:sz w:val="28"/>
          <w:szCs w:val="28"/>
          <w:lang w:val="en-US"/>
        </w:rPr>
        <w:t>2025</w:t>
      </w:r>
      <w:r w:rsidR="00F33978" w:rsidRPr="000C23D7">
        <w:rPr>
          <w:sz w:val="28"/>
          <w:szCs w:val="28"/>
          <w:lang w:val="en-US"/>
        </w:rPr>
        <w:t>) / University of Central Asia //</w:t>
      </w:r>
      <w:r w:rsidR="00F03628" w:rsidRPr="000C23D7">
        <w:rPr>
          <w:sz w:val="28"/>
          <w:szCs w:val="28"/>
          <w:lang w:val="en-US"/>
        </w:rPr>
        <w:t xml:space="preserve"> </w:t>
      </w:r>
      <w:hyperlink r:id="rId265" w:history="1">
        <w:r w:rsidR="00F33978" w:rsidRPr="000C23D7">
          <w:rPr>
            <w:rStyle w:val="Hyperlink"/>
            <w:color w:val="auto"/>
            <w:sz w:val="28"/>
            <w:szCs w:val="28"/>
            <w:u w:val="none"/>
            <w:lang w:val="en-US"/>
          </w:rPr>
          <w:t>https://ucentralasia.org/resources-and-media/news/2025/june/csi-s.</w:t>
        </w:r>
      </w:hyperlink>
      <w:r w:rsidR="00F03628" w:rsidRPr="000C23D7">
        <w:rPr>
          <w:sz w:val="28"/>
          <w:szCs w:val="28"/>
          <w:lang w:val="en-US"/>
        </w:rPr>
        <w:t xml:space="preserve"> 08.03.2025.</w:t>
      </w:r>
    </w:p>
    <w:p w14:paraId="6C9F90ED" w14:textId="27C4E5B2" w:rsidR="00F03628" w:rsidRPr="000C23D7"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175</w:t>
      </w:r>
      <w:r w:rsidR="00B71030" w:rsidRPr="000C23D7">
        <w:rPr>
          <w:sz w:val="28"/>
          <w:szCs w:val="28"/>
          <w:lang w:val="kk-KZ"/>
        </w:rPr>
        <w:t xml:space="preserve"> </w:t>
      </w:r>
      <w:r w:rsidR="00F03628" w:rsidRPr="000C23D7">
        <w:rPr>
          <w:sz w:val="28"/>
          <w:szCs w:val="28"/>
          <w:lang w:val="en-US"/>
        </w:rPr>
        <w:t xml:space="preserve">Further reforms needed in Kazakhstan to strengthen fair trial rights: ODIHR monitoring report </w:t>
      </w:r>
      <w:r w:rsidR="00F33978" w:rsidRPr="000C23D7">
        <w:rPr>
          <w:sz w:val="28"/>
          <w:szCs w:val="28"/>
          <w:lang w:val="en-US"/>
        </w:rPr>
        <w:t>/ OSCE Office for Democratic Institutions and Human Rights //</w:t>
      </w:r>
      <w:r w:rsidR="00F03628" w:rsidRPr="000C23D7">
        <w:rPr>
          <w:sz w:val="28"/>
          <w:szCs w:val="28"/>
          <w:lang w:val="en-US"/>
        </w:rPr>
        <w:t xml:space="preserve"> </w:t>
      </w:r>
      <w:hyperlink r:id="rId266" w:tgtFrame="_new" w:history="1">
        <w:r w:rsidR="00F03628" w:rsidRPr="000C23D7">
          <w:rPr>
            <w:rStyle w:val="Hyperlink"/>
            <w:color w:val="auto"/>
            <w:sz w:val="28"/>
            <w:szCs w:val="28"/>
            <w:u w:val="none"/>
            <w:lang w:val="en-US"/>
          </w:rPr>
          <w:t>https://www.osce.org/odihr/590414</w:t>
        </w:r>
      </w:hyperlink>
      <w:r w:rsidR="00F33978" w:rsidRPr="000C23D7">
        <w:rPr>
          <w:rStyle w:val="Hyperlink"/>
          <w:color w:val="auto"/>
          <w:sz w:val="28"/>
          <w:szCs w:val="28"/>
          <w:u w:val="none"/>
          <w:lang w:val="en-US"/>
        </w:rPr>
        <w:t>.</w:t>
      </w:r>
      <w:r w:rsidR="00F03628" w:rsidRPr="000C23D7">
        <w:rPr>
          <w:sz w:val="28"/>
          <w:szCs w:val="28"/>
          <w:lang w:val="en-US"/>
        </w:rPr>
        <w:t xml:space="preserve"> </w:t>
      </w:r>
      <w:r w:rsidR="00F03628" w:rsidRPr="000C23D7">
        <w:rPr>
          <w:sz w:val="28"/>
          <w:szCs w:val="28"/>
        </w:rPr>
        <w:t>12.03.2025.</w:t>
      </w:r>
    </w:p>
    <w:p w14:paraId="0493CA10" w14:textId="5FE986A6" w:rsidR="00E00DC9" w:rsidRPr="000C23D7"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176</w:t>
      </w:r>
      <w:r w:rsidR="00B71030" w:rsidRPr="000C23D7">
        <w:rPr>
          <w:sz w:val="28"/>
          <w:szCs w:val="28"/>
          <w:lang w:val="kk-KZ"/>
        </w:rPr>
        <w:t xml:space="preserve"> </w:t>
      </w:r>
      <w:r w:rsidR="00E00DC9" w:rsidRPr="000C23D7">
        <w:rPr>
          <w:sz w:val="28"/>
          <w:szCs w:val="28"/>
        </w:rPr>
        <w:t xml:space="preserve">Парламент Казахстана утвердил поправки, запрещающие ношение закрывающих лицо предметов одежды </w:t>
      </w:r>
      <w:r w:rsidR="00F33978" w:rsidRPr="000C23D7">
        <w:rPr>
          <w:sz w:val="28"/>
          <w:szCs w:val="28"/>
        </w:rPr>
        <w:t>//</w:t>
      </w:r>
      <w:r w:rsidR="00E00DC9" w:rsidRPr="000C23D7">
        <w:rPr>
          <w:sz w:val="28"/>
          <w:szCs w:val="28"/>
        </w:rPr>
        <w:t xml:space="preserve"> </w:t>
      </w:r>
      <w:hyperlink r:id="rId267" w:tgtFrame="_new" w:history="1">
        <w:r w:rsidR="00E00DC9" w:rsidRPr="000C23D7">
          <w:rPr>
            <w:rStyle w:val="Hyperlink"/>
            <w:color w:val="auto"/>
            <w:sz w:val="28"/>
            <w:szCs w:val="28"/>
            <w:u w:val="none"/>
          </w:rPr>
          <w:t>https://www.aa.com.tr/ru</w:t>
        </w:r>
      </w:hyperlink>
      <w:r w:rsidR="00F33978" w:rsidRPr="000C23D7">
        <w:rPr>
          <w:rStyle w:val="Hyperlink"/>
          <w:color w:val="auto"/>
          <w:sz w:val="28"/>
          <w:szCs w:val="28"/>
          <w:u w:val="none"/>
        </w:rPr>
        <w:t>.</w:t>
      </w:r>
      <w:r w:rsidR="00F33978" w:rsidRPr="000C23D7">
        <w:rPr>
          <w:sz w:val="28"/>
          <w:szCs w:val="28"/>
        </w:rPr>
        <w:t xml:space="preserve"> 05.01.2025</w:t>
      </w:r>
      <w:r w:rsidR="00E00DC9" w:rsidRPr="000C23D7">
        <w:rPr>
          <w:sz w:val="28"/>
          <w:szCs w:val="28"/>
        </w:rPr>
        <w:t>.</w:t>
      </w:r>
    </w:p>
    <w:p w14:paraId="34BB7B4A" w14:textId="3EB14A27"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177</w:t>
      </w:r>
      <w:r w:rsidR="00B71030" w:rsidRPr="000C23D7">
        <w:rPr>
          <w:sz w:val="28"/>
          <w:szCs w:val="28"/>
          <w:lang w:val="kk-KZ"/>
        </w:rPr>
        <w:t xml:space="preserve"> </w:t>
      </w:r>
      <w:r w:rsidR="00E00DC9" w:rsidRPr="000C23D7">
        <w:rPr>
          <w:sz w:val="28"/>
          <w:szCs w:val="28"/>
          <w:lang w:val="en-US"/>
        </w:rPr>
        <w:t xml:space="preserve">Kazakhstan puts human rights at core of governance in bid to set regional example </w:t>
      </w:r>
      <w:r w:rsidR="001300B0" w:rsidRPr="000C23D7">
        <w:rPr>
          <w:sz w:val="28"/>
          <w:szCs w:val="28"/>
          <w:lang w:val="en-US"/>
        </w:rPr>
        <w:t>(</w:t>
      </w:r>
      <w:r w:rsidR="00E00DC9" w:rsidRPr="000C23D7">
        <w:rPr>
          <w:sz w:val="28"/>
          <w:szCs w:val="28"/>
          <w:lang w:val="en-US"/>
        </w:rPr>
        <w:t>2025</w:t>
      </w:r>
      <w:r w:rsidR="001300B0" w:rsidRPr="000C23D7">
        <w:rPr>
          <w:sz w:val="28"/>
          <w:szCs w:val="28"/>
          <w:lang w:val="en-US"/>
        </w:rPr>
        <w:t>) //</w:t>
      </w:r>
      <w:r w:rsidR="00E00DC9" w:rsidRPr="000C23D7">
        <w:rPr>
          <w:sz w:val="28"/>
          <w:szCs w:val="28"/>
          <w:lang w:val="en-US"/>
        </w:rPr>
        <w:t xml:space="preserve"> </w:t>
      </w:r>
      <w:hyperlink r:id="rId268" w:history="1">
        <w:r w:rsidR="00F33978" w:rsidRPr="000C23D7">
          <w:rPr>
            <w:rStyle w:val="Hyperlink"/>
            <w:color w:val="auto"/>
            <w:sz w:val="28"/>
            <w:szCs w:val="28"/>
            <w:u w:val="none"/>
            <w:lang w:val="en-US"/>
          </w:rPr>
          <w:t>https://www.euractiv.com/news/kazakhstan-puts.</w:t>
        </w:r>
      </w:hyperlink>
      <w:r w:rsidR="00E00DC9" w:rsidRPr="000C23D7">
        <w:rPr>
          <w:sz w:val="28"/>
          <w:szCs w:val="28"/>
          <w:lang w:val="en-US"/>
        </w:rPr>
        <w:t xml:space="preserve"> 08.01.2025.</w:t>
      </w:r>
    </w:p>
    <w:p w14:paraId="1775978F" w14:textId="3E13E6FF"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178</w:t>
      </w:r>
      <w:r w:rsidR="00B71030" w:rsidRPr="000C23D7">
        <w:rPr>
          <w:sz w:val="28"/>
          <w:szCs w:val="28"/>
          <w:lang w:val="kk-KZ"/>
        </w:rPr>
        <w:t xml:space="preserve"> </w:t>
      </w:r>
      <w:r w:rsidR="00E00DC9" w:rsidRPr="000C23D7">
        <w:rPr>
          <w:sz w:val="28"/>
          <w:szCs w:val="28"/>
          <w:lang w:val="en-US"/>
        </w:rPr>
        <w:t xml:space="preserve">Kazakhstan </w:t>
      </w:r>
      <w:r w:rsidR="001300B0" w:rsidRPr="000C23D7">
        <w:rPr>
          <w:sz w:val="28"/>
          <w:szCs w:val="28"/>
          <w:lang w:val="en-US"/>
        </w:rPr>
        <w:t>(</w:t>
      </w:r>
      <w:r w:rsidR="00E00DC9" w:rsidRPr="000C23D7">
        <w:rPr>
          <w:sz w:val="28"/>
          <w:szCs w:val="28"/>
          <w:lang w:val="en-US"/>
        </w:rPr>
        <w:t>2025</w:t>
      </w:r>
      <w:r w:rsidR="001300B0" w:rsidRPr="000C23D7">
        <w:rPr>
          <w:sz w:val="28"/>
          <w:szCs w:val="28"/>
          <w:lang w:val="en-US"/>
        </w:rPr>
        <w:t>) /</w:t>
      </w:r>
      <w:r w:rsidR="00E00DC9" w:rsidRPr="000C23D7">
        <w:rPr>
          <w:sz w:val="28"/>
          <w:szCs w:val="28"/>
          <w:lang w:val="en-US"/>
        </w:rPr>
        <w:t xml:space="preserve"> International Center for Not-for-Profit Law (ICNL)</w:t>
      </w:r>
      <w:r w:rsidR="001300B0" w:rsidRPr="000C23D7">
        <w:rPr>
          <w:sz w:val="28"/>
          <w:szCs w:val="28"/>
          <w:lang w:val="en-US"/>
        </w:rPr>
        <w:t xml:space="preserve"> //</w:t>
      </w:r>
      <w:r w:rsidR="00E00DC9" w:rsidRPr="000C23D7">
        <w:rPr>
          <w:sz w:val="28"/>
          <w:szCs w:val="28"/>
          <w:lang w:val="en-US"/>
        </w:rPr>
        <w:t xml:space="preserve"> </w:t>
      </w:r>
      <w:hyperlink r:id="rId269" w:tgtFrame="_new" w:history="1">
        <w:r w:rsidR="00E00DC9" w:rsidRPr="000C23D7">
          <w:rPr>
            <w:rStyle w:val="Hyperlink"/>
            <w:color w:val="auto"/>
            <w:sz w:val="28"/>
            <w:szCs w:val="28"/>
            <w:u w:val="none"/>
            <w:lang w:val="en-US"/>
          </w:rPr>
          <w:t>https://www.icnl.org/resources/civic-freedom-monitor/kazakhstan</w:t>
        </w:r>
      </w:hyperlink>
      <w:r w:rsidR="00E00DC9" w:rsidRPr="000C23D7">
        <w:rPr>
          <w:sz w:val="28"/>
          <w:szCs w:val="28"/>
          <w:lang w:val="en-US"/>
        </w:rPr>
        <w:t>?</w:t>
      </w:r>
      <w:r w:rsidR="001300B0" w:rsidRPr="000C23D7">
        <w:rPr>
          <w:sz w:val="28"/>
          <w:szCs w:val="28"/>
          <w:lang w:val="en-US"/>
        </w:rPr>
        <w:t>.</w:t>
      </w:r>
      <w:r w:rsidR="00E00DC9" w:rsidRPr="000C23D7">
        <w:rPr>
          <w:sz w:val="28"/>
          <w:szCs w:val="28"/>
          <w:lang w:val="en-US"/>
        </w:rPr>
        <w:t xml:space="preserve"> 10.01.2025.</w:t>
      </w:r>
    </w:p>
    <w:p w14:paraId="1543FBFA" w14:textId="606C3F1F" w:rsidR="00E00DC9" w:rsidRPr="000C23D7"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179</w:t>
      </w:r>
      <w:r w:rsidR="00E00DC9" w:rsidRPr="000C23D7">
        <w:rPr>
          <w:sz w:val="28"/>
          <w:szCs w:val="28"/>
          <w:lang w:val="en-US"/>
        </w:rPr>
        <w:t xml:space="preserve"> EU/Central Asia: Authorities must safeguard civil society space for genuine progress </w:t>
      </w:r>
      <w:r w:rsidR="001300B0" w:rsidRPr="000C23D7">
        <w:rPr>
          <w:sz w:val="28"/>
          <w:szCs w:val="28"/>
          <w:lang w:val="en-US"/>
        </w:rPr>
        <w:t>//</w:t>
      </w:r>
      <w:r w:rsidR="00E00DC9" w:rsidRPr="000C23D7">
        <w:rPr>
          <w:sz w:val="28"/>
          <w:szCs w:val="28"/>
          <w:lang w:val="en-US"/>
        </w:rPr>
        <w:t xml:space="preserve"> </w:t>
      </w:r>
      <w:hyperlink r:id="rId270" w:history="1">
        <w:r w:rsidR="001300B0" w:rsidRPr="000C23D7">
          <w:rPr>
            <w:rStyle w:val="Hyperlink"/>
            <w:color w:val="auto"/>
            <w:sz w:val="28"/>
            <w:szCs w:val="28"/>
            <w:u w:val="none"/>
            <w:lang w:val="en-US"/>
          </w:rPr>
          <w:t>https://www.amnesty.org/en/latest/news.</w:t>
        </w:r>
      </w:hyperlink>
      <w:r w:rsidR="00E00DC9" w:rsidRPr="000C23D7">
        <w:rPr>
          <w:sz w:val="28"/>
          <w:szCs w:val="28"/>
          <w:lang w:val="en-US"/>
        </w:rPr>
        <w:t xml:space="preserve"> </w:t>
      </w:r>
      <w:r w:rsidR="00E00DC9" w:rsidRPr="000C23D7">
        <w:rPr>
          <w:sz w:val="28"/>
          <w:szCs w:val="28"/>
        </w:rPr>
        <w:t>12.01.2025.</w:t>
      </w:r>
    </w:p>
    <w:p w14:paraId="6C26740B" w14:textId="306D45C9" w:rsidR="00E00DC9" w:rsidRPr="000C23D7"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t>180</w:t>
      </w:r>
      <w:r w:rsidR="00E00DC9" w:rsidRPr="000C23D7">
        <w:rPr>
          <w:sz w:val="28"/>
          <w:szCs w:val="28"/>
        </w:rPr>
        <w:t xml:space="preserve"> Казахстан: принять меры по выполнению рекомендаций в рамках обзора ООН по правам человека </w:t>
      </w:r>
      <w:r w:rsidR="001300B0" w:rsidRPr="000C23D7">
        <w:rPr>
          <w:sz w:val="28"/>
          <w:szCs w:val="28"/>
        </w:rPr>
        <w:t xml:space="preserve">/ Human Rights Watch // </w:t>
      </w:r>
      <w:hyperlink r:id="rId271" w:history="1">
        <w:r w:rsidR="001300B0" w:rsidRPr="000C23D7">
          <w:rPr>
            <w:rStyle w:val="Hyperlink"/>
            <w:color w:val="auto"/>
            <w:sz w:val="28"/>
            <w:szCs w:val="28"/>
            <w:u w:val="none"/>
          </w:rPr>
          <w:t>https://www.hrw.org/ru/news/2025/02/04/kazakhstan-act-un-rights.</w:t>
        </w:r>
      </w:hyperlink>
      <w:r w:rsidR="00E00DC9" w:rsidRPr="000C23D7">
        <w:rPr>
          <w:sz w:val="28"/>
          <w:szCs w:val="28"/>
        </w:rPr>
        <w:t xml:space="preserve"> 15.01.2025.</w:t>
      </w:r>
    </w:p>
    <w:p w14:paraId="1A3EBC1D" w14:textId="4B26C049" w:rsidR="00E00DC9" w:rsidRPr="002064D8"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181</w:t>
      </w:r>
      <w:r w:rsidR="00E00DC9" w:rsidRPr="000C23D7">
        <w:rPr>
          <w:sz w:val="28"/>
          <w:szCs w:val="28"/>
        </w:rPr>
        <w:t xml:space="preserve"> Национальный доклад: Казахстан. Рабочая группа по универсальному периодическому обзору, сорок восьмая сессия (A/HRC/WG.6/48/KAZ/1) </w:t>
      </w:r>
      <w:r w:rsidR="001300B0" w:rsidRPr="000C23D7">
        <w:rPr>
          <w:sz w:val="28"/>
          <w:szCs w:val="28"/>
        </w:rPr>
        <w:t xml:space="preserve">/ Организация Объединённых Наций, Совет по правам человека // </w:t>
      </w:r>
      <w:hyperlink r:id="rId272" w:tgtFrame="_new" w:history="1">
        <w:r w:rsidR="00E00DC9" w:rsidRPr="000C23D7">
          <w:rPr>
            <w:rStyle w:val="Hyperlink"/>
            <w:color w:val="auto"/>
            <w:sz w:val="28"/>
            <w:szCs w:val="28"/>
            <w:u w:val="none"/>
          </w:rPr>
          <w:t>https://docs.un.org/ru/A/HRC/WG.6/48/KAZ/1</w:t>
        </w:r>
      </w:hyperlink>
      <w:r w:rsidR="001300B0" w:rsidRPr="000C23D7">
        <w:rPr>
          <w:rStyle w:val="Hyperlink"/>
          <w:color w:val="auto"/>
          <w:sz w:val="28"/>
          <w:szCs w:val="28"/>
          <w:u w:val="none"/>
        </w:rPr>
        <w:t>.</w:t>
      </w:r>
      <w:r w:rsidR="00E00DC9" w:rsidRPr="000C23D7">
        <w:rPr>
          <w:sz w:val="28"/>
          <w:szCs w:val="28"/>
        </w:rPr>
        <w:t xml:space="preserve"> </w:t>
      </w:r>
      <w:r w:rsidR="00E00DC9" w:rsidRPr="002064D8">
        <w:rPr>
          <w:sz w:val="28"/>
          <w:szCs w:val="28"/>
          <w:lang w:val="en-US"/>
        </w:rPr>
        <w:t>18.01.2025.</w:t>
      </w:r>
    </w:p>
    <w:p w14:paraId="73C37096" w14:textId="6C4A09EF"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182</w:t>
      </w:r>
      <w:r w:rsidR="00E00DC9" w:rsidRPr="000C23D7">
        <w:rPr>
          <w:sz w:val="28"/>
          <w:szCs w:val="28"/>
          <w:lang w:val="en-US"/>
        </w:rPr>
        <w:t xml:space="preserve"> Council Decision (EU) 2020/244 of 20 January 2020 on the conclusion, on behalf of the Union, of the Enhanced Partnership and Cooperation Agreement between the European Union and its Member States, of the one part, and the Republic of Kazakhstan, of the other part </w:t>
      </w:r>
      <w:r w:rsidR="001300B0" w:rsidRPr="000C23D7">
        <w:rPr>
          <w:sz w:val="28"/>
          <w:szCs w:val="28"/>
          <w:lang w:val="en-US"/>
        </w:rPr>
        <w:t>/ Council of the European Union //</w:t>
      </w:r>
      <w:r w:rsidR="00E00DC9" w:rsidRPr="000C23D7">
        <w:rPr>
          <w:sz w:val="28"/>
          <w:szCs w:val="28"/>
          <w:lang w:val="en-US"/>
        </w:rPr>
        <w:t xml:space="preserve"> </w:t>
      </w:r>
      <w:hyperlink r:id="rId273" w:tgtFrame="_new" w:history="1">
        <w:r w:rsidR="00E00DC9" w:rsidRPr="000C23D7">
          <w:rPr>
            <w:rStyle w:val="Hyperlink"/>
            <w:color w:val="auto"/>
            <w:sz w:val="28"/>
            <w:szCs w:val="28"/>
            <w:u w:val="none"/>
            <w:lang w:val="en-US"/>
          </w:rPr>
          <w:t>https://eur-lex.europa.eu/eli/dec/2020/244/oj/eng</w:t>
        </w:r>
      </w:hyperlink>
      <w:r w:rsidR="001300B0" w:rsidRPr="000C23D7">
        <w:rPr>
          <w:rStyle w:val="Hyperlink"/>
          <w:color w:val="auto"/>
          <w:sz w:val="28"/>
          <w:szCs w:val="28"/>
          <w:u w:val="none"/>
          <w:lang w:val="en-US"/>
        </w:rPr>
        <w:t>.</w:t>
      </w:r>
      <w:r w:rsidR="00E00DC9" w:rsidRPr="000C23D7">
        <w:rPr>
          <w:sz w:val="28"/>
          <w:szCs w:val="28"/>
          <w:lang w:val="en-US"/>
        </w:rPr>
        <w:t xml:space="preserve"> 20.01.2025.</w:t>
      </w:r>
    </w:p>
    <w:p w14:paraId="2BC31258" w14:textId="6A25BDD2"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183</w:t>
      </w:r>
      <w:r w:rsidR="00E00DC9" w:rsidRPr="000C23D7">
        <w:rPr>
          <w:sz w:val="28"/>
          <w:szCs w:val="28"/>
          <w:lang w:val="en-US"/>
        </w:rPr>
        <w:t xml:space="preserve"> Accession criteria (Copenhagen criteria) </w:t>
      </w:r>
      <w:r w:rsidR="001300B0" w:rsidRPr="000C23D7">
        <w:rPr>
          <w:sz w:val="28"/>
          <w:szCs w:val="28"/>
          <w:lang w:val="en-US"/>
        </w:rPr>
        <w:t>/ European Union //</w:t>
      </w:r>
      <w:r w:rsidR="00E00DC9" w:rsidRPr="000C23D7">
        <w:rPr>
          <w:sz w:val="28"/>
          <w:szCs w:val="28"/>
          <w:lang w:val="en-US"/>
        </w:rPr>
        <w:t xml:space="preserve"> </w:t>
      </w:r>
      <w:hyperlink r:id="rId274" w:history="1">
        <w:r w:rsidR="001300B0" w:rsidRPr="000C23D7">
          <w:rPr>
            <w:rStyle w:val="Hyperlink"/>
            <w:color w:val="auto"/>
            <w:sz w:val="28"/>
            <w:szCs w:val="28"/>
            <w:u w:val="none"/>
            <w:lang w:val="en-US"/>
          </w:rPr>
          <w:t>https://eur-lex.europa.eu/EN/legal-content/glossary/accession-criteria-copenhagen.</w:t>
        </w:r>
      </w:hyperlink>
      <w:r w:rsidR="00E00DC9" w:rsidRPr="000C23D7">
        <w:rPr>
          <w:sz w:val="28"/>
          <w:szCs w:val="28"/>
          <w:lang w:val="en-US"/>
        </w:rPr>
        <w:t xml:space="preserve"> 22.01.2025.</w:t>
      </w:r>
    </w:p>
    <w:p w14:paraId="75A38A84" w14:textId="1DAEFC6F"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184</w:t>
      </w:r>
      <w:r w:rsidR="00E00DC9" w:rsidRPr="000C23D7">
        <w:rPr>
          <w:sz w:val="28"/>
          <w:szCs w:val="28"/>
          <w:lang w:val="en-US"/>
        </w:rPr>
        <w:t xml:space="preserve"> Kazakhstan: Country profile </w:t>
      </w:r>
      <w:r w:rsidR="001300B0" w:rsidRPr="000C23D7">
        <w:rPr>
          <w:sz w:val="28"/>
          <w:szCs w:val="28"/>
          <w:lang w:val="en-US"/>
        </w:rPr>
        <w:t>(</w:t>
      </w:r>
      <w:r w:rsidR="00E00DC9" w:rsidRPr="000C23D7">
        <w:rPr>
          <w:sz w:val="28"/>
          <w:szCs w:val="28"/>
          <w:lang w:val="en-US"/>
        </w:rPr>
        <w:t>2024</w:t>
      </w:r>
      <w:r w:rsidR="001300B0" w:rsidRPr="000C23D7">
        <w:rPr>
          <w:sz w:val="28"/>
          <w:szCs w:val="28"/>
          <w:lang w:val="en-US"/>
        </w:rPr>
        <w:t>) / Transparency International //</w:t>
      </w:r>
      <w:r w:rsidR="00E00DC9" w:rsidRPr="000C23D7">
        <w:rPr>
          <w:sz w:val="28"/>
          <w:szCs w:val="28"/>
          <w:lang w:val="en-US"/>
        </w:rPr>
        <w:t xml:space="preserve"> </w:t>
      </w:r>
      <w:hyperlink r:id="rId275" w:tgtFrame="_new" w:history="1">
        <w:r w:rsidR="00E00DC9" w:rsidRPr="000C23D7">
          <w:rPr>
            <w:rStyle w:val="Hyperlink"/>
            <w:color w:val="auto"/>
            <w:sz w:val="28"/>
            <w:szCs w:val="28"/>
            <w:u w:val="none"/>
            <w:lang w:val="en-US"/>
          </w:rPr>
          <w:t>https://www.transparency.org/en/countries/kazakhstan</w:t>
        </w:r>
      </w:hyperlink>
      <w:r w:rsidR="001300B0" w:rsidRPr="000C23D7">
        <w:rPr>
          <w:rStyle w:val="Hyperlink"/>
          <w:color w:val="auto"/>
          <w:sz w:val="28"/>
          <w:szCs w:val="28"/>
          <w:u w:val="none"/>
          <w:lang w:val="en-US"/>
        </w:rPr>
        <w:t>.</w:t>
      </w:r>
      <w:r w:rsidR="001300B0" w:rsidRPr="000C23D7">
        <w:rPr>
          <w:sz w:val="28"/>
          <w:szCs w:val="28"/>
          <w:lang w:val="en-US"/>
        </w:rPr>
        <w:t xml:space="preserve"> 25.01.2025</w:t>
      </w:r>
      <w:r w:rsidR="00E00DC9" w:rsidRPr="000C23D7">
        <w:rPr>
          <w:sz w:val="28"/>
          <w:szCs w:val="28"/>
          <w:lang w:val="en-US"/>
        </w:rPr>
        <w:t>.</w:t>
      </w:r>
    </w:p>
    <w:p w14:paraId="1E05CDE9" w14:textId="128DBE31"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185</w:t>
      </w:r>
      <w:r w:rsidR="00B71030" w:rsidRPr="000C23D7">
        <w:rPr>
          <w:sz w:val="28"/>
          <w:szCs w:val="28"/>
          <w:lang w:val="kk-KZ"/>
        </w:rPr>
        <w:t xml:space="preserve"> </w:t>
      </w:r>
      <w:r w:rsidR="00E00DC9" w:rsidRPr="000C23D7">
        <w:rPr>
          <w:sz w:val="28"/>
          <w:szCs w:val="28"/>
          <w:lang w:val="en-US"/>
        </w:rPr>
        <w:t xml:space="preserve">Kazakhstan strengthens its position in Rule of Law Index </w:t>
      </w:r>
      <w:r w:rsidR="001300B0" w:rsidRPr="000C23D7">
        <w:rPr>
          <w:sz w:val="28"/>
          <w:szCs w:val="28"/>
          <w:lang w:val="en-US"/>
        </w:rPr>
        <w:t>(</w:t>
      </w:r>
      <w:r w:rsidR="00E00DC9" w:rsidRPr="000C23D7">
        <w:rPr>
          <w:sz w:val="28"/>
          <w:szCs w:val="28"/>
          <w:lang w:val="en-US"/>
        </w:rPr>
        <w:t>2024</w:t>
      </w:r>
      <w:r w:rsidR="001300B0" w:rsidRPr="000C23D7">
        <w:rPr>
          <w:sz w:val="28"/>
          <w:szCs w:val="28"/>
          <w:lang w:val="en-US"/>
        </w:rPr>
        <w:t>) //</w:t>
      </w:r>
      <w:r w:rsidR="00E00DC9" w:rsidRPr="000C23D7">
        <w:rPr>
          <w:sz w:val="28"/>
          <w:szCs w:val="28"/>
          <w:lang w:val="en-US"/>
        </w:rPr>
        <w:t xml:space="preserve"> </w:t>
      </w:r>
      <w:hyperlink r:id="rId276" w:history="1">
        <w:r w:rsidR="001300B0" w:rsidRPr="000C23D7">
          <w:rPr>
            <w:rStyle w:val="Hyperlink"/>
            <w:color w:val="auto"/>
            <w:sz w:val="28"/>
            <w:szCs w:val="28"/>
            <w:u w:val="none"/>
            <w:lang w:val="en-US"/>
          </w:rPr>
          <w:t>https://astanatimes.com/2024/10/kazakhstan-strengthens-its-position.</w:t>
        </w:r>
      </w:hyperlink>
      <w:r w:rsidR="00E00DC9" w:rsidRPr="000C23D7">
        <w:rPr>
          <w:sz w:val="28"/>
          <w:szCs w:val="28"/>
          <w:lang w:val="en-US"/>
        </w:rPr>
        <w:t xml:space="preserve"> 28.01.2025.</w:t>
      </w:r>
    </w:p>
    <w:p w14:paraId="5FB9231B" w14:textId="29F456CA"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186</w:t>
      </w:r>
      <w:r w:rsidR="00B71030" w:rsidRPr="000C23D7">
        <w:rPr>
          <w:sz w:val="28"/>
          <w:szCs w:val="28"/>
          <w:lang w:val="kk-KZ"/>
        </w:rPr>
        <w:t xml:space="preserve"> </w:t>
      </w:r>
      <w:r w:rsidR="00E00DC9" w:rsidRPr="000C23D7">
        <w:rPr>
          <w:sz w:val="28"/>
          <w:szCs w:val="28"/>
          <w:lang w:val="en-US"/>
        </w:rPr>
        <w:t xml:space="preserve">Rule of law rankings </w:t>
      </w:r>
      <w:r w:rsidR="001300B0" w:rsidRPr="000C23D7">
        <w:rPr>
          <w:sz w:val="28"/>
          <w:szCs w:val="28"/>
          <w:lang w:val="en-US"/>
        </w:rPr>
        <w:t>(</w:t>
      </w:r>
      <w:r w:rsidR="00E00DC9" w:rsidRPr="000C23D7">
        <w:rPr>
          <w:sz w:val="28"/>
          <w:szCs w:val="28"/>
          <w:lang w:val="en-US"/>
        </w:rPr>
        <w:t>2024</w:t>
      </w:r>
      <w:r w:rsidR="001300B0" w:rsidRPr="000C23D7">
        <w:rPr>
          <w:sz w:val="28"/>
          <w:szCs w:val="28"/>
          <w:lang w:val="en-US"/>
        </w:rPr>
        <w:t>) / TheGlobalEconomy.com //</w:t>
      </w:r>
      <w:r w:rsidR="00E00DC9" w:rsidRPr="000C23D7">
        <w:rPr>
          <w:sz w:val="28"/>
          <w:szCs w:val="28"/>
          <w:lang w:val="en-US"/>
        </w:rPr>
        <w:t xml:space="preserve"> </w:t>
      </w:r>
      <w:hyperlink r:id="rId277" w:tgtFrame="_new" w:history="1">
        <w:r w:rsidR="00E00DC9" w:rsidRPr="000C23D7">
          <w:rPr>
            <w:rStyle w:val="Hyperlink"/>
            <w:color w:val="auto"/>
            <w:sz w:val="28"/>
            <w:szCs w:val="28"/>
            <w:u w:val="none"/>
            <w:lang w:val="en-US"/>
          </w:rPr>
          <w:t>https://www.theglobaleconomy.com/rankings/wb_ruleoflaw</w:t>
        </w:r>
      </w:hyperlink>
      <w:r w:rsidR="001300B0" w:rsidRPr="000C23D7">
        <w:rPr>
          <w:rStyle w:val="Hyperlink"/>
          <w:color w:val="auto"/>
          <w:sz w:val="28"/>
          <w:szCs w:val="28"/>
          <w:u w:val="none"/>
          <w:lang w:val="en-US"/>
        </w:rPr>
        <w:t>.</w:t>
      </w:r>
      <w:r w:rsidR="001300B0" w:rsidRPr="000C23D7">
        <w:rPr>
          <w:sz w:val="28"/>
          <w:szCs w:val="28"/>
          <w:lang w:val="en-US"/>
        </w:rPr>
        <w:t xml:space="preserve"> 30.01.2025</w:t>
      </w:r>
      <w:r w:rsidR="00E00DC9" w:rsidRPr="000C23D7">
        <w:rPr>
          <w:sz w:val="28"/>
          <w:szCs w:val="28"/>
          <w:lang w:val="en-US"/>
        </w:rPr>
        <w:t>.</w:t>
      </w:r>
    </w:p>
    <w:p w14:paraId="5C84BD3D" w14:textId="0C79416C"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187</w:t>
      </w:r>
      <w:r w:rsidR="00E00DC9" w:rsidRPr="000C23D7">
        <w:rPr>
          <w:sz w:val="28"/>
          <w:szCs w:val="28"/>
          <w:lang w:val="en-US"/>
        </w:rPr>
        <w:t xml:space="preserve"> Kazakhstan: Country report </w:t>
      </w:r>
      <w:r w:rsidR="001300B0" w:rsidRPr="000C23D7">
        <w:rPr>
          <w:sz w:val="28"/>
          <w:szCs w:val="28"/>
          <w:lang w:val="en-US"/>
        </w:rPr>
        <w:t>(</w:t>
      </w:r>
      <w:r w:rsidR="00E00DC9" w:rsidRPr="000C23D7">
        <w:rPr>
          <w:sz w:val="28"/>
          <w:szCs w:val="28"/>
          <w:lang w:val="en-US"/>
        </w:rPr>
        <w:t>2025</w:t>
      </w:r>
      <w:r w:rsidR="001300B0" w:rsidRPr="000C23D7">
        <w:rPr>
          <w:sz w:val="28"/>
          <w:szCs w:val="28"/>
          <w:lang w:val="en-US"/>
        </w:rPr>
        <w:t>) / Freedom House //</w:t>
      </w:r>
      <w:r w:rsidR="00E00DC9" w:rsidRPr="000C23D7">
        <w:rPr>
          <w:sz w:val="28"/>
          <w:szCs w:val="28"/>
          <w:lang w:val="en-US"/>
        </w:rPr>
        <w:t xml:space="preserve"> </w:t>
      </w:r>
      <w:hyperlink r:id="rId278" w:tgtFrame="_new" w:history="1">
        <w:r w:rsidR="00E00DC9" w:rsidRPr="000C23D7">
          <w:rPr>
            <w:rStyle w:val="Hyperlink"/>
            <w:color w:val="auto"/>
            <w:sz w:val="28"/>
            <w:szCs w:val="28"/>
            <w:u w:val="none"/>
            <w:lang w:val="en-US"/>
          </w:rPr>
          <w:t>https://freedomhouse.org/country/kazakhstan</w:t>
        </w:r>
      </w:hyperlink>
      <w:r w:rsidR="001300B0" w:rsidRPr="000C23D7">
        <w:rPr>
          <w:rStyle w:val="Hyperlink"/>
          <w:color w:val="auto"/>
          <w:sz w:val="28"/>
          <w:szCs w:val="28"/>
          <w:u w:val="none"/>
          <w:lang w:val="en-US"/>
        </w:rPr>
        <w:t>.</w:t>
      </w:r>
      <w:r w:rsidR="00E00DC9" w:rsidRPr="000C23D7">
        <w:rPr>
          <w:sz w:val="28"/>
          <w:szCs w:val="28"/>
          <w:lang w:val="en-US"/>
        </w:rPr>
        <w:t xml:space="preserve"> 02.02.2025.</w:t>
      </w:r>
    </w:p>
    <w:p w14:paraId="6B5CC5B8" w14:textId="5C4A80BC"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188</w:t>
      </w:r>
      <w:r w:rsidR="00E00DC9" w:rsidRPr="000C23D7">
        <w:rPr>
          <w:sz w:val="28"/>
          <w:szCs w:val="28"/>
          <w:lang w:val="en-US"/>
        </w:rPr>
        <w:t xml:space="preserve"> BTI 2024: Kazakhstan country report </w:t>
      </w:r>
      <w:r w:rsidR="001300B0" w:rsidRPr="000C23D7">
        <w:rPr>
          <w:sz w:val="28"/>
          <w:szCs w:val="28"/>
          <w:lang w:val="en-US"/>
        </w:rPr>
        <w:t>/ Bertelsmann Stiftung //</w:t>
      </w:r>
      <w:r w:rsidR="00E00DC9" w:rsidRPr="000C23D7">
        <w:rPr>
          <w:sz w:val="28"/>
          <w:szCs w:val="28"/>
          <w:lang w:val="en-US"/>
        </w:rPr>
        <w:t xml:space="preserve"> </w:t>
      </w:r>
      <w:hyperlink r:id="rId279" w:tgtFrame="_new" w:history="1">
        <w:r w:rsidR="00E00DC9" w:rsidRPr="000C23D7">
          <w:rPr>
            <w:rStyle w:val="Hyperlink"/>
            <w:color w:val="auto"/>
            <w:sz w:val="28"/>
            <w:szCs w:val="28"/>
            <w:u w:val="none"/>
            <w:lang w:val="en-US"/>
          </w:rPr>
          <w:t>https://bti-project.org/en</w:t>
        </w:r>
      </w:hyperlink>
      <w:r w:rsidR="001300B0" w:rsidRPr="000C23D7">
        <w:rPr>
          <w:rStyle w:val="Hyperlink"/>
          <w:color w:val="auto"/>
          <w:sz w:val="28"/>
          <w:szCs w:val="28"/>
          <w:u w:val="none"/>
          <w:lang w:val="en-US"/>
        </w:rPr>
        <w:t>.</w:t>
      </w:r>
      <w:r w:rsidR="00E00DC9" w:rsidRPr="000C23D7">
        <w:rPr>
          <w:sz w:val="28"/>
          <w:szCs w:val="28"/>
          <w:lang w:val="en-US"/>
        </w:rPr>
        <w:t xml:space="preserve"> 05.02.2025.</w:t>
      </w:r>
    </w:p>
    <w:p w14:paraId="611A07A6" w14:textId="058F6721"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189</w:t>
      </w:r>
      <w:r w:rsidR="00B71030" w:rsidRPr="000C23D7">
        <w:rPr>
          <w:sz w:val="28"/>
          <w:szCs w:val="28"/>
          <w:lang w:val="kk-KZ"/>
        </w:rPr>
        <w:t xml:space="preserve"> </w:t>
      </w:r>
      <w:r w:rsidR="00E00DC9" w:rsidRPr="000C23D7">
        <w:rPr>
          <w:sz w:val="28"/>
          <w:szCs w:val="28"/>
          <w:lang w:val="en-US"/>
        </w:rPr>
        <w:t xml:space="preserve">The global rule of law recession continues: The 2024 WJP Rule of Law Index </w:t>
      </w:r>
      <w:r w:rsidR="001300B0" w:rsidRPr="000C23D7">
        <w:rPr>
          <w:sz w:val="28"/>
          <w:szCs w:val="28"/>
          <w:lang w:val="en-US"/>
        </w:rPr>
        <w:t>/ World Justice Project //</w:t>
      </w:r>
      <w:r w:rsidR="00E00DC9" w:rsidRPr="000C23D7">
        <w:rPr>
          <w:sz w:val="28"/>
          <w:szCs w:val="28"/>
          <w:lang w:val="en-US"/>
        </w:rPr>
        <w:t xml:space="preserve"> </w:t>
      </w:r>
      <w:hyperlink r:id="rId280" w:history="1">
        <w:r w:rsidR="001300B0" w:rsidRPr="000C23D7">
          <w:rPr>
            <w:rStyle w:val="Hyperlink"/>
            <w:color w:val="auto"/>
            <w:sz w:val="28"/>
            <w:szCs w:val="28"/>
            <w:u w:val="none"/>
            <w:lang w:val="en-US"/>
          </w:rPr>
          <w:t>https://worldjusticeproject.org.</w:t>
        </w:r>
      </w:hyperlink>
      <w:r w:rsidR="00E00DC9" w:rsidRPr="000C23D7">
        <w:rPr>
          <w:sz w:val="28"/>
          <w:szCs w:val="28"/>
          <w:lang w:val="en-US"/>
        </w:rPr>
        <w:t xml:space="preserve"> 08.02.2025.</w:t>
      </w:r>
    </w:p>
    <w:p w14:paraId="3EA4430C" w14:textId="65A11BFC"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190</w:t>
      </w:r>
      <w:r w:rsidR="00B71030" w:rsidRPr="000C23D7">
        <w:rPr>
          <w:sz w:val="28"/>
          <w:szCs w:val="28"/>
          <w:lang w:val="kk-KZ"/>
        </w:rPr>
        <w:t xml:space="preserve"> </w:t>
      </w:r>
      <w:r w:rsidR="00E00DC9" w:rsidRPr="000C23D7">
        <w:rPr>
          <w:sz w:val="28"/>
          <w:szCs w:val="28"/>
          <w:lang w:val="en-US"/>
        </w:rPr>
        <w:t xml:space="preserve">Country profile: Kazakhstan – Index of Economic Freedom </w:t>
      </w:r>
      <w:r w:rsidR="001300B0" w:rsidRPr="000C23D7">
        <w:rPr>
          <w:sz w:val="28"/>
          <w:szCs w:val="28"/>
          <w:lang w:val="en-US"/>
        </w:rPr>
        <w:t>/The Heritage Foundation //</w:t>
      </w:r>
      <w:r w:rsidR="00E00DC9" w:rsidRPr="000C23D7">
        <w:rPr>
          <w:sz w:val="28"/>
          <w:szCs w:val="28"/>
          <w:lang w:val="en-US"/>
        </w:rPr>
        <w:t xml:space="preserve"> </w:t>
      </w:r>
      <w:hyperlink r:id="rId281" w:history="1">
        <w:r w:rsidR="001300B0" w:rsidRPr="000C23D7">
          <w:rPr>
            <w:rStyle w:val="Hyperlink"/>
            <w:color w:val="auto"/>
            <w:sz w:val="28"/>
            <w:szCs w:val="28"/>
            <w:u w:val="none"/>
            <w:lang w:val="en-US"/>
          </w:rPr>
          <w:t>https://www.heritage.org/index/pages/country-pages.</w:t>
        </w:r>
      </w:hyperlink>
      <w:r w:rsidR="001300B0" w:rsidRPr="000C23D7">
        <w:rPr>
          <w:rStyle w:val="Hyperlink"/>
          <w:color w:val="auto"/>
          <w:sz w:val="28"/>
          <w:szCs w:val="28"/>
          <w:u w:val="none"/>
          <w:lang w:val="en-US"/>
        </w:rPr>
        <w:t xml:space="preserve"> </w:t>
      </w:r>
      <w:r w:rsidR="00E00DC9" w:rsidRPr="000C23D7">
        <w:rPr>
          <w:sz w:val="28"/>
          <w:szCs w:val="28"/>
          <w:lang w:val="en-US"/>
        </w:rPr>
        <w:t>10.02.2025.</w:t>
      </w:r>
    </w:p>
    <w:p w14:paraId="3EACF1BC" w14:textId="5D84CFB4"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lastRenderedPageBreak/>
        <w:t>191</w:t>
      </w:r>
      <w:r w:rsidR="00B71030" w:rsidRPr="000C23D7">
        <w:rPr>
          <w:sz w:val="28"/>
          <w:szCs w:val="28"/>
          <w:lang w:val="kk-KZ"/>
        </w:rPr>
        <w:t xml:space="preserve"> </w:t>
      </w:r>
      <w:r w:rsidR="00E00DC9" w:rsidRPr="000C23D7">
        <w:rPr>
          <w:sz w:val="28"/>
          <w:szCs w:val="28"/>
          <w:lang w:val="en-US"/>
        </w:rPr>
        <w:t xml:space="preserve">Special report: Kazakhstan, Kyrgyzstan, Tajikistan, Turkmenistan, Uzbekistan </w:t>
      </w:r>
      <w:r w:rsidR="001300B0" w:rsidRPr="000C23D7">
        <w:rPr>
          <w:sz w:val="28"/>
          <w:szCs w:val="28"/>
          <w:lang w:val="en-US"/>
        </w:rPr>
        <w:t>(</w:t>
      </w:r>
      <w:r w:rsidR="00E00DC9" w:rsidRPr="000C23D7">
        <w:rPr>
          <w:sz w:val="28"/>
          <w:szCs w:val="28"/>
          <w:lang w:val="en-US"/>
        </w:rPr>
        <w:t>2024</w:t>
      </w:r>
      <w:r w:rsidR="001300B0" w:rsidRPr="000C23D7">
        <w:rPr>
          <w:sz w:val="28"/>
          <w:szCs w:val="28"/>
          <w:lang w:val="en-US"/>
        </w:rPr>
        <w:t>) //</w:t>
      </w:r>
      <w:r w:rsidR="00E00DC9" w:rsidRPr="000C23D7">
        <w:rPr>
          <w:sz w:val="28"/>
          <w:szCs w:val="28"/>
          <w:lang w:val="en-US"/>
        </w:rPr>
        <w:t xml:space="preserve"> </w:t>
      </w:r>
      <w:hyperlink r:id="rId282" w:tgtFrame="_new" w:history="1">
        <w:r w:rsidR="00E00DC9" w:rsidRPr="000C23D7">
          <w:rPr>
            <w:rStyle w:val="Hyperlink"/>
            <w:color w:val="auto"/>
            <w:sz w:val="28"/>
            <w:szCs w:val="28"/>
            <w:u w:val="none"/>
            <w:lang w:val="en-US"/>
          </w:rPr>
          <w:t>https://www.state.gov/report/custom/c0577a0931-3</w:t>
        </w:r>
      </w:hyperlink>
      <w:r w:rsidR="001300B0" w:rsidRPr="000C23D7">
        <w:rPr>
          <w:rStyle w:val="Hyperlink"/>
          <w:color w:val="auto"/>
          <w:sz w:val="28"/>
          <w:szCs w:val="28"/>
          <w:u w:val="none"/>
          <w:lang w:val="en-US"/>
        </w:rPr>
        <w:t>.</w:t>
      </w:r>
      <w:r w:rsidR="001300B0" w:rsidRPr="000C23D7">
        <w:rPr>
          <w:sz w:val="28"/>
          <w:szCs w:val="28"/>
          <w:lang w:val="en-US"/>
        </w:rPr>
        <w:t xml:space="preserve"> 12.02.2025</w:t>
      </w:r>
      <w:r w:rsidR="00E00DC9" w:rsidRPr="000C23D7">
        <w:rPr>
          <w:sz w:val="28"/>
          <w:szCs w:val="28"/>
          <w:lang w:val="en-US"/>
        </w:rPr>
        <w:t>.</w:t>
      </w:r>
    </w:p>
    <w:p w14:paraId="0BC292FD" w14:textId="07671E94"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192</w:t>
      </w:r>
      <w:r w:rsidR="00B71030" w:rsidRPr="000C23D7">
        <w:rPr>
          <w:sz w:val="28"/>
          <w:szCs w:val="28"/>
          <w:lang w:val="kk-KZ"/>
        </w:rPr>
        <w:t xml:space="preserve"> </w:t>
      </w:r>
      <w:r w:rsidR="00E00DC9" w:rsidRPr="000C23D7">
        <w:rPr>
          <w:sz w:val="28"/>
          <w:szCs w:val="28"/>
          <w:lang w:val="en-US"/>
        </w:rPr>
        <w:t xml:space="preserve">Kazakhstan: Indices overview </w:t>
      </w:r>
      <w:r w:rsidR="001300B0" w:rsidRPr="000C23D7">
        <w:rPr>
          <w:sz w:val="28"/>
          <w:szCs w:val="28"/>
          <w:lang w:val="en-US"/>
        </w:rPr>
        <w:t>/ GlobalEdge (2024) //</w:t>
      </w:r>
      <w:r w:rsidR="00E00DC9" w:rsidRPr="000C23D7">
        <w:rPr>
          <w:sz w:val="28"/>
          <w:szCs w:val="28"/>
          <w:lang w:val="en-US"/>
        </w:rPr>
        <w:t xml:space="preserve"> </w:t>
      </w:r>
      <w:hyperlink r:id="rId283" w:tgtFrame="_new" w:history="1">
        <w:r w:rsidR="00E00DC9" w:rsidRPr="000C23D7">
          <w:rPr>
            <w:rStyle w:val="Hyperlink"/>
            <w:color w:val="auto"/>
            <w:sz w:val="28"/>
            <w:szCs w:val="28"/>
            <w:u w:val="none"/>
            <w:lang w:val="en-US"/>
          </w:rPr>
          <w:t>https://globaledge.msu.edu/countries/kazakhstan/indices</w:t>
        </w:r>
      </w:hyperlink>
      <w:r w:rsidR="001300B0" w:rsidRPr="000C23D7">
        <w:rPr>
          <w:rStyle w:val="Hyperlink"/>
          <w:color w:val="auto"/>
          <w:sz w:val="28"/>
          <w:szCs w:val="28"/>
          <w:u w:val="none"/>
          <w:lang w:val="en-US"/>
        </w:rPr>
        <w:t>.</w:t>
      </w:r>
      <w:r w:rsidR="00E00DC9" w:rsidRPr="000C23D7">
        <w:rPr>
          <w:sz w:val="28"/>
          <w:szCs w:val="28"/>
          <w:lang w:val="en-US"/>
        </w:rPr>
        <w:t xml:space="preserve"> 15.02.2025.</w:t>
      </w:r>
    </w:p>
    <w:p w14:paraId="428DB7A5" w14:textId="30D80D3D"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193</w:t>
      </w:r>
      <w:r w:rsidR="00E00DC9" w:rsidRPr="000C23D7">
        <w:rPr>
          <w:sz w:val="28"/>
          <w:szCs w:val="28"/>
          <w:lang w:val="en-US"/>
        </w:rPr>
        <w:t xml:space="preserve"> Kazakhstan: 15th annual human rights dialogue held in Astana </w:t>
      </w:r>
      <w:r w:rsidR="001300B0" w:rsidRPr="000C23D7">
        <w:rPr>
          <w:sz w:val="28"/>
          <w:szCs w:val="28"/>
          <w:lang w:val="en-US"/>
        </w:rPr>
        <w:t>/ European External Action Service</w:t>
      </w:r>
      <w:r w:rsidR="001300B0" w:rsidRPr="000C23D7">
        <w:rPr>
          <w:lang w:val="en-US"/>
        </w:rPr>
        <w:t xml:space="preserve"> // </w:t>
      </w:r>
      <w:hyperlink r:id="rId284" w:history="1">
        <w:r w:rsidR="001300B0" w:rsidRPr="000C23D7">
          <w:rPr>
            <w:rStyle w:val="Hyperlink"/>
            <w:color w:val="auto"/>
            <w:sz w:val="28"/>
            <w:szCs w:val="28"/>
            <w:u w:val="none"/>
            <w:lang w:val="en-US"/>
          </w:rPr>
          <w:t>https://www.eeas.europa.eu/eeas/kazakhstan/</w:t>
        </w:r>
      </w:hyperlink>
      <w:r w:rsidR="00E00DC9" w:rsidRPr="000C23D7">
        <w:rPr>
          <w:sz w:val="28"/>
          <w:szCs w:val="28"/>
          <w:lang w:val="en-US"/>
        </w:rPr>
        <w:t xml:space="preserve"> 18.02.2025.</w:t>
      </w:r>
    </w:p>
    <w:p w14:paraId="51CB1692" w14:textId="03E16A2A"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194</w:t>
      </w:r>
      <w:r w:rsidR="00E00DC9" w:rsidRPr="000C23D7">
        <w:rPr>
          <w:sz w:val="28"/>
          <w:szCs w:val="28"/>
          <w:lang w:val="en-US"/>
        </w:rPr>
        <w:t xml:space="preserve"> In dialogue with Kazakhstan, experts of the Human Rights Committee commend the abolition of the death penalty, ask about excessive use of force during 2022 demonstrations and internet censorship </w:t>
      </w:r>
      <w:r w:rsidR="001300B0" w:rsidRPr="000C23D7">
        <w:rPr>
          <w:sz w:val="28"/>
          <w:szCs w:val="28"/>
          <w:lang w:val="en-US"/>
        </w:rPr>
        <w:t>/ Office of the High Commissioner for Human Rights //</w:t>
      </w:r>
      <w:r w:rsidR="00E00DC9" w:rsidRPr="000C23D7">
        <w:rPr>
          <w:sz w:val="28"/>
          <w:szCs w:val="28"/>
          <w:lang w:val="en-US"/>
        </w:rPr>
        <w:t xml:space="preserve"> </w:t>
      </w:r>
      <w:hyperlink r:id="rId285" w:history="1">
        <w:r w:rsidR="001300B0" w:rsidRPr="000C23D7">
          <w:rPr>
            <w:rStyle w:val="Hyperlink"/>
            <w:color w:val="auto"/>
            <w:sz w:val="28"/>
            <w:szCs w:val="28"/>
            <w:u w:val="none"/>
            <w:lang w:val="en-US"/>
          </w:rPr>
          <w:t>https://www.ohchr.org/en/meeting-summaries.</w:t>
        </w:r>
      </w:hyperlink>
      <w:r w:rsidR="001300B0" w:rsidRPr="000C23D7">
        <w:rPr>
          <w:sz w:val="28"/>
          <w:szCs w:val="28"/>
          <w:lang w:val="en-US"/>
        </w:rPr>
        <w:t xml:space="preserve"> 20.02.2025</w:t>
      </w:r>
      <w:r w:rsidR="00E00DC9" w:rsidRPr="000C23D7">
        <w:rPr>
          <w:sz w:val="28"/>
          <w:szCs w:val="28"/>
          <w:lang w:val="en-US"/>
        </w:rPr>
        <w:t>.</w:t>
      </w:r>
    </w:p>
    <w:p w14:paraId="772DD2E0" w14:textId="455E6AD4"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195</w:t>
      </w:r>
      <w:r w:rsidR="00B71030" w:rsidRPr="000C23D7">
        <w:rPr>
          <w:sz w:val="28"/>
          <w:szCs w:val="28"/>
          <w:lang w:val="kk-KZ"/>
        </w:rPr>
        <w:t xml:space="preserve"> </w:t>
      </w:r>
      <w:r w:rsidR="00E00DC9" w:rsidRPr="000C23D7">
        <w:rPr>
          <w:sz w:val="28"/>
          <w:szCs w:val="28"/>
          <w:lang w:val="en-US"/>
        </w:rPr>
        <w:t xml:space="preserve">Opinion on the draft constitutional law “On the Commissioner for Human Rights” (CDL-AD(2022)028) </w:t>
      </w:r>
      <w:r w:rsidR="006A7C04" w:rsidRPr="000C23D7">
        <w:rPr>
          <w:sz w:val="28"/>
          <w:szCs w:val="28"/>
          <w:lang w:val="en-US"/>
        </w:rPr>
        <w:t xml:space="preserve">/ European Commission for Democracy through Law // </w:t>
      </w:r>
      <w:hyperlink r:id="rId286" w:tgtFrame="_new" w:history="1">
        <w:r w:rsidR="00E00DC9" w:rsidRPr="000C23D7">
          <w:rPr>
            <w:rStyle w:val="Hyperlink"/>
            <w:color w:val="auto"/>
            <w:sz w:val="28"/>
            <w:szCs w:val="28"/>
            <w:u w:val="none"/>
            <w:lang w:val="en-US"/>
          </w:rPr>
          <w:t>https://www.venice.coe.int/webforms/documents/default.aspx?pdffile=</w:t>
        </w:r>
      </w:hyperlink>
      <w:r w:rsidR="006A7C04" w:rsidRPr="000C23D7">
        <w:rPr>
          <w:rStyle w:val="Hyperlink"/>
          <w:color w:val="auto"/>
          <w:sz w:val="28"/>
          <w:szCs w:val="28"/>
          <w:u w:val="none"/>
          <w:lang w:val="en-US"/>
        </w:rPr>
        <w:t xml:space="preserve">. </w:t>
      </w:r>
      <w:r w:rsidR="00E00DC9" w:rsidRPr="000C23D7">
        <w:rPr>
          <w:sz w:val="28"/>
          <w:szCs w:val="28"/>
          <w:lang w:val="en-US"/>
        </w:rPr>
        <w:t>22.02.2025.</w:t>
      </w:r>
    </w:p>
    <w:p w14:paraId="33FFD489" w14:textId="7CD70607"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196</w:t>
      </w:r>
      <w:r w:rsidR="00B71030" w:rsidRPr="000C23D7">
        <w:rPr>
          <w:sz w:val="28"/>
          <w:szCs w:val="28"/>
          <w:lang w:val="kk-KZ"/>
        </w:rPr>
        <w:t xml:space="preserve"> </w:t>
      </w:r>
      <w:r w:rsidR="00E00DC9" w:rsidRPr="000C23D7">
        <w:rPr>
          <w:sz w:val="28"/>
          <w:szCs w:val="28"/>
          <w:lang w:val="en-US"/>
        </w:rPr>
        <w:t>Ashirbekova A., Bugibay D., Tapakova V. Venice Commission: contribution to the development of the ombudsman institution in Kazakhstan // B</w:t>
      </w:r>
      <w:r w:rsidR="006A7C04" w:rsidRPr="000C23D7">
        <w:rPr>
          <w:sz w:val="28"/>
          <w:szCs w:val="28"/>
          <w:lang w:val="en-US"/>
        </w:rPr>
        <w:t>ulletin</w:t>
      </w:r>
      <w:r w:rsidR="00E00DC9" w:rsidRPr="000C23D7">
        <w:rPr>
          <w:sz w:val="28"/>
          <w:szCs w:val="28"/>
          <w:lang w:val="en-US"/>
        </w:rPr>
        <w:t xml:space="preserve"> of L.N. Gumilyov Eurasian National University Law Series</w:t>
      </w:r>
      <w:r w:rsidR="006A7C04" w:rsidRPr="000C23D7">
        <w:rPr>
          <w:sz w:val="28"/>
          <w:szCs w:val="28"/>
          <w:lang w:val="en-US"/>
        </w:rPr>
        <w:t>. – 2025. – Vol. </w:t>
      </w:r>
      <w:r w:rsidR="00E00DC9" w:rsidRPr="000C23D7">
        <w:rPr>
          <w:sz w:val="28"/>
          <w:szCs w:val="28"/>
          <w:lang w:val="en-US"/>
        </w:rPr>
        <w:t>151</w:t>
      </w:r>
      <w:r w:rsidR="006A7C04" w:rsidRPr="000C23D7">
        <w:rPr>
          <w:sz w:val="28"/>
          <w:szCs w:val="28"/>
          <w:lang w:val="en-US"/>
        </w:rPr>
        <w:t xml:space="preserve">, Issue </w:t>
      </w:r>
      <w:r w:rsidR="00E00DC9" w:rsidRPr="000C23D7">
        <w:rPr>
          <w:sz w:val="28"/>
          <w:szCs w:val="28"/>
          <w:lang w:val="en-US"/>
        </w:rPr>
        <w:t>2</w:t>
      </w:r>
      <w:r w:rsidR="006A7C04" w:rsidRPr="000C23D7">
        <w:rPr>
          <w:sz w:val="28"/>
          <w:szCs w:val="28"/>
          <w:lang w:val="en-US"/>
        </w:rPr>
        <w:t>. – P.</w:t>
      </w:r>
      <w:r w:rsidR="00E00DC9" w:rsidRPr="000C23D7">
        <w:rPr>
          <w:sz w:val="28"/>
          <w:szCs w:val="28"/>
          <w:lang w:val="en-US"/>
        </w:rPr>
        <w:t xml:space="preserve"> 42</w:t>
      </w:r>
      <w:r w:rsidR="006A7C04" w:rsidRPr="000C23D7">
        <w:rPr>
          <w:sz w:val="28"/>
          <w:szCs w:val="28"/>
          <w:lang w:val="en-US"/>
        </w:rPr>
        <w:t>-</w:t>
      </w:r>
      <w:r w:rsidR="00E00DC9" w:rsidRPr="000C23D7">
        <w:rPr>
          <w:sz w:val="28"/>
          <w:szCs w:val="28"/>
          <w:lang w:val="en-US"/>
        </w:rPr>
        <w:t xml:space="preserve">59. </w:t>
      </w:r>
    </w:p>
    <w:p w14:paraId="78895AAA" w14:textId="67606311"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197</w:t>
      </w:r>
      <w:r w:rsidR="00E00DC9" w:rsidRPr="000C23D7">
        <w:rPr>
          <w:sz w:val="28"/>
          <w:szCs w:val="28"/>
          <w:lang w:val="en-US"/>
        </w:rPr>
        <w:t xml:space="preserve"> Kazakhstan: Draft constitutional law “On the Commissioner for Human Rights” (CDL-REF(2022)044-e) </w:t>
      </w:r>
      <w:r w:rsidR="006A7C04" w:rsidRPr="000C23D7">
        <w:rPr>
          <w:sz w:val="28"/>
          <w:szCs w:val="28"/>
          <w:lang w:val="en-US"/>
        </w:rPr>
        <w:t>//</w:t>
      </w:r>
      <w:r w:rsidR="00E00DC9" w:rsidRPr="000C23D7">
        <w:rPr>
          <w:sz w:val="28"/>
          <w:szCs w:val="28"/>
          <w:lang w:val="en-US"/>
        </w:rPr>
        <w:t xml:space="preserve"> </w:t>
      </w:r>
      <w:hyperlink r:id="rId287" w:history="1">
        <w:r w:rsidR="006A7C04" w:rsidRPr="000C23D7">
          <w:rPr>
            <w:rStyle w:val="Hyperlink"/>
            <w:color w:val="auto"/>
            <w:sz w:val="28"/>
            <w:szCs w:val="28"/>
            <w:u w:val="none"/>
            <w:lang w:val="en-US"/>
          </w:rPr>
          <w:t>https://www.venice.coe.int.</w:t>
        </w:r>
      </w:hyperlink>
      <w:r w:rsidR="00E00DC9" w:rsidRPr="000C23D7">
        <w:rPr>
          <w:sz w:val="28"/>
          <w:szCs w:val="28"/>
          <w:lang w:val="en-US"/>
        </w:rPr>
        <w:t xml:space="preserve"> 28.02.2025.</w:t>
      </w:r>
    </w:p>
    <w:p w14:paraId="4868363A" w14:textId="4D16D384"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198</w:t>
      </w:r>
      <w:r w:rsidR="00B71030" w:rsidRPr="000C23D7">
        <w:rPr>
          <w:sz w:val="28"/>
          <w:szCs w:val="28"/>
          <w:lang w:val="kk-KZ"/>
        </w:rPr>
        <w:t xml:space="preserve"> </w:t>
      </w:r>
      <w:r w:rsidR="00E00DC9" w:rsidRPr="000C23D7">
        <w:rPr>
          <w:sz w:val="28"/>
          <w:szCs w:val="28"/>
          <w:lang w:val="en-US"/>
        </w:rPr>
        <w:t>Trofimov E. Legal Regulation of Combating Corporations’ Foreign Practices of Corrupt Public Officials</w:t>
      </w:r>
      <w:r w:rsidR="006A7C04" w:rsidRPr="000C23D7">
        <w:rPr>
          <w:sz w:val="28"/>
          <w:szCs w:val="28"/>
          <w:lang w:val="en-US"/>
        </w:rPr>
        <w:t xml:space="preserve"> //</w:t>
      </w:r>
      <w:r w:rsidR="00E00DC9" w:rsidRPr="000C23D7">
        <w:rPr>
          <w:sz w:val="28"/>
          <w:szCs w:val="28"/>
          <w:lang w:val="en-US"/>
        </w:rPr>
        <w:t xml:space="preserve"> </w:t>
      </w:r>
      <w:hyperlink r:id="rId288" w:history="1">
        <w:r w:rsidR="006A7C04" w:rsidRPr="000C23D7">
          <w:rPr>
            <w:rStyle w:val="Hyperlink"/>
            <w:color w:val="auto"/>
            <w:sz w:val="28"/>
            <w:szCs w:val="28"/>
            <w:u w:val="none"/>
            <w:lang w:val="en-US"/>
          </w:rPr>
          <w:t>https://ssrn.com/abstract</w:t>
        </w:r>
      </w:hyperlink>
      <w:r w:rsidR="006A7C04" w:rsidRPr="000C23D7">
        <w:rPr>
          <w:rStyle w:val="Hyperlink"/>
          <w:color w:val="auto"/>
          <w:sz w:val="28"/>
          <w:szCs w:val="28"/>
          <w:u w:val="none"/>
          <w:lang w:val="en-US"/>
        </w:rPr>
        <w:t>.</w:t>
      </w:r>
      <w:r w:rsidR="00E00DC9" w:rsidRPr="000C23D7">
        <w:rPr>
          <w:sz w:val="28"/>
          <w:szCs w:val="28"/>
          <w:lang w:val="en-US"/>
        </w:rPr>
        <w:t xml:space="preserve"> 02.03.2025.</w:t>
      </w:r>
    </w:p>
    <w:p w14:paraId="60F51C52" w14:textId="60F08BCE"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199</w:t>
      </w:r>
      <w:r w:rsidR="00E00DC9" w:rsidRPr="000C23D7">
        <w:rPr>
          <w:sz w:val="28"/>
          <w:szCs w:val="28"/>
          <w:lang w:val="en-US"/>
        </w:rPr>
        <w:t xml:space="preserve"> Council of Europe leadership welcomes the foundation of “New Kazakhstan” </w:t>
      </w:r>
      <w:r w:rsidR="006A7C04" w:rsidRPr="000C23D7">
        <w:rPr>
          <w:sz w:val="28"/>
          <w:szCs w:val="28"/>
          <w:lang w:val="en-US"/>
        </w:rPr>
        <w:t>(</w:t>
      </w:r>
      <w:r w:rsidR="00E00DC9" w:rsidRPr="000C23D7">
        <w:rPr>
          <w:sz w:val="28"/>
          <w:szCs w:val="28"/>
          <w:lang w:val="en-US"/>
        </w:rPr>
        <w:t>2022</w:t>
      </w:r>
      <w:r w:rsidR="006A7C04" w:rsidRPr="000C23D7">
        <w:rPr>
          <w:sz w:val="28"/>
          <w:szCs w:val="28"/>
          <w:lang w:val="en-US"/>
        </w:rPr>
        <w:t>) //</w:t>
      </w:r>
      <w:r w:rsidR="00E00DC9" w:rsidRPr="000C23D7">
        <w:rPr>
          <w:sz w:val="28"/>
          <w:szCs w:val="28"/>
          <w:lang w:val="en-US"/>
        </w:rPr>
        <w:t xml:space="preserve"> </w:t>
      </w:r>
      <w:hyperlink r:id="rId289" w:history="1">
        <w:r w:rsidR="006A7C04" w:rsidRPr="000C23D7">
          <w:rPr>
            <w:rStyle w:val="Hyperlink"/>
            <w:color w:val="auto"/>
            <w:sz w:val="28"/>
            <w:szCs w:val="28"/>
            <w:u w:val="none"/>
            <w:lang w:val="en-US"/>
          </w:rPr>
          <w:t>https://www.gov.kz/memleket/entities/mfa.</w:t>
        </w:r>
      </w:hyperlink>
      <w:r w:rsidR="00E00DC9" w:rsidRPr="000C23D7">
        <w:rPr>
          <w:sz w:val="28"/>
          <w:szCs w:val="28"/>
          <w:lang w:val="en-US"/>
        </w:rPr>
        <w:t xml:space="preserve"> 05.03.2025.</w:t>
      </w:r>
    </w:p>
    <w:p w14:paraId="364C5A0B" w14:textId="793447A0"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200</w:t>
      </w:r>
      <w:r w:rsidR="00E00DC9" w:rsidRPr="000C23D7">
        <w:rPr>
          <w:sz w:val="28"/>
          <w:szCs w:val="28"/>
          <w:lang w:val="en-US"/>
        </w:rPr>
        <w:t xml:space="preserve"> Resolution 48/134: Principles relating to the status of national institutions for the protection and promotion of human rights (Paris Principles) </w:t>
      </w:r>
      <w:r w:rsidR="006A7C04" w:rsidRPr="000C23D7">
        <w:rPr>
          <w:sz w:val="28"/>
          <w:szCs w:val="28"/>
          <w:lang w:val="en-US"/>
        </w:rPr>
        <w:t>/ United Nations General Assembly //</w:t>
      </w:r>
      <w:r w:rsidR="00E00DC9" w:rsidRPr="000C23D7">
        <w:rPr>
          <w:sz w:val="28"/>
          <w:szCs w:val="28"/>
          <w:lang w:val="en-US"/>
        </w:rPr>
        <w:t xml:space="preserve"> </w:t>
      </w:r>
      <w:hyperlink r:id="rId290" w:tgtFrame="_new" w:history="1">
        <w:r w:rsidR="00E00DC9" w:rsidRPr="000C23D7">
          <w:rPr>
            <w:rStyle w:val="Hyperlink"/>
            <w:color w:val="auto"/>
            <w:sz w:val="28"/>
            <w:szCs w:val="28"/>
            <w:u w:val="none"/>
            <w:lang w:val="en-US"/>
          </w:rPr>
          <w:t>https://docs.un.org/ru/A/RES/48/134</w:t>
        </w:r>
      </w:hyperlink>
      <w:r w:rsidR="006A7C04" w:rsidRPr="000C23D7">
        <w:rPr>
          <w:rStyle w:val="Hyperlink"/>
          <w:color w:val="auto"/>
          <w:sz w:val="28"/>
          <w:szCs w:val="28"/>
          <w:u w:val="none"/>
          <w:lang w:val="en-US"/>
        </w:rPr>
        <w:t>.</w:t>
      </w:r>
      <w:r w:rsidR="00E00DC9" w:rsidRPr="000C23D7">
        <w:rPr>
          <w:sz w:val="28"/>
          <w:szCs w:val="28"/>
          <w:lang w:val="en-US"/>
        </w:rPr>
        <w:t xml:space="preserve"> 08.03.2025.</w:t>
      </w:r>
    </w:p>
    <w:p w14:paraId="2A27332F" w14:textId="2E5B4CD8"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201</w:t>
      </w:r>
      <w:r w:rsidR="00E00DC9" w:rsidRPr="000C23D7">
        <w:rPr>
          <w:sz w:val="28"/>
          <w:szCs w:val="28"/>
          <w:lang w:val="en-US"/>
        </w:rPr>
        <w:t xml:space="preserve"> Human Rights Impact Assessment: Kazakhstan </w:t>
      </w:r>
      <w:r w:rsidR="006A7C04" w:rsidRPr="000C23D7">
        <w:rPr>
          <w:sz w:val="28"/>
          <w:szCs w:val="28"/>
          <w:lang w:val="en-US"/>
        </w:rPr>
        <w:t>/ Philip Morris International //</w:t>
      </w:r>
      <w:r w:rsidR="00E00DC9" w:rsidRPr="000C23D7">
        <w:rPr>
          <w:sz w:val="28"/>
          <w:szCs w:val="28"/>
          <w:lang w:val="en-US"/>
        </w:rPr>
        <w:t xml:space="preserve"> </w:t>
      </w:r>
      <w:hyperlink r:id="rId291" w:history="1">
        <w:r w:rsidR="006A7C04" w:rsidRPr="000C23D7">
          <w:rPr>
            <w:rStyle w:val="Hyperlink"/>
            <w:color w:val="auto"/>
            <w:sz w:val="28"/>
            <w:szCs w:val="28"/>
            <w:u w:val="none"/>
            <w:lang w:val="en-US"/>
          </w:rPr>
          <w:t>https://www.pmi.com/sustainability/case-studies.</w:t>
        </w:r>
      </w:hyperlink>
      <w:r w:rsidR="00E00DC9" w:rsidRPr="000C23D7">
        <w:rPr>
          <w:sz w:val="28"/>
          <w:szCs w:val="28"/>
          <w:lang w:val="en-US"/>
        </w:rPr>
        <w:t xml:space="preserve"> 10.03.2025.</w:t>
      </w:r>
    </w:p>
    <w:p w14:paraId="3CE36E16" w14:textId="021BE55D"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202</w:t>
      </w:r>
      <w:r w:rsidR="00E00DC9" w:rsidRPr="000C23D7">
        <w:rPr>
          <w:sz w:val="28"/>
          <w:szCs w:val="28"/>
          <w:lang w:val="en-US"/>
        </w:rPr>
        <w:t xml:space="preserve"> Recommendation CM/Rec(2010)12 on judges: independence, efficiency and responsibilities </w:t>
      </w:r>
      <w:r w:rsidR="006A7C04" w:rsidRPr="000C23D7">
        <w:rPr>
          <w:sz w:val="28"/>
          <w:szCs w:val="28"/>
          <w:lang w:val="en-US"/>
        </w:rPr>
        <w:t xml:space="preserve">/ Council of Europe // </w:t>
      </w:r>
      <w:hyperlink r:id="rId292" w:tgtFrame="_new" w:history="1">
        <w:r w:rsidR="00E00DC9" w:rsidRPr="000C23D7">
          <w:rPr>
            <w:rStyle w:val="Hyperlink"/>
            <w:color w:val="auto"/>
            <w:sz w:val="28"/>
            <w:szCs w:val="28"/>
            <w:u w:val="none"/>
            <w:lang w:val="en-US"/>
          </w:rPr>
          <w:t>https://search.coe.int/cm</w:t>
        </w:r>
      </w:hyperlink>
      <w:r w:rsidR="006A7C04" w:rsidRPr="000C23D7">
        <w:rPr>
          <w:rStyle w:val="Hyperlink"/>
          <w:color w:val="auto"/>
          <w:sz w:val="28"/>
          <w:szCs w:val="28"/>
          <w:u w:val="none"/>
          <w:lang w:val="en-US"/>
        </w:rPr>
        <w:t>.</w:t>
      </w:r>
      <w:r w:rsidR="00E00DC9" w:rsidRPr="000C23D7">
        <w:rPr>
          <w:sz w:val="28"/>
          <w:szCs w:val="28"/>
          <w:lang w:val="en-US"/>
        </w:rPr>
        <w:t xml:space="preserve"> 12.03.2025.</w:t>
      </w:r>
    </w:p>
    <w:p w14:paraId="7C031DED" w14:textId="0D9DC387"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203</w:t>
      </w:r>
      <w:r w:rsidR="00B71030" w:rsidRPr="000C23D7">
        <w:rPr>
          <w:sz w:val="28"/>
          <w:szCs w:val="28"/>
          <w:lang w:val="kk-KZ"/>
        </w:rPr>
        <w:t xml:space="preserve"> </w:t>
      </w:r>
      <w:r w:rsidR="00E00DC9" w:rsidRPr="000C23D7">
        <w:rPr>
          <w:sz w:val="28"/>
          <w:szCs w:val="28"/>
          <w:lang w:val="en-US"/>
        </w:rPr>
        <w:t xml:space="preserve">President Tokayev signs a decree on further measures of the Republic of Kazakhstan in the field of human rights </w:t>
      </w:r>
      <w:r w:rsidR="006A7C04" w:rsidRPr="000C23D7">
        <w:rPr>
          <w:sz w:val="28"/>
          <w:szCs w:val="28"/>
          <w:lang w:val="en-US"/>
        </w:rPr>
        <w:t>(</w:t>
      </w:r>
      <w:r w:rsidR="00E00DC9" w:rsidRPr="000C23D7">
        <w:rPr>
          <w:sz w:val="28"/>
          <w:szCs w:val="28"/>
          <w:lang w:val="en-US"/>
        </w:rPr>
        <w:t>2021</w:t>
      </w:r>
      <w:r w:rsidR="006A7C04" w:rsidRPr="000C23D7">
        <w:rPr>
          <w:sz w:val="28"/>
          <w:szCs w:val="28"/>
          <w:lang w:val="en-US"/>
        </w:rPr>
        <w:t>) /</w:t>
      </w:r>
      <w:r w:rsidR="00E00DC9" w:rsidRPr="000C23D7">
        <w:rPr>
          <w:sz w:val="28"/>
          <w:szCs w:val="28"/>
          <w:lang w:val="en-US"/>
        </w:rPr>
        <w:t xml:space="preserve"> Government of the Republic of Kazakhstan</w:t>
      </w:r>
      <w:r w:rsidR="006A7C04" w:rsidRPr="000C23D7">
        <w:rPr>
          <w:sz w:val="28"/>
          <w:szCs w:val="28"/>
          <w:lang w:val="en-US"/>
        </w:rPr>
        <w:t xml:space="preserve"> // </w:t>
      </w:r>
      <w:hyperlink r:id="rId293" w:history="1">
        <w:r w:rsidR="006A7C04" w:rsidRPr="000C23D7">
          <w:rPr>
            <w:rStyle w:val="Hyperlink"/>
            <w:color w:val="auto"/>
            <w:sz w:val="28"/>
            <w:szCs w:val="28"/>
            <w:u w:val="none"/>
            <w:lang w:val="en-US"/>
          </w:rPr>
          <w:t>https://www.gov.kz/memleket/entities/mfa-delhi/press.</w:t>
        </w:r>
      </w:hyperlink>
      <w:r w:rsidR="00E00DC9" w:rsidRPr="000C23D7">
        <w:rPr>
          <w:sz w:val="28"/>
          <w:szCs w:val="28"/>
          <w:lang w:val="en-US"/>
        </w:rPr>
        <w:t xml:space="preserve"> 15.03.2025.</w:t>
      </w:r>
    </w:p>
    <w:p w14:paraId="1EA0086F" w14:textId="51EE8EDA"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204</w:t>
      </w:r>
      <w:r w:rsidR="00B71030" w:rsidRPr="000C23D7">
        <w:rPr>
          <w:sz w:val="28"/>
          <w:szCs w:val="28"/>
          <w:lang w:val="kk-KZ"/>
        </w:rPr>
        <w:t xml:space="preserve"> </w:t>
      </w:r>
      <w:r w:rsidR="00E00DC9" w:rsidRPr="000C23D7">
        <w:rPr>
          <w:sz w:val="28"/>
          <w:szCs w:val="28"/>
          <w:lang w:val="en-US"/>
        </w:rPr>
        <w:t xml:space="preserve">Opinions: Kazakhstan </w:t>
      </w:r>
      <w:r w:rsidR="006A7C04" w:rsidRPr="000C23D7">
        <w:rPr>
          <w:sz w:val="28"/>
          <w:szCs w:val="28"/>
          <w:lang w:val="en-US"/>
        </w:rPr>
        <w:t>/ Central Asia Rule of Law Programme //</w:t>
      </w:r>
      <w:r w:rsidR="00E00DC9" w:rsidRPr="000C23D7">
        <w:rPr>
          <w:sz w:val="28"/>
          <w:szCs w:val="28"/>
          <w:lang w:val="en-US"/>
        </w:rPr>
        <w:t xml:space="preserve"> </w:t>
      </w:r>
      <w:hyperlink r:id="rId294" w:tgtFrame="_new" w:history="1">
        <w:r w:rsidR="00E00DC9" w:rsidRPr="000C23D7">
          <w:rPr>
            <w:rStyle w:val="Hyperlink"/>
            <w:color w:val="auto"/>
            <w:sz w:val="28"/>
            <w:szCs w:val="28"/>
            <w:u w:val="none"/>
            <w:lang w:val="en-US"/>
          </w:rPr>
          <w:t>https://pjp-eu.coe.int/en/web/central-asia/opinions</w:t>
        </w:r>
      </w:hyperlink>
      <w:r w:rsidR="006A7C04" w:rsidRPr="000C23D7">
        <w:rPr>
          <w:rStyle w:val="Hyperlink"/>
          <w:color w:val="auto"/>
          <w:sz w:val="28"/>
          <w:szCs w:val="28"/>
          <w:u w:val="none"/>
          <w:lang w:val="en-US"/>
        </w:rPr>
        <w:t>.</w:t>
      </w:r>
      <w:r w:rsidR="00E00DC9" w:rsidRPr="000C23D7">
        <w:rPr>
          <w:sz w:val="28"/>
          <w:szCs w:val="28"/>
          <w:lang w:val="en-US"/>
        </w:rPr>
        <w:t xml:space="preserve"> 18.03.2025.</w:t>
      </w:r>
    </w:p>
    <w:p w14:paraId="7C703D32" w14:textId="29D78230"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205</w:t>
      </w:r>
      <w:r w:rsidR="00E00DC9" w:rsidRPr="000C23D7">
        <w:rPr>
          <w:sz w:val="28"/>
          <w:szCs w:val="28"/>
          <w:lang w:val="en-US"/>
        </w:rPr>
        <w:t xml:space="preserve"> HELP – Human rights education for legal professionals </w:t>
      </w:r>
      <w:r w:rsidR="006A7C04" w:rsidRPr="000C23D7">
        <w:rPr>
          <w:sz w:val="28"/>
          <w:szCs w:val="28"/>
          <w:lang w:val="en-US"/>
        </w:rPr>
        <w:t>(</w:t>
      </w:r>
      <w:r w:rsidR="00E00DC9" w:rsidRPr="000C23D7">
        <w:rPr>
          <w:sz w:val="28"/>
          <w:szCs w:val="28"/>
          <w:lang w:val="en-US"/>
        </w:rPr>
        <w:t>2015</w:t>
      </w:r>
      <w:r w:rsidR="006A7C04" w:rsidRPr="000C23D7">
        <w:rPr>
          <w:sz w:val="28"/>
          <w:szCs w:val="28"/>
          <w:lang w:val="en-US"/>
        </w:rPr>
        <w:t xml:space="preserve">) / Council of Europe // </w:t>
      </w:r>
      <w:hyperlink r:id="rId295" w:history="1">
        <w:r w:rsidR="006A7C04" w:rsidRPr="000C23D7">
          <w:rPr>
            <w:rStyle w:val="Hyperlink"/>
            <w:color w:val="auto"/>
            <w:sz w:val="28"/>
            <w:szCs w:val="28"/>
            <w:u w:val="none"/>
            <w:lang w:val="en-US"/>
          </w:rPr>
          <w:t>https://edoc.coe.int/en/european-convention-on-human.</w:t>
        </w:r>
      </w:hyperlink>
      <w:r w:rsidR="00E00DC9" w:rsidRPr="000C23D7">
        <w:rPr>
          <w:sz w:val="28"/>
          <w:szCs w:val="28"/>
          <w:lang w:val="en-US"/>
        </w:rPr>
        <w:t xml:space="preserve"> 20.03.2025.</w:t>
      </w:r>
    </w:p>
    <w:p w14:paraId="78E8B42D" w14:textId="7B31802C"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206</w:t>
      </w:r>
      <w:r w:rsidR="00B71030" w:rsidRPr="000C23D7">
        <w:rPr>
          <w:sz w:val="28"/>
          <w:szCs w:val="28"/>
          <w:lang w:val="kk-KZ"/>
        </w:rPr>
        <w:t xml:space="preserve"> </w:t>
      </w:r>
      <w:r w:rsidR="00E00DC9" w:rsidRPr="000C23D7">
        <w:rPr>
          <w:sz w:val="28"/>
          <w:szCs w:val="28"/>
          <w:lang w:val="en-US"/>
        </w:rPr>
        <w:t xml:space="preserve">Neighbourhood Co-operation Priorities with Kazakhstan 2024–2027 (GR-EXT(2023)6) </w:t>
      </w:r>
      <w:r w:rsidR="001304F6" w:rsidRPr="000C23D7">
        <w:rPr>
          <w:sz w:val="28"/>
          <w:szCs w:val="28"/>
          <w:lang w:val="en-US"/>
        </w:rPr>
        <w:t xml:space="preserve">/ </w:t>
      </w:r>
      <w:r w:rsidR="00E00DC9" w:rsidRPr="000C23D7">
        <w:rPr>
          <w:sz w:val="28"/>
          <w:szCs w:val="28"/>
          <w:lang w:val="en-US"/>
        </w:rPr>
        <w:t xml:space="preserve">Committee of Ministers of the Council of Europe </w:t>
      </w:r>
      <w:r w:rsidR="001304F6" w:rsidRPr="000C23D7">
        <w:rPr>
          <w:sz w:val="28"/>
          <w:szCs w:val="28"/>
          <w:lang w:val="en-US"/>
        </w:rPr>
        <w:t>//</w:t>
      </w:r>
      <w:r w:rsidR="00E00DC9" w:rsidRPr="000C23D7">
        <w:rPr>
          <w:sz w:val="28"/>
          <w:szCs w:val="28"/>
          <w:lang w:val="en-US"/>
        </w:rPr>
        <w:t xml:space="preserve"> </w:t>
      </w:r>
      <w:hyperlink r:id="rId296" w:history="1">
        <w:r w:rsidR="001304F6" w:rsidRPr="000C23D7">
          <w:rPr>
            <w:rStyle w:val="Hyperlink"/>
            <w:color w:val="auto"/>
            <w:sz w:val="28"/>
            <w:szCs w:val="28"/>
            <w:u w:val="none"/>
            <w:lang w:val="en-US"/>
          </w:rPr>
          <w:t>https://rm.coe.int/prems-007224-gbr-1501-actionplankazakhstan-2024.</w:t>
        </w:r>
      </w:hyperlink>
      <w:r w:rsidR="00E00DC9" w:rsidRPr="000C23D7">
        <w:rPr>
          <w:sz w:val="28"/>
          <w:szCs w:val="28"/>
          <w:lang w:val="en-US"/>
        </w:rPr>
        <w:t xml:space="preserve"> 22.03.2025.</w:t>
      </w:r>
    </w:p>
    <w:p w14:paraId="12551CDC" w14:textId="3C92ED94"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207</w:t>
      </w:r>
      <w:r w:rsidR="00B71030" w:rsidRPr="000C23D7">
        <w:rPr>
          <w:sz w:val="28"/>
          <w:szCs w:val="28"/>
          <w:lang w:val="kk-KZ"/>
        </w:rPr>
        <w:t xml:space="preserve"> </w:t>
      </w:r>
      <w:r w:rsidR="00E00DC9" w:rsidRPr="000C23D7">
        <w:rPr>
          <w:sz w:val="28"/>
          <w:szCs w:val="28"/>
          <w:lang w:val="en-US"/>
        </w:rPr>
        <w:t xml:space="preserve">Omirgazy D. Constitutional Court of Kazakhstan receives 5,300 appeals in 2023 </w:t>
      </w:r>
      <w:r w:rsidR="001304F6" w:rsidRPr="000C23D7">
        <w:rPr>
          <w:sz w:val="28"/>
          <w:szCs w:val="28"/>
          <w:lang w:val="en-US"/>
        </w:rPr>
        <w:t>//</w:t>
      </w:r>
      <w:r w:rsidR="00E00DC9" w:rsidRPr="000C23D7">
        <w:rPr>
          <w:sz w:val="28"/>
          <w:szCs w:val="28"/>
          <w:lang w:val="en-US"/>
        </w:rPr>
        <w:t xml:space="preserve"> </w:t>
      </w:r>
      <w:hyperlink r:id="rId297" w:history="1">
        <w:r w:rsidR="001304F6" w:rsidRPr="000C23D7">
          <w:rPr>
            <w:rStyle w:val="Hyperlink"/>
            <w:color w:val="auto"/>
            <w:sz w:val="28"/>
            <w:szCs w:val="28"/>
            <w:u w:val="none"/>
            <w:lang w:val="en-US"/>
          </w:rPr>
          <w:t>https://astanatimes.com/2024/01/constitutional-court-of.</w:t>
        </w:r>
      </w:hyperlink>
      <w:r w:rsidR="00E00DC9" w:rsidRPr="000C23D7">
        <w:rPr>
          <w:sz w:val="28"/>
          <w:szCs w:val="28"/>
          <w:lang w:val="en-US"/>
        </w:rPr>
        <w:t xml:space="preserve"> 25.03.2025.</w:t>
      </w:r>
    </w:p>
    <w:p w14:paraId="6640D6CC" w14:textId="4A062A4C"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208</w:t>
      </w:r>
      <w:r w:rsidR="00B71030" w:rsidRPr="000C23D7">
        <w:rPr>
          <w:sz w:val="28"/>
          <w:szCs w:val="28"/>
          <w:lang w:val="kk-KZ"/>
        </w:rPr>
        <w:t xml:space="preserve"> </w:t>
      </w:r>
      <w:r w:rsidR="00E00DC9" w:rsidRPr="000C23D7">
        <w:rPr>
          <w:sz w:val="28"/>
          <w:szCs w:val="28"/>
          <w:lang w:val="en-US"/>
        </w:rPr>
        <w:t xml:space="preserve">OECD Integrity Review of Kazakhstan: Advancing Integrity for Economic Development </w:t>
      </w:r>
      <w:r w:rsidR="001304F6" w:rsidRPr="000C23D7">
        <w:rPr>
          <w:sz w:val="28"/>
          <w:szCs w:val="28"/>
          <w:lang w:val="en-US"/>
        </w:rPr>
        <w:t>//</w:t>
      </w:r>
      <w:r w:rsidR="00E00DC9" w:rsidRPr="000C23D7">
        <w:rPr>
          <w:sz w:val="28"/>
          <w:szCs w:val="28"/>
          <w:lang w:val="en-US"/>
        </w:rPr>
        <w:t xml:space="preserve"> </w:t>
      </w:r>
      <w:hyperlink r:id="rId298" w:tgtFrame="_new" w:history="1">
        <w:r w:rsidR="00E00DC9" w:rsidRPr="000C23D7">
          <w:rPr>
            <w:rStyle w:val="Hyperlink"/>
            <w:color w:val="auto"/>
            <w:sz w:val="28"/>
            <w:szCs w:val="28"/>
            <w:u w:val="none"/>
            <w:lang w:val="en-US"/>
          </w:rPr>
          <w:t>https://doi.org/10.1787/d705d02f-en</w:t>
        </w:r>
      </w:hyperlink>
      <w:r w:rsidR="001304F6" w:rsidRPr="000C23D7">
        <w:rPr>
          <w:rStyle w:val="Hyperlink"/>
          <w:color w:val="auto"/>
          <w:sz w:val="28"/>
          <w:szCs w:val="28"/>
          <w:u w:val="none"/>
          <w:lang w:val="en-US"/>
        </w:rPr>
        <w:t>.</w:t>
      </w:r>
      <w:r w:rsidR="00E00DC9" w:rsidRPr="000C23D7">
        <w:rPr>
          <w:sz w:val="28"/>
          <w:szCs w:val="28"/>
          <w:lang w:val="en-US"/>
        </w:rPr>
        <w:t xml:space="preserve"> 28.03.2025.</w:t>
      </w:r>
    </w:p>
    <w:p w14:paraId="607D36C2" w14:textId="36C6656B" w:rsidR="00E00DC9" w:rsidRPr="00C57BD3" w:rsidRDefault="006423E6" w:rsidP="00B71030">
      <w:pPr>
        <w:pStyle w:val="NormalWeb"/>
        <w:tabs>
          <w:tab w:val="left" w:pos="1276"/>
        </w:tabs>
        <w:spacing w:before="0" w:beforeAutospacing="0" w:after="0" w:afterAutospacing="0"/>
        <w:ind w:firstLine="709"/>
        <w:jc w:val="both"/>
        <w:rPr>
          <w:sz w:val="28"/>
          <w:szCs w:val="28"/>
        </w:rPr>
      </w:pPr>
      <w:r w:rsidRPr="000C23D7">
        <w:rPr>
          <w:sz w:val="28"/>
          <w:szCs w:val="28"/>
          <w:lang w:val="kk-KZ"/>
        </w:rPr>
        <w:lastRenderedPageBreak/>
        <w:t>209</w:t>
      </w:r>
      <w:r w:rsidR="00E00DC9" w:rsidRPr="000C23D7">
        <w:rPr>
          <w:sz w:val="28"/>
          <w:szCs w:val="28"/>
          <w:lang w:val="en-US"/>
        </w:rPr>
        <w:t xml:space="preserve"> European judicial systems: CEPEJ evaluation report (2020</w:t>
      </w:r>
      <w:r w:rsidR="001304F6" w:rsidRPr="000C23D7">
        <w:rPr>
          <w:sz w:val="28"/>
          <w:szCs w:val="28"/>
          <w:lang w:val="en-US"/>
        </w:rPr>
        <w:t>)</w:t>
      </w:r>
      <w:r w:rsidR="00E00DC9" w:rsidRPr="000C23D7">
        <w:rPr>
          <w:sz w:val="28"/>
          <w:szCs w:val="28"/>
          <w:lang w:val="en-US"/>
        </w:rPr>
        <w:t xml:space="preserve"> </w:t>
      </w:r>
      <w:r w:rsidR="001304F6" w:rsidRPr="000C23D7">
        <w:rPr>
          <w:sz w:val="28"/>
          <w:szCs w:val="28"/>
          <w:lang w:val="en-US"/>
        </w:rPr>
        <w:t>/ Council of Europe //</w:t>
      </w:r>
      <w:r w:rsidR="00E00DC9" w:rsidRPr="000C23D7">
        <w:rPr>
          <w:sz w:val="28"/>
          <w:szCs w:val="28"/>
          <w:lang w:val="en-US"/>
        </w:rPr>
        <w:t xml:space="preserve"> </w:t>
      </w:r>
      <w:hyperlink r:id="rId299" w:history="1">
        <w:r w:rsidR="001304F6" w:rsidRPr="000C23D7">
          <w:rPr>
            <w:rStyle w:val="Hyperlink"/>
            <w:color w:val="auto"/>
            <w:sz w:val="28"/>
            <w:szCs w:val="28"/>
            <w:u w:val="none"/>
            <w:lang w:val="en-US"/>
          </w:rPr>
          <w:t>https://rm.coe.int/cepej-report-2020-22-e-web.</w:t>
        </w:r>
      </w:hyperlink>
      <w:r w:rsidR="001304F6" w:rsidRPr="000C23D7">
        <w:rPr>
          <w:rStyle w:val="Hyperlink"/>
          <w:color w:val="auto"/>
          <w:sz w:val="28"/>
          <w:szCs w:val="28"/>
          <w:u w:val="none"/>
          <w:lang w:val="en-US"/>
        </w:rPr>
        <w:t xml:space="preserve"> </w:t>
      </w:r>
      <w:r w:rsidR="00E00DC9" w:rsidRPr="00C57BD3">
        <w:rPr>
          <w:sz w:val="28"/>
          <w:szCs w:val="28"/>
        </w:rPr>
        <w:t>30.03.2025.</w:t>
      </w:r>
    </w:p>
    <w:p w14:paraId="3EAAAAD6" w14:textId="2ED5D66D" w:rsidR="00E00DC9" w:rsidRPr="002064D8"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210</w:t>
      </w:r>
      <w:r w:rsidR="00B71030" w:rsidRPr="000C23D7">
        <w:rPr>
          <w:sz w:val="28"/>
          <w:szCs w:val="28"/>
          <w:lang w:val="kk-KZ"/>
        </w:rPr>
        <w:t xml:space="preserve"> </w:t>
      </w:r>
      <w:r w:rsidR="001304F6" w:rsidRPr="000C23D7">
        <w:rPr>
          <w:sz w:val="28"/>
          <w:szCs w:val="28"/>
        </w:rPr>
        <w:t xml:space="preserve">Президент Республики Казахстан </w:t>
      </w:r>
      <w:r w:rsidR="00E00DC9" w:rsidRPr="000C23D7">
        <w:rPr>
          <w:sz w:val="28"/>
          <w:szCs w:val="28"/>
        </w:rPr>
        <w:t>К</w:t>
      </w:r>
      <w:r w:rsidR="001304F6" w:rsidRPr="000C23D7">
        <w:rPr>
          <w:sz w:val="28"/>
          <w:szCs w:val="28"/>
        </w:rPr>
        <w:t>.</w:t>
      </w:r>
      <w:r w:rsidR="00E00DC9" w:rsidRPr="000C23D7">
        <w:rPr>
          <w:sz w:val="28"/>
          <w:szCs w:val="28"/>
        </w:rPr>
        <w:t>-Ж</w:t>
      </w:r>
      <w:r w:rsidR="001304F6" w:rsidRPr="000C23D7">
        <w:rPr>
          <w:sz w:val="28"/>
          <w:szCs w:val="28"/>
        </w:rPr>
        <w:t>.</w:t>
      </w:r>
      <w:r w:rsidR="00E00DC9" w:rsidRPr="000C23D7">
        <w:rPr>
          <w:sz w:val="28"/>
          <w:szCs w:val="28"/>
        </w:rPr>
        <w:t xml:space="preserve"> Токаев</w:t>
      </w:r>
      <w:r w:rsidR="001304F6" w:rsidRPr="000C23D7">
        <w:rPr>
          <w:sz w:val="28"/>
          <w:szCs w:val="28"/>
        </w:rPr>
        <w:t>.</w:t>
      </w:r>
      <w:r w:rsidR="00E00DC9" w:rsidRPr="000C23D7">
        <w:rPr>
          <w:sz w:val="28"/>
          <w:szCs w:val="28"/>
        </w:rPr>
        <w:t xml:space="preserve"> Справедливый Казахстан: закон и порядок, экономический рост, общественный оптимизм</w:t>
      </w:r>
      <w:r w:rsidR="001304F6" w:rsidRPr="000C23D7">
        <w:rPr>
          <w:sz w:val="28"/>
          <w:szCs w:val="28"/>
        </w:rPr>
        <w:t>: послание народу Казахстана //</w:t>
      </w:r>
      <w:r w:rsidR="00E00DC9" w:rsidRPr="000C23D7">
        <w:rPr>
          <w:sz w:val="28"/>
          <w:szCs w:val="28"/>
        </w:rPr>
        <w:t xml:space="preserve"> </w:t>
      </w:r>
      <w:hyperlink r:id="rId300" w:history="1">
        <w:r w:rsidR="001304F6" w:rsidRPr="000C23D7">
          <w:rPr>
            <w:rStyle w:val="Hyperlink"/>
            <w:color w:val="auto"/>
            <w:sz w:val="28"/>
            <w:szCs w:val="28"/>
            <w:u w:val="none"/>
          </w:rPr>
          <w:t>https://www.akorda.kz/ru/poslanie.</w:t>
        </w:r>
      </w:hyperlink>
      <w:r w:rsidR="00E00DC9" w:rsidRPr="000C23D7">
        <w:rPr>
          <w:sz w:val="28"/>
          <w:szCs w:val="28"/>
        </w:rPr>
        <w:t xml:space="preserve"> </w:t>
      </w:r>
      <w:r w:rsidR="00E00DC9" w:rsidRPr="002064D8">
        <w:rPr>
          <w:sz w:val="28"/>
          <w:szCs w:val="28"/>
          <w:lang w:val="en-US"/>
        </w:rPr>
        <w:t>02.04.2025.</w:t>
      </w:r>
    </w:p>
    <w:p w14:paraId="34689EF9" w14:textId="14D231FC"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211</w:t>
      </w:r>
      <w:r w:rsidR="00B71030" w:rsidRPr="000C23D7">
        <w:rPr>
          <w:sz w:val="28"/>
          <w:szCs w:val="28"/>
          <w:lang w:val="kk-KZ"/>
        </w:rPr>
        <w:t xml:space="preserve"> </w:t>
      </w:r>
      <w:r w:rsidR="00E00DC9" w:rsidRPr="000C23D7">
        <w:rPr>
          <w:sz w:val="28"/>
          <w:szCs w:val="28"/>
          <w:lang w:val="en-US"/>
        </w:rPr>
        <w:t xml:space="preserve">Democracy and Human Rights in the OSCE: The ODIHR Annual Report 2024 </w:t>
      </w:r>
      <w:r w:rsidR="001304F6" w:rsidRPr="000C23D7">
        <w:rPr>
          <w:sz w:val="28"/>
          <w:szCs w:val="28"/>
          <w:lang w:val="en-US"/>
        </w:rPr>
        <w:t>/ OSCE Office for Democratic Institutions and Human Rights //</w:t>
      </w:r>
      <w:r w:rsidR="00E00DC9" w:rsidRPr="000C23D7">
        <w:rPr>
          <w:sz w:val="28"/>
          <w:szCs w:val="28"/>
          <w:lang w:val="en-US"/>
        </w:rPr>
        <w:t xml:space="preserve"> </w:t>
      </w:r>
      <w:hyperlink r:id="rId301" w:tgtFrame="_new" w:history="1">
        <w:r w:rsidR="00E00DC9" w:rsidRPr="000C23D7">
          <w:rPr>
            <w:rStyle w:val="Hyperlink"/>
            <w:color w:val="auto"/>
            <w:sz w:val="28"/>
            <w:szCs w:val="28"/>
            <w:u w:val="none"/>
            <w:lang w:val="en-US"/>
          </w:rPr>
          <w:t>https://www.osce.org/odihr/annual-report/2024</w:t>
        </w:r>
      </w:hyperlink>
      <w:r w:rsidR="001304F6" w:rsidRPr="000C23D7">
        <w:rPr>
          <w:rStyle w:val="Hyperlink"/>
          <w:color w:val="auto"/>
          <w:sz w:val="28"/>
          <w:szCs w:val="28"/>
          <w:u w:val="none"/>
          <w:lang w:val="en-US"/>
        </w:rPr>
        <w:t>.</w:t>
      </w:r>
      <w:r w:rsidR="00E00DC9" w:rsidRPr="000C23D7">
        <w:rPr>
          <w:sz w:val="28"/>
          <w:szCs w:val="28"/>
          <w:lang w:val="en-US"/>
        </w:rPr>
        <w:t xml:space="preserve"> 05.04.2025.</w:t>
      </w:r>
    </w:p>
    <w:p w14:paraId="2CA77805" w14:textId="46FE8FA7"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212</w:t>
      </w:r>
      <w:r w:rsidR="00B71030" w:rsidRPr="000C23D7">
        <w:rPr>
          <w:sz w:val="28"/>
          <w:szCs w:val="28"/>
          <w:lang w:val="kk-KZ"/>
        </w:rPr>
        <w:t xml:space="preserve"> </w:t>
      </w:r>
      <w:r w:rsidR="00E00DC9" w:rsidRPr="000C23D7">
        <w:rPr>
          <w:sz w:val="28"/>
          <w:szCs w:val="28"/>
          <w:lang w:val="en-US"/>
        </w:rPr>
        <w:t xml:space="preserve">Kazakhstan: Authorities employing various tactics to ensure ‘yes’ vote in nuke referendum </w:t>
      </w:r>
      <w:r w:rsidR="001304F6" w:rsidRPr="000C23D7">
        <w:rPr>
          <w:sz w:val="28"/>
          <w:szCs w:val="28"/>
          <w:lang w:val="en-US"/>
        </w:rPr>
        <w:t>/ Eurasianet //</w:t>
      </w:r>
      <w:r w:rsidR="00E00DC9" w:rsidRPr="000C23D7">
        <w:rPr>
          <w:sz w:val="28"/>
          <w:szCs w:val="28"/>
          <w:lang w:val="en-US"/>
        </w:rPr>
        <w:t xml:space="preserve"> </w:t>
      </w:r>
      <w:hyperlink r:id="rId302" w:history="1">
        <w:r w:rsidR="001304F6" w:rsidRPr="000C23D7">
          <w:rPr>
            <w:rStyle w:val="Hyperlink"/>
            <w:color w:val="auto"/>
            <w:sz w:val="28"/>
            <w:szCs w:val="28"/>
            <w:u w:val="none"/>
            <w:lang w:val="en-US"/>
          </w:rPr>
          <w:t>https://eurasianet.org/kazakhstan.</w:t>
        </w:r>
      </w:hyperlink>
      <w:r w:rsidR="00E00DC9" w:rsidRPr="000C23D7">
        <w:rPr>
          <w:sz w:val="28"/>
          <w:szCs w:val="28"/>
          <w:lang w:val="en-US"/>
        </w:rPr>
        <w:t xml:space="preserve"> 08.04.2025.</w:t>
      </w:r>
    </w:p>
    <w:p w14:paraId="2FB42F2F" w14:textId="29A2E140"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213</w:t>
      </w:r>
      <w:r w:rsidR="00B71030" w:rsidRPr="000C23D7">
        <w:rPr>
          <w:sz w:val="28"/>
          <w:szCs w:val="28"/>
          <w:lang w:val="kk-KZ"/>
        </w:rPr>
        <w:t xml:space="preserve"> </w:t>
      </w:r>
      <w:r w:rsidR="00E00DC9" w:rsidRPr="000C23D7">
        <w:rPr>
          <w:sz w:val="28"/>
          <w:szCs w:val="28"/>
          <w:lang w:val="en-US"/>
        </w:rPr>
        <w:t xml:space="preserve">An overview of the state of democracy and the situation regarding respect for human rights and fundamental freedoms in Kazakhstan </w:t>
      </w:r>
      <w:r w:rsidR="001304F6" w:rsidRPr="000C23D7">
        <w:rPr>
          <w:sz w:val="28"/>
          <w:szCs w:val="28"/>
          <w:lang w:val="en-US"/>
        </w:rPr>
        <w:t>/ Open Dialogue Foundation //</w:t>
      </w:r>
      <w:r w:rsidR="00E00DC9" w:rsidRPr="000C23D7">
        <w:rPr>
          <w:sz w:val="28"/>
          <w:szCs w:val="28"/>
          <w:lang w:val="en-US"/>
        </w:rPr>
        <w:t xml:space="preserve"> </w:t>
      </w:r>
      <w:hyperlink r:id="rId303" w:history="1">
        <w:r w:rsidR="001304F6" w:rsidRPr="000C23D7">
          <w:rPr>
            <w:rStyle w:val="Hyperlink"/>
            <w:color w:val="auto"/>
            <w:sz w:val="28"/>
            <w:szCs w:val="28"/>
            <w:u w:val="none"/>
            <w:lang w:val="en-US"/>
          </w:rPr>
          <w:t>https://en.odfoundation.eu/a/727640,political-repressions.</w:t>
        </w:r>
      </w:hyperlink>
      <w:r w:rsidR="00E00DC9" w:rsidRPr="000C23D7">
        <w:rPr>
          <w:sz w:val="28"/>
          <w:szCs w:val="28"/>
          <w:lang w:val="en-US"/>
        </w:rPr>
        <w:t xml:space="preserve"> 10.04.2025.</w:t>
      </w:r>
    </w:p>
    <w:p w14:paraId="2E82EFF9" w14:textId="04A5F9DC"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214</w:t>
      </w:r>
      <w:r w:rsidR="00B71030" w:rsidRPr="000C23D7">
        <w:rPr>
          <w:sz w:val="28"/>
          <w:szCs w:val="28"/>
          <w:lang w:val="kk-KZ"/>
        </w:rPr>
        <w:t xml:space="preserve"> </w:t>
      </w:r>
      <w:r w:rsidR="00E00DC9" w:rsidRPr="000C23D7">
        <w:rPr>
          <w:sz w:val="28"/>
          <w:szCs w:val="28"/>
          <w:lang w:val="en-US"/>
        </w:rPr>
        <w:t xml:space="preserve">Urgent concerns regarding human rights violations in Kazakhstan ahead of EU–Central Asia engagement </w:t>
      </w:r>
      <w:r w:rsidR="001304F6" w:rsidRPr="000C23D7">
        <w:rPr>
          <w:sz w:val="28"/>
          <w:szCs w:val="28"/>
          <w:lang w:val="en-US"/>
        </w:rPr>
        <w:t>/ Open Dialogue Foundation //</w:t>
      </w:r>
      <w:r w:rsidR="00E00DC9" w:rsidRPr="000C23D7">
        <w:rPr>
          <w:sz w:val="28"/>
          <w:szCs w:val="28"/>
          <w:lang w:val="en-US"/>
        </w:rPr>
        <w:t xml:space="preserve"> </w:t>
      </w:r>
      <w:hyperlink r:id="rId304" w:history="1">
        <w:r w:rsidR="001304F6" w:rsidRPr="000C23D7">
          <w:rPr>
            <w:rStyle w:val="Hyperlink"/>
            <w:color w:val="auto"/>
            <w:sz w:val="28"/>
            <w:szCs w:val="28"/>
            <w:u w:val="none"/>
            <w:lang w:val="en-US"/>
          </w:rPr>
          <w:t>https://en.odfoundation.eu/a/726971,urgent-concerns-regarding-human.</w:t>
        </w:r>
      </w:hyperlink>
      <w:r w:rsidR="00E00DC9" w:rsidRPr="000C23D7">
        <w:rPr>
          <w:sz w:val="28"/>
          <w:szCs w:val="28"/>
          <w:lang w:val="en-US"/>
        </w:rPr>
        <w:t xml:space="preserve"> 12.04.2025.</w:t>
      </w:r>
    </w:p>
    <w:p w14:paraId="703CEB63" w14:textId="01495265" w:rsidR="00E00DC9" w:rsidRPr="002064D8"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215</w:t>
      </w:r>
      <w:r w:rsidR="00B71030" w:rsidRPr="000C23D7">
        <w:rPr>
          <w:sz w:val="28"/>
          <w:szCs w:val="28"/>
          <w:lang w:val="kk-KZ"/>
        </w:rPr>
        <w:t xml:space="preserve"> </w:t>
      </w:r>
      <w:r w:rsidR="00E00DC9" w:rsidRPr="000C23D7">
        <w:rPr>
          <w:sz w:val="28"/>
          <w:szCs w:val="28"/>
          <w:lang w:val="en-US"/>
        </w:rPr>
        <w:t>Council of Europe Convention on preventing and combating violence against women and domestic violence (CETS No. 210)</w:t>
      </w:r>
      <w:r w:rsidR="001304F6" w:rsidRPr="000C23D7">
        <w:rPr>
          <w:sz w:val="28"/>
          <w:szCs w:val="28"/>
          <w:lang w:val="en-US"/>
        </w:rPr>
        <w:t xml:space="preserve"> / Council of Europe //</w:t>
      </w:r>
      <w:r w:rsidR="00E00DC9" w:rsidRPr="000C23D7">
        <w:rPr>
          <w:sz w:val="28"/>
          <w:szCs w:val="28"/>
          <w:lang w:val="en-US"/>
        </w:rPr>
        <w:t xml:space="preserve"> </w:t>
      </w:r>
      <w:hyperlink r:id="rId305" w:tgtFrame="_new" w:history="1">
        <w:r w:rsidR="00E00DC9" w:rsidRPr="000C23D7">
          <w:rPr>
            <w:rStyle w:val="Hyperlink"/>
            <w:color w:val="auto"/>
            <w:sz w:val="28"/>
            <w:szCs w:val="28"/>
            <w:u w:val="none"/>
            <w:lang w:val="en-US"/>
          </w:rPr>
          <w:t>https://rm.coe.int/168008482e</w:t>
        </w:r>
      </w:hyperlink>
      <w:r w:rsidR="001304F6" w:rsidRPr="000C23D7">
        <w:rPr>
          <w:rStyle w:val="Hyperlink"/>
          <w:color w:val="auto"/>
          <w:sz w:val="28"/>
          <w:szCs w:val="28"/>
          <w:u w:val="none"/>
          <w:lang w:val="en-US"/>
        </w:rPr>
        <w:t>.</w:t>
      </w:r>
      <w:r w:rsidR="00E00DC9" w:rsidRPr="000C23D7">
        <w:rPr>
          <w:sz w:val="28"/>
          <w:szCs w:val="28"/>
          <w:lang w:val="en-US"/>
        </w:rPr>
        <w:t xml:space="preserve"> </w:t>
      </w:r>
      <w:r w:rsidR="00E00DC9" w:rsidRPr="002064D8">
        <w:rPr>
          <w:sz w:val="28"/>
          <w:szCs w:val="28"/>
          <w:lang w:val="en-US"/>
        </w:rPr>
        <w:t>15.04.2025.</w:t>
      </w:r>
    </w:p>
    <w:p w14:paraId="6C1F1D30" w14:textId="7C377743" w:rsidR="00E00DC9" w:rsidRPr="000C23D7" w:rsidRDefault="006423E6" w:rsidP="00B71030">
      <w:pPr>
        <w:pStyle w:val="NormalWeb"/>
        <w:tabs>
          <w:tab w:val="left" w:pos="1276"/>
        </w:tabs>
        <w:spacing w:before="0" w:beforeAutospacing="0" w:after="0" w:afterAutospacing="0"/>
        <w:ind w:firstLine="709"/>
        <w:jc w:val="both"/>
        <w:rPr>
          <w:sz w:val="28"/>
          <w:szCs w:val="28"/>
          <w:lang w:val="en-US"/>
        </w:rPr>
      </w:pPr>
      <w:r w:rsidRPr="000C23D7">
        <w:rPr>
          <w:sz w:val="28"/>
          <w:szCs w:val="28"/>
          <w:lang w:val="kk-KZ"/>
        </w:rPr>
        <w:t>216</w:t>
      </w:r>
      <w:r w:rsidR="00B71030" w:rsidRPr="000C23D7">
        <w:rPr>
          <w:sz w:val="28"/>
          <w:szCs w:val="28"/>
          <w:lang w:val="kk-KZ"/>
        </w:rPr>
        <w:t xml:space="preserve"> </w:t>
      </w:r>
      <w:r w:rsidR="00E00DC9" w:rsidRPr="000C23D7">
        <w:rPr>
          <w:sz w:val="28"/>
          <w:szCs w:val="28"/>
          <w:lang w:val="en-US"/>
        </w:rPr>
        <w:t xml:space="preserve">Council of Europe Convention on the Protection of Children against Sexual Exploitation and Sexual Abuse (CETS No. 201) </w:t>
      </w:r>
      <w:r w:rsidR="001304F6" w:rsidRPr="000C23D7">
        <w:rPr>
          <w:sz w:val="28"/>
          <w:szCs w:val="28"/>
          <w:lang w:val="en-US"/>
        </w:rPr>
        <w:t>/ Council of Europe //</w:t>
      </w:r>
      <w:r w:rsidR="00E00DC9" w:rsidRPr="000C23D7">
        <w:rPr>
          <w:sz w:val="28"/>
          <w:szCs w:val="28"/>
          <w:lang w:val="en-US"/>
        </w:rPr>
        <w:t xml:space="preserve"> </w:t>
      </w:r>
      <w:hyperlink r:id="rId306" w:tgtFrame="_new" w:history="1">
        <w:r w:rsidR="00E00DC9" w:rsidRPr="000C23D7">
          <w:rPr>
            <w:rStyle w:val="Hyperlink"/>
            <w:color w:val="auto"/>
            <w:sz w:val="28"/>
            <w:szCs w:val="28"/>
            <w:u w:val="none"/>
            <w:lang w:val="en-US"/>
          </w:rPr>
          <w:t>https://rm.coe.int/1680084822</w:t>
        </w:r>
      </w:hyperlink>
      <w:r w:rsidR="001304F6" w:rsidRPr="000C23D7">
        <w:rPr>
          <w:rStyle w:val="Hyperlink"/>
          <w:color w:val="auto"/>
          <w:sz w:val="28"/>
          <w:szCs w:val="28"/>
          <w:u w:val="none"/>
          <w:lang w:val="en-US"/>
        </w:rPr>
        <w:t>.</w:t>
      </w:r>
      <w:r w:rsidR="00E00DC9" w:rsidRPr="000C23D7">
        <w:rPr>
          <w:sz w:val="28"/>
          <w:szCs w:val="28"/>
          <w:lang w:val="en-US"/>
        </w:rPr>
        <w:t xml:space="preserve"> 18.04.2025.</w:t>
      </w:r>
    </w:p>
    <w:p w14:paraId="5C4A7A9A" w14:textId="77777777" w:rsidR="00067BB2" w:rsidRPr="000C23D7" w:rsidRDefault="00067BB2" w:rsidP="00B71030">
      <w:pPr>
        <w:pStyle w:val="NormalWeb"/>
        <w:tabs>
          <w:tab w:val="left" w:pos="851"/>
          <w:tab w:val="left" w:pos="993"/>
          <w:tab w:val="left" w:pos="1276"/>
          <w:tab w:val="left" w:pos="1560"/>
        </w:tabs>
        <w:spacing w:before="0" w:beforeAutospacing="0" w:after="0" w:afterAutospacing="0"/>
        <w:ind w:firstLine="709"/>
        <w:jc w:val="both"/>
        <w:rPr>
          <w:sz w:val="28"/>
          <w:szCs w:val="28"/>
          <w:lang w:val="en-US"/>
        </w:rPr>
      </w:pPr>
    </w:p>
    <w:sectPr w:rsidR="00067BB2" w:rsidRPr="000C23D7" w:rsidSect="002A7FDD">
      <w:footerReference w:type="default" r:id="rId307"/>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EA769B" w14:textId="77777777" w:rsidR="000B12C2" w:rsidRDefault="000B12C2" w:rsidP="00750E98">
      <w:pPr>
        <w:spacing w:after="0" w:line="240" w:lineRule="auto"/>
      </w:pPr>
      <w:r>
        <w:separator/>
      </w:r>
    </w:p>
  </w:endnote>
  <w:endnote w:type="continuationSeparator" w:id="0">
    <w:p w14:paraId="7CD839D1" w14:textId="77777777" w:rsidR="000B12C2" w:rsidRDefault="000B12C2" w:rsidP="00750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3726313"/>
      <w:docPartObj>
        <w:docPartGallery w:val="Page Numbers (Bottom of Page)"/>
        <w:docPartUnique/>
      </w:docPartObj>
    </w:sdtPr>
    <w:sdtEndPr>
      <w:rPr>
        <w:rFonts w:ascii="Times New Roman" w:hAnsi="Times New Roman" w:cs="Times New Roman"/>
        <w:sz w:val="24"/>
        <w:szCs w:val="24"/>
      </w:rPr>
    </w:sdtEndPr>
    <w:sdtContent>
      <w:p w14:paraId="71128FF7" w14:textId="5E533D89" w:rsidR="005D5FED" w:rsidRPr="00593711" w:rsidRDefault="005D5FED" w:rsidP="00593711">
        <w:pPr>
          <w:pStyle w:val="Footer"/>
          <w:jc w:val="center"/>
          <w:rPr>
            <w:rFonts w:ascii="Times New Roman" w:hAnsi="Times New Roman" w:cs="Times New Roman"/>
            <w:sz w:val="24"/>
            <w:szCs w:val="24"/>
          </w:rPr>
        </w:pPr>
        <w:r w:rsidRPr="00166198">
          <w:rPr>
            <w:rFonts w:ascii="Times New Roman" w:hAnsi="Times New Roman" w:cs="Times New Roman"/>
            <w:sz w:val="24"/>
            <w:szCs w:val="24"/>
          </w:rPr>
          <w:fldChar w:fldCharType="begin"/>
        </w:r>
        <w:r w:rsidRPr="00166198">
          <w:rPr>
            <w:rFonts w:ascii="Times New Roman" w:hAnsi="Times New Roman" w:cs="Times New Roman"/>
            <w:sz w:val="24"/>
            <w:szCs w:val="24"/>
          </w:rPr>
          <w:instrText>PAGE   \* MERGEFORMAT</w:instrText>
        </w:r>
        <w:r w:rsidRPr="00166198">
          <w:rPr>
            <w:rFonts w:ascii="Times New Roman" w:hAnsi="Times New Roman" w:cs="Times New Roman"/>
            <w:sz w:val="24"/>
            <w:szCs w:val="24"/>
          </w:rPr>
          <w:fldChar w:fldCharType="separate"/>
        </w:r>
        <w:r w:rsidR="00AD6D54">
          <w:rPr>
            <w:rFonts w:ascii="Times New Roman" w:hAnsi="Times New Roman" w:cs="Times New Roman"/>
            <w:noProof/>
            <w:sz w:val="24"/>
            <w:szCs w:val="24"/>
          </w:rPr>
          <w:t>34</w:t>
        </w:r>
        <w:r w:rsidRPr="0016619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E55AC" w14:textId="77777777" w:rsidR="000B12C2" w:rsidRDefault="000B12C2" w:rsidP="00750E98">
      <w:pPr>
        <w:spacing w:after="0" w:line="240" w:lineRule="auto"/>
      </w:pPr>
      <w:r>
        <w:separator/>
      </w:r>
    </w:p>
  </w:footnote>
  <w:footnote w:type="continuationSeparator" w:id="0">
    <w:p w14:paraId="65A58CB7" w14:textId="77777777" w:rsidR="000B12C2" w:rsidRDefault="000B12C2" w:rsidP="00750E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31A98"/>
    <w:multiLevelType w:val="hybridMultilevel"/>
    <w:tmpl w:val="D5CA5AFE"/>
    <w:lvl w:ilvl="0" w:tplc="D45A25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10D661C"/>
    <w:multiLevelType w:val="hybridMultilevel"/>
    <w:tmpl w:val="2D4C0EB0"/>
    <w:lvl w:ilvl="0" w:tplc="9656FD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A5E117C"/>
    <w:multiLevelType w:val="hybridMultilevel"/>
    <w:tmpl w:val="072C8C02"/>
    <w:lvl w:ilvl="0" w:tplc="9656FD32">
      <w:start w:val="1"/>
      <w:numFmt w:val="bullet"/>
      <w:lvlText w:val="–"/>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CED4EA7"/>
    <w:multiLevelType w:val="hybridMultilevel"/>
    <w:tmpl w:val="E2A2E9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4BC4631"/>
    <w:multiLevelType w:val="hybridMultilevel"/>
    <w:tmpl w:val="6DFE0C04"/>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3F8816A4"/>
    <w:multiLevelType w:val="hybridMultilevel"/>
    <w:tmpl w:val="B0B81F0C"/>
    <w:lvl w:ilvl="0" w:tplc="7B2E3B58">
      <w:start w:val="1"/>
      <w:numFmt w:val="decimal"/>
      <w:lvlText w:val="%1"/>
      <w:lvlJc w:val="left"/>
      <w:pPr>
        <w:ind w:left="72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B12708"/>
    <w:multiLevelType w:val="hybridMultilevel"/>
    <w:tmpl w:val="23CE14A6"/>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58021677"/>
    <w:multiLevelType w:val="hybridMultilevel"/>
    <w:tmpl w:val="2DB03C8A"/>
    <w:lvl w:ilvl="0" w:tplc="9656FD32">
      <w:start w:val="1"/>
      <w:numFmt w:val="bullet"/>
      <w:lvlText w:val="–"/>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A066473"/>
    <w:multiLevelType w:val="hybridMultilevel"/>
    <w:tmpl w:val="B8FC4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C2A12EE"/>
    <w:multiLevelType w:val="hybridMultilevel"/>
    <w:tmpl w:val="54D020FC"/>
    <w:lvl w:ilvl="0" w:tplc="9656FD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DA97464"/>
    <w:multiLevelType w:val="hybridMultilevel"/>
    <w:tmpl w:val="93B29D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2633C3D"/>
    <w:multiLevelType w:val="multilevel"/>
    <w:tmpl w:val="F5E8634A"/>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E9335B"/>
    <w:multiLevelType w:val="hybridMultilevel"/>
    <w:tmpl w:val="C7F81E3C"/>
    <w:lvl w:ilvl="0" w:tplc="9656FD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0DF786F"/>
    <w:multiLevelType w:val="hybridMultilevel"/>
    <w:tmpl w:val="E9089624"/>
    <w:lvl w:ilvl="0" w:tplc="9656FD32">
      <w:start w:val="1"/>
      <w:numFmt w:val="bullet"/>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2EB7792"/>
    <w:multiLevelType w:val="hybridMultilevel"/>
    <w:tmpl w:val="FADEB09E"/>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5" w15:restartNumberingAfterBreak="0">
    <w:nsid w:val="7325224F"/>
    <w:multiLevelType w:val="hybridMultilevel"/>
    <w:tmpl w:val="CD6A1560"/>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6" w15:restartNumberingAfterBreak="0">
    <w:nsid w:val="75CD1695"/>
    <w:multiLevelType w:val="hybridMultilevel"/>
    <w:tmpl w:val="AC502E48"/>
    <w:lvl w:ilvl="0" w:tplc="9656FD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13"/>
  </w:num>
  <w:num w:numId="3">
    <w:abstractNumId w:val="6"/>
  </w:num>
  <w:num w:numId="4">
    <w:abstractNumId w:val="5"/>
  </w:num>
  <w:num w:numId="5">
    <w:abstractNumId w:val="10"/>
  </w:num>
  <w:num w:numId="6">
    <w:abstractNumId w:val="12"/>
  </w:num>
  <w:num w:numId="7">
    <w:abstractNumId w:val="2"/>
  </w:num>
  <w:num w:numId="8">
    <w:abstractNumId w:val="16"/>
  </w:num>
  <w:num w:numId="9">
    <w:abstractNumId w:val="11"/>
  </w:num>
  <w:num w:numId="10">
    <w:abstractNumId w:val="9"/>
  </w:num>
  <w:num w:numId="11">
    <w:abstractNumId w:val="4"/>
  </w:num>
  <w:num w:numId="12">
    <w:abstractNumId w:val="7"/>
  </w:num>
  <w:num w:numId="13">
    <w:abstractNumId w:val="1"/>
  </w:num>
  <w:num w:numId="14">
    <w:abstractNumId w:val="8"/>
  </w:num>
  <w:num w:numId="15">
    <w:abstractNumId w:val="0"/>
  </w:num>
  <w:num w:numId="16">
    <w:abstractNumId w:val="15"/>
  </w:num>
  <w:num w:numId="1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187"/>
    <w:rsid w:val="00001083"/>
    <w:rsid w:val="000013AA"/>
    <w:rsid w:val="00004F9E"/>
    <w:rsid w:val="00042608"/>
    <w:rsid w:val="00067BB2"/>
    <w:rsid w:val="000719AF"/>
    <w:rsid w:val="00071B1D"/>
    <w:rsid w:val="000745A7"/>
    <w:rsid w:val="00082158"/>
    <w:rsid w:val="00084BCB"/>
    <w:rsid w:val="0009101D"/>
    <w:rsid w:val="0009440D"/>
    <w:rsid w:val="000954CD"/>
    <w:rsid w:val="00095915"/>
    <w:rsid w:val="000B0429"/>
    <w:rsid w:val="000B12C2"/>
    <w:rsid w:val="000B61C4"/>
    <w:rsid w:val="000C23D7"/>
    <w:rsid w:val="000C6BD3"/>
    <w:rsid w:val="000D01FC"/>
    <w:rsid w:val="000D6651"/>
    <w:rsid w:val="000E5EC7"/>
    <w:rsid w:val="000E69F3"/>
    <w:rsid w:val="000F6FD3"/>
    <w:rsid w:val="00104ED2"/>
    <w:rsid w:val="00115E1F"/>
    <w:rsid w:val="001174A2"/>
    <w:rsid w:val="00123D4E"/>
    <w:rsid w:val="001300B0"/>
    <w:rsid w:val="001303E1"/>
    <w:rsid w:val="001304F6"/>
    <w:rsid w:val="0014676E"/>
    <w:rsid w:val="00154464"/>
    <w:rsid w:val="00154978"/>
    <w:rsid w:val="00155D89"/>
    <w:rsid w:val="00163957"/>
    <w:rsid w:val="00166198"/>
    <w:rsid w:val="00171C2F"/>
    <w:rsid w:val="00173777"/>
    <w:rsid w:val="001779FC"/>
    <w:rsid w:val="00177E22"/>
    <w:rsid w:val="001837A7"/>
    <w:rsid w:val="00183C5B"/>
    <w:rsid w:val="00187279"/>
    <w:rsid w:val="00190A75"/>
    <w:rsid w:val="00192E07"/>
    <w:rsid w:val="001935D0"/>
    <w:rsid w:val="001A0AB0"/>
    <w:rsid w:val="001A4BFA"/>
    <w:rsid w:val="001A6DAB"/>
    <w:rsid w:val="001B4D8E"/>
    <w:rsid w:val="001C35B3"/>
    <w:rsid w:val="001C4344"/>
    <w:rsid w:val="001C67AB"/>
    <w:rsid w:val="001D4920"/>
    <w:rsid w:val="001D5E74"/>
    <w:rsid w:val="001E43B1"/>
    <w:rsid w:val="001E749B"/>
    <w:rsid w:val="001F17DB"/>
    <w:rsid w:val="00203310"/>
    <w:rsid w:val="002064D8"/>
    <w:rsid w:val="00214DF5"/>
    <w:rsid w:val="00223103"/>
    <w:rsid w:val="00226D23"/>
    <w:rsid w:val="002301E1"/>
    <w:rsid w:val="00235963"/>
    <w:rsid w:val="00242D21"/>
    <w:rsid w:val="00254063"/>
    <w:rsid w:val="00260DB9"/>
    <w:rsid w:val="002640ED"/>
    <w:rsid w:val="0027189F"/>
    <w:rsid w:val="00284256"/>
    <w:rsid w:val="00284704"/>
    <w:rsid w:val="002A0A00"/>
    <w:rsid w:val="002A7FDD"/>
    <w:rsid w:val="002C0787"/>
    <w:rsid w:val="002C624F"/>
    <w:rsid w:val="002D1352"/>
    <w:rsid w:val="002D15CA"/>
    <w:rsid w:val="002D4C22"/>
    <w:rsid w:val="002E1709"/>
    <w:rsid w:val="002E347B"/>
    <w:rsid w:val="002F38EF"/>
    <w:rsid w:val="002F78E3"/>
    <w:rsid w:val="003042D0"/>
    <w:rsid w:val="003116D7"/>
    <w:rsid w:val="00311D19"/>
    <w:rsid w:val="0031402A"/>
    <w:rsid w:val="00331411"/>
    <w:rsid w:val="00356570"/>
    <w:rsid w:val="0036118C"/>
    <w:rsid w:val="00364EC3"/>
    <w:rsid w:val="00365605"/>
    <w:rsid w:val="00367660"/>
    <w:rsid w:val="003732FC"/>
    <w:rsid w:val="003751B9"/>
    <w:rsid w:val="00385C17"/>
    <w:rsid w:val="00391CB4"/>
    <w:rsid w:val="003975C3"/>
    <w:rsid w:val="003A5CBD"/>
    <w:rsid w:val="003A67E1"/>
    <w:rsid w:val="003B1CD7"/>
    <w:rsid w:val="003B603C"/>
    <w:rsid w:val="003C795B"/>
    <w:rsid w:val="003D1AA7"/>
    <w:rsid w:val="003D2246"/>
    <w:rsid w:val="003E0E06"/>
    <w:rsid w:val="003E0E6C"/>
    <w:rsid w:val="003F29AB"/>
    <w:rsid w:val="00402237"/>
    <w:rsid w:val="00406C05"/>
    <w:rsid w:val="00410DE8"/>
    <w:rsid w:val="0041132C"/>
    <w:rsid w:val="00414475"/>
    <w:rsid w:val="00415EB5"/>
    <w:rsid w:val="00423585"/>
    <w:rsid w:val="0042430C"/>
    <w:rsid w:val="00430E8C"/>
    <w:rsid w:val="00436FF8"/>
    <w:rsid w:val="004378D9"/>
    <w:rsid w:val="00442A3F"/>
    <w:rsid w:val="00444719"/>
    <w:rsid w:val="00447223"/>
    <w:rsid w:val="004519C8"/>
    <w:rsid w:val="00461D6C"/>
    <w:rsid w:val="00473B9E"/>
    <w:rsid w:val="00475797"/>
    <w:rsid w:val="00481EE2"/>
    <w:rsid w:val="004940CA"/>
    <w:rsid w:val="00496B7F"/>
    <w:rsid w:val="004A3405"/>
    <w:rsid w:val="004A4C34"/>
    <w:rsid w:val="004B26A3"/>
    <w:rsid w:val="004B2E63"/>
    <w:rsid w:val="004B485B"/>
    <w:rsid w:val="004B74EE"/>
    <w:rsid w:val="004D23B9"/>
    <w:rsid w:val="004D613E"/>
    <w:rsid w:val="004D799D"/>
    <w:rsid w:val="004E046E"/>
    <w:rsid w:val="004F42EA"/>
    <w:rsid w:val="004F55B0"/>
    <w:rsid w:val="0050180C"/>
    <w:rsid w:val="00503A43"/>
    <w:rsid w:val="005052F5"/>
    <w:rsid w:val="005073FA"/>
    <w:rsid w:val="0051166F"/>
    <w:rsid w:val="00517F9F"/>
    <w:rsid w:val="005324D4"/>
    <w:rsid w:val="00532BF7"/>
    <w:rsid w:val="0054462C"/>
    <w:rsid w:val="005452E9"/>
    <w:rsid w:val="00547E84"/>
    <w:rsid w:val="00552084"/>
    <w:rsid w:val="00554963"/>
    <w:rsid w:val="00560E8B"/>
    <w:rsid w:val="0056275C"/>
    <w:rsid w:val="00566B75"/>
    <w:rsid w:val="005672CE"/>
    <w:rsid w:val="00582385"/>
    <w:rsid w:val="0058454E"/>
    <w:rsid w:val="00585EC3"/>
    <w:rsid w:val="00591AC3"/>
    <w:rsid w:val="00593711"/>
    <w:rsid w:val="00593F14"/>
    <w:rsid w:val="005A0016"/>
    <w:rsid w:val="005A039B"/>
    <w:rsid w:val="005A37FB"/>
    <w:rsid w:val="005A3DF6"/>
    <w:rsid w:val="005A640A"/>
    <w:rsid w:val="005B18AD"/>
    <w:rsid w:val="005B2792"/>
    <w:rsid w:val="005C6637"/>
    <w:rsid w:val="005D0FEC"/>
    <w:rsid w:val="005D23CA"/>
    <w:rsid w:val="005D5FED"/>
    <w:rsid w:val="005D6BF2"/>
    <w:rsid w:val="005E1D43"/>
    <w:rsid w:val="005E7E39"/>
    <w:rsid w:val="005F018E"/>
    <w:rsid w:val="005F3EF1"/>
    <w:rsid w:val="005F4EEC"/>
    <w:rsid w:val="005F7C41"/>
    <w:rsid w:val="005F7DC0"/>
    <w:rsid w:val="006016C5"/>
    <w:rsid w:val="006028AF"/>
    <w:rsid w:val="00605443"/>
    <w:rsid w:val="0060575C"/>
    <w:rsid w:val="006076B4"/>
    <w:rsid w:val="00612979"/>
    <w:rsid w:val="00614B7F"/>
    <w:rsid w:val="006172B5"/>
    <w:rsid w:val="00622DF4"/>
    <w:rsid w:val="006301A3"/>
    <w:rsid w:val="00634764"/>
    <w:rsid w:val="00635AB5"/>
    <w:rsid w:val="00636587"/>
    <w:rsid w:val="006423E6"/>
    <w:rsid w:val="00643325"/>
    <w:rsid w:val="00654E8E"/>
    <w:rsid w:val="006716D4"/>
    <w:rsid w:val="006717FF"/>
    <w:rsid w:val="006745F8"/>
    <w:rsid w:val="00675232"/>
    <w:rsid w:val="0067561B"/>
    <w:rsid w:val="00680260"/>
    <w:rsid w:val="0069245C"/>
    <w:rsid w:val="006A0854"/>
    <w:rsid w:val="006A4DE5"/>
    <w:rsid w:val="006A7C04"/>
    <w:rsid w:val="006B1EB4"/>
    <w:rsid w:val="006B5F52"/>
    <w:rsid w:val="006D0192"/>
    <w:rsid w:val="006D7FD4"/>
    <w:rsid w:val="00704D95"/>
    <w:rsid w:val="00720CF0"/>
    <w:rsid w:val="0072115D"/>
    <w:rsid w:val="007239F6"/>
    <w:rsid w:val="00724039"/>
    <w:rsid w:val="00731D70"/>
    <w:rsid w:val="00731FDB"/>
    <w:rsid w:val="00740509"/>
    <w:rsid w:val="00741C76"/>
    <w:rsid w:val="00750E98"/>
    <w:rsid w:val="00753096"/>
    <w:rsid w:val="007560B5"/>
    <w:rsid w:val="007615D9"/>
    <w:rsid w:val="007651C8"/>
    <w:rsid w:val="007916E1"/>
    <w:rsid w:val="007917AB"/>
    <w:rsid w:val="007931DB"/>
    <w:rsid w:val="00795185"/>
    <w:rsid w:val="007A0F38"/>
    <w:rsid w:val="007A660E"/>
    <w:rsid w:val="007A69F0"/>
    <w:rsid w:val="007C324F"/>
    <w:rsid w:val="007C7FCD"/>
    <w:rsid w:val="007D1188"/>
    <w:rsid w:val="007D2D76"/>
    <w:rsid w:val="007E3949"/>
    <w:rsid w:val="007E5770"/>
    <w:rsid w:val="007E6700"/>
    <w:rsid w:val="007E6B84"/>
    <w:rsid w:val="007E7AB0"/>
    <w:rsid w:val="007F4410"/>
    <w:rsid w:val="007F4FB6"/>
    <w:rsid w:val="007F7C93"/>
    <w:rsid w:val="00800496"/>
    <w:rsid w:val="0080126E"/>
    <w:rsid w:val="00803AAB"/>
    <w:rsid w:val="00807861"/>
    <w:rsid w:val="00810721"/>
    <w:rsid w:val="00811F16"/>
    <w:rsid w:val="00813DBE"/>
    <w:rsid w:val="00822303"/>
    <w:rsid w:val="008228E1"/>
    <w:rsid w:val="00824905"/>
    <w:rsid w:val="008314DF"/>
    <w:rsid w:val="00831635"/>
    <w:rsid w:val="008318A9"/>
    <w:rsid w:val="00836942"/>
    <w:rsid w:val="008626D4"/>
    <w:rsid w:val="00862D69"/>
    <w:rsid w:val="008771FC"/>
    <w:rsid w:val="008869E6"/>
    <w:rsid w:val="0089040E"/>
    <w:rsid w:val="008A3FDC"/>
    <w:rsid w:val="008A42E6"/>
    <w:rsid w:val="008B0929"/>
    <w:rsid w:val="008C305C"/>
    <w:rsid w:val="008C65D5"/>
    <w:rsid w:val="008C763B"/>
    <w:rsid w:val="008D0650"/>
    <w:rsid w:val="008D56FF"/>
    <w:rsid w:val="008D5CAF"/>
    <w:rsid w:val="008D6979"/>
    <w:rsid w:val="008D74A2"/>
    <w:rsid w:val="008D754F"/>
    <w:rsid w:val="008D7565"/>
    <w:rsid w:val="008E1C22"/>
    <w:rsid w:val="008E5D0E"/>
    <w:rsid w:val="008E6062"/>
    <w:rsid w:val="008F2BB1"/>
    <w:rsid w:val="008F3368"/>
    <w:rsid w:val="008F42D6"/>
    <w:rsid w:val="008F6DF4"/>
    <w:rsid w:val="0090282C"/>
    <w:rsid w:val="009125F2"/>
    <w:rsid w:val="00912FF9"/>
    <w:rsid w:val="00914CC5"/>
    <w:rsid w:val="0091701F"/>
    <w:rsid w:val="00924ECB"/>
    <w:rsid w:val="009250E6"/>
    <w:rsid w:val="00930D2D"/>
    <w:rsid w:val="009428C0"/>
    <w:rsid w:val="00943D93"/>
    <w:rsid w:val="00953E45"/>
    <w:rsid w:val="00954DB6"/>
    <w:rsid w:val="00955434"/>
    <w:rsid w:val="009607CE"/>
    <w:rsid w:val="00964461"/>
    <w:rsid w:val="00966003"/>
    <w:rsid w:val="00971E2F"/>
    <w:rsid w:val="0097519F"/>
    <w:rsid w:val="00980A55"/>
    <w:rsid w:val="00993A45"/>
    <w:rsid w:val="009959C2"/>
    <w:rsid w:val="00996491"/>
    <w:rsid w:val="00997DAC"/>
    <w:rsid w:val="009B0B05"/>
    <w:rsid w:val="009B0F11"/>
    <w:rsid w:val="009B5A71"/>
    <w:rsid w:val="009B7501"/>
    <w:rsid w:val="009D7580"/>
    <w:rsid w:val="009E3B02"/>
    <w:rsid w:val="009E3DB9"/>
    <w:rsid w:val="009F3DD5"/>
    <w:rsid w:val="00A12E5F"/>
    <w:rsid w:val="00A162F7"/>
    <w:rsid w:val="00A201CA"/>
    <w:rsid w:val="00A310B4"/>
    <w:rsid w:val="00A342ED"/>
    <w:rsid w:val="00A41D15"/>
    <w:rsid w:val="00A44536"/>
    <w:rsid w:val="00A4531E"/>
    <w:rsid w:val="00A453BF"/>
    <w:rsid w:val="00A45413"/>
    <w:rsid w:val="00A512CC"/>
    <w:rsid w:val="00A56E77"/>
    <w:rsid w:val="00A572C8"/>
    <w:rsid w:val="00A6086E"/>
    <w:rsid w:val="00A666E2"/>
    <w:rsid w:val="00A67C1D"/>
    <w:rsid w:val="00A75336"/>
    <w:rsid w:val="00A76465"/>
    <w:rsid w:val="00A8011E"/>
    <w:rsid w:val="00A85A43"/>
    <w:rsid w:val="00A96972"/>
    <w:rsid w:val="00AA02E1"/>
    <w:rsid w:val="00AA0A89"/>
    <w:rsid w:val="00AB02A9"/>
    <w:rsid w:val="00AB2CA5"/>
    <w:rsid w:val="00AC103B"/>
    <w:rsid w:val="00AD58E6"/>
    <w:rsid w:val="00AD6D54"/>
    <w:rsid w:val="00AD7ADB"/>
    <w:rsid w:val="00AD7DCA"/>
    <w:rsid w:val="00AE47D3"/>
    <w:rsid w:val="00AE60C9"/>
    <w:rsid w:val="00AF6AF4"/>
    <w:rsid w:val="00B00632"/>
    <w:rsid w:val="00B04004"/>
    <w:rsid w:val="00B04DD8"/>
    <w:rsid w:val="00B27DB3"/>
    <w:rsid w:val="00B31198"/>
    <w:rsid w:val="00B311C8"/>
    <w:rsid w:val="00B34952"/>
    <w:rsid w:val="00B4289A"/>
    <w:rsid w:val="00B60D80"/>
    <w:rsid w:val="00B6261B"/>
    <w:rsid w:val="00B71030"/>
    <w:rsid w:val="00B81797"/>
    <w:rsid w:val="00B83AF6"/>
    <w:rsid w:val="00B91B61"/>
    <w:rsid w:val="00B9455D"/>
    <w:rsid w:val="00B95F56"/>
    <w:rsid w:val="00BB21F0"/>
    <w:rsid w:val="00BC1176"/>
    <w:rsid w:val="00BC3508"/>
    <w:rsid w:val="00BC5620"/>
    <w:rsid w:val="00BC747D"/>
    <w:rsid w:val="00BD18BE"/>
    <w:rsid w:val="00BE08FE"/>
    <w:rsid w:val="00BE2BCE"/>
    <w:rsid w:val="00BF1D45"/>
    <w:rsid w:val="00BF36C4"/>
    <w:rsid w:val="00BF5E41"/>
    <w:rsid w:val="00BF7A2D"/>
    <w:rsid w:val="00C05485"/>
    <w:rsid w:val="00C06E10"/>
    <w:rsid w:val="00C11870"/>
    <w:rsid w:val="00C14B26"/>
    <w:rsid w:val="00C2086E"/>
    <w:rsid w:val="00C234AC"/>
    <w:rsid w:val="00C24D6D"/>
    <w:rsid w:val="00C30B7D"/>
    <w:rsid w:val="00C37634"/>
    <w:rsid w:val="00C40E97"/>
    <w:rsid w:val="00C41150"/>
    <w:rsid w:val="00C41E57"/>
    <w:rsid w:val="00C47675"/>
    <w:rsid w:val="00C52505"/>
    <w:rsid w:val="00C57BD3"/>
    <w:rsid w:val="00C65404"/>
    <w:rsid w:val="00C65CF0"/>
    <w:rsid w:val="00C72DDC"/>
    <w:rsid w:val="00C7589F"/>
    <w:rsid w:val="00C81C8A"/>
    <w:rsid w:val="00C90C14"/>
    <w:rsid w:val="00CA0909"/>
    <w:rsid w:val="00CA2AE3"/>
    <w:rsid w:val="00CA7410"/>
    <w:rsid w:val="00CB265F"/>
    <w:rsid w:val="00CB3D1B"/>
    <w:rsid w:val="00CB436A"/>
    <w:rsid w:val="00CB7425"/>
    <w:rsid w:val="00CB753F"/>
    <w:rsid w:val="00CC663E"/>
    <w:rsid w:val="00CC6FB3"/>
    <w:rsid w:val="00CD51E5"/>
    <w:rsid w:val="00CD5B8D"/>
    <w:rsid w:val="00CE1A2B"/>
    <w:rsid w:val="00CE1D94"/>
    <w:rsid w:val="00CE4679"/>
    <w:rsid w:val="00CE7D5C"/>
    <w:rsid w:val="00CF2560"/>
    <w:rsid w:val="00CF4B99"/>
    <w:rsid w:val="00CF6187"/>
    <w:rsid w:val="00D006EF"/>
    <w:rsid w:val="00D02B71"/>
    <w:rsid w:val="00D2134F"/>
    <w:rsid w:val="00D34DF2"/>
    <w:rsid w:val="00D40BFB"/>
    <w:rsid w:val="00D43499"/>
    <w:rsid w:val="00D45D84"/>
    <w:rsid w:val="00D615FF"/>
    <w:rsid w:val="00D65002"/>
    <w:rsid w:val="00D76418"/>
    <w:rsid w:val="00D86AD0"/>
    <w:rsid w:val="00D966E2"/>
    <w:rsid w:val="00D975FE"/>
    <w:rsid w:val="00DA69AD"/>
    <w:rsid w:val="00DA7BAC"/>
    <w:rsid w:val="00DB53F2"/>
    <w:rsid w:val="00DB6211"/>
    <w:rsid w:val="00DB7626"/>
    <w:rsid w:val="00DC5451"/>
    <w:rsid w:val="00DD03E0"/>
    <w:rsid w:val="00DD22D4"/>
    <w:rsid w:val="00DD4106"/>
    <w:rsid w:val="00DD603D"/>
    <w:rsid w:val="00DD638D"/>
    <w:rsid w:val="00DE045C"/>
    <w:rsid w:val="00DF5DF2"/>
    <w:rsid w:val="00E00DC9"/>
    <w:rsid w:val="00E02B9C"/>
    <w:rsid w:val="00E05332"/>
    <w:rsid w:val="00E123B1"/>
    <w:rsid w:val="00E177F3"/>
    <w:rsid w:val="00E31774"/>
    <w:rsid w:val="00E34D04"/>
    <w:rsid w:val="00E35819"/>
    <w:rsid w:val="00E569B8"/>
    <w:rsid w:val="00E655BC"/>
    <w:rsid w:val="00E83C8C"/>
    <w:rsid w:val="00E84EE1"/>
    <w:rsid w:val="00E91D45"/>
    <w:rsid w:val="00E94B29"/>
    <w:rsid w:val="00E975EE"/>
    <w:rsid w:val="00EA1184"/>
    <w:rsid w:val="00EA4AC2"/>
    <w:rsid w:val="00EA730D"/>
    <w:rsid w:val="00EB1A84"/>
    <w:rsid w:val="00EB26A4"/>
    <w:rsid w:val="00EB6312"/>
    <w:rsid w:val="00EB7B6A"/>
    <w:rsid w:val="00EC1324"/>
    <w:rsid w:val="00EC2920"/>
    <w:rsid w:val="00EC43F8"/>
    <w:rsid w:val="00EC6B67"/>
    <w:rsid w:val="00EE2C3E"/>
    <w:rsid w:val="00EF3C7D"/>
    <w:rsid w:val="00EF3FF2"/>
    <w:rsid w:val="00EF6EE8"/>
    <w:rsid w:val="00EF7B93"/>
    <w:rsid w:val="00F0351F"/>
    <w:rsid w:val="00F03628"/>
    <w:rsid w:val="00F03A16"/>
    <w:rsid w:val="00F0697E"/>
    <w:rsid w:val="00F116BD"/>
    <w:rsid w:val="00F17D18"/>
    <w:rsid w:val="00F26F28"/>
    <w:rsid w:val="00F33978"/>
    <w:rsid w:val="00F33B95"/>
    <w:rsid w:val="00F3467E"/>
    <w:rsid w:val="00F7454F"/>
    <w:rsid w:val="00F7638F"/>
    <w:rsid w:val="00F76B39"/>
    <w:rsid w:val="00F76CDD"/>
    <w:rsid w:val="00F80E22"/>
    <w:rsid w:val="00F830B0"/>
    <w:rsid w:val="00F85236"/>
    <w:rsid w:val="00F92F44"/>
    <w:rsid w:val="00FA02FB"/>
    <w:rsid w:val="00FA279E"/>
    <w:rsid w:val="00FA4676"/>
    <w:rsid w:val="00FB42C6"/>
    <w:rsid w:val="00FC4348"/>
    <w:rsid w:val="00FC7EB8"/>
    <w:rsid w:val="00FF5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84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113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737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Heading3">
    <w:name w:val="heading 3"/>
    <w:basedOn w:val="Normal"/>
    <w:link w:val="Heading3Char"/>
    <w:uiPriority w:val="9"/>
    <w:qFormat/>
    <w:rsid w:val="0017377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Heading4">
    <w:name w:val="heading 4"/>
    <w:basedOn w:val="Normal"/>
    <w:next w:val="Normal"/>
    <w:link w:val="Heading4Char"/>
    <w:uiPriority w:val="9"/>
    <w:unhideWhenUsed/>
    <w:qFormat/>
    <w:rsid w:val="00BD18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qFormat/>
    <w:rsid w:val="0017377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Heading6">
    <w:name w:val="heading 6"/>
    <w:basedOn w:val="Normal"/>
    <w:link w:val="Heading6Char"/>
    <w:uiPriority w:val="9"/>
    <w:qFormat/>
    <w:rsid w:val="0017377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32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73777"/>
    <w:rPr>
      <w:rFonts w:ascii="Times New Roman" w:eastAsia="Times New Roman" w:hAnsi="Times New Roman" w:cs="Times New Roman"/>
      <w:b/>
      <w:bCs/>
      <w:sz w:val="36"/>
      <w:szCs w:val="36"/>
      <w:lang w:eastAsia="ru-RU"/>
    </w:rPr>
  </w:style>
  <w:style w:type="character" w:customStyle="1" w:styleId="Heading3Char">
    <w:name w:val="Heading 3 Char"/>
    <w:basedOn w:val="DefaultParagraphFont"/>
    <w:link w:val="Heading3"/>
    <w:uiPriority w:val="9"/>
    <w:rsid w:val="00173777"/>
    <w:rPr>
      <w:rFonts w:ascii="Times New Roman" w:eastAsia="Times New Roman" w:hAnsi="Times New Roman" w:cs="Times New Roman"/>
      <w:b/>
      <w:bCs/>
      <w:sz w:val="27"/>
      <w:szCs w:val="27"/>
      <w:lang w:eastAsia="ru-RU"/>
    </w:rPr>
  </w:style>
  <w:style w:type="character" w:customStyle="1" w:styleId="Heading4Char">
    <w:name w:val="Heading 4 Char"/>
    <w:basedOn w:val="DefaultParagraphFont"/>
    <w:link w:val="Heading4"/>
    <w:uiPriority w:val="9"/>
    <w:rsid w:val="00BD18B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73777"/>
    <w:rPr>
      <w:rFonts w:ascii="Times New Roman" w:eastAsia="Times New Roman" w:hAnsi="Times New Roman" w:cs="Times New Roman"/>
      <w:b/>
      <w:bCs/>
      <w:sz w:val="20"/>
      <w:szCs w:val="20"/>
      <w:lang w:eastAsia="ru-RU"/>
    </w:rPr>
  </w:style>
  <w:style w:type="character" w:customStyle="1" w:styleId="Heading6Char">
    <w:name w:val="Heading 6 Char"/>
    <w:basedOn w:val="DefaultParagraphFont"/>
    <w:link w:val="Heading6"/>
    <w:uiPriority w:val="9"/>
    <w:rsid w:val="00173777"/>
    <w:rPr>
      <w:rFonts w:ascii="Times New Roman" w:eastAsia="Times New Roman" w:hAnsi="Times New Roman" w:cs="Times New Roman"/>
      <w:b/>
      <w:bCs/>
      <w:sz w:val="15"/>
      <w:szCs w:val="15"/>
      <w:lang w:eastAsia="ru-RU"/>
    </w:rPr>
  </w:style>
  <w:style w:type="character" w:styleId="Strong">
    <w:name w:val="Strong"/>
    <w:basedOn w:val="DefaultParagraphFont"/>
    <w:uiPriority w:val="22"/>
    <w:qFormat/>
    <w:rsid w:val="00173777"/>
    <w:rPr>
      <w:b/>
      <w:bCs/>
    </w:rPr>
  </w:style>
  <w:style w:type="character" w:styleId="Emphasis">
    <w:name w:val="Emphasis"/>
    <w:basedOn w:val="DefaultParagraphFont"/>
    <w:uiPriority w:val="20"/>
    <w:qFormat/>
    <w:rsid w:val="00173777"/>
    <w:rPr>
      <w:i/>
      <w:iCs/>
    </w:rPr>
  </w:style>
  <w:style w:type="character" w:customStyle="1" w:styleId="overflow-hidden">
    <w:name w:val="overflow-hidden"/>
    <w:basedOn w:val="DefaultParagraphFont"/>
    <w:rsid w:val="00173777"/>
  </w:style>
  <w:style w:type="character" w:customStyle="1" w:styleId="relative">
    <w:name w:val="relative"/>
    <w:basedOn w:val="DefaultParagraphFont"/>
    <w:rsid w:val="00173777"/>
  </w:style>
  <w:style w:type="character" w:customStyle="1" w:styleId="ms-1">
    <w:name w:val="ms-1"/>
    <w:basedOn w:val="DefaultParagraphFont"/>
    <w:rsid w:val="00173777"/>
  </w:style>
  <w:style w:type="character" w:customStyle="1" w:styleId="max-w-full">
    <w:name w:val="max-w-full"/>
    <w:basedOn w:val="DefaultParagraphFont"/>
    <w:rsid w:val="00173777"/>
  </w:style>
  <w:style w:type="character" w:styleId="Hyperlink">
    <w:name w:val="Hyperlink"/>
    <w:basedOn w:val="DefaultParagraphFont"/>
    <w:uiPriority w:val="99"/>
    <w:unhideWhenUsed/>
    <w:rsid w:val="00D975FE"/>
    <w:rPr>
      <w:color w:val="0000FF"/>
      <w:u w:val="single"/>
    </w:rPr>
  </w:style>
  <w:style w:type="paragraph" w:styleId="NormalWeb">
    <w:name w:val="Normal (Web)"/>
    <w:basedOn w:val="Normal"/>
    <w:uiPriority w:val="99"/>
    <w:unhideWhenUsed/>
    <w:rsid w:val="008E60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te-title-mode">
    <w:name w:val="rte-title-mode"/>
    <w:basedOn w:val="DefaultParagraphFont"/>
    <w:rsid w:val="008E6062"/>
  </w:style>
  <w:style w:type="paragraph" w:styleId="NoSpacing">
    <w:name w:val="No Spacing"/>
    <w:uiPriority w:val="1"/>
    <w:qFormat/>
    <w:rsid w:val="008E6062"/>
    <w:pPr>
      <w:spacing w:after="0" w:line="240" w:lineRule="auto"/>
    </w:pPr>
  </w:style>
  <w:style w:type="paragraph" w:styleId="HTMLPreformatted">
    <w:name w:val="HTML Preformatted"/>
    <w:basedOn w:val="Normal"/>
    <w:link w:val="HTMLPreformattedChar"/>
    <w:uiPriority w:val="99"/>
    <w:semiHidden/>
    <w:unhideWhenUsed/>
    <w:rsid w:val="00BE08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rsid w:val="00BE08FE"/>
    <w:rPr>
      <w:rFonts w:ascii="Courier New" w:eastAsia="Times New Roman" w:hAnsi="Courier New" w:cs="Courier New"/>
      <w:sz w:val="20"/>
      <w:szCs w:val="20"/>
      <w:lang w:eastAsia="ru-RU"/>
    </w:rPr>
  </w:style>
  <w:style w:type="character" w:styleId="HTMLCode">
    <w:name w:val="HTML Code"/>
    <w:basedOn w:val="DefaultParagraphFont"/>
    <w:uiPriority w:val="99"/>
    <w:semiHidden/>
    <w:unhideWhenUsed/>
    <w:rsid w:val="00BE08FE"/>
    <w:rPr>
      <w:rFonts w:ascii="Courier New" w:eastAsia="Times New Roman" w:hAnsi="Courier New" w:cs="Courier New"/>
      <w:sz w:val="20"/>
      <w:szCs w:val="20"/>
    </w:rPr>
  </w:style>
  <w:style w:type="character" w:customStyle="1" w:styleId="hljs-selector-attr">
    <w:name w:val="hljs-selector-attr"/>
    <w:basedOn w:val="DefaultParagraphFont"/>
    <w:rsid w:val="00BE08FE"/>
  </w:style>
  <w:style w:type="character" w:customStyle="1" w:styleId="label">
    <w:name w:val="label"/>
    <w:basedOn w:val="DefaultParagraphFont"/>
    <w:rsid w:val="00BE08FE"/>
  </w:style>
  <w:style w:type="character" w:customStyle="1" w:styleId="body">
    <w:name w:val="body"/>
    <w:basedOn w:val="DefaultParagraphFont"/>
    <w:rsid w:val="00BE08FE"/>
  </w:style>
  <w:style w:type="character" w:customStyle="1" w:styleId="hljs-comment">
    <w:name w:val="hljs-comment"/>
    <w:basedOn w:val="DefaultParagraphFont"/>
    <w:rsid w:val="00BE08FE"/>
  </w:style>
  <w:style w:type="character" w:customStyle="1" w:styleId="field">
    <w:name w:val="field"/>
    <w:basedOn w:val="DefaultParagraphFont"/>
    <w:rsid w:val="0051166F"/>
  </w:style>
  <w:style w:type="character" w:customStyle="1" w:styleId="field-content">
    <w:name w:val="field-content"/>
    <w:basedOn w:val="DefaultParagraphFont"/>
    <w:rsid w:val="0051166F"/>
  </w:style>
  <w:style w:type="character" w:customStyle="1" w:styleId="texttext1fzle">
    <w:name w:val="text__text__1fzle"/>
    <w:basedOn w:val="DefaultParagraphFont"/>
    <w:rsid w:val="0051166F"/>
  </w:style>
  <w:style w:type="table" w:styleId="TableGrid">
    <w:name w:val="Table Grid"/>
    <w:basedOn w:val="TableNormal"/>
    <w:uiPriority w:val="39"/>
    <w:rsid w:val="00BE2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7DB3"/>
    <w:pPr>
      <w:ind w:left="720"/>
      <w:contextualSpacing/>
    </w:pPr>
  </w:style>
  <w:style w:type="paragraph" w:styleId="FootnoteText">
    <w:name w:val="footnote text"/>
    <w:basedOn w:val="Normal"/>
    <w:link w:val="FootnoteTextChar"/>
    <w:uiPriority w:val="99"/>
    <w:semiHidden/>
    <w:unhideWhenUsed/>
    <w:rsid w:val="00750E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0E98"/>
    <w:rPr>
      <w:sz w:val="20"/>
      <w:szCs w:val="20"/>
    </w:rPr>
  </w:style>
  <w:style w:type="character" w:styleId="FootnoteReference">
    <w:name w:val="footnote reference"/>
    <w:basedOn w:val="DefaultParagraphFont"/>
    <w:uiPriority w:val="99"/>
    <w:semiHidden/>
    <w:unhideWhenUsed/>
    <w:rsid w:val="00750E98"/>
    <w:rPr>
      <w:vertAlign w:val="superscript"/>
    </w:rPr>
  </w:style>
  <w:style w:type="paragraph" w:styleId="Header">
    <w:name w:val="header"/>
    <w:basedOn w:val="Normal"/>
    <w:link w:val="HeaderChar"/>
    <w:uiPriority w:val="99"/>
    <w:unhideWhenUsed/>
    <w:rsid w:val="00C11870"/>
    <w:pPr>
      <w:tabs>
        <w:tab w:val="center" w:pos="4819"/>
        <w:tab w:val="right" w:pos="9639"/>
      </w:tabs>
      <w:spacing w:after="0" w:line="240" w:lineRule="auto"/>
    </w:pPr>
  </w:style>
  <w:style w:type="character" w:customStyle="1" w:styleId="HeaderChar">
    <w:name w:val="Header Char"/>
    <w:basedOn w:val="DefaultParagraphFont"/>
    <w:link w:val="Header"/>
    <w:uiPriority w:val="99"/>
    <w:rsid w:val="00C11870"/>
  </w:style>
  <w:style w:type="paragraph" w:styleId="Footer">
    <w:name w:val="footer"/>
    <w:basedOn w:val="Normal"/>
    <w:link w:val="FooterChar"/>
    <w:uiPriority w:val="99"/>
    <w:unhideWhenUsed/>
    <w:rsid w:val="00C11870"/>
    <w:pPr>
      <w:tabs>
        <w:tab w:val="center" w:pos="4819"/>
        <w:tab w:val="right" w:pos="9639"/>
      </w:tabs>
      <w:spacing w:after="0" w:line="240" w:lineRule="auto"/>
    </w:pPr>
  </w:style>
  <w:style w:type="character" w:customStyle="1" w:styleId="FooterChar">
    <w:name w:val="Footer Char"/>
    <w:basedOn w:val="DefaultParagraphFont"/>
    <w:link w:val="Footer"/>
    <w:uiPriority w:val="99"/>
    <w:rsid w:val="00C11870"/>
  </w:style>
  <w:style w:type="character" w:customStyle="1" w:styleId="hljs-code">
    <w:name w:val="hljs-code"/>
    <w:basedOn w:val="DefaultParagraphFont"/>
    <w:rsid w:val="003A67E1"/>
  </w:style>
  <w:style w:type="character" w:styleId="SubtleEmphasis">
    <w:name w:val="Subtle Emphasis"/>
    <w:basedOn w:val="DefaultParagraphFont"/>
    <w:uiPriority w:val="19"/>
    <w:qFormat/>
    <w:rsid w:val="00E94B29"/>
    <w:rPr>
      <w:i/>
      <w:iCs/>
      <w:color w:val="404040" w:themeColor="text1" w:themeTint="BF"/>
    </w:rPr>
  </w:style>
  <w:style w:type="character" w:customStyle="1" w:styleId="sr-only">
    <w:name w:val="sr-only"/>
    <w:basedOn w:val="DefaultParagraphFont"/>
    <w:rsid w:val="00E94B29"/>
  </w:style>
  <w:style w:type="character" w:customStyle="1" w:styleId="-me-1">
    <w:name w:val="-me-1"/>
    <w:basedOn w:val="DefaultParagraphFont"/>
    <w:rsid w:val="00E94B29"/>
  </w:style>
  <w:style w:type="character" w:styleId="CommentReference">
    <w:name w:val="annotation reference"/>
    <w:basedOn w:val="DefaultParagraphFont"/>
    <w:uiPriority w:val="99"/>
    <w:semiHidden/>
    <w:unhideWhenUsed/>
    <w:rsid w:val="00E94B29"/>
    <w:rPr>
      <w:sz w:val="16"/>
      <w:szCs w:val="16"/>
    </w:rPr>
  </w:style>
  <w:style w:type="paragraph" w:styleId="CommentText">
    <w:name w:val="annotation text"/>
    <w:basedOn w:val="Normal"/>
    <w:link w:val="CommentTextChar"/>
    <w:uiPriority w:val="99"/>
    <w:semiHidden/>
    <w:unhideWhenUsed/>
    <w:rsid w:val="00E94B29"/>
    <w:pPr>
      <w:spacing w:line="240" w:lineRule="auto"/>
    </w:pPr>
    <w:rPr>
      <w:sz w:val="20"/>
      <w:szCs w:val="20"/>
      <w:lang w:val="uk-UA"/>
    </w:rPr>
  </w:style>
  <w:style w:type="character" w:customStyle="1" w:styleId="CommentTextChar">
    <w:name w:val="Comment Text Char"/>
    <w:basedOn w:val="DefaultParagraphFont"/>
    <w:link w:val="CommentText"/>
    <w:uiPriority w:val="99"/>
    <w:semiHidden/>
    <w:rsid w:val="00E94B29"/>
    <w:rPr>
      <w:sz w:val="20"/>
      <w:szCs w:val="20"/>
      <w:lang w:val="uk-UA"/>
    </w:rPr>
  </w:style>
  <w:style w:type="paragraph" w:styleId="CommentSubject">
    <w:name w:val="annotation subject"/>
    <w:basedOn w:val="CommentText"/>
    <w:next w:val="CommentText"/>
    <w:link w:val="CommentSubjectChar"/>
    <w:uiPriority w:val="99"/>
    <w:semiHidden/>
    <w:unhideWhenUsed/>
    <w:rsid w:val="00E94B29"/>
    <w:rPr>
      <w:b/>
      <w:bCs/>
    </w:rPr>
  </w:style>
  <w:style w:type="character" w:customStyle="1" w:styleId="CommentSubjectChar">
    <w:name w:val="Comment Subject Char"/>
    <w:basedOn w:val="CommentTextChar"/>
    <w:link w:val="CommentSubject"/>
    <w:uiPriority w:val="99"/>
    <w:semiHidden/>
    <w:rsid w:val="00E94B29"/>
    <w:rPr>
      <w:b/>
      <w:bCs/>
      <w:sz w:val="20"/>
      <w:szCs w:val="20"/>
      <w:lang w:val="uk-UA"/>
    </w:rPr>
  </w:style>
  <w:style w:type="paragraph" w:styleId="BalloonText">
    <w:name w:val="Balloon Text"/>
    <w:basedOn w:val="Normal"/>
    <w:link w:val="BalloonTextChar"/>
    <w:uiPriority w:val="99"/>
    <w:semiHidden/>
    <w:unhideWhenUsed/>
    <w:rsid w:val="00E94B29"/>
    <w:pPr>
      <w:spacing w:after="0" w:line="240" w:lineRule="auto"/>
    </w:pPr>
    <w:rPr>
      <w:rFonts w:ascii="Segoe UI" w:hAnsi="Segoe UI" w:cs="Segoe UI"/>
      <w:sz w:val="18"/>
      <w:szCs w:val="18"/>
      <w:lang w:val="uk-UA"/>
    </w:rPr>
  </w:style>
  <w:style w:type="character" w:customStyle="1" w:styleId="BalloonTextChar">
    <w:name w:val="Balloon Text Char"/>
    <w:basedOn w:val="DefaultParagraphFont"/>
    <w:link w:val="BalloonText"/>
    <w:uiPriority w:val="99"/>
    <w:semiHidden/>
    <w:rsid w:val="00E94B29"/>
    <w:rPr>
      <w:rFonts w:ascii="Segoe UI" w:hAnsi="Segoe UI" w:cs="Segoe UI"/>
      <w:sz w:val="18"/>
      <w:szCs w:val="18"/>
      <w:lang w:val="uk-UA"/>
    </w:rPr>
  </w:style>
  <w:style w:type="character" w:customStyle="1" w:styleId="hljs-number">
    <w:name w:val="hljs-number"/>
    <w:basedOn w:val="DefaultParagraphFont"/>
    <w:rsid w:val="00E94B29"/>
  </w:style>
  <w:style w:type="character" w:customStyle="1" w:styleId="1">
    <w:name w:val="Неразрешенное упоминание1"/>
    <w:basedOn w:val="DefaultParagraphFont"/>
    <w:uiPriority w:val="99"/>
    <w:semiHidden/>
    <w:unhideWhenUsed/>
    <w:rsid w:val="00622DF4"/>
    <w:rPr>
      <w:color w:val="605E5C"/>
      <w:shd w:val="clear" w:color="auto" w:fill="E1DFDD"/>
    </w:rPr>
  </w:style>
  <w:style w:type="character" w:customStyle="1" w:styleId="hwtze">
    <w:name w:val="hwtze"/>
    <w:basedOn w:val="DefaultParagraphFont"/>
    <w:rsid w:val="00CB7425"/>
  </w:style>
  <w:style w:type="character" w:customStyle="1" w:styleId="rynqvb">
    <w:name w:val="rynqvb"/>
    <w:basedOn w:val="DefaultParagraphFont"/>
    <w:rsid w:val="00CB7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99876">
      <w:bodyDiv w:val="1"/>
      <w:marLeft w:val="0"/>
      <w:marRight w:val="0"/>
      <w:marTop w:val="0"/>
      <w:marBottom w:val="0"/>
      <w:divBdr>
        <w:top w:val="none" w:sz="0" w:space="0" w:color="auto"/>
        <w:left w:val="none" w:sz="0" w:space="0" w:color="auto"/>
        <w:bottom w:val="none" w:sz="0" w:space="0" w:color="auto"/>
        <w:right w:val="none" w:sz="0" w:space="0" w:color="auto"/>
      </w:divBdr>
    </w:div>
    <w:div w:id="82607350">
      <w:bodyDiv w:val="1"/>
      <w:marLeft w:val="0"/>
      <w:marRight w:val="0"/>
      <w:marTop w:val="0"/>
      <w:marBottom w:val="0"/>
      <w:divBdr>
        <w:top w:val="none" w:sz="0" w:space="0" w:color="auto"/>
        <w:left w:val="none" w:sz="0" w:space="0" w:color="auto"/>
        <w:bottom w:val="none" w:sz="0" w:space="0" w:color="auto"/>
        <w:right w:val="none" w:sz="0" w:space="0" w:color="auto"/>
      </w:divBdr>
    </w:div>
    <w:div w:id="82921422">
      <w:bodyDiv w:val="1"/>
      <w:marLeft w:val="0"/>
      <w:marRight w:val="0"/>
      <w:marTop w:val="0"/>
      <w:marBottom w:val="0"/>
      <w:divBdr>
        <w:top w:val="none" w:sz="0" w:space="0" w:color="auto"/>
        <w:left w:val="none" w:sz="0" w:space="0" w:color="auto"/>
        <w:bottom w:val="none" w:sz="0" w:space="0" w:color="auto"/>
        <w:right w:val="none" w:sz="0" w:space="0" w:color="auto"/>
      </w:divBdr>
    </w:div>
    <w:div w:id="84231092">
      <w:bodyDiv w:val="1"/>
      <w:marLeft w:val="0"/>
      <w:marRight w:val="0"/>
      <w:marTop w:val="0"/>
      <w:marBottom w:val="0"/>
      <w:divBdr>
        <w:top w:val="none" w:sz="0" w:space="0" w:color="auto"/>
        <w:left w:val="none" w:sz="0" w:space="0" w:color="auto"/>
        <w:bottom w:val="none" w:sz="0" w:space="0" w:color="auto"/>
        <w:right w:val="none" w:sz="0" w:space="0" w:color="auto"/>
      </w:divBdr>
    </w:div>
    <w:div w:id="137263640">
      <w:bodyDiv w:val="1"/>
      <w:marLeft w:val="0"/>
      <w:marRight w:val="0"/>
      <w:marTop w:val="0"/>
      <w:marBottom w:val="0"/>
      <w:divBdr>
        <w:top w:val="none" w:sz="0" w:space="0" w:color="auto"/>
        <w:left w:val="none" w:sz="0" w:space="0" w:color="auto"/>
        <w:bottom w:val="none" w:sz="0" w:space="0" w:color="auto"/>
        <w:right w:val="none" w:sz="0" w:space="0" w:color="auto"/>
      </w:divBdr>
    </w:div>
    <w:div w:id="149181931">
      <w:bodyDiv w:val="1"/>
      <w:marLeft w:val="0"/>
      <w:marRight w:val="0"/>
      <w:marTop w:val="0"/>
      <w:marBottom w:val="0"/>
      <w:divBdr>
        <w:top w:val="none" w:sz="0" w:space="0" w:color="auto"/>
        <w:left w:val="none" w:sz="0" w:space="0" w:color="auto"/>
        <w:bottom w:val="none" w:sz="0" w:space="0" w:color="auto"/>
        <w:right w:val="none" w:sz="0" w:space="0" w:color="auto"/>
      </w:divBdr>
      <w:divsChild>
        <w:div w:id="1925869953">
          <w:marLeft w:val="0"/>
          <w:marRight w:val="0"/>
          <w:marTop w:val="0"/>
          <w:marBottom w:val="0"/>
          <w:divBdr>
            <w:top w:val="none" w:sz="0" w:space="0" w:color="auto"/>
            <w:left w:val="none" w:sz="0" w:space="0" w:color="auto"/>
            <w:bottom w:val="none" w:sz="0" w:space="0" w:color="auto"/>
            <w:right w:val="none" w:sz="0" w:space="0" w:color="auto"/>
          </w:divBdr>
          <w:divsChild>
            <w:div w:id="9507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6388">
      <w:bodyDiv w:val="1"/>
      <w:marLeft w:val="0"/>
      <w:marRight w:val="0"/>
      <w:marTop w:val="0"/>
      <w:marBottom w:val="0"/>
      <w:divBdr>
        <w:top w:val="none" w:sz="0" w:space="0" w:color="auto"/>
        <w:left w:val="none" w:sz="0" w:space="0" w:color="auto"/>
        <w:bottom w:val="none" w:sz="0" w:space="0" w:color="auto"/>
        <w:right w:val="none" w:sz="0" w:space="0" w:color="auto"/>
      </w:divBdr>
      <w:divsChild>
        <w:div w:id="694186909">
          <w:marLeft w:val="0"/>
          <w:marRight w:val="0"/>
          <w:marTop w:val="0"/>
          <w:marBottom w:val="0"/>
          <w:divBdr>
            <w:top w:val="none" w:sz="0" w:space="0" w:color="auto"/>
            <w:left w:val="none" w:sz="0" w:space="0" w:color="auto"/>
            <w:bottom w:val="none" w:sz="0" w:space="0" w:color="auto"/>
            <w:right w:val="none" w:sz="0" w:space="0" w:color="auto"/>
          </w:divBdr>
          <w:divsChild>
            <w:div w:id="104884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0389">
      <w:bodyDiv w:val="1"/>
      <w:marLeft w:val="0"/>
      <w:marRight w:val="0"/>
      <w:marTop w:val="0"/>
      <w:marBottom w:val="0"/>
      <w:divBdr>
        <w:top w:val="none" w:sz="0" w:space="0" w:color="auto"/>
        <w:left w:val="none" w:sz="0" w:space="0" w:color="auto"/>
        <w:bottom w:val="none" w:sz="0" w:space="0" w:color="auto"/>
        <w:right w:val="none" w:sz="0" w:space="0" w:color="auto"/>
      </w:divBdr>
    </w:div>
    <w:div w:id="160243529">
      <w:bodyDiv w:val="1"/>
      <w:marLeft w:val="0"/>
      <w:marRight w:val="0"/>
      <w:marTop w:val="0"/>
      <w:marBottom w:val="0"/>
      <w:divBdr>
        <w:top w:val="none" w:sz="0" w:space="0" w:color="auto"/>
        <w:left w:val="none" w:sz="0" w:space="0" w:color="auto"/>
        <w:bottom w:val="none" w:sz="0" w:space="0" w:color="auto"/>
        <w:right w:val="none" w:sz="0" w:space="0" w:color="auto"/>
      </w:divBdr>
      <w:divsChild>
        <w:div w:id="435102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988570">
      <w:bodyDiv w:val="1"/>
      <w:marLeft w:val="0"/>
      <w:marRight w:val="0"/>
      <w:marTop w:val="0"/>
      <w:marBottom w:val="0"/>
      <w:divBdr>
        <w:top w:val="none" w:sz="0" w:space="0" w:color="auto"/>
        <w:left w:val="none" w:sz="0" w:space="0" w:color="auto"/>
        <w:bottom w:val="none" w:sz="0" w:space="0" w:color="auto"/>
        <w:right w:val="none" w:sz="0" w:space="0" w:color="auto"/>
      </w:divBdr>
    </w:div>
    <w:div w:id="175576959">
      <w:bodyDiv w:val="1"/>
      <w:marLeft w:val="0"/>
      <w:marRight w:val="0"/>
      <w:marTop w:val="0"/>
      <w:marBottom w:val="0"/>
      <w:divBdr>
        <w:top w:val="none" w:sz="0" w:space="0" w:color="auto"/>
        <w:left w:val="none" w:sz="0" w:space="0" w:color="auto"/>
        <w:bottom w:val="none" w:sz="0" w:space="0" w:color="auto"/>
        <w:right w:val="none" w:sz="0" w:space="0" w:color="auto"/>
      </w:divBdr>
    </w:div>
    <w:div w:id="184248182">
      <w:bodyDiv w:val="1"/>
      <w:marLeft w:val="0"/>
      <w:marRight w:val="0"/>
      <w:marTop w:val="0"/>
      <w:marBottom w:val="0"/>
      <w:divBdr>
        <w:top w:val="none" w:sz="0" w:space="0" w:color="auto"/>
        <w:left w:val="none" w:sz="0" w:space="0" w:color="auto"/>
        <w:bottom w:val="none" w:sz="0" w:space="0" w:color="auto"/>
        <w:right w:val="none" w:sz="0" w:space="0" w:color="auto"/>
      </w:divBdr>
    </w:div>
    <w:div w:id="206451534">
      <w:bodyDiv w:val="1"/>
      <w:marLeft w:val="0"/>
      <w:marRight w:val="0"/>
      <w:marTop w:val="0"/>
      <w:marBottom w:val="0"/>
      <w:divBdr>
        <w:top w:val="none" w:sz="0" w:space="0" w:color="auto"/>
        <w:left w:val="none" w:sz="0" w:space="0" w:color="auto"/>
        <w:bottom w:val="none" w:sz="0" w:space="0" w:color="auto"/>
        <w:right w:val="none" w:sz="0" w:space="0" w:color="auto"/>
      </w:divBdr>
    </w:div>
    <w:div w:id="211774415">
      <w:bodyDiv w:val="1"/>
      <w:marLeft w:val="0"/>
      <w:marRight w:val="0"/>
      <w:marTop w:val="0"/>
      <w:marBottom w:val="0"/>
      <w:divBdr>
        <w:top w:val="none" w:sz="0" w:space="0" w:color="auto"/>
        <w:left w:val="none" w:sz="0" w:space="0" w:color="auto"/>
        <w:bottom w:val="none" w:sz="0" w:space="0" w:color="auto"/>
        <w:right w:val="none" w:sz="0" w:space="0" w:color="auto"/>
      </w:divBdr>
    </w:div>
    <w:div w:id="245042398">
      <w:bodyDiv w:val="1"/>
      <w:marLeft w:val="0"/>
      <w:marRight w:val="0"/>
      <w:marTop w:val="0"/>
      <w:marBottom w:val="0"/>
      <w:divBdr>
        <w:top w:val="none" w:sz="0" w:space="0" w:color="auto"/>
        <w:left w:val="none" w:sz="0" w:space="0" w:color="auto"/>
        <w:bottom w:val="none" w:sz="0" w:space="0" w:color="auto"/>
        <w:right w:val="none" w:sz="0" w:space="0" w:color="auto"/>
      </w:divBdr>
    </w:div>
    <w:div w:id="321782385">
      <w:bodyDiv w:val="1"/>
      <w:marLeft w:val="0"/>
      <w:marRight w:val="0"/>
      <w:marTop w:val="0"/>
      <w:marBottom w:val="0"/>
      <w:divBdr>
        <w:top w:val="none" w:sz="0" w:space="0" w:color="auto"/>
        <w:left w:val="none" w:sz="0" w:space="0" w:color="auto"/>
        <w:bottom w:val="none" w:sz="0" w:space="0" w:color="auto"/>
        <w:right w:val="none" w:sz="0" w:space="0" w:color="auto"/>
      </w:divBdr>
      <w:divsChild>
        <w:div w:id="489444425">
          <w:marLeft w:val="0"/>
          <w:marRight w:val="0"/>
          <w:marTop w:val="0"/>
          <w:marBottom w:val="0"/>
          <w:divBdr>
            <w:top w:val="none" w:sz="0" w:space="0" w:color="auto"/>
            <w:left w:val="none" w:sz="0" w:space="0" w:color="auto"/>
            <w:bottom w:val="none" w:sz="0" w:space="0" w:color="auto"/>
            <w:right w:val="none" w:sz="0" w:space="0" w:color="auto"/>
          </w:divBdr>
          <w:divsChild>
            <w:div w:id="9656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47689">
      <w:bodyDiv w:val="1"/>
      <w:marLeft w:val="0"/>
      <w:marRight w:val="0"/>
      <w:marTop w:val="0"/>
      <w:marBottom w:val="0"/>
      <w:divBdr>
        <w:top w:val="none" w:sz="0" w:space="0" w:color="auto"/>
        <w:left w:val="none" w:sz="0" w:space="0" w:color="auto"/>
        <w:bottom w:val="none" w:sz="0" w:space="0" w:color="auto"/>
        <w:right w:val="none" w:sz="0" w:space="0" w:color="auto"/>
      </w:divBdr>
    </w:div>
    <w:div w:id="344400847">
      <w:bodyDiv w:val="1"/>
      <w:marLeft w:val="0"/>
      <w:marRight w:val="0"/>
      <w:marTop w:val="0"/>
      <w:marBottom w:val="0"/>
      <w:divBdr>
        <w:top w:val="none" w:sz="0" w:space="0" w:color="auto"/>
        <w:left w:val="none" w:sz="0" w:space="0" w:color="auto"/>
        <w:bottom w:val="none" w:sz="0" w:space="0" w:color="auto"/>
        <w:right w:val="none" w:sz="0" w:space="0" w:color="auto"/>
      </w:divBdr>
    </w:div>
    <w:div w:id="347761283">
      <w:bodyDiv w:val="1"/>
      <w:marLeft w:val="0"/>
      <w:marRight w:val="0"/>
      <w:marTop w:val="0"/>
      <w:marBottom w:val="0"/>
      <w:divBdr>
        <w:top w:val="none" w:sz="0" w:space="0" w:color="auto"/>
        <w:left w:val="none" w:sz="0" w:space="0" w:color="auto"/>
        <w:bottom w:val="none" w:sz="0" w:space="0" w:color="auto"/>
        <w:right w:val="none" w:sz="0" w:space="0" w:color="auto"/>
      </w:divBdr>
      <w:divsChild>
        <w:div w:id="321279378">
          <w:marLeft w:val="0"/>
          <w:marRight w:val="0"/>
          <w:marTop w:val="0"/>
          <w:marBottom w:val="0"/>
          <w:divBdr>
            <w:top w:val="none" w:sz="0" w:space="0" w:color="auto"/>
            <w:left w:val="none" w:sz="0" w:space="0" w:color="auto"/>
            <w:bottom w:val="none" w:sz="0" w:space="0" w:color="auto"/>
            <w:right w:val="none" w:sz="0" w:space="0" w:color="auto"/>
          </w:divBdr>
          <w:divsChild>
            <w:div w:id="811292258">
              <w:marLeft w:val="0"/>
              <w:marRight w:val="0"/>
              <w:marTop w:val="0"/>
              <w:marBottom w:val="0"/>
              <w:divBdr>
                <w:top w:val="none" w:sz="0" w:space="0" w:color="auto"/>
                <w:left w:val="none" w:sz="0" w:space="0" w:color="auto"/>
                <w:bottom w:val="none" w:sz="0" w:space="0" w:color="auto"/>
                <w:right w:val="none" w:sz="0" w:space="0" w:color="auto"/>
              </w:divBdr>
              <w:divsChild>
                <w:div w:id="790326291">
                  <w:marLeft w:val="0"/>
                  <w:marRight w:val="0"/>
                  <w:marTop w:val="0"/>
                  <w:marBottom w:val="0"/>
                  <w:divBdr>
                    <w:top w:val="none" w:sz="0" w:space="0" w:color="auto"/>
                    <w:left w:val="none" w:sz="0" w:space="0" w:color="auto"/>
                    <w:bottom w:val="none" w:sz="0" w:space="0" w:color="auto"/>
                    <w:right w:val="none" w:sz="0" w:space="0" w:color="auto"/>
                  </w:divBdr>
                  <w:divsChild>
                    <w:div w:id="320357842">
                      <w:marLeft w:val="0"/>
                      <w:marRight w:val="0"/>
                      <w:marTop w:val="0"/>
                      <w:marBottom w:val="0"/>
                      <w:divBdr>
                        <w:top w:val="none" w:sz="0" w:space="0" w:color="auto"/>
                        <w:left w:val="none" w:sz="0" w:space="0" w:color="auto"/>
                        <w:bottom w:val="none" w:sz="0" w:space="0" w:color="auto"/>
                        <w:right w:val="none" w:sz="0" w:space="0" w:color="auto"/>
                      </w:divBdr>
                      <w:divsChild>
                        <w:div w:id="1691638078">
                          <w:marLeft w:val="0"/>
                          <w:marRight w:val="0"/>
                          <w:marTop w:val="0"/>
                          <w:marBottom w:val="0"/>
                          <w:divBdr>
                            <w:top w:val="none" w:sz="0" w:space="0" w:color="auto"/>
                            <w:left w:val="none" w:sz="0" w:space="0" w:color="auto"/>
                            <w:bottom w:val="none" w:sz="0" w:space="0" w:color="auto"/>
                            <w:right w:val="none" w:sz="0" w:space="0" w:color="auto"/>
                          </w:divBdr>
                          <w:divsChild>
                            <w:div w:id="1797139879">
                              <w:marLeft w:val="0"/>
                              <w:marRight w:val="0"/>
                              <w:marTop w:val="0"/>
                              <w:marBottom w:val="0"/>
                              <w:divBdr>
                                <w:top w:val="none" w:sz="0" w:space="0" w:color="auto"/>
                                <w:left w:val="none" w:sz="0" w:space="0" w:color="auto"/>
                                <w:bottom w:val="none" w:sz="0" w:space="0" w:color="auto"/>
                                <w:right w:val="none" w:sz="0" w:space="0" w:color="auto"/>
                              </w:divBdr>
                              <w:divsChild>
                                <w:div w:id="788665985">
                                  <w:marLeft w:val="0"/>
                                  <w:marRight w:val="0"/>
                                  <w:marTop w:val="0"/>
                                  <w:marBottom w:val="0"/>
                                  <w:divBdr>
                                    <w:top w:val="none" w:sz="0" w:space="0" w:color="auto"/>
                                    <w:left w:val="none" w:sz="0" w:space="0" w:color="auto"/>
                                    <w:bottom w:val="none" w:sz="0" w:space="0" w:color="auto"/>
                                    <w:right w:val="none" w:sz="0" w:space="0" w:color="auto"/>
                                  </w:divBdr>
                                  <w:divsChild>
                                    <w:div w:id="12413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892">
                          <w:marLeft w:val="0"/>
                          <w:marRight w:val="0"/>
                          <w:marTop w:val="0"/>
                          <w:marBottom w:val="0"/>
                          <w:divBdr>
                            <w:top w:val="none" w:sz="0" w:space="0" w:color="auto"/>
                            <w:left w:val="none" w:sz="0" w:space="0" w:color="auto"/>
                            <w:bottom w:val="none" w:sz="0" w:space="0" w:color="auto"/>
                            <w:right w:val="none" w:sz="0" w:space="0" w:color="auto"/>
                          </w:divBdr>
                          <w:divsChild>
                            <w:div w:id="1812021505">
                              <w:marLeft w:val="0"/>
                              <w:marRight w:val="0"/>
                              <w:marTop w:val="0"/>
                              <w:marBottom w:val="0"/>
                              <w:divBdr>
                                <w:top w:val="none" w:sz="0" w:space="0" w:color="auto"/>
                                <w:left w:val="none" w:sz="0" w:space="0" w:color="auto"/>
                                <w:bottom w:val="none" w:sz="0" w:space="0" w:color="auto"/>
                                <w:right w:val="none" w:sz="0" w:space="0" w:color="auto"/>
                              </w:divBdr>
                              <w:divsChild>
                                <w:div w:id="125169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256454">
          <w:marLeft w:val="0"/>
          <w:marRight w:val="0"/>
          <w:marTop w:val="0"/>
          <w:marBottom w:val="0"/>
          <w:divBdr>
            <w:top w:val="none" w:sz="0" w:space="0" w:color="auto"/>
            <w:left w:val="none" w:sz="0" w:space="0" w:color="auto"/>
            <w:bottom w:val="none" w:sz="0" w:space="0" w:color="auto"/>
            <w:right w:val="none" w:sz="0" w:space="0" w:color="auto"/>
          </w:divBdr>
          <w:divsChild>
            <w:div w:id="62798241">
              <w:marLeft w:val="0"/>
              <w:marRight w:val="0"/>
              <w:marTop w:val="0"/>
              <w:marBottom w:val="0"/>
              <w:divBdr>
                <w:top w:val="none" w:sz="0" w:space="0" w:color="auto"/>
                <w:left w:val="none" w:sz="0" w:space="0" w:color="auto"/>
                <w:bottom w:val="none" w:sz="0" w:space="0" w:color="auto"/>
                <w:right w:val="none" w:sz="0" w:space="0" w:color="auto"/>
              </w:divBdr>
              <w:divsChild>
                <w:div w:id="1612937755">
                  <w:marLeft w:val="0"/>
                  <w:marRight w:val="0"/>
                  <w:marTop w:val="0"/>
                  <w:marBottom w:val="0"/>
                  <w:divBdr>
                    <w:top w:val="none" w:sz="0" w:space="0" w:color="auto"/>
                    <w:left w:val="none" w:sz="0" w:space="0" w:color="auto"/>
                    <w:bottom w:val="none" w:sz="0" w:space="0" w:color="auto"/>
                    <w:right w:val="none" w:sz="0" w:space="0" w:color="auto"/>
                  </w:divBdr>
                  <w:divsChild>
                    <w:div w:id="1804930375">
                      <w:marLeft w:val="0"/>
                      <w:marRight w:val="0"/>
                      <w:marTop w:val="0"/>
                      <w:marBottom w:val="0"/>
                      <w:divBdr>
                        <w:top w:val="none" w:sz="0" w:space="0" w:color="auto"/>
                        <w:left w:val="none" w:sz="0" w:space="0" w:color="auto"/>
                        <w:bottom w:val="none" w:sz="0" w:space="0" w:color="auto"/>
                        <w:right w:val="none" w:sz="0" w:space="0" w:color="auto"/>
                      </w:divBdr>
                      <w:divsChild>
                        <w:div w:id="1323466006">
                          <w:marLeft w:val="0"/>
                          <w:marRight w:val="0"/>
                          <w:marTop w:val="0"/>
                          <w:marBottom w:val="0"/>
                          <w:divBdr>
                            <w:top w:val="none" w:sz="0" w:space="0" w:color="auto"/>
                            <w:left w:val="none" w:sz="0" w:space="0" w:color="auto"/>
                            <w:bottom w:val="none" w:sz="0" w:space="0" w:color="auto"/>
                            <w:right w:val="none" w:sz="0" w:space="0" w:color="auto"/>
                          </w:divBdr>
                          <w:divsChild>
                            <w:div w:id="1686328491">
                              <w:marLeft w:val="0"/>
                              <w:marRight w:val="0"/>
                              <w:marTop w:val="0"/>
                              <w:marBottom w:val="0"/>
                              <w:divBdr>
                                <w:top w:val="none" w:sz="0" w:space="0" w:color="auto"/>
                                <w:left w:val="none" w:sz="0" w:space="0" w:color="auto"/>
                                <w:bottom w:val="none" w:sz="0" w:space="0" w:color="auto"/>
                                <w:right w:val="none" w:sz="0" w:space="0" w:color="auto"/>
                              </w:divBdr>
                              <w:divsChild>
                                <w:div w:id="435832613">
                                  <w:marLeft w:val="0"/>
                                  <w:marRight w:val="0"/>
                                  <w:marTop w:val="0"/>
                                  <w:marBottom w:val="0"/>
                                  <w:divBdr>
                                    <w:top w:val="none" w:sz="0" w:space="0" w:color="auto"/>
                                    <w:left w:val="none" w:sz="0" w:space="0" w:color="auto"/>
                                    <w:bottom w:val="none" w:sz="0" w:space="0" w:color="auto"/>
                                    <w:right w:val="none" w:sz="0" w:space="0" w:color="auto"/>
                                  </w:divBdr>
                                  <w:divsChild>
                                    <w:div w:id="1065756629">
                                      <w:marLeft w:val="0"/>
                                      <w:marRight w:val="0"/>
                                      <w:marTop w:val="0"/>
                                      <w:marBottom w:val="0"/>
                                      <w:divBdr>
                                        <w:top w:val="none" w:sz="0" w:space="0" w:color="auto"/>
                                        <w:left w:val="none" w:sz="0" w:space="0" w:color="auto"/>
                                        <w:bottom w:val="none" w:sz="0" w:space="0" w:color="auto"/>
                                        <w:right w:val="none" w:sz="0" w:space="0" w:color="auto"/>
                                      </w:divBdr>
                                      <w:divsChild>
                                        <w:div w:id="138256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5132804">
          <w:marLeft w:val="0"/>
          <w:marRight w:val="0"/>
          <w:marTop w:val="0"/>
          <w:marBottom w:val="0"/>
          <w:divBdr>
            <w:top w:val="none" w:sz="0" w:space="0" w:color="auto"/>
            <w:left w:val="none" w:sz="0" w:space="0" w:color="auto"/>
            <w:bottom w:val="none" w:sz="0" w:space="0" w:color="auto"/>
            <w:right w:val="none" w:sz="0" w:space="0" w:color="auto"/>
          </w:divBdr>
          <w:divsChild>
            <w:div w:id="913316731">
              <w:marLeft w:val="0"/>
              <w:marRight w:val="0"/>
              <w:marTop w:val="0"/>
              <w:marBottom w:val="0"/>
              <w:divBdr>
                <w:top w:val="none" w:sz="0" w:space="0" w:color="auto"/>
                <w:left w:val="none" w:sz="0" w:space="0" w:color="auto"/>
                <w:bottom w:val="none" w:sz="0" w:space="0" w:color="auto"/>
                <w:right w:val="none" w:sz="0" w:space="0" w:color="auto"/>
              </w:divBdr>
              <w:divsChild>
                <w:div w:id="1975594599">
                  <w:marLeft w:val="0"/>
                  <w:marRight w:val="0"/>
                  <w:marTop w:val="0"/>
                  <w:marBottom w:val="0"/>
                  <w:divBdr>
                    <w:top w:val="none" w:sz="0" w:space="0" w:color="auto"/>
                    <w:left w:val="none" w:sz="0" w:space="0" w:color="auto"/>
                    <w:bottom w:val="none" w:sz="0" w:space="0" w:color="auto"/>
                    <w:right w:val="none" w:sz="0" w:space="0" w:color="auto"/>
                  </w:divBdr>
                  <w:divsChild>
                    <w:div w:id="1630941007">
                      <w:marLeft w:val="0"/>
                      <w:marRight w:val="0"/>
                      <w:marTop w:val="0"/>
                      <w:marBottom w:val="0"/>
                      <w:divBdr>
                        <w:top w:val="none" w:sz="0" w:space="0" w:color="auto"/>
                        <w:left w:val="none" w:sz="0" w:space="0" w:color="auto"/>
                        <w:bottom w:val="none" w:sz="0" w:space="0" w:color="auto"/>
                        <w:right w:val="none" w:sz="0" w:space="0" w:color="auto"/>
                      </w:divBdr>
                      <w:divsChild>
                        <w:div w:id="843858574">
                          <w:marLeft w:val="0"/>
                          <w:marRight w:val="0"/>
                          <w:marTop w:val="0"/>
                          <w:marBottom w:val="0"/>
                          <w:divBdr>
                            <w:top w:val="none" w:sz="0" w:space="0" w:color="auto"/>
                            <w:left w:val="none" w:sz="0" w:space="0" w:color="auto"/>
                            <w:bottom w:val="none" w:sz="0" w:space="0" w:color="auto"/>
                            <w:right w:val="none" w:sz="0" w:space="0" w:color="auto"/>
                          </w:divBdr>
                          <w:divsChild>
                            <w:div w:id="1542474962">
                              <w:marLeft w:val="0"/>
                              <w:marRight w:val="0"/>
                              <w:marTop w:val="0"/>
                              <w:marBottom w:val="0"/>
                              <w:divBdr>
                                <w:top w:val="none" w:sz="0" w:space="0" w:color="auto"/>
                                <w:left w:val="none" w:sz="0" w:space="0" w:color="auto"/>
                                <w:bottom w:val="none" w:sz="0" w:space="0" w:color="auto"/>
                                <w:right w:val="none" w:sz="0" w:space="0" w:color="auto"/>
                              </w:divBdr>
                              <w:divsChild>
                                <w:div w:id="2034115462">
                                  <w:marLeft w:val="0"/>
                                  <w:marRight w:val="0"/>
                                  <w:marTop w:val="0"/>
                                  <w:marBottom w:val="0"/>
                                  <w:divBdr>
                                    <w:top w:val="none" w:sz="0" w:space="0" w:color="auto"/>
                                    <w:left w:val="none" w:sz="0" w:space="0" w:color="auto"/>
                                    <w:bottom w:val="none" w:sz="0" w:space="0" w:color="auto"/>
                                    <w:right w:val="none" w:sz="0" w:space="0" w:color="auto"/>
                                  </w:divBdr>
                                  <w:divsChild>
                                    <w:div w:id="95067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5132359">
      <w:bodyDiv w:val="1"/>
      <w:marLeft w:val="0"/>
      <w:marRight w:val="0"/>
      <w:marTop w:val="0"/>
      <w:marBottom w:val="0"/>
      <w:divBdr>
        <w:top w:val="none" w:sz="0" w:space="0" w:color="auto"/>
        <w:left w:val="none" w:sz="0" w:space="0" w:color="auto"/>
        <w:bottom w:val="none" w:sz="0" w:space="0" w:color="auto"/>
        <w:right w:val="none" w:sz="0" w:space="0" w:color="auto"/>
      </w:divBdr>
      <w:divsChild>
        <w:div w:id="1096824852">
          <w:marLeft w:val="0"/>
          <w:marRight w:val="0"/>
          <w:marTop w:val="0"/>
          <w:marBottom w:val="0"/>
          <w:divBdr>
            <w:top w:val="none" w:sz="0" w:space="0" w:color="auto"/>
            <w:left w:val="none" w:sz="0" w:space="0" w:color="auto"/>
            <w:bottom w:val="none" w:sz="0" w:space="0" w:color="auto"/>
            <w:right w:val="none" w:sz="0" w:space="0" w:color="auto"/>
          </w:divBdr>
          <w:divsChild>
            <w:div w:id="1529413664">
              <w:marLeft w:val="0"/>
              <w:marRight w:val="0"/>
              <w:marTop w:val="0"/>
              <w:marBottom w:val="0"/>
              <w:divBdr>
                <w:top w:val="none" w:sz="0" w:space="0" w:color="auto"/>
                <w:left w:val="none" w:sz="0" w:space="0" w:color="auto"/>
                <w:bottom w:val="none" w:sz="0" w:space="0" w:color="auto"/>
                <w:right w:val="none" w:sz="0" w:space="0" w:color="auto"/>
              </w:divBdr>
            </w:div>
          </w:divsChild>
        </w:div>
        <w:div w:id="2030139347">
          <w:marLeft w:val="0"/>
          <w:marRight w:val="0"/>
          <w:marTop w:val="0"/>
          <w:marBottom w:val="0"/>
          <w:divBdr>
            <w:top w:val="none" w:sz="0" w:space="0" w:color="auto"/>
            <w:left w:val="none" w:sz="0" w:space="0" w:color="auto"/>
            <w:bottom w:val="none" w:sz="0" w:space="0" w:color="auto"/>
            <w:right w:val="none" w:sz="0" w:space="0" w:color="auto"/>
          </w:divBdr>
          <w:divsChild>
            <w:div w:id="511913097">
              <w:marLeft w:val="0"/>
              <w:marRight w:val="0"/>
              <w:marTop w:val="0"/>
              <w:marBottom w:val="0"/>
              <w:divBdr>
                <w:top w:val="none" w:sz="0" w:space="0" w:color="auto"/>
                <w:left w:val="none" w:sz="0" w:space="0" w:color="auto"/>
                <w:bottom w:val="none" w:sz="0" w:space="0" w:color="auto"/>
                <w:right w:val="none" w:sz="0" w:space="0" w:color="auto"/>
              </w:divBdr>
            </w:div>
            <w:div w:id="375159989">
              <w:marLeft w:val="0"/>
              <w:marRight w:val="0"/>
              <w:marTop w:val="0"/>
              <w:marBottom w:val="0"/>
              <w:divBdr>
                <w:top w:val="none" w:sz="0" w:space="0" w:color="auto"/>
                <w:left w:val="none" w:sz="0" w:space="0" w:color="auto"/>
                <w:bottom w:val="none" w:sz="0" w:space="0" w:color="auto"/>
                <w:right w:val="none" w:sz="0" w:space="0" w:color="auto"/>
              </w:divBdr>
              <w:divsChild>
                <w:div w:id="572206484">
                  <w:marLeft w:val="0"/>
                  <w:marRight w:val="0"/>
                  <w:marTop w:val="0"/>
                  <w:marBottom w:val="0"/>
                  <w:divBdr>
                    <w:top w:val="none" w:sz="0" w:space="0" w:color="auto"/>
                    <w:left w:val="none" w:sz="0" w:space="0" w:color="auto"/>
                    <w:bottom w:val="none" w:sz="0" w:space="0" w:color="auto"/>
                    <w:right w:val="none" w:sz="0" w:space="0" w:color="auto"/>
                  </w:divBdr>
                  <w:divsChild>
                    <w:div w:id="15553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57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9154">
      <w:bodyDiv w:val="1"/>
      <w:marLeft w:val="0"/>
      <w:marRight w:val="0"/>
      <w:marTop w:val="0"/>
      <w:marBottom w:val="0"/>
      <w:divBdr>
        <w:top w:val="none" w:sz="0" w:space="0" w:color="auto"/>
        <w:left w:val="none" w:sz="0" w:space="0" w:color="auto"/>
        <w:bottom w:val="none" w:sz="0" w:space="0" w:color="auto"/>
        <w:right w:val="none" w:sz="0" w:space="0" w:color="auto"/>
      </w:divBdr>
      <w:divsChild>
        <w:div w:id="1259214446">
          <w:marLeft w:val="0"/>
          <w:marRight w:val="0"/>
          <w:marTop w:val="0"/>
          <w:marBottom w:val="0"/>
          <w:divBdr>
            <w:top w:val="none" w:sz="0" w:space="0" w:color="auto"/>
            <w:left w:val="none" w:sz="0" w:space="0" w:color="auto"/>
            <w:bottom w:val="none" w:sz="0" w:space="0" w:color="auto"/>
            <w:right w:val="none" w:sz="0" w:space="0" w:color="auto"/>
          </w:divBdr>
          <w:divsChild>
            <w:div w:id="1202985524">
              <w:marLeft w:val="0"/>
              <w:marRight w:val="0"/>
              <w:marTop w:val="0"/>
              <w:marBottom w:val="0"/>
              <w:divBdr>
                <w:top w:val="none" w:sz="0" w:space="0" w:color="auto"/>
                <w:left w:val="none" w:sz="0" w:space="0" w:color="auto"/>
                <w:bottom w:val="none" w:sz="0" w:space="0" w:color="auto"/>
                <w:right w:val="none" w:sz="0" w:space="0" w:color="auto"/>
              </w:divBdr>
              <w:divsChild>
                <w:div w:id="1471244160">
                  <w:marLeft w:val="0"/>
                  <w:marRight w:val="0"/>
                  <w:marTop w:val="0"/>
                  <w:marBottom w:val="0"/>
                  <w:divBdr>
                    <w:top w:val="none" w:sz="0" w:space="0" w:color="auto"/>
                    <w:left w:val="none" w:sz="0" w:space="0" w:color="auto"/>
                    <w:bottom w:val="none" w:sz="0" w:space="0" w:color="auto"/>
                    <w:right w:val="none" w:sz="0" w:space="0" w:color="auto"/>
                  </w:divBdr>
                  <w:divsChild>
                    <w:div w:id="1623920710">
                      <w:marLeft w:val="0"/>
                      <w:marRight w:val="0"/>
                      <w:marTop w:val="0"/>
                      <w:marBottom w:val="0"/>
                      <w:divBdr>
                        <w:top w:val="none" w:sz="0" w:space="0" w:color="auto"/>
                        <w:left w:val="none" w:sz="0" w:space="0" w:color="auto"/>
                        <w:bottom w:val="none" w:sz="0" w:space="0" w:color="auto"/>
                        <w:right w:val="none" w:sz="0" w:space="0" w:color="auto"/>
                      </w:divBdr>
                      <w:divsChild>
                        <w:div w:id="1209413758">
                          <w:marLeft w:val="0"/>
                          <w:marRight w:val="0"/>
                          <w:marTop w:val="0"/>
                          <w:marBottom w:val="0"/>
                          <w:divBdr>
                            <w:top w:val="none" w:sz="0" w:space="0" w:color="auto"/>
                            <w:left w:val="none" w:sz="0" w:space="0" w:color="auto"/>
                            <w:bottom w:val="none" w:sz="0" w:space="0" w:color="auto"/>
                            <w:right w:val="none" w:sz="0" w:space="0" w:color="auto"/>
                          </w:divBdr>
                          <w:divsChild>
                            <w:div w:id="2102676057">
                              <w:marLeft w:val="0"/>
                              <w:marRight w:val="0"/>
                              <w:marTop w:val="0"/>
                              <w:marBottom w:val="0"/>
                              <w:divBdr>
                                <w:top w:val="none" w:sz="0" w:space="0" w:color="auto"/>
                                <w:left w:val="none" w:sz="0" w:space="0" w:color="auto"/>
                                <w:bottom w:val="none" w:sz="0" w:space="0" w:color="auto"/>
                                <w:right w:val="none" w:sz="0" w:space="0" w:color="auto"/>
                              </w:divBdr>
                              <w:divsChild>
                                <w:div w:id="623929364">
                                  <w:marLeft w:val="0"/>
                                  <w:marRight w:val="0"/>
                                  <w:marTop w:val="0"/>
                                  <w:marBottom w:val="0"/>
                                  <w:divBdr>
                                    <w:top w:val="none" w:sz="0" w:space="0" w:color="auto"/>
                                    <w:left w:val="none" w:sz="0" w:space="0" w:color="auto"/>
                                    <w:bottom w:val="none" w:sz="0" w:space="0" w:color="auto"/>
                                    <w:right w:val="none" w:sz="0" w:space="0" w:color="auto"/>
                                  </w:divBdr>
                                  <w:divsChild>
                                    <w:div w:id="1253318182">
                                      <w:marLeft w:val="0"/>
                                      <w:marRight w:val="0"/>
                                      <w:marTop w:val="0"/>
                                      <w:marBottom w:val="0"/>
                                      <w:divBdr>
                                        <w:top w:val="none" w:sz="0" w:space="0" w:color="auto"/>
                                        <w:left w:val="none" w:sz="0" w:space="0" w:color="auto"/>
                                        <w:bottom w:val="none" w:sz="0" w:space="0" w:color="auto"/>
                                        <w:right w:val="none" w:sz="0" w:space="0" w:color="auto"/>
                                      </w:divBdr>
                                      <w:divsChild>
                                        <w:div w:id="1311443463">
                                          <w:marLeft w:val="0"/>
                                          <w:marRight w:val="0"/>
                                          <w:marTop w:val="0"/>
                                          <w:marBottom w:val="0"/>
                                          <w:divBdr>
                                            <w:top w:val="none" w:sz="0" w:space="0" w:color="auto"/>
                                            <w:left w:val="none" w:sz="0" w:space="0" w:color="auto"/>
                                            <w:bottom w:val="none" w:sz="0" w:space="0" w:color="auto"/>
                                            <w:right w:val="none" w:sz="0" w:space="0" w:color="auto"/>
                                          </w:divBdr>
                                          <w:divsChild>
                                            <w:div w:id="153920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9619063">
      <w:bodyDiv w:val="1"/>
      <w:marLeft w:val="0"/>
      <w:marRight w:val="0"/>
      <w:marTop w:val="0"/>
      <w:marBottom w:val="0"/>
      <w:divBdr>
        <w:top w:val="none" w:sz="0" w:space="0" w:color="auto"/>
        <w:left w:val="none" w:sz="0" w:space="0" w:color="auto"/>
        <w:bottom w:val="none" w:sz="0" w:space="0" w:color="auto"/>
        <w:right w:val="none" w:sz="0" w:space="0" w:color="auto"/>
      </w:divBdr>
    </w:div>
    <w:div w:id="413862770">
      <w:bodyDiv w:val="1"/>
      <w:marLeft w:val="0"/>
      <w:marRight w:val="0"/>
      <w:marTop w:val="0"/>
      <w:marBottom w:val="0"/>
      <w:divBdr>
        <w:top w:val="none" w:sz="0" w:space="0" w:color="auto"/>
        <w:left w:val="none" w:sz="0" w:space="0" w:color="auto"/>
        <w:bottom w:val="none" w:sz="0" w:space="0" w:color="auto"/>
        <w:right w:val="none" w:sz="0" w:space="0" w:color="auto"/>
      </w:divBdr>
    </w:div>
    <w:div w:id="448353410">
      <w:bodyDiv w:val="1"/>
      <w:marLeft w:val="0"/>
      <w:marRight w:val="0"/>
      <w:marTop w:val="0"/>
      <w:marBottom w:val="0"/>
      <w:divBdr>
        <w:top w:val="none" w:sz="0" w:space="0" w:color="auto"/>
        <w:left w:val="none" w:sz="0" w:space="0" w:color="auto"/>
        <w:bottom w:val="none" w:sz="0" w:space="0" w:color="auto"/>
        <w:right w:val="none" w:sz="0" w:space="0" w:color="auto"/>
      </w:divBdr>
      <w:divsChild>
        <w:div w:id="1142382315">
          <w:marLeft w:val="0"/>
          <w:marRight w:val="0"/>
          <w:marTop w:val="0"/>
          <w:marBottom w:val="169"/>
          <w:divBdr>
            <w:top w:val="none" w:sz="0" w:space="0" w:color="auto"/>
            <w:left w:val="none" w:sz="0" w:space="0" w:color="auto"/>
            <w:bottom w:val="none" w:sz="0" w:space="0" w:color="auto"/>
            <w:right w:val="none" w:sz="0" w:space="0" w:color="auto"/>
          </w:divBdr>
          <w:divsChild>
            <w:div w:id="1758138432">
              <w:marLeft w:val="0"/>
              <w:marRight w:val="0"/>
              <w:marTop w:val="0"/>
              <w:marBottom w:val="0"/>
              <w:divBdr>
                <w:top w:val="none" w:sz="0" w:space="0" w:color="auto"/>
                <w:left w:val="none" w:sz="0" w:space="0" w:color="auto"/>
                <w:bottom w:val="none" w:sz="0" w:space="0" w:color="auto"/>
                <w:right w:val="none" w:sz="0" w:space="0" w:color="auto"/>
              </w:divBdr>
            </w:div>
            <w:div w:id="298002570">
              <w:marLeft w:val="0"/>
              <w:marRight w:val="0"/>
              <w:marTop w:val="0"/>
              <w:marBottom w:val="0"/>
              <w:divBdr>
                <w:top w:val="none" w:sz="0" w:space="0" w:color="auto"/>
                <w:left w:val="none" w:sz="0" w:space="0" w:color="auto"/>
                <w:bottom w:val="none" w:sz="0" w:space="0" w:color="auto"/>
                <w:right w:val="none" w:sz="0" w:space="0" w:color="auto"/>
              </w:divBdr>
            </w:div>
          </w:divsChild>
        </w:div>
        <w:div w:id="2102681317">
          <w:marLeft w:val="0"/>
          <w:marRight w:val="0"/>
          <w:marTop w:val="0"/>
          <w:marBottom w:val="0"/>
          <w:divBdr>
            <w:top w:val="none" w:sz="0" w:space="0" w:color="auto"/>
            <w:left w:val="none" w:sz="0" w:space="0" w:color="auto"/>
            <w:bottom w:val="none" w:sz="0" w:space="0" w:color="auto"/>
            <w:right w:val="none" w:sz="0" w:space="0" w:color="auto"/>
          </w:divBdr>
        </w:div>
      </w:divsChild>
    </w:div>
    <w:div w:id="467673510">
      <w:bodyDiv w:val="1"/>
      <w:marLeft w:val="0"/>
      <w:marRight w:val="0"/>
      <w:marTop w:val="0"/>
      <w:marBottom w:val="0"/>
      <w:divBdr>
        <w:top w:val="none" w:sz="0" w:space="0" w:color="auto"/>
        <w:left w:val="none" w:sz="0" w:space="0" w:color="auto"/>
        <w:bottom w:val="none" w:sz="0" w:space="0" w:color="auto"/>
        <w:right w:val="none" w:sz="0" w:space="0" w:color="auto"/>
      </w:divBdr>
      <w:divsChild>
        <w:div w:id="737090246">
          <w:marLeft w:val="0"/>
          <w:marRight w:val="0"/>
          <w:marTop w:val="0"/>
          <w:marBottom w:val="0"/>
          <w:divBdr>
            <w:top w:val="none" w:sz="0" w:space="0" w:color="auto"/>
            <w:left w:val="none" w:sz="0" w:space="0" w:color="auto"/>
            <w:bottom w:val="none" w:sz="0" w:space="0" w:color="auto"/>
            <w:right w:val="none" w:sz="0" w:space="0" w:color="auto"/>
          </w:divBdr>
          <w:divsChild>
            <w:div w:id="157909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1573">
      <w:bodyDiv w:val="1"/>
      <w:marLeft w:val="0"/>
      <w:marRight w:val="0"/>
      <w:marTop w:val="0"/>
      <w:marBottom w:val="0"/>
      <w:divBdr>
        <w:top w:val="none" w:sz="0" w:space="0" w:color="auto"/>
        <w:left w:val="none" w:sz="0" w:space="0" w:color="auto"/>
        <w:bottom w:val="none" w:sz="0" w:space="0" w:color="auto"/>
        <w:right w:val="none" w:sz="0" w:space="0" w:color="auto"/>
      </w:divBdr>
    </w:div>
    <w:div w:id="520822003">
      <w:bodyDiv w:val="1"/>
      <w:marLeft w:val="0"/>
      <w:marRight w:val="0"/>
      <w:marTop w:val="0"/>
      <w:marBottom w:val="0"/>
      <w:divBdr>
        <w:top w:val="none" w:sz="0" w:space="0" w:color="auto"/>
        <w:left w:val="none" w:sz="0" w:space="0" w:color="auto"/>
        <w:bottom w:val="none" w:sz="0" w:space="0" w:color="auto"/>
        <w:right w:val="none" w:sz="0" w:space="0" w:color="auto"/>
      </w:divBdr>
    </w:div>
    <w:div w:id="522669401">
      <w:bodyDiv w:val="1"/>
      <w:marLeft w:val="0"/>
      <w:marRight w:val="0"/>
      <w:marTop w:val="0"/>
      <w:marBottom w:val="0"/>
      <w:divBdr>
        <w:top w:val="none" w:sz="0" w:space="0" w:color="auto"/>
        <w:left w:val="none" w:sz="0" w:space="0" w:color="auto"/>
        <w:bottom w:val="none" w:sz="0" w:space="0" w:color="auto"/>
        <w:right w:val="none" w:sz="0" w:space="0" w:color="auto"/>
      </w:divBdr>
    </w:div>
    <w:div w:id="530067800">
      <w:bodyDiv w:val="1"/>
      <w:marLeft w:val="0"/>
      <w:marRight w:val="0"/>
      <w:marTop w:val="0"/>
      <w:marBottom w:val="0"/>
      <w:divBdr>
        <w:top w:val="none" w:sz="0" w:space="0" w:color="auto"/>
        <w:left w:val="none" w:sz="0" w:space="0" w:color="auto"/>
        <w:bottom w:val="none" w:sz="0" w:space="0" w:color="auto"/>
        <w:right w:val="none" w:sz="0" w:space="0" w:color="auto"/>
      </w:divBdr>
    </w:div>
    <w:div w:id="602687339">
      <w:bodyDiv w:val="1"/>
      <w:marLeft w:val="0"/>
      <w:marRight w:val="0"/>
      <w:marTop w:val="0"/>
      <w:marBottom w:val="0"/>
      <w:divBdr>
        <w:top w:val="none" w:sz="0" w:space="0" w:color="auto"/>
        <w:left w:val="none" w:sz="0" w:space="0" w:color="auto"/>
        <w:bottom w:val="none" w:sz="0" w:space="0" w:color="auto"/>
        <w:right w:val="none" w:sz="0" w:space="0" w:color="auto"/>
      </w:divBdr>
    </w:div>
    <w:div w:id="707680928">
      <w:bodyDiv w:val="1"/>
      <w:marLeft w:val="0"/>
      <w:marRight w:val="0"/>
      <w:marTop w:val="0"/>
      <w:marBottom w:val="0"/>
      <w:divBdr>
        <w:top w:val="none" w:sz="0" w:space="0" w:color="auto"/>
        <w:left w:val="none" w:sz="0" w:space="0" w:color="auto"/>
        <w:bottom w:val="none" w:sz="0" w:space="0" w:color="auto"/>
        <w:right w:val="none" w:sz="0" w:space="0" w:color="auto"/>
      </w:divBdr>
    </w:div>
    <w:div w:id="716902957">
      <w:bodyDiv w:val="1"/>
      <w:marLeft w:val="0"/>
      <w:marRight w:val="0"/>
      <w:marTop w:val="0"/>
      <w:marBottom w:val="0"/>
      <w:divBdr>
        <w:top w:val="none" w:sz="0" w:space="0" w:color="auto"/>
        <w:left w:val="none" w:sz="0" w:space="0" w:color="auto"/>
        <w:bottom w:val="none" w:sz="0" w:space="0" w:color="auto"/>
        <w:right w:val="none" w:sz="0" w:space="0" w:color="auto"/>
      </w:divBdr>
    </w:div>
    <w:div w:id="723407188">
      <w:bodyDiv w:val="1"/>
      <w:marLeft w:val="0"/>
      <w:marRight w:val="0"/>
      <w:marTop w:val="0"/>
      <w:marBottom w:val="0"/>
      <w:divBdr>
        <w:top w:val="none" w:sz="0" w:space="0" w:color="auto"/>
        <w:left w:val="none" w:sz="0" w:space="0" w:color="auto"/>
        <w:bottom w:val="none" w:sz="0" w:space="0" w:color="auto"/>
        <w:right w:val="none" w:sz="0" w:space="0" w:color="auto"/>
      </w:divBdr>
    </w:div>
    <w:div w:id="751201144">
      <w:bodyDiv w:val="1"/>
      <w:marLeft w:val="0"/>
      <w:marRight w:val="0"/>
      <w:marTop w:val="0"/>
      <w:marBottom w:val="0"/>
      <w:divBdr>
        <w:top w:val="none" w:sz="0" w:space="0" w:color="auto"/>
        <w:left w:val="none" w:sz="0" w:space="0" w:color="auto"/>
        <w:bottom w:val="none" w:sz="0" w:space="0" w:color="auto"/>
        <w:right w:val="none" w:sz="0" w:space="0" w:color="auto"/>
      </w:divBdr>
    </w:div>
    <w:div w:id="785856438">
      <w:bodyDiv w:val="1"/>
      <w:marLeft w:val="0"/>
      <w:marRight w:val="0"/>
      <w:marTop w:val="0"/>
      <w:marBottom w:val="0"/>
      <w:divBdr>
        <w:top w:val="none" w:sz="0" w:space="0" w:color="auto"/>
        <w:left w:val="none" w:sz="0" w:space="0" w:color="auto"/>
        <w:bottom w:val="none" w:sz="0" w:space="0" w:color="auto"/>
        <w:right w:val="none" w:sz="0" w:space="0" w:color="auto"/>
      </w:divBdr>
    </w:div>
    <w:div w:id="825586829">
      <w:bodyDiv w:val="1"/>
      <w:marLeft w:val="0"/>
      <w:marRight w:val="0"/>
      <w:marTop w:val="0"/>
      <w:marBottom w:val="0"/>
      <w:divBdr>
        <w:top w:val="none" w:sz="0" w:space="0" w:color="auto"/>
        <w:left w:val="none" w:sz="0" w:space="0" w:color="auto"/>
        <w:bottom w:val="none" w:sz="0" w:space="0" w:color="auto"/>
        <w:right w:val="none" w:sz="0" w:space="0" w:color="auto"/>
      </w:divBdr>
    </w:div>
    <w:div w:id="865406130">
      <w:bodyDiv w:val="1"/>
      <w:marLeft w:val="0"/>
      <w:marRight w:val="0"/>
      <w:marTop w:val="0"/>
      <w:marBottom w:val="0"/>
      <w:divBdr>
        <w:top w:val="none" w:sz="0" w:space="0" w:color="auto"/>
        <w:left w:val="none" w:sz="0" w:space="0" w:color="auto"/>
        <w:bottom w:val="none" w:sz="0" w:space="0" w:color="auto"/>
        <w:right w:val="none" w:sz="0" w:space="0" w:color="auto"/>
      </w:divBdr>
      <w:divsChild>
        <w:div w:id="310792709">
          <w:marLeft w:val="0"/>
          <w:marRight w:val="0"/>
          <w:marTop w:val="0"/>
          <w:marBottom w:val="0"/>
          <w:divBdr>
            <w:top w:val="none" w:sz="0" w:space="0" w:color="auto"/>
            <w:left w:val="none" w:sz="0" w:space="0" w:color="auto"/>
            <w:bottom w:val="none" w:sz="0" w:space="0" w:color="auto"/>
            <w:right w:val="none" w:sz="0" w:space="0" w:color="auto"/>
          </w:divBdr>
          <w:divsChild>
            <w:div w:id="147772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386601">
      <w:bodyDiv w:val="1"/>
      <w:marLeft w:val="0"/>
      <w:marRight w:val="0"/>
      <w:marTop w:val="0"/>
      <w:marBottom w:val="0"/>
      <w:divBdr>
        <w:top w:val="none" w:sz="0" w:space="0" w:color="auto"/>
        <w:left w:val="none" w:sz="0" w:space="0" w:color="auto"/>
        <w:bottom w:val="none" w:sz="0" w:space="0" w:color="auto"/>
        <w:right w:val="none" w:sz="0" w:space="0" w:color="auto"/>
      </w:divBdr>
      <w:divsChild>
        <w:div w:id="278536135">
          <w:marLeft w:val="0"/>
          <w:marRight w:val="0"/>
          <w:marTop w:val="0"/>
          <w:marBottom w:val="0"/>
          <w:divBdr>
            <w:top w:val="none" w:sz="0" w:space="0" w:color="auto"/>
            <w:left w:val="none" w:sz="0" w:space="0" w:color="auto"/>
            <w:bottom w:val="none" w:sz="0" w:space="0" w:color="auto"/>
            <w:right w:val="none" w:sz="0" w:space="0" w:color="auto"/>
          </w:divBdr>
          <w:divsChild>
            <w:div w:id="1741562065">
              <w:marLeft w:val="0"/>
              <w:marRight w:val="0"/>
              <w:marTop w:val="0"/>
              <w:marBottom w:val="0"/>
              <w:divBdr>
                <w:top w:val="none" w:sz="0" w:space="0" w:color="auto"/>
                <w:left w:val="none" w:sz="0" w:space="0" w:color="auto"/>
                <w:bottom w:val="none" w:sz="0" w:space="0" w:color="auto"/>
                <w:right w:val="none" w:sz="0" w:space="0" w:color="auto"/>
              </w:divBdr>
            </w:div>
          </w:divsChild>
        </w:div>
        <w:div w:id="458113247">
          <w:marLeft w:val="0"/>
          <w:marRight w:val="0"/>
          <w:marTop w:val="0"/>
          <w:marBottom w:val="0"/>
          <w:divBdr>
            <w:top w:val="none" w:sz="0" w:space="0" w:color="auto"/>
            <w:left w:val="none" w:sz="0" w:space="0" w:color="auto"/>
            <w:bottom w:val="none" w:sz="0" w:space="0" w:color="auto"/>
            <w:right w:val="none" w:sz="0" w:space="0" w:color="auto"/>
          </w:divBdr>
          <w:divsChild>
            <w:div w:id="986712479">
              <w:marLeft w:val="0"/>
              <w:marRight w:val="0"/>
              <w:marTop w:val="0"/>
              <w:marBottom w:val="0"/>
              <w:divBdr>
                <w:top w:val="none" w:sz="0" w:space="0" w:color="auto"/>
                <w:left w:val="none" w:sz="0" w:space="0" w:color="auto"/>
                <w:bottom w:val="none" w:sz="0" w:space="0" w:color="auto"/>
                <w:right w:val="none" w:sz="0" w:space="0" w:color="auto"/>
              </w:divBdr>
              <w:divsChild>
                <w:div w:id="2103335083">
                  <w:marLeft w:val="0"/>
                  <w:marRight w:val="0"/>
                  <w:marTop w:val="0"/>
                  <w:marBottom w:val="0"/>
                  <w:divBdr>
                    <w:top w:val="none" w:sz="0" w:space="0" w:color="auto"/>
                    <w:left w:val="none" w:sz="0" w:space="0" w:color="auto"/>
                    <w:bottom w:val="none" w:sz="0" w:space="0" w:color="auto"/>
                    <w:right w:val="none" w:sz="0" w:space="0" w:color="auto"/>
                  </w:divBdr>
                  <w:divsChild>
                    <w:div w:id="297612795">
                      <w:marLeft w:val="0"/>
                      <w:marRight w:val="0"/>
                      <w:marTop w:val="0"/>
                      <w:marBottom w:val="0"/>
                      <w:divBdr>
                        <w:top w:val="none" w:sz="0" w:space="0" w:color="auto"/>
                        <w:left w:val="none" w:sz="0" w:space="0" w:color="auto"/>
                        <w:bottom w:val="none" w:sz="0" w:space="0" w:color="auto"/>
                        <w:right w:val="none" w:sz="0" w:space="0" w:color="auto"/>
                      </w:divBdr>
                      <w:divsChild>
                        <w:div w:id="364598965">
                          <w:marLeft w:val="0"/>
                          <w:marRight w:val="0"/>
                          <w:marTop w:val="0"/>
                          <w:marBottom w:val="0"/>
                          <w:divBdr>
                            <w:top w:val="none" w:sz="0" w:space="0" w:color="auto"/>
                            <w:left w:val="none" w:sz="0" w:space="0" w:color="auto"/>
                            <w:bottom w:val="none" w:sz="0" w:space="0" w:color="auto"/>
                            <w:right w:val="none" w:sz="0" w:space="0" w:color="auto"/>
                          </w:divBdr>
                          <w:divsChild>
                            <w:div w:id="1397705307">
                              <w:marLeft w:val="0"/>
                              <w:marRight w:val="0"/>
                              <w:marTop w:val="0"/>
                              <w:marBottom w:val="0"/>
                              <w:divBdr>
                                <w:top w:val="none" w:sz="0" w:space="0" w:color="auto"/>
                                <w:left w:val="none" w:sz="0" w:space="0" w:color="auto"/>
                                <w:bottom w:val="none" w:sz="0" w:space="0" w:color="auto"/>
                                <w:right w:val="none" w:sz="0" w:space="0" w:color="auto"/>
                              </w:divBdr>
                              <w:divsChild>
                                <w:div w:id="916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683051">
      <w:bodyDiv w:val="1"/>
      <w:marLeft w:val="0"/>
      <w:marRight w:val="0"/>
      <w:marTop w:val="0"/>
      <w:marBottom w:val="0"/>
      <w:divBdr>
        <w:top w:val="none" w:sz="0" w:space="0" w:color="auto"/>
        <w:left w:val="none" w:sz="0" w:space="0" w:color="auto"/>
        <w:bottom w:val="none" w:sz="0" w:space="0" w:color="auto"/>
        <w:right w:val="none" w:sz="0" w:space="0" w:color="auto"/>
      </w:divBdr>
    </w:div>
    <w:div w:id="950553584">
      <w:bodyDiv w:val="1"/>
      <w:marLeft w:val="0"/>
      <w:marRight w:val="0"/>
      <w:marTop w:val="0"/>
      <w:marBottom w:val="0"/>
      <w:divBdr>
        <w:top w:val="none" w:sz="0" w:space="0" w:color="auto"/>
        <w:left w:val="none" w:sz="0" w:space="0" w:color="auto"/>
        <w:bottom w:val="none" w:sz="0" w:space="0" w:color="auto"/>
        <w:right w:val="none" w:sz="0" w:space="0" w:color="auto"/>
      </w:divBdr>
    </w:div>
    <w:div w:id="954098285">
      <w:bodyDiv w:val="1"/>
      <w:marLeft w:val="0"/>
      <w:marRight w:val="0"/>
      <w:marTop w:val="0"/>
      <w:marBottom w:val="0"/>
      <w:divBdr>
        <w:top w:val="none" w:sz="0" w:space="0" w:color="auto"/>
        <w:left w:val="none" w:sz="0" w:space="0" w:color="auto"/>
        <w:bottom w:val="none" w:sz="0" w:space="0" w:color="auto"/>
        <w:right w:val="none" w:sz="0" w:space="0" w:color="auto"/>
      </w:divBdr>
    </w:div>
    <w:div w:id="972445614">
      <w:bodyDiv w:val="1"/>
      <w:marLeft w:val="0"/>
      <w:marRight w:val="0"/>
      <w:marTop w:val="0"/>
      <w:marBottom w:val="0"/>
      <w:divBdr>
        <w:top w:val="none" w:sz="0" w:space="0" w:color="auto"/>
        <w:left w:val="none" w:sz="0" w:space="0" w:color="auto"/>
        <w:bottom w:val="none" w:sz="0" w:space="0" w:color="auto"/>
        <w:right w:val="none" w:sz="0" w:space="0" w:color="auto"/>
      </w:divBdr>
      <w:divsChild>
        <w:div w:id="1297225981">
          <w:marLeft w:val="0"/>
          <w:marRight w:val="0"/>
          <w:marTop w:val="0"/>
          <w:marBottom w:val="0"/>
          <w:divBdr>
            <w:top w:val="none" w:sz="0" w:space="0" w:color="auto"/>
            <w:left w:val="none" w:sz="0" w:space="0" w:color="auto"/>
            <w:bottom w:val="none" w:sz="0" w:space="0" w:color="auto"/>
            <w:right w:val="none" w:sz="0" w:space="0" w:color="auto"/>
          </w:divBdr>
          <w:divsChild>
            <w:div w:id="118628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27689">
      <w:bodyDiv w:val="1"/>
      <w:marLeft w:val="0"/>
      <w:marRight w:val="0"/>
      <w:marTop w:val="0"/>
      <w:marBottom w:val="0"/>
      <w:divBdr>
        <w:top w:val="none" w:sz="0" w:space="0" w:color="auto"/>
        <w:left w:val="none" w:sz="0" w:space="0" w:color="auto"/>
        <w:bottom w:val="none" w:sz="0" w:space="0" w:color="auto"/>
        <w:right w:val="none" w:sz="0" w:space="0" w:color="auto"/>
      </w:divBdr>
      <w:divsChild>
        <w:div w:id="583690437">
          <w:marLeft w:val="0"/>
          <w:marRight w:val="0"/>
          <w:marTop w:val="0"/>
          <w:marBottom w:val="0"/>
          <w:divBdr>
            <w:top w:val="none" w:sz="0" w:space="0" w:color="auto"/>
            <w:left w:val="none" w:sz="0" w:space="0" w:color="auto"/>
            <w:bottom w:val="single" w:sz="4" w:space="0" w:color="auto"/>
            <w:right w:val="none" w:sz="0" w:space="0" w:color="auto"/>
          </w:divBdr>
          <w:divsChild>
            <w:div w:id="929239658">
              <w:marLeft w:val="0"/>
              <w:marRight w:val="0"/>
              <w:marTop w:val="0"/>
              <w:marBottom w:val="0"/>
              <w:divBdr>
                <w:top w:val="none" w:sz="0" w:space="0" w:color="auto"/>
                <w:left w:val="none" w:sz="0" w:space="0" w:color="auto"/>
                <w:bottom w:val="none" w:sz="0" w:space="0" w:color="auto"/>
                <w:right w:val="none" w:sz="0" w:space="0" w:color="auto"/>
              </w:divBdr>
              <w:divsChild>
                <w:div w:id="1066149255">
                  <w:marLeft w:val="0"/>
                  <w:marRight w:val="0"/>
                  <w:marTop w:val="0"/>
                  <w:marBottom w:val="0"/>
                  <w:divBdr>
                    <w:top w:val="none" w:sz="0" w:space="0" w:color="auto"/>
                    <w:left w:val="none" w:sz="0" w:space="0" w:color="auto"/>
                    <w:bottom w:val="none" w:sz="0" w:space="0" w:color="auto"/>
                    <w:right w:val="none" w:sz="0" w:space="0" w:color="auto"/>
                  </w:divBdr>
                  <w:divsChild>
                    <w:div w:id="7371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8421">
              <w:marLeft w:val="0"/>
              <w:marRight w:val="0"/>
              <w:marTop w:val="0"/>
              <w:marBottom w:val="0"/>
              <w:divBdr>
                <w:top w:val="none" w:sz="0" w:space="0" w:color="auto"/>
                <w:left w:val="none" w:sz="0" w:space="0" w:color="auto"/>
                <w:bottom w:val="none" w:sz="0" w:space="0" w:color="auto"/>
                <w:right w:val="none" w:sz="0" w:space="0" w:color="auto"/>
              </w:divBdr>
              <w:divsChild>
                <w:div w:id="1187137364">
                  <w:marLeft w:val="0"/>
                  <w:marRight w:val="0"/>
                  <w:marTop w:val="0"/>
                  <w:marBottom w:val="0"/>
                  <w:divBdr>
                    <w:top w:val="none" w:sz="0" w:space="0" w:color="auto"/>
                    <w:left w:val="none" w:sz="0" w:space="0" w:color="auto"/>
                    <w:bottom w:val="none" w:sz="0" w:space="0" w:color="auto"/>
                    <w:right w:val="none" w:sz="0" w:space="0" w:color="auto"/>
                  </w:divBdr>
                  <w:divsChild>
                    <w:div w:id="626394998">
                      <w:marLeft w:val="0"/>
                      <w:marRight w:val="0"/>
                      <w:marTop w:val="0"/>
                      <w:marBottom w:val="0"/>
                      <w:divBdr>
                        <w:top w:val="none" w:sz="0" w:space="0" w:color="auto"/>
                        <w:left w:val="none" w:sz="0" w:space="0" w:color="auto"/>
                        <w:bottom w:val="none" w:sz="0" w:space="0" w:color="auto"/>
                        <w:right w:val="none" w:sz="0" w:space="0" w:color="auto"/>
                      </w:divBdr>
                      <w:divsChild>
                        <w:div w:id="210529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241475">
          <w:marLeft w:val="0"/>
          <w:marRight w:val="0"/>
          <w:marTop w:val="0"/>
          <w:marBottom w:val="0"/>
          <w:divBdr>
            <w:top w:val="none" w:sz="0" w:space="0" w:color="auto"/>
            <w:left w:val="none" w:sz="0" w:space="0" w:color="auto"/>
            <w:bottom w:val="none" w:sz="0" w:space="0" w:color="auto"/>
            <w:right w:val="none" w:sz="0" w:space="0" w:color="auto"/>
          </w:divBdr>
          <w:divsChild>
            <w:div w:id="6495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853">
      <w:bodyDiv w:val="1"/>
      <w:marLeft w:val="0"/>
      <w:marRight w:val="0"/>
      <w:marTop w:val="0"/>
      <w:marBottom w:val="0"/>
      <w:divBdr>
        <w:top w:val="none" w:sz="0" w:space="0" w:color="auto"/>
        <w:left w:val="none" w:sz="0" w:space="0" w:color="auto"/>
        <w:bottom w:val="none" w:sz="0" w:space="0" w:color="auto"/>
        <w:right w:val="none" w:sz="0" w:space="0" w:color="auto"/>
      </w:divBdr>
    </w:div>
    <w:div w:id="1015375793">
      <w:bodyDiv w:val="1"/>
      <w:marLeft w:val="0"/>
      <w:marRight w:val="0"/>
      <w:marTop w:val="0"/>
      <w:marBottom w:val="0"/>
      <w:divBdr>
        <w:top w:val="none" w:sz="0" w:space="0" w:color="auto"/>
        <w:left w:val="none" w:sz="0" w:space="0" w:color="auto"/>
        <w:bottom w:val="none" w:sz="0" w:space="0" w:color="auto"/>
        <w:right w:val="none" w:sz="0" w:space="0" w:color="auto"/>
      </w:divBdr>
    </w:div>
    <w:div w:id="1035229111">
      <w:bodyDiv w:val="1"/>
      <w:marLeft w:val="0"/>
      <w:marRight w:val="0"/>
      <w:marTop w:val="0"/>
      <w:marBottom w:val="0"/>
      <w:divBdr>
        <w:top w:val="none" w:sz="0" w:space="0" w:color="auto"/>
        <w:left w:val="none" w:sz="0" w:space="0" w:color="auto"/>
        <w:bottom w:val="none" w:sz="0" w:space="0" w:color="auto"/>
        <w:right w:val="none" w:sz="0" w:space="0" w:color="auto"/>
      </w:divBdr>
    </w:div>
    <w:div w:id="1097288377">
      <w:bodyDiv w:val="1"/>
      <w:marLeft w:val="0"/>
      <w:marRight w:val="0"/>
      <w:marTop w:val="0"/>
      <w:marBottom w:val="0"/>
      <w:divBdr>
        <w:top w:val="none" w:sz="0" w:space="0" w:color="auto"/>
        <w:left w:val="none" w:sz="0" w:space="0" w:color="auto"/>
        <w:bottom w:val="none" w:sz="0" w:space="0" w:color="auto"/>
        <w:right w:val="none" w:sz="0" w:space="0" w:color="auto"/>
      </w:divBdr>
      <w:divsChild>
        <w:div w:id="856844991">
          <w:marLeft w:val="0"/>
          <w:marRight w:val="0"/>
          <w:marTop w:val="0"/>
          <w:marBottom w:val="0"/>
          <w:divBdr>
            <w:top w:val="none" w:sz="0" w:space="0" w:color="auto"/>
            <w:left w:val="none" w:sz="0" w:space="0" w:color="auto"/>
            <w:bottom w:val="none" w:sz="0" w:space="0" w:color="auto"/>
            <w:right w:val="none" w:sz="0" w:space="0" w:color="auto"/>
          </w:divBdr>
          <w:divsChild>
            <w:div w:id="4718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15779">
      <w:bodyDiv w:val="1"/>
      <w:marLeft w:val="0"/>
      <w:marRight w:val="0"/>
      <w:marTop w:val="0"/>
      <w:marBottom w:val="0"/>
      <w:divBdr>
        <w:top w:val="none" w:sz="0" w:space="0" w:color="auto"/>
        <w:left w:val="none" w:sz="0" w:space="0" w:color="auto"/>
        <w:bottom w:val="none" w:sz="0" w:space="0" w:color="auto"/>
        <w:right w:val="none" w:sz="0" w:space="0" w:color="auto"/>
      </w:divBdr>
    </w:div>
    <w:div w:id="1121149712">
      <w:bodyDiv w:val="1"/>
      <w:marLeft w:val="0"/>
      <w:marRight w:val="0"/>
      <w:marTop w:val="0"/>
      <w:marBottom w:val="0"/>
      <w:divBdr>
        <w:top w:val="none" w:sz="0" w:space="0" w:color="auto"/>
        <w:left w:val="none" w:sz="0" w:space="0" w:color="auto"/>
        <w:bottom w:val="none" w:sz="0" w:space="0" w:color="auto"/>
        <w:right w:val="none" w:sz="0" w:space="0" w:color="auto"/>
      </w:divBdr>
    </w:div>
    <w:div w:id="1125541014">
      <w:bodyDiv w:val="1"/>
      <w:marLeft w:val="0"/>
      <w:marRight w:val="0"/>
      <w:marTop w:val="0"/>
      <w:marBottom w:val="0"/>
      <w:divBdr>
        <w:top w:val="none" w:sz="0" w:space="0" w:color="auto"/>
        <w:left w:val="none" w:sz="0" w:space="0" w:color="auto"/>
        <w:bottom w:val="none" w:sz="0" w:space="0" w:color="auto"/>
        <w:right w:val="none" w:sz="0" w:space="0" w:color="auto"/>
      </w:divBdr>
      <w:divsChild>
        <w:div w:id="440222950">
          <w:marLeft w:val="0"/>
          <w:marRight w:val="0"/>
          <w:marTop w:val="0"/>
          <w:marBottom w:val="0"/>
          <w:divBdr>
            <w:top w:val="none" w:sz="0" w:space="0" w:color="auto"/>
            <w:left w:val="none" w:sz="0" w:space="0" w:color="auto"/>
            <w:bottom w:val="none" w:sz="0" w:space="0" w:color="auto"/>
            <w:right w:val="none" w:sz="0" w:space="0" w:color="auto"/>
          </w:divBdr>
          <w:divsChild>
            <w:div w:id="1001547680">
              <w:marLeft w:val="0"/>
              <w:marRight w:val="0"/>
              <w:marTop w:val="0"/>
              <w:marBottom w:val="0"/>
              <w:divBdr>
                <w:top w:val="none" w:sz="0" w:space="0" w:color="auto"/>
                <w:left w:val="none" w:sz="0" w:space="0" w:color="auto"/>
                <w:bottom w:val="none" w:sz="0" w:space="0" w:color="auto"/>
                <w:right w:val="none" w:sz="0" w:space="0" w:color="auto"/>
              </w:divBdr>
            </w:div>
            <w:div w:id="650056891">
              <w:marLeft w:val="0"/>
              <w:marRight w:val="0"/>
              <w:marTop w:val="0"/>
              <w:marBottom w:val="0"/>
              <w:divBdr>
                <w:top w:val="none" w:sz="0" w:space="0" w:color="auto"/>
                <w:left w:val="none" w:sz="0" w:space="0" w:color="auto"/>
                <w:bottom w:val="none" w:sz="0" w:space="0" w:color="auto"/>
                <w:right w:val="none" w:sz="0" w:space="0" w:color="auto"/>
              </w:divBdr>
              <w:divsChild>
                <w:div w:id="906840734">
                  <w:marLeft w:val="0"/>
                  <w:marRight w:val="0"/>
                  <w:marTop w:val="0"/>
                  <w:marBottom w:val="0"/>
                  <w:divBdr>
                    <w:top w:val="none" w:sz="0" w:space="0" w:color="auto"/>
                    <w:left w:val="none" w:sz="0" w:space="0" w:color="auto"/>
                    <w:bottom w:val="none" w:sz="0" w:space="0" w:color="auto"/>
                    <w:right w:val="none" w:sz="0" w:space="0" w:color="auto"/>
                  </w:divBdr>
                  <w:divsChild>
                    <w:div w:id="2685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1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2666">
      <w:bodyDiv w:val="1"/>
      <w:marLeft w:val="0"/>
      <w:marRight w:val="0"/>
      <w:marTop w:val="0"/>
      <w:marBottom w:val="0"/>
      <w:divBdr>
        <w:top w:val="none" w:sz="0" w:space="0" w:color="auto"/>
        <w:left w:val="none" w:sz="0" w:space="0" w:color="auto"/>
        <w:bottom w:val="none" w:sz="0" w:space="0" w:color="auto"/>
        <w:right w:val="none" w:sz="0" w:space="0" w:color="auto"/>
      </w:divBdr>
    </w:div>
    <w:div w:id="1226602206">
      <w:bodyDiv w:val="1"/>
      <w:marLeft w:val="0"/>
      <w:marRight w:val="0"/>
      <w:marTop w:val="0"/>
      <w:marBottom w:val="0"/>
      <w:divBdr>
        <w:top w:val="none" w:sz="0" w:space="0" w:color="auto"/>
        <w:left w:val="none" w:sz="0" w:space="0" w:color="auto"/>
        <w:bottom w:val="none" w:sz="0" w:space="0" w:color="auto"/>
        <w:right w:val="none" w:sz="0" w:space="0" w:color="auto"/>
      </w:divBdr>
      <w:divsChild>
        <w:div w:id="1496796731">
          <w:marLeft w:val="0"/>
          <w:marRight w:val="0"/>
          <w:marTop w:val="0"/>
          <w:marBottom w:val="0"/>
          <w:divBdr>
            <w:top w:val="none" w:sz="0" w:space="0" w:color="auto"/>
            <w:left w:val="none" w:sz="0" w:space="0" w:color="auto"/>
            <w:bottom w:val="none" w:sz="0" w:space="0" w:color="auto"/>
            <w:right w:val="none" w:sz="0" w:space="0" w:color="auto"/>
          </w:divBdr>
          <w:divsChild>
            <w:div w:id="151519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61543">
      <w:bodyDiv w:val="1"/>
      <w:marLeft w:val="0"/>
      <w:marRight w:val="0"/>
      <w:marTop w:val="0"/>
      <w:marBottom w:val="0"/>
      <w:divBdr>
        <w:top w:val="none" w:sz="0" w:space="0" w:color="auto"/>
        <w:left w:val="none" w:sz="0" w:space="0" w:color="auto"/>
        <w:bottom w:val="none" w:sz="0" w:space="0" w:color="auto"/>
        <w:right w:val="none" w:sz="0" w:space="0" w:color="auto"/>
      </w:divBdr>
    </w:div>
    <w:div w:id="1334263180">
      <w:bodyDiv w:val="1"/>
      <w:marLeft w:val="0"/>
      <w:marRight w:val="0"/>
      <w:marTop w:val="0"/>
      <w:marBottom w:val="0"/>
      <w:divBdr>
        <w:top w:val="none" w:sz="0" w:space="0" w:color="auto"/>
        <w:left w:val="none" w:sz="0" w:space="0" w:color="auto"/>
        <w:bottom w:val="none" w:sz="0" w:space="0" w:color="auto"/>
        <w:right w:val="none" w:sz="0" w:space="0" w:color="auto"/>
      </w:divBdr>
    </w:div>
    <w:div w:id="1396196866">
      <w:bodyDiv w:val="1"/>
      <w:marLeft w:val="0"/>
      <w:marRight w:val="0"/>
      <w:marTop w:val="0"/>
      <w:marBottom w:val="0"/>
      <w:divBdr>
        <w:top w:val="none" w:sz="0" w:space="0" w:color="auto"/>
        <w:left w:val="none" w:sz="0" w:space="0" w:color="auto"/>
        <w:bottom w:val="none" w:sz="0" w:space="0" w:color="auto"/>
        <w:right w:val="none" w:sz="0" w:space="0" w:color="auto"/>
      </w:divBdr>
    </w:div>
    <w:div w:id="1421176951">
      <w:bodyDiv w:val="1"/>
      <w:marLeft w:val="0"/>
      <w:marRight w:val="0"/>
      <w:marTop w:val="0"/>
      <w:marBottom w:val="0"/>
      <w:divBdr>
        <w:top w:val="none" w:sz="0" w:space="0" w:color="auto"/>
        <w:left w:val="none" w:sz="0" w:space="0" w:color="auto"/>
        <w:bottom w:val="none" w:sz="0" w:space="0" w:color="auto"/>
        <w:right w:val="none" w:sz="0" w:space="0" w:color="auto"/>
      </w:divBdr>
      <w:divsChild>
        <w:div w:id="620578566">
          <w:marLeft w:val="0"/>
          <w:marRight w:val="0"/>
          <w:marTop w:val="0"/>
          <w:marBottom w:val="0"/>
          <w:divBdr>
            <w:top w:val="none" w:sz="0" w:space="0" w:color="auto"/>
            <w:left w:val="none" w:sz="0" w:space="0" w:color="auto"/>
            <w:bottom w:val="none" w:sz="0" w:space="0" w:color="auto"/>
            <w:right w:val="none" w:sz="0" w:space="0" w:color="auto"/>
          </w:divBdr>
          <w:divsChild>
            <w:div w:id="4714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48717">
      <w:bodyDiv w:val="1"/>
      <w:marLeft w:val="0"/>
      <w:marRight w:val="0"/>
      <w:marTop w:val="0"/>
      <w:marBottom w:val="0"/>
      <w:divBdr>
        <w:top w:val="none" w:sz="0" w:space="0" w:color="auto"/>
        <w:left w:val="none" w:sz="0" w:space="0" w:color="auto"/>
        <w:bottom w:val="none" w:sz="0" w:space="0" w:color="auto"/>
        <w:right w:val="none" w:sz="0" w:space="0" w:color="auto"/>
      </w:divBdr>
    </w:div>
    <w:div w:id="1500004521">
      <w:bodyDiv w:val="1"/>
      <w:marLeft w:val="0"/>
      <w:marRight w:val="0"/>
      <w:marTop w:val="0"/>
      <w:marBottom w:val="0"/>
      <w:divBdr>
        <w:top w:val="none" w:sz="0" w:space="0" w:color="auto"/>
        <w:left w:val="none" w:sz="0" w:space="0" w:color="auto"/>
        <w:bottom w:val="none" w:sz="0" w:space="0" w:color="auto"/>
        <w:right w:val="none" w:sz="0" w:space="0" w:color="auto"/>
      </w:divBdr>
    </w:div>
    <w:div w:id="1513177145">
      <w:bodyDiv w:val="1"/>
      <w:marLeft w:val="0"/>
      <w:marRight w:val="0"/>
      <w:marTop w:val="0"/>
      <w:marBottom w:val="0"/>
      <w:divBdr>
        <w:top w:val="none" w:sz="0" w:space="0" w:color="auto"/>
        <w:left w:val="none" w:sz="0" w:space="0" w:color="auto"/>
        <w:bottom w:val="none" w:sz="0" w:space="0" w:color="auto"/>
        <w:right w:val="none" w:sz="0" w:space="0" w:color="auto"/>
      </w:divBdr>
    </w:div>
    <w:div w:id="1516265774">
      <w:bodyDiv w:val="1"/>
      <w:marLeft w:val="0"/>
      <w:marRight w:val="0"/>
      <w:marTop w:val="0"/>
      <w:marBottom w:val="0"/>
      <w:divBdr>
        <w:top w:val="none" w:sz="0" w:space="0" w:color="auto"/>
        <w:left w:val="none" w:sz="0" w:space="0" w:color="auto"/>
        <w:bottom w:val="none" w:sz="0" w:space="0" w:color="auto"/>
        <w:right w:val="none" w:sz="0" w:space="0" w:color="auto"/>
      </w:divBdr>
      <w:divsChild>
        <w:div w:id="1433284116">
          <w:marLeft w:val="0"/>
          <w:marRight w:val="0"/>
          <w:marTop w:val="0"/>
          <w:marBottom w:val="0"/>
          <w:divBdr>
            <w:top w:val="none" w:sz="0" w:space="0" w:color="auto"/>
            <w:left w:val="none" w:sz="0" w:space="0" w:color="auto"/>
            <w:bottom w:val="none" w:sz="0" w:space="0" w:color="auto"/>
            <w:right w:val="none" w:sz="0" w:space="0" w:color="auto"/>
          </w:divBdr>
          <w:divsChild>
            <w:div w:id="20152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673">
      <w:bodyDiv w:val="1"/>
      <w:marLeft w:val="0"/>
      <w:marRight w:val="0"/>
      <w:marTop w:val="0"/>
      <w:marBottom w:val="0"/>
      <w:divBdr>
        <w:top w:val="none" w:sz="0" w:space="0" w:color="auto"/>
        <w:left w:val="none" w:sz="0" w:space="0" w:color="auto"/>
        <w:bottom w:val="none" w:sz="0" w:space="0" w:color="auto"/>
        <w:right w:val="none" w:sz="0" w:space="0" w:color="auto"/>
      </w:divBdr>
    </w:div>
    <w:div w:id="1580670662">
      <w:bodyDiv w:val="1"/>
      <w:marLeft w:val="0"/>
      <w:marRight w:val="0"/>
      <w:marTop w:val="0"/>
      <w:marBottom w:val="0"/>
      <w:divBdr>
        <w:top w:val="none" w:sz="0" w:space="0" w:color="auto"/>
        <w:left w:val="none" w:sz="0" w:space="0" w:color="auto"/>
        <w:bottom w:val="none" w:sz="0" w:space="0" w:color="auto"/>
        <w:right w:val="none" w:sz="0" w:space="0" w:color="auto"/>
      </w:divBdr>
    </w:div>
    <w:div w:id="1582519229">
      <w:bodyDiv w:val="1"/>
      <w:marLeft w:val="0"/>
      <w:marRight w:val="0"/>
      <w:marTop w:val="0"/>
      <w:marBottom w:val="0"/>
      <w:divBdr>
        <w:top w:val="none" w:sz="0" w:space="0" w:color="auto"/>
        <w:left w:val="none" w:sz="0" w:space="0" w:color="auto"/>
        <w:bottom w:val="none" w:sz="0" w:space="0" w:color="auto"/>
        <w:right w:val="none" w:sz="0" w:space="0" w:color="auto"/>
      </w:divBdr>
    </w:div>
    <w:div w:id="1583836651">
      <w:bodyDiv w:val="1"/>
      <w:marLeft w:val="0"/>
      <w:marRight w:val="0"/>
      <w:marTop w:val="0"/>
      <w:marBottom w:val="0"/>
      <w:divBdr>
        <w:top w:val="none" w:sz="0" w:space="0" w:color="auto"/>
        <w:left w:val="none" w:sz="0" w:space="0" w:color="auto"/>
        <w:bottom w:val="none" w:sz="0" w:space="0" w:color="auto"/>
        <w:right w:val="none" w:sz="0" w:space="0" w:color="auto"/>
      </w:divBdr>
      <w:divsChild>
        <w:div w:id="622854583">
          <w:marLeft w:val="0"/>
          <w:marRight w:val="0"/>
          <w:marTop w:val="0"/>
          <w:marBottom w:val="0"/>
          <w:divBdr>
            <w:top w:val="none" w:sz="0" w:space="0" w:color="auto"/>
            <w:left w:val="none" w:sz="0" w:space="0" w:color="auto"/>
            <w:bottom w:val="none" w:sz="0" w:space="0" w:color="auto"/>
            <w:right w:val="none" w:sz="0" w:space="0" w:color="auto"/>
          </w:divBdr>
          <w:divsChild>
            <w:div w:id="156749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13935">
      <w:bodyDiv w:val="1"/>
      <w:marLeft w:val="0"/>
      <w:marRight w:val="0"/>
      <w:marTop w:val="0"/>
      <w:marBottom w:val="0"/>
      <w:divBdr>
        <w:top w:val="none" w:sz="0" w:space="0" w:color="auto"/>
        <w:left w:val="none" w:sz="0" w:space="0" w:color="auto"/>
        <w:bottom w:val="none" w:sz="0" w:space="0" w:color="auto"/>
        <w:right w:val="none" w:sz="0" w:space="0" w:color="auto"/>
      </w:divBdr>
    </w:div>
    <w:div w:id="1641349441">
      <w:bodyDiv w:val="1"/>
      <w:marLeft w:val="0"/>
      <w:marRight w:val="0"/>
      <w:marTop w:val="0"/>
      <w:marBottom w:val="0"/>
      <w:divBdr>
        <w:top w:val="none" w:sz="0" w:space="0" w:color="auto"/>
        <w:left w:val="none" w:sz="0" w:space="0" w:color="auto"/>
        <w:bottom w:val="none" w:sz="0" w:space="0" w:color="auto"/>
        <w:right w:val="none" w:sz="0" w:space="0" w:color="auto"/>
      </w:divBdr>
      <w:divsChild>
        <w:div w:id="858275292">
          <w:marLeft w:val="0"/>
          <w:marRight w:val="0"/>
          <w:marTop w:val="0"/>
          <w:marBottom w:val="0"/>
          <w:divBdr>
            <w:top w:val="none" w:sz="0" w:space="0" w:color="auto"/>
            <w:left w:val="none" w:sz="0" w:space="0" w:color="auto"/>
            <w:bottom w:val="none" w:sz="0" w:space="0" w:color="auto"/>
            <w:right w:val="none" w:sz="0" w:space="0" w:color="auto"/>
          </w:divBdr>
          <w:divsChild>
            <w:div w:id="1490514283">
              <w:marLeft w:val="0"/>
              <w:marRight w:val="0"/>
              <w:marTop w:val="0"/>
              <w:marBottom w:val="0"/>
              <w:divBdr>
                <w:top w:val="none" w:sz="0" w:space="0" w:color="auto"/>
                <w:left w:val="none" w:sz="0" w:space="0" w:color="auto"/>
                <w:bottom w:val="none" w:sz="0" w:space="0" w:color="auto"/>
                <w:right w:val="none" w:sz="0" w:space="0" w:color="auto"/>
              </w:divBdr>
            </w:div>
          </w:divsChild>
        </w:div>
        <w:div w:id="2081099295">
          <w:marLeft w:val="0"/>
          <w:marRight w:val="0"/>
          <w:marTop w:val="0"/>
          <w:marBottom w:val="0"/>
          <w:divBdr>
            <w:top w:val="none" w:sz="0" w:space="0" w:color="auto"/>
            <w:left w:val="none" w:sz="0" w:space="0" w:color="auto"/>
            <w:bottom w:val="none" w:sz="0" w:space="0" w:color="auto"/>
            <w:right w:val="none" w:sz="0" w:space="0" w:color="auto"/>
          </w:divBdr>
          <w:divsChild>
            <w:div w:id="93986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2956">
      <w:bodyDiv w:val="1"/>
      <w:marLeft w:val="0"/>
      <w:marRight w:val="0"/>
      <w:marTop w:val="0"/>
      <w:marBottom w:val="0"/>
      <w:divBdr>
        <w:top w:val="none" w:sz="0" w:space="0" w:color="auto"/>
        <w:left w:val="none" w:sz="0" w:space="0" w:color="auto"/>
        <w:bottom w:val="none" w:sz="0" w:space="0" w:color="auto"/>
        <w:right w:val="none" w:sz="0" w:space="0" w:color="auto"/>
      </w:divBdr>
    </w:div>
    <w:div w:id="1703438036">
      <w:bodyDiv w:val="1"/>
      <w:marLeft w:val="0"/>
      <w:marRight w:val="0"/>
      <w:marTop w:val="0"/>
      <w:marBottom w:val="0"/>
      <w:divBdr>
        <w:top w:val="none" w:sz="0" w:space="0" w:color="auto"/>
        <w:left w:val="none" w:sz="0" w:space="0" w:color="auto"/>
        <w:bottom w:val="none" w:sz="0" w:space="0" w:color="auto"/>
        <w:right w:val="none" w:sz="0" w:space="0" w:color="auto"/>
      </w:divBdr>
    </w:div>
    <w:div w:id="1707372027">
      <w:bodyDiv w:val="1"/>
      <w:marLeft w:val="0"/>
      <w:marRight w:val="0"/>
      <w:marTop w:val="0"/>
      <w:marBottom w:val="0"/>
      <w:divBdr>
        <w:top w:val="none" w:sz="0" w:space="0" w:color="auto"/>
        <w:left w:val="none" w:sz="0" w:space="0" w:color="auto"/>
        <w:bottom w:val="none" w:sz="0" w:space="0" w:color="auto"/>
        <w:right w:val="none" w:sz="0" w:space="0" w:color="auto"/>
      </w:divBdr>
    </w:div>
    <w:div w:id="1710033313">
      <w:bodyDiv w:val="1"/>
      <w:marLeft w:val="0"/>
      <w:marRight w:val="0"/>
      <w:marTop w:val="0"/>
      <w:marBottom w:val="0"/>
      <w:divBdr>
        <w:top w:val="none" w:sz="0" w:space="0" w:color="auto"/>
        <w:left w:val="none" w:sz="0" w:space="0" w:color="auto"/>
        <w:bottom w:val="none" w:sz="0" w:space="0" w:color="auto"/>
        <w:right w:val="none" w:sz="0" w:space="0" w:color="auto"/>
      </w:divBdr>
    </w:div>
    <w:div w:id="1716542009">
      <w:bodyDiv w:val="1"/>
      <w:marLeft w:val="0"/>
      <w:marRight w:val="0"/>
      <w:marTop w:val="0"/>
      <w:marBottom w:val="0"/>
      <w:divBdr>
        <w:top w:val="none" w:sz="0" w:space="0" w:color="auto"/>
        <w:left w:val="none" w:sz="0" w:space="0" w:color="auto"/>
        <w:bottom w:val="none" w:sz="0" w:space="0" w:color="auto"/>
        <w:right w:val="none" w:sz="0" w:space="0" w:color="auto"/>
      </w:divBdr>
      <w:divsChild>
        <w:div w:id="2031829569">
          <w:marLeft w:val="0"/>
          <w:marRight w:val="0"/>
          <w:marTop w:val="0"/>
          <w:marBottom w:val="0"/>
          <w:divBdr>
            <w:top w:val="none" w:sz="0" w:space="0" w:color="auto"/>
            <w:left w:val="none" w:sz="0" w:space="0" w:color="auto"/>
            <w:bottom w:val="none" w:sz="0" w:space="0" w:color="auto"/>
            <w:right w:val="none" w:sz="0" w:space="0" w:color="auto"/>
          </w:divBdr>
          <w:divsChild>
            <w:div w:id="98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67305">
      <w:bodyDiv w:val="1"/>
      <w:marLeft w:val="0"/>
      <w:marRight w:val="0"/>
      <w:marTop w:val="0"/>
      <w:marBottom w:val="0"/>
      <w:divBdr>
        <w:top w:val="none" w:sz="0" w:space="0" w:color="auto"/>
        <w:left w:val="none" w:sz="0" w:space="0" w:color="auto"/>
        <w:bottom w:val="none" w:sz="0" w:space="0" w:color="auto"/>
        <w:right w:val="none" w:sz="0" w:space="0" w:color="auto"/>
      </w:divBdr>
    </w:div>
    <w:div w:id="1727021845">
      <w:bodyDiv w:val="1"/>
      <w:marLeft w:val="0"/>
      <w:marRight w:val="0"/>
      <w:marTop w:val="0"/>
      <w:marBottom w:val="0"/>
      <w:divBdr>
        <w:top w:val="none" w:sz="0" w:space="0" w:color="auto"/>
        <w:left w:val="none" w:sz="0" w:space="0" w:color="auto"/>
        <w:bottom w:val="none" w:sz="0" w:space="0" w:color="auto"/>
        <w:right w:val="none" w:sz="0" w:space="0" w:color="auto"/>
      </w:divBdr>
      <w:divsChild>
        <w:div w:id="127865600">
          <w:marLeft w:val="0"/>
          <w:marRight w:val="0"/>
          <w:marTop w:val="0"/>
          <w:marBottom w:val="0"/>
          <w:divBdr>
            <w:top w:val="none" w:sz="0" w:space="0" w:color="auto"/>
            <w:left w:val="none" w:sz="0" w:space="0" w:color="auto"/>
            <w:bottom w:val="none" w:sz="0" w:space="0" w:color="auto"/>
            <w:right w:val="none" w:sz="0" w:space="0" w:color="auto"/>
          </w:divBdr>
          <w:divsChild>
            <w:div w:id="834608380">
              <w:marLeft w:val="0"/>
              <w:marRight w:val="0"/>
              <w:marTop w:val="0"/>
              <w:marBottom w:val="0"/>
              <w:divBdr>
                <w:top w:val="none" w:sz="0" w:space="0" w:color="auto"/>
                <w:left w:val="none" w:sz="0" w:space="0" w:color="auto"/>
                <w:bottom w:val="none" w:sz="0" w:space="0" w:color="auto"/>
                <w:right w:val="none" w:sz="0" w:space="0" w:color="auto"/>
              </w:divBdr>
            </w:div>
          </w:divsChild>
        </w:div>
        <w:div w:id="1498232927">
          <w:marLeft w:val="0"/>
          <w:marRight w:val="0"/>
          <w:marTop w:val="0"/>
          <w:marBottom w:val="0"/>
          <w:divBdr>
            <w:top w:val="none" w:sz="0" w:space="0" w:color="auto"/>
            <w:left w:val="none" w:sz="0" w:space="0" w:color="auto"/>
            <w:bottom w:val="none" w:sz="0" w:space="0" w:color="auto"/>
            <w:right w:val="none" w:sz="0" w:space="0" w:color="auto"/>
          </w:divBdr>
          <w:divsChild>
            <w:div w:id="1068958829">
              <w:marLeft w:val="0"/>
              <w:marRight w:val="0"/>
              <w:marTop w:val="0"/>
              <w:marBottom w:val="0"/>
              <w:divBdr>
                <w:top w:val="none" w:sz="0" w:space="0" w:color="auto"/>
                <w:left w:val="none" w:sz="0" w:space="0" w:color="auto"/>
                <w:bottom w:val="none" w:sz="0" w:space="0" w:color="auto"/>
                <w:right w:val="none" w:sz="0" w:space="0" w:color="auto"/>
              </w:divBdr>
            </w:div>
          </w:divsChild>
        </w:div>
        <w:div w:id="283855800">
          <w:marLeft w:val="0"/>
          <w:marRight w:val="0"/>
          <w:marTop w:val="0"/>
          <w:marBottom w:val="0"/>
          <w:divBdr>
            <w:top w:val="none" w:sz="0" w:space="0" w:color="auto"/>
            <w:left w:val="none" w:sz="0" w:space="0" w:color="auto"/>
            <w:bottom w:val="none" w:sz="0" w:space="0" w:color="auto"/>
            <w:right w:val="none" w:sz="0" w:space="0" w:color="auto"/>
          </w:divBdr>
          <w:divsChild>
            <w:div w:id="1692685219">
              <w:marLeft w:val="0"/>
              <w:marRight w:val="0"/>
              <w:marTop w:val="0"/>
              <w:marBottom w:val="0"/>
              <w:divBdr>
                <w:top w:val="none" w:sz="0" w:space="0" w:color="auto"/>
                <w:left w:val="none" w:sz="0" w:space="0" w:color="auto"/>
                <w:bottom w:val="none" w:sz="0" w:space="0" w:color="auto"/>
                <w:right w:val="none" w:sz="0" w:space="0" w:color="auto"/>
              </w:divBdr>
            </w:div>
            <w:div w:id="746222594">
              <w:marLeft w:val="0"/>
              <w:marRight w:val="0"/>
              <w:marTop w:val="0"/>
              <w:marBottom w:val="0"/>
              <w:divBdr>
                <w:top w:val="none" w:sz="0" w:space="0" w:color="auto"/>
                <w:left w:val="none" w:sz="0" w:space="0" w:color="auto"/>
                <w:bottom w:val="none" w:sz="0" w:space="0" w:color="auto"/>
                <w:right w:val="none" w:sz="0" w:space="0" w:color="auto"/>
              </w:divBdr>
              <w:divsChild>
                <w:div w:id="1779789049">
                  <w:marLeft w:val="0"/>
                  <w:marRight w:val="0"/>
                  <w:marTop w:val="0"/>
                  <w:marBottom w:val="0"/>
                  <w:divBdr>
                    <w:top w:val="none" w:sz="0" w:space="0" w:color="auto"/>
                    <w:left w:val="none" w:sz="0" w:space="0" w:color="auto"/>
                    <w:bottom w:val="none" w:sz="0" w:space="0" w:color="auto"/>
                    <w:right w:val="none" w:sz="0" w:space="0" w:color="auto"/>
                  </w:divBdr>
                  <w:divsChild>
                    <w:div w:id="85434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91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81358">
      <w:bodyDiv w:val="1"/>
      <w:marLeft w:val="0"/>
      <w:marRight w:val="0"/>
      <w:marTop w:val="0"/>
      <w:marBottom w:val="0"/>
      <w:divBdr>
        <w:top w:val="none" w:sz="0" w:space="0" w:color="auto"/>
        <w:left w:val="none" w:sz="0" w:space="0" w:color="auto"/>
        <w:bottom w:val="none" w:sz="0" w:space="0" w:color="auto"/>
        <w:right w:val="none" w:sz="0" w:space="0" w:color="auto"/>
      </w:divBdr>
      <w:divsChild>
        <w:div w:id="1534884692">
          <w:marLeft w:val="0"/>
          <w:marRight w:val="0"/>
          <w:marTop w:val="0"/>
          <w:marBottom w:val="0"/>
          <w:divBdr>
            <w:top w:val="none" w:sz="0" w:space="0" w:color="auto"/>
            <w:left w:val="none" w:sz="0" w:space="0" w:color="auto"/>
            <w:bottom w:val="none" w:sz="0" w:space="0" w:color="auto"/>
            <w:right w:val="none" w:sz="0" w:space="0" w:color="auto"/>
          </w:divBdr>
          <w:divsChild>
            <w:div w:id="167714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13076">
      <w:bodyDiv w:val="1"/>
      <w:marLeft w:val="0"/>
      <w:marRight w:val="0"/>
      <w:marTop w:val="0"/>
      <w:marBottom w:val="0"/>
      <w:divBdr>
        <w:top w:val="none" w:sz="0" w:space="0" w:color="auto"/>
        <w:left w:val="none" w:sz="0" w:space="0" w:color="auto"/>
        <w:bottom w:val="none" w:sz="0" w:space="0" w:color="auto"/>
        <w:right w:val="none" w:sz="0" w:space="0" w:color="auto"/>
      </w:divBdr>
      <w:divsChild>
        <w:div w:id="521364943">
          <w:marLeft w:val="0"/>
          <w:marRight w:val="0"/>
          <w:marTop w:val="0"/>
          <w:marBottom w:val="0"/>
          <w:divBdr>
            <w:top w:val="none" w:sz="0" w:space="0" w:color="auto"/>
            <w:left w:val="none" w:sz="0" w:space="0" w:color="auto"/>
            <w:bottom w:val="none" w:sz="0" w:space="0" w:color="auto"/>
            <w:right w:val="none" w:sz="0" w:space="0" w:color="auto"/>
          </w:divBdr>
          <w:divsChild>
            <w:div w:id="179621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106180">
      <w:bodyDiv w:val="1"/>
      <w:marLeft w:val="0"/>
      <w:marRight w:val="0"/>
      <w:marTop w:val="0"/>
      <w:marBottom w:val="0"/>
      <w:divBdr>
        <w:top w:val="none" w:sz="0" w:space="0" w:color="auto"/>
        <w:left w:val="none" w:sz="0" w:space="0" w:color="auto"/>
        <w:bottom w:val="none" w:sz="0" w:space="0" w:color="auto"/>
        <w:right w:val="none" w:sz="0" w:space="0" w:color="auto"/>
      </w:divBdr>
    </w:div>
    <w:div w:id="1795558021">
      <w:bodyDiv w:val="1"/>
      <w:marLeft w:val="0"/>
      <w:marRight w:val="0"/>
      <w:marTop w:val="0"/>
      <w:marBottom w:val="0"/>
      <w:divBdr>
        <w:top w:val="none" w:sz="0" w:space="0" w:color="auto"/>
        <w:left w:val="none" w:sz="0" w:space="0" w:color="auto"/>
        <w:bottom w:val="none" w:sz="0" w:space="0" w:color="auto"/>
        <w:right w:val="none" w:sz="0" w:space="0" w:color="auto"/>
      </w:divBdr>
    </w:div>
    <w:div w:id="1823813122">
      <w:bodyDiv w:val="1"/>
      <w:marLeft w:val="0"/>
      <w:marRight w:val="0"/>
      <w:marTop w:val="0"/>
      <w:marBottom w:val="0"/>
      <w:divBdr>
        <w:top w:val="none" w:sz="0" w:space="0" w:color="auto"/>
        <w:left w:val="none" w:sz="0" w:space="0" w:color="auto"/>
        <w:bottom w:val="none" w:sz="0" w:space="0" w:color="auto"/>
        <w:right w:val="none" w:sz="0" w:space="0" w:color="auto"/>
      </w:divBdr>
    </w:div>
    <w:div w:id="1880781837">
      <w:bodyDiv w:val="1"/>
      <w:marLeft w:val="0"/>
      <w:marRight w:val="0"/>
      <w:marTop w:val="0"/>
      <w:marBottom w:val="0"/>
      <w:divBdr>
        <w:top w:val="none" w:sz="0" w:space="0" w:color="auto"/>
        <w:left w:val="none" w:sz="0" w:space="0" w:color="auto"/>
        <w:bottom w:val="none" w:sz="0" w:space="0" w:color="auto"/>
        <w:right w:val="none" w:sz="0" w:space="0" w:color="auto"/>
      </w:divBdr>
      <w:divsChild>
        <w:div w:id="30762951">
          <w:marLeft w:val="0"/>
          <w:marRight w:val="0"/>
          <w:marTop w:val="0"/>
          <w:marBottom w:val="0"/>
          <w:divBdr>
            <w:top w:val="none" w:sz="0" w:space="0" w:color="auto"/>
            <w:left w:val="none" w:sz="0" w:space="0" w:color="auto"/>
            <w:bottom w:val="none" w:sz="0" w:space="0" w:color="auto"/>
            <w:right w:val="none" w:sz="0" w:space="0" w:color="auto"/>
          </w:divBdr>
          <w:divsChild>
            <w:div w:id="25810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4195">
      <w:bodyDiv w:val="1"/>
      <w:marLeft w:val="0"/>
      <w:marRight w:val="0"/>
      <w:marTop w:val="0"/>
      <w:marBottom w:val="0"/>
      <w:divBdr>
        <w:top w:val="none" w:sz="0" w:space="0" w:color="auto"/>
        <w:left w:val="none" w:sz="0" w:space="0" w:color="auto"/>
        <w:bottom w:val="none" w:sz="0" w:space="0" w:color="auto"/>
        <w:right w:val="none" w:sz="0" w:space="0" w:color="auto"/>
      </w:divBdr>
    </w:div>
    <w:div w:id="1920208379">
      <w:bodyDiv w:val="1"/>
      <w:marLeft w:val="0"/>
      <w:marRight w:val="0"/>
      <w:marTop w:val="0"/>
      <w:marBottom w:val="0"/>
      <w:divBdr>
        <w:top w:val="none" w:sz="0" w:space="0" w:color="auto"/>
        <w:left w:val="none" w:sz="0" w:space="0" w:color="auto"/>
        <w:bottom w:val="none" w:sz="0" w:space="0" w:color="auto"/>
        <w:right w:val="none" w:sz="0" w:space="0" w:color="auto"/>
      </w:divBdr>
    </w:div>
    <w:div w:id="1946034005">
      <w:bodyDiv w:val="1"/>
      <w:marLeft w:val="0"/>
      <w:marRight w:val="0"/>
      <w:marTop w:val="0"/>
      <w:marBottom w:val="0"/>
      <w:divBdr>
        <w:top w:val="none" w:sz="0" w:space="0" w:color="auto"/>
        <w:left w:val="none" w:sz="0" w:space="0" w:color="auto"/>
        <w:bottom w:val="none" w:sz="0" w:space="0" w:color="auto"/>
        <w:right w:val="none" w:sz="0" w:space="0" w:color="auto"/>
      </w:divBdr>
    </w:div>
    <w:div w:id="1954052678">
      <w:bodyDiv w:val="1"/>
      <w:marLeft w:val="0"/>
      <w:marRight w:val="0"/>
      <w:marTop w:val="0"/>
      <w:marBottom w:val="0"/>
      <w:divBdr>
        <w:top w:val="none" w:sz="0" w:space="0" w:color="auto"/>
        <w:left w:val="none" w:sz="0" w:space="0" w:color="auto"/>
        <w:bottom w:val="none" w:sz="0" w:space="0" w:color="auto"/>
        <w:right w:val="none" w:sz="0" w:space="0" w:color="auto"/>
      </w:divBdr>
    </w:div>
    <w:div w:id="1960068474">
      <w:bodyDiv w:val="1"/>
      <w:marLeft w:val="0"/>
      <w:marRight w:val="0"/>
      <w:marTop w:val="0"/>
      <w:marBottom w:val="0"/>
      <w:divBdr>
        <w:top w:val="none" w:sz="0" w:space="0" w:color="auto"/>
        <w:left w:val="none" w:sz="0" w:space="0" w:color="auto"/>
        <w:bottom w:val="none" w:sz="0" w:space="0" w:color="auto"/>
        <w:right w:val="none" w:sz="0" w:space="0" w:color="auto"/>
      </w:divBdr>
    </w:div>
    <w:div w:id="1971591157">
      <w:bodyDiv w:val="1"/>
      <w:marLeft w:val="0"/>
      <w:marRight w:val="0"/>
      <w:marTop w:val="0"/>
      <w:marBottom w:val="0"/>
      <w:divBdr>
        <w:top w:val="none" w:sz="0" w:space="0" w:color="auto"/>
        <w:left w:val="none" w:sz="0" w:space="0" w:color="auto"/>
        <w:bottom w:val="none" w:sz="0" w:space="0" w:color="auto"/>
        <w:right w:val="none" w:sz="0" w:space="0" w:color="auto"/>
      </w:divBdr>
    </w:div>
    <w:div w:id="1973636627">
      <w:bodyDiv w:val="1"/>
      <w:marLeft w:val="0"/>
      <w:marRight w:val="0"/>
      <w:marTop w:val="0"/>
      <w:marBottom w:val="0"/>
      <w:divBdr>
        <w:top w:val="none" w:sz="0" w:space="0" w:color="auto"/>
        <w:left w:val="none" w:sz="0" w:space="0" w:color="auto"/>
        <w:bottom w:val="none" w:sz="0" w:space="0" w:color="auto"/>
        <w:right w:val="none" w:sz="0" w:space="0" w:color="auto"/>
      </w:divBdr>
      <w:divsChild>
        <w:div w:id="1619604687">
          <w:marLeft w:val="0"/>
          <w:marRight w:val="0"/>
          <w:marTop w:val="0"/>
          <w:marBottom w:val="0"/>
          <w:divBdr>
            <w:top w:val="none" w:sz="0" w:space="0" w:color="auto"/>
            <w:left w:val="none" w:sz="0" w:space="0" w:color="auto"/>
            <w:bottom w:val="none" w:sz="0" w:space="0" w:color="auto"/>
            <w:right w:val="none" w:sz="0" w:space="0" w:color="auto"/>
          </w:divBdr>
          <w:divsChild>
            <w:div w:id="119230228">
              <w:marLeft w:val="0"/>
              <w:marRight w:val="0"/>
              <w:marTop w:val="0"/>
              <w:marBottom w:val="0"/>
              <w:divBdr>
                <w:top w:val="none" w:sz="0" w:space="0" w:color="auto"/>
                <w:left w:val="none" w:sz="0" w:space="0" w:color="auto"/>
                <w:bottom w:val="none" w:sz="0" w:space="0" w:color="auto"/>
                <w:right w:val="none" w:sz="0" w:space="0" w:color="auto"/>
              </w:divBdr>
            </w:div>
          </w:divsChild>
        </w:div>
        <w:div w:id="1134371221">
          <w:marLeft w:val="0"/>
          <w:marRight w:val="0"/>
          <w:marTop w:val="0"/>
          <w:marBottom w:val="0"/>
          <w:divBdr>
            <w:top w:val="none" w:sz="0" w:space="0" w:color="auto"/>
            <w:left w:val="none" w:sz="0" w:space="0" w:color="auto"/>
            <w:bottom w:val="none" w:sz="0" w:space="0" w:color="auto"/>
            <w:right w:val="none" w:sz="0" w:space="0" w:color="auto"/>
          </w:divBdr>
          <w:divsChild>
            <w:div w:id="130443934">
              <w:marLeft w:val="0"/>
              <w:marRight w:val="0"/>
              <w:marTop w:val="0"/>
              <w:marBottom w:val="0"/>
              <w:divBdr>
                <w:top w:val="none" w:sz="0" w:space="0" w:color="auto"/>
                <w:left w:val="none" w:sz="0" w:space="0" w:color="auto"/>
                <w:bottom w:val="none" w:sz="0" w:space="0" w:color="auto"/>
                <w:right w:val="none" w:sz="0" w:space="0" w:color="auto"/>
              </w:divBdr>
            </w:div>
            <w:div w:id="1767270058">
              <w:marLeft w:val="0"/>
              <w:marRight w:val="0"/>
              <w:marTop w:val="0"/>
              <w:marBottom w:val="0"/>
              <w:divBdr>
                <w:top w:val="none" w:sz="0" w:space="0" w:color="auto"/>
                <w:left w:val="none" w:sz="0" w:space="0" w:color="auto"/>
                <w:bottom w:val="none" w:sz="0" w:space="0" w:color="auto"/>
                <w:right w:val="none" w:sz="0" w:space="0" w:color="auto"/>
              </w:divBdr>
              <w:divsChild>
                <w:div w:id="336033756">
                  <w:marLeft w:val="0"/>
                  <w:marRight w:val="0"/>
                  <w:marTop w:val="0"/>
                  <w:marBottom w:val="0"/>
                  <w:divBdr>
                    <w:top w:val="none" w:sz="0" w:space="0" w:color="auto"/>
                    <w:left w:val="none" w:sz="0" w:space="0" w:color="auto"/>
                    <w:bottom w:val="none" w:sz="0" w:space="0" w:color="auto"/>
                    <w:right w:val="none" w:sz="0" w:space="0" w:color="auto"/>
                  </w:divBdr>
                  <w:divsChild>
                    <w:div w:id="126939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599459">
      <w:bodyDiv w:val="1"/>
      <w:marLeft w:val="0"/>
      <w:marRight w:val="0"/>
      <w:marTop w:val="0"/>
      <w:marBottom w:val="0"/>
      <w:divBdr>
        <w:top w:val="none" w:sz="0" w:space="0" w:color="auto"/>
        <w:left w:val="none" w:sz="0" w:space="0" w:color="auto"/>
        <w:bottom w:val="none" w:sz="0" w:space="0" w:color="auto"/>
        <w:right w:val="none" w:sz="0" w:space="0" w:color="auto"/>
      </w:divBdr>
      <w:divsChild>
        <w:div w:id="1917084772">
          <w:marLeft w:val="0"/>
          <w:marRight w:val="0"/>
          <w:marTop w:val="0"/>
          <w:marBottom w:val="0"/>
          <w:divBdr>
            <w:top w:val="none" w:sz="0" w:space="0" w:color="auto"/>
            <w:left w:val="none" w:sz="0" w:space="0" w:color="auto"/>
            <w:bottom w:val="none" w:sz="0" w:space="0" w:color="auto"/>
            <w:right w:val="none" w:sz="0" w:space="0" w:color="auto"/>
          </w:divBdr>
          <w:divsChild>
            <w:div w:id="901451612">
              <w:marLeft w:val="0"/>
              <w:marRight w:val="0"/>
              <w:marTop w:val="0"/>
              <w:marBottom w:val="0"/>
              <w:divBdr>
                <w:top w:val="none" w:sz="0" w:space="0" w:color="auto"/>
                <w:left w:val="none" w:sz="0" w:space="0" w:color="auto"/>
                <w:bottom w:val="none" w:sz="0" w:space="0" w:color="auto"/>
                <w:right w:val="none" w:sz="0" w:space="0" w:color="auto"/>
              </w:divBdr>
            </w:div>
            <w:div w:id="63454712">
              <w:marLeft w:val="0"/>
              <w:marRight w:val="0"/>
              <w:marTop w:val="0"/>
              <w:marBottom w:val="0"/>
              <w:divBdr>
                <w:top w:val="none" w:sz="0" w:space="0" w:color="auto"/>
                <w:left w:val="none" w:sz="0" w:space="0" w:color="auto"/>
                <w:bottom w:val="none" w:sz="0" w:space="0" w:color="auto"/>
                <w:right w:val="none" w:sz="0" w:space="0" w:color="auto"/>
              </w:divBdr>
              <w:divsChild>
                <w:div w:id="1777287876">
                  <w:marLeft w:val="0"/>
                  <w:marRight w:val="0"/>
                  <w:marTop w:val="0"/>
                  <w:marBottom w:val="0"/>
                  <w:divBdr>
                    <w:top w:val="none" w:sz="0" w:space="0" w:color="auto"/>
                    <w:left w:val="none" w:sz="0" w:space="0" w:color="auto"/>
                    <w:bottom w:val="none" w:sz="0" w:space="0" w:color="auto"/>
                    <w:right w:val="none" w:sz="0" w:space="0" w:color="auto"/>
                  </w:divBdr>
                  <w:divsChild>
                    <w:div w:id="106190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6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1252">
      <w:bodyDiv w:val="1"/>
      <w:marLeft w:val="0"/>
      <w:marRight w:val="0"/>
      <w:marTop w:val="0"/>
      <w:marBottom w:val="0"/>
      <w:divBdr>
        <w:top w:val="none" w:sz="0" w:space="0" w:color="auto"/>
        <w:left w:val="none" w:sz="0" w:space="0" w:color="auto"/>
        <w:bottom w:val="none" w:sz="0" w:space="0" w:color="auto"/>
        <w:right w:val="none" w:sz="0" w:space="0" w:color="auto"/>
      </w:divBdr>
      <w:divsChild>
        <w:div w:id="1299339600">
          <w:marLeft w:val="0"/>
          <w:marRight w:val="0"/>
          <w:marTop w:val="120"/>
          <w:marBottom w:val="0"/>
          <w:divBdr>
            <w:top w:val="none" w:sz="0" w:space="0" w:color="auto"/>
            <w:left w:val="none" w:sz="0" w:space="0" w:color="auto"/>
            <w:bottom w:val="none" w:sz="0" w:space="0" w:color="auto"/>
            <w:right w:val="none" w:sz="0" w:space="0" w:color="auto"/>
          </w:divBdr>
          <w:divsChild>
            <w:div w:id="1993823857">
              <w:marLeft w:val="0"/>
              <w:marRight w:val="0"/>
              <w:marTop w:val="0"/>
              <w:marBottom w:val="0"/>
              <w:divBdr>
                <w:top w:val="none" w:sz="0" w:space="0" w:color="auto"/>
                <w:left w:val="none" w:sz="0" w:space="0" w:color="auto"/>
                <w:bottom w:val="none" w:sz="0" w:space="0" w:color="auto"/>
                <w:right w:val="none" w:sz="0" w:space="0" w:color="auto"/>
              </w:divBdr>
              <w:divsChild>
                <w:div w:id="22545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57568">
      <w:bodyDiv w:val="1"/>
      <w:marLeft w:val="0"/>
      <w:marRight w:val="0"/>
      <w:marTop w:val="0"/>
      <w:marBottom w:val="0"/>
      <w:divBdr>
        <w:top w:val="none" w:sz="0" w:space="0" w:color="auto"/>
        <w:left w:val="none" w:sz="0" w:space="0" w:color="auto"/>
        <w:bottom w:val="none" w:sz="0" w:space="0" w:color="auto"/>
        <w:right w:val="none" w:sz="0" w:space="0" w:color="auto"/>
      </w:divBdr>
    </w:div>
    <w:div w:id="2058433112">
      <w:bodyDiv w:val="1"/>
      <w:marLeft w:val="0"/>
      <w:marRight w:val="0"/>
      <w:marTop w:val="0"/>
      <w:marBottom w:val="0"/>
      <w:divBdr>
        <w:top w:val="none" w:sz="0" w:space="0" w:color="auto"/>
        <w:left w:val="none" w:sz="0" w:space="0" w:color="auto"/>
        <w:bottom w:val="none" w:sz="0" w:space="0" w:color="auto"/>
        <w:right w:val="none" w:sz="0" w:space="0" w:color="auto"/>
      </w:divBdr>
    </w:div>
    <w:div w:id="2075857613">
      <w:bodyDiv w:val="1"/>
      <w:marLeft w:val="0"/>
      <w:marRight w:val="0"/>
      <w:marTop w:val="0"/>
      <w:marBottom w:val="0"/>
      <w:divBdr>
        <w:top w:val="none" w:sz="0" w:space="0" w:color="auto"/>
        <w:left w:val="none" w:sz="0" w:space="0" w:color="auto"/>
        <w:bottom w:val="none" w:sz="0" w:space="0" w:color="auto"/>
        <w:right w:val="none" w:sz="0" w:space="0" w:color="auto"/>
      </w:divBdr>
    </w:div>
    <w:div w:id="2099015970">
      <w:bodyDiv w:val="1"/>
      <w:marLeft w:val="0"/>
      <w:marRight w:val="0"/>
      <w:marTop w:val="0"/>
      <w:marBottom w:val="0"/>
      <w:divBdr>
        <w:top w:val="none" w:sz="0" w:space="0" w:color="auto"/>
        <w:left w:val="none" w:sz="0" w:space="0" w:color="auto"/>
        <w:bottom w:val="none" w:sz="0" w:space="0" w:color="auto"/>
        <w:right w:val="none" w:sz="0" w:space="0" w:color="auto"/>
      </w:divBdr>
    </w:div>
    <w:div w:id="2109809410">
      <w:bodyDiv w:val="1"/>
      <w:marLeft w:val="0"/>
      <w:marRight w:val="0"/>
      <w:marTop w:val="0"/>
      <w:marBottom w:val="0"/>
      <w:divBdr>
        <w:top w:val="none" w:sz="0" w:space="0" w:color="auto"/>
        <w:left w:val="none" w:sz="0" w:space="0" w:color="auto"/>
        <w:bottom w:val="none" w:sz="0" w:space="0" w:color="auto"/>
        <w:right w:val="none" w:sz="0" w:space="0" w:color="auto"/>
      </w:divBdr>
    </w:div>
    <w:div w:id="214495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QuickStyle" Target="diagrams/quickStyle22.xml"/><Relationship Id="rId299" Type="http://schemas.openxmlformats.org/officeDocument/2006/relationships/hyperlink" Target="https://rm.coe.int/cepej-report-2020-22-e-web." TargetMode="External"/><Relationship Id="rId303" Type="http://schemas.openxmlformats.org/officeDocument/2006/relationships/hyperlink" Target="https://en.odfoundation.eu/a/727640,political-repressions." TargetMode="External"/><Relationship Id="rId21" Type="http://schemas.openxmlformats.org/officeDocument/2006/relationships/diagramColors" Target="diagrams/colors3.xml"/><Relationship Id="rId42" Type="http://schemas.microsoft.com/office/2007/relationships/diagramDrawing" Target="diagrams/drawing7.xml"/><Relationship Id="rId63" Type="http://schemas.microsoft.com/office/2007/relationships/diagramDrawing" Target="diagrams/drawing11.xml"/><Relationship Id="rId84" Type="http://schemas.openxmlformats.org/officeDocument/2006/relationships/diagramData" Target="diagrams/data16.xml"/><Relationship Id="rId138" Type="http://schemas.openxmlformats.org/officeDocument/2006/relationships/diagramColors" Target="diagrams/colors25.xml"/><Relationship Id="rId159" Type="http://schemas.openxmlformats.org/officeDocument/2006/relationships/hyperlink" Target="https://eur-lex.europa.eu" TargetMode="External"/><Relationship Id="rId170" Type="http://schemas.openxmlformats.org/officeDocument/2006/relationships/hyperlink" Target="https://eur-lex.europa.eu/eli/reg/2019/2088/oj" TargetMode="External"/><Relationship Id="rId191" Type="http://schemas.openxmlformats.org/officeDocument/2006/relationships/hyperlink" Target="https://dashboards.sdgindex.org/profiles/kazakhstan/policy" TargetMode="External"/><Relationship Id="rId205" Type="http://schemas.openxmlformats.org/officeDocument/2006/relationships/hyperlink" Target="https://eur-lex.europa.eu/legal-content/EN/TXT/?uri=CELEX." TargetMode="External"/><Relationship Id="rId226" Type="http://schemas.openxmlformats.org/officeDocument/2006/relationships/hyperlink" Target="https://www.eeas.europa.eu/sites." TargetMode="External"/><Relationship Id="rId247" Type="http://schemas.openxmlformats.org/officeDocument/2006/relationships/hyperlink" Target="https://adilet.zan.kz/eng/docs/Z2200000154" TargetMode="External"/><Relationship Id="rId107" Type="http://schemas.openxmlformats.org/officeDocument/2006/relationships/diagramColors" Target="diagrams/colors20.xml"/><Relationship Id="rId268" Type="http://schemas.openxmlformats.org/officeDocument/2006/relationships/hyperlink" Target="https://www.euractiv.com/news/kazakhstan-puts." TargetMode="External"/><Relationship Id="rId289" Type="http://schemas.openxmlformats.org/officeDocument/2006/relationships/hyperlink" Target="https://www.gov.kz/memleket/entities/mfa." TargetMode="External"/><Relationship Id="rId11" Type="http://schemas.openxmlformats.org/officeDocument/2006/relationships/diagramColors" Target="diagrams/colors1.xml"/><Relationship Id="rId32" Type="http://schemas.microsoft.com/office/2007/relationships/diagramDrawing" Target="diagrams/drawing5.xml"/><Relationship Id="rId53" Type="http://schemas.microsoft.com/office/2007/relationships/diagramDrawing" Target="diagrams/drawing9.xml"/><Relationship Id="rId74" Type="http://schemas.openxmlformats.org/officeDocument/2006/relationships/diagramData" Target="diagrams/data14.xml"/><Relationship Id="rId128" Type="http://schemas.openxmlformats.org/officeDocument/2006/relationships/diagramColors" Target="diagrams/colors23.xml"/><Relationship Id="rId149" Type="http://schemas.openxmlformats.org/officeDocument/2006/relationships/hyperlink" Target="https://doi.org/10.1093/acrefore." TargetMode="External"/><Relationship Id="rId5" Type="http://schemas.openxmlformats.org/officeDocument/2006/relationships/webSettings" Target="webSettings.xml"/><Relationship Id="rId95" Type="http://schemas.openxmlformats.org/officeDocument/2006/relationships/diagramLayout" Target="diagrams/layout18.xml"/><Relationship Id="rId160" Type="http://schemas.openxmlformats.org/officeDocument/2006/relationships/hyperlink" Target="https://www.seyfarth.com." TargetMode="External"/><Relationship Id="rId181" Type="http://schemas.openxmlformats.org/officeDocument/2006/relationships/hyperlink" Target="https://primeminister.kz/ru/news." TargetMode="External"/><Relationship Id="rId216" Type="http://schemas.openxmlformats.org/officeDocument/2006/relationships/hyperlink" Target="https://www.ohchr.org/sites/default/files." TargetMode="External"/><Relationship Id="rId237" Type="http://schemas.openxmlformats.org/officeDocument/2006/relationships/hyperlink" Target="https://www.icnl.org/wp-content/uploads/2024.04-Final-Analysis." TargetMode="External"/><Relationship Id="rId258" Type="http://schemas.openxmlformats.org/officeDocument/2006/relationships/hyperlink" Target="https://www.hrw.org/news/2024/04/23/." TargetMode="External"/><Relationship Id="rId279" Type="http://schemas.openxmlformats.org/officeDocument/2006/relationships/hyperlink" Target="https://bti-project.org/en" TargetMode="External"/><Relationship Id="rId22" Type="http://schemas.microsoft.com/office/2007/relationships/diagramDrawing" Target="diagrams/drawing3.xml"/><Relationship Id="rId43" Type="http://schemas.openxmlformats.org/officeDocument/2006/relationships/diagramData" Target="diagrams/data8.xml"/><Relationship Id="rId64" Type="http://schemas.openxmlformats.org/officeDocument/2006/relationships/diagramData" Target="diagrams/data12.xml"/><Relationship Id="rId118" Type="http://schemas.openxmlformats.org/officeDocument/2006/relationships/diagramColors" Target="diagrams/colors22.xml"/><Relationship Id="rId139" Type="http://schemas.microsoft.com/office/2007/relationships/diagramDrawing" Target="diagrams/drawing25.xml"/><Relationship Id="rId290" Type="http://schemas.openxmlformats.org/officeDocument/2006/relationships/hyperlink" Target="https://docs.un.org/ru/A/RES/48/134" TargetMode="External"/><Relationship Id="rId304" Type="http://schemas.openxmlformats.org/officeDocument/2006/relationships/hyperlink" Target="https://en.odfoundation.eu/a/726971,urgent-concerns-regarding-human." TargetMode="External"/><Relationship Id="rId85" Type="http://schemas.openxmlformats.org/officeDocument/2006/relationships/diagramLayout" Target="diagrams/layout16.xml"/><Relationship Id="rId150" Type="http://schemas.openxmlformats.org/officeDocument/2006/relationships/hyperlink" Target="https://www.europarl.europa.eu." TargetMode="External"/><Relationship Id="rId171" Type="http://schemas.openxmlformats.org/officeDocument/2006/relationships/hyperlink" Target="https://eur-lex.europa.eu/eli/dir." TargetMode="External"/><Relationship Id="rId192" Type="http://schemas.openxmlformats.org/officeDocument/2006/relationships/hyperlink" Target="https://unece.org/sites/default/files/2021-01/Summary_." TargetMode="External"/><Relationship Id="rId206" Type="http://schemas.openxmlformats.org/officeDocument/2006/relationships/hyperlink" Target="https://www.opensocietyfoundations.org." TargetMode="External"/><Relationship Id="rId227" Type="http://schemas.openxmlformats.org/officeDocument/2006/relationships/hyperlink" Target="https://shapedem-eu.eu/user/pages/06.publications." TargetMode="External"/><Relationship Id="rId248" Type="http://schemas.openxmlformats.org/officeDocument/2006/relationships/hyperlink" Target="https://docs.un.org/ru/A/HRC/33/34" TargetMode="External"/><Relationship Id="rId269" Type="http://schemas.openxmlformats.org/officeDocument/2006/relationships/hyperlink" Target="https://www.icnl.org/resources/civic-freedom-monitor/kazakhstan" TargetMode="External"/><Relationship Id="rId12" Type="http://schemas.microsoft.com/office/2007/relationships/diagramDrawing" Target="diagrams/drawing1.xml"/><Relationship Id="rId33" Type="http://schemas.openxmlformats.org/officeDocument/2006/relationships/diagramData" Target="diagrams/data6.xml"/><Relationship Id="rId108" Type="http://schemas.microsoft.com/office/2007/relationships/diagramDrawing" Target="diagrams/drawing20.xml"/><Relationship Id="rId129" Type="http://schemas.microsoft.com/office/2007/relationships/diagramDrawing" Target="diagrams/drawing23.xml"/><Relationship Id="rId280" Type="http://schemas.openxmlformats.org/officeDocument/2006/relationships/hyperlink" Target="https://worldjusticeproject.org." TargetMode="External"/><Relationship Id="rId54" Type="http://schemas.openxmlformats.org/officeDocument/2006/relationships/diagramData" Target="diagrams/data10.xml"/><Relationship Id="rId75" Type="http://schemas.openxmlformats.org/officeDocument/2006/relationships/diagramLayout" Target="diagrams/layout14.xml"/><Relationship Id="rId96" Type="http://schemas.openxmlformats.org/officeDocument/2006/relationships/diagramQuickStyle" Target="diagrams/quickStyle18.xml"/><Relationship Id="rId140" Type="http://schemas.openxmlformats.org/officeDocument/2006/relationships/hyperlink" Target="https://www.eeas.europa.eu/eeas/eu-extends-its-action." TargetMode="External"/><Relationship Id="rId161" Type="http://schemas.openxmlformats.org/officeDocument/2006/relationships/hyperlink" Target="https://www.ecofact.com/blog/enforcement-mechanisms-for-due." TargetMode="External"/><Relationship Id="rId182" Type="http://schemas.openxmlformats.org/officeDocument/2006/relationships/hyperlink" Target="https://data.consilium.europa.eu/doc/document/ST-11855-2020-INIT/en" TargetMode="External"/><Relationship Id="rId217" Type="http://schemas.openxmlformats.org/officeDocument/2006/relationships/hyperlink" Target="https://www.refworld.org/legal/resolution/unga." TargetMode="External"/><Relationship Id="rId6" Type="http://schemas.openxmlformats.org/officeDocument/2006/relationships/footnotes" Target="footnotes.xml"/><Relationship Id="rId238" Type="http://schemas.openxmlformats.org/officeDocument/2006/relationships/hyperlink" Target="https://eur-lex.europa.eu/legal-content." TargetMode="External"/><Relationship Id="rId259" Type="http://schemas.openxmlformats.org/officeDocument/2006/relationships/hyperlink" Target="https://docs.un.org/en/A/HRC/RES/58/22" TargetMode="External"/><Relationship Id="rId23" Type="http://schemas.openxmlformats.org/officeDocument/2006/relationships/diagramData" Target="diagrams/data4.xml"/><Relationship Id="rId119" Type="http://schemas.microsoft.com/office/2007/relationships/diagramDrawing" Target="diagrams/drawing22.xml"/><Relationship Id="rId270" Type="http://schemas.openxmlformats.org/officeDocument/2006/relationships/hyperlink" Target="https://www.amnesty.org/en/latest/news." TargetMode="External"/><Relationship Id="rId291" Type="http://schemas.openxmlformats.org/officeDocument/2006/relationships/hyperlink" Target="https://www.pmi.com/sustainability/case-studies." TargetMode="External"/><Relationship Id="rId305" Type="http://schemas.openxmlformats.org/officeDocument/2006/relationships/hyperlink" Target="https://rm.coe.int/168008482e" TargetMode="External"/><Relationship Id="rId44" Type="http://schemas.openxmlformats.org/officeDocument/2006/relationships/diagramLayout" Target="diagrams/layout8.xml"/><Relationship Id="rId65" Type="http://schemas.openxmlformats.org/officeDocument/2006/relationships/diagramLayout" Target="diagrams/layout12.xml"/><Relationship Id="rId86" Type="http://schemas.openxmlformats.org/officeDocument/2006/relationships/diagramQuickStyle" Target="diagrams/quickStyle16.xml"/><Relationship Id="rId130" Type="http://schemas.openxmlformats.org/officeDocument/2006/relationships/diagramData" Target="diagrams/data24.xml"/><Relationship Id="rId151" Type="http://schemas.openxmlformats.org/officeDocument/2006/relationships/hyperlink" Target="https://eur-lex.europa.eu/legal-content." TargetMode="External"/><Relationship Id="rId172" Type="http://schemas.openxmlformats.org/officeDocument/2006/relationships/hyperlink" Target="https://eur-lex.europa.eu/eli/reg/2020/852/oj" TargetMode="External"/><Relationship Id="rId193" Type="http://schemas.openxmlformats.org/officeDocument/2006/relationships/hyperlink" Target="https://unstats.un.org/unsd/dnss/gp/." TargetMode="External"/><Relationship Id="rId207" Type="http://schemas.openxmlformats.org/officeDocument/2006/relationships/hyperlink" Target="https://fra.europa.eu/en/publication/2023/fundamental-rights." TargetMode="External"/><Relationship Id="rId228" Type="http://schemas.openxmlformats.org/officeDocument/2006/relationships/hyperlink" Target="https://international-partnerships.ec.europa.eu/document/download." TargetMode="External"/><Relationship Id="rId249" Type="http://schemas.openxmlformats.org/officeDocument/2006/relationships/hyperlink" Target="https://online.zakon.kz/Document/?doc_id=34339586." TargetMode="External"/><Relationship Id="rId13" Type="http://schemas.openxmlformats.org/officeDocument/2006/relationships/diagramData" Target="diagrams/data2.xml"/><Relationship Id="rId109" Type="http://schemas.openxmlformats.org/officeDocument/2006/relationships/diagramData" Target="diagrams/data21.xml"/><Relationship Id="rId260" Type="http://schemas.openxmlformats.org/officeDocument/2006/relationships/hyperlink" Target="https://www.gov.kz/memleket/entities/ksrk/press/news/details/683585?." TargetMode="External"/><Relationship Id="rId281" Type="http://schemas.openxmlformats.org/officeDocument/2006/relationships/hyperlink" Target="https://www.heritage.org/index/pages/country-pages." TargetMode="External"/><Relationship Id="rId34" Type="http://schemas.openxmlformats.org/officeDocument/2006/relationships/diagramLayout" Target="diagrams/layout6.xml"/><Relationship Id="rId55" Type="http://schemas.openxmlformats.org/officeDocument/2006/relationships/diagramLayout" Target="diagrams/layout10.xml"/><Relationship Id="rId76" Type="http://schemas.openxmlformats.org/officeDocument/2006/relationships/diagramQuickStyle" Target="diagrams/quickStyle14.xml"/><Relationship Id="rId97" Type="http://schemas.openxmlformats.org/officeDocument/2006/relationships/diagramColors" Target="diagrams/colors18.xml"/><Relationship Id="rId120" Type="http://schemas.openxmlformats.org/officeDocument/2006/relationships/chart" Target="charts/chart3.xml"/><Relationship Id="rId141" Type="http://schemas.openxmlformats.org/officeDocument/2006/relationships/hyperlink" Target="https://www.consilium.europa.eu/en/documents-publications/treaties." TargetMode="External"/><Relationship Id="rId7" Type="http://schemas.openxmlformats.org/officeDocument/2006/relationships/endnotes" Target="endnotes.xml"/><Relationship Id="rId162" Type="http://schemas.openxmlformats.org/officeDocument/2006/relationships/hyperlink" Target="https://press.un.org/en." TargetMode="External"/><Relationship Id="rId183" Type="http://schemas.openxmlformats.org/officeDocument/2006/relationships/hyperlink" Target="https://www.akorda.kz/ru/poslanie." TargetMode="External"/><Relationship Id="rId218" Type="http://schemas.openxmlformats.org/officeDocument/2006/relationships/hyperlink" Target="https://www.eeas.europa.eu." TargetMode="External"/><Relationship Id="rId239" Type="http://schemas.openxmlformats.org/officeDocument/2006/relationships/hyperlink" Target="https://policy.trade.ec.europa.eu/eu-trade." TargetMode="External"/><Relationship Id="rId250" Type="http://schemas.openxmlformats.org/officeDocument/2006/relationships/hyperlink" Target="https://docs.un.org/en/CAT/C/KAZ/FCO/4" TargetMode="External"/><Relationship Id="rId271" Type="http://schemas.openxmlformats.org/officeDocument/2006/relationships/hyperlink" Target="https://www.hrw.org/ru/news/2025/02/04/kazakhstan-act-un-rights." TargetMode="External"/><Relationship Id="rId292" Type="http://schemas.openxmlformats.org/officeDocument/2006/relationships/hyperlink" Target="https://search.coe.int/cm" TargetMode="External"/><Relationship Id="rId306" Type="http://schemas.openxmlformats.org/officeDocument/2006/relationships/hyperlink" Target="https://rm.coe.int/1680084822" TargetMode="External"/><Relationship Id="rId24" Type="http://schemas.openxmlformats.org/officeDocument/2006/relationships/diagramLayout" Target="diagrams/layout4.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66" Type="http://schemas.openxmlformats.org/officeDocument/2006/relationships/diagramQuickStyle" Target="diagrams/quickStyle12.xml"/><Relationship Id="rId87" Type="http://schemas.openxmlformats.org/officeDocument/2006/relationships/diagramColors" Target="diagrams/colors16.xml"/><Relationship Id="rId110" Type="http://schemas.openxmlformats.org/officeDocument/2006/relationships/diagramLayout" Target="diagrams/layout21.xml"/><Relationship Id="rId115" Type="http://schemas.openxmlformats.org/officeDocument/2006/relationships/diagramData" Target="diagrams/data22.xml"/><Relationship Id="rId131" Type="http://schemas.openxmlformats.org/officeDocument/2006/relationships/diagramLayout" Target="diagrams/layout24.xml"/><Relationship Id="rId136" Type="http://schemas.openxmlformats.org/officeDocument/2006/relationships/diagramLayout" Target="diagrams/layout25.xml"/><Relationship Id="rId157" Type="http://schemas.openxmlformats.org/officeDocument/2006/relationships/hyperlink" Target="https://www.europenowjournal.org/2019/09/09." TargetMode="External"/><Relationship Id="rId178" Type="http://schemas.openxmlformats.org/officeDocument/2006/relationships/hyperlink" Target="https://www.eeas.europa.eu." TargetMode="External"/><Relationship Id="rId301" Type="http://schemas.openxmlformats.org/officeDocument/2006/relationships/hyperlink" Target="https://www.osce.org/odihr/annual-report/2024" TargetMode="External"/><Relationship Id="rId61" Type="http://schemas.openxmlformats.org/officeDocument/2006/relationships/diagramQuickStyle" Target="diagrams/quickStyle11.xml"/><Relationship Id="rId82" Type="http://schemas.openxmlformats.org/officeDocument/2006/relationships/diagramColors" Target="diagrams/colors15.xml"/><Relationship Id="rId152" Type="http://schemas.openxmlformats.org/officeDocument/2006/relationships/hyperlink" Target="https://www.eeas.europa.eu/node." TargetMode="External"/><Relationship Id="rId173" Type="http://schemas.openxmlformats.org/officeDocument/2006/relationships/hyperlink" Target="https://natlawreview.com." TargetMode="External"/><Relationship Id="rId194" Type="http://schemas.openxmlformats.org/officeDocument/2006/relationships/hyperlink" Target="https://www.ohchr.org/en/hr-bodies/upr/kz-index" TargetMode="External"/><Relationship Id="rId199" Type="http://schemas.openxmlformats.org/officeDocument/2006/relationships/hyperlink" Target="https://eur-lex.europa.eu/legal-content." TargetMode="External"/><Relationship Id="rId203" Type="http://schemas.openxmlformats.org/officeDocument/2006/relationships/hyperlink" Target="https://eur-lex.europa.eu/legal-content/EN/TXT/?uri=CELEX." TargetMode="External"/><Relationship Id="rId208" Type="http://schemas.openxmlformats.org/officeDocument/2006/relationships/hyperlink" Target="https://fra.europa.eu/sites/default/files/fra_uploads/fra-2025." TargetMode="External"/><Relationship Id="rId229" Type="http://schemas.openxmlformats.org/officeDocument/2006/relationships/hyperlink" Target="https://www.oecd.org/en/publications/2025/06/development-co." TargetMode="External"/><Relationship Id="rId19" Type="http://schemas.openxmlformats.org/officeDocument/2006/relationships/diagramLayout" Target="diagrams/layout3.xml"/><Relationship Id="rId224" Type="http://schemas.openxmlformats.org/officeDocument/2006/relationships/hyperlink" Target="https://www.europarl.europa.eu." TargetMode="External"/><Relationship Id="rId240" Type="http://schemas.openxmlformats.org/officeDocument/2006/relationships/hyperlink" Target="https://www.eeas.europa.eu/kazakhstan/european-union-and." TargetMode="External"/><Relationship Id="rId245" Type="http://schemas.openxmlformats.org/officeDocument/2006/relationships/hyperlink" Target="https://docs.un.org/ru/CCPR/C/KAZ/3" TargetMode="External"/><Relationship Id="rId261" Type="http://schemas.openxmlformats.org/officeDocument/2006/relationships/hyperlink" Target="https://rsf.org/en/kazakh-president-urged-repeal-new." TargetMode="External"/><Relationship Id="rId266" Type="http://schemas.openxmlformats.org/officeDocument/2006/relationships/hyperlink" Target="https://www.osce.org/odihr/590414" TargetMode="External"/><Relationship Id="rId287" Type="http://schemas.openxmlformats.org/officeDocument/2006/relationships/hyperlink" Target="https://www.venice.coe.int." TargetMode="External"/><Relationship Id="rId14" Type="http://schemas.openxmlformats.org/officeDocument/2006/relationships/diagramLayout" Target="diagrams/layout2.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56" Type="http://schemas.openxmlformats.org/officeDocument/2006/relationships/diagramQuickStyle" Target="diagrams/quickStyle10.xml"/><Relationship Id="rId77" Type="http://schemas.openxmlformats.org/officeDocument/2006/relationships/diagramColors" Target="diagrams/colors14.xml"/><Relationship Id="rId100" Type="http://schemas.openxmlformats.org/officeDocument/2006/relationships/diagramLayout" Target="diagrams/layout19.xml"/><Relationship Id="rId105" Type="http://schemas.openxmlformats.org/officeDocument/2006/relationships/diagramLayout" Target="diagrams/layout20.xml"/><Relationship Id="rId126" Type="http://schemas.openxmlformats.org/officeDocument/2006/relationships/diagramLayout" Target="diagrams/layout23.xml"/><Relationship Id="rId147" Type="http://schemas.openxmlformats.org/officeDocument/2006/relationships/hyperlink" Target="https://europeandemocracyhub.epd.eu/the-eu-pushes." TargetMode="External"/><Relationship Id="rId168" Type="http://schemas.openxmlformats.org/officeDocument/2006/relationships/hyperlink" Target="https://carnegieendowment.org/research/2025." TargetMode="External"/><Relationship Id="rId282" Type="http://schemas.openxmlformats.org/officeDocument/2006/relationships/hyperlink" Target="https://www.state.gov/report/custom/c0577a0931-3" TargetMode="External"/><Relationship Id="rId8" Type="http://schemas.openxmlformats.org/officeDocument/2006/relationships/diagramData" Target="diagrams/data1.xml"/><Relationship Id="rId51" Type="http://schemas.openxmlformats.org/officeDocument/2006/relationships/diagramQuickStyle" Target="diagrams/quickStyle9.xml"/><Relationship Id="rId72" Type="http://schemas.openxmlformats.org/officeDocument/2006/relationships/diagramColors" Target="diagrams/colors13.xml"/><Relationship Id="rId93" Type="http://schemas.microsoft.com/office/2007/relationships/diagramDrawing" Target="diagrams/drawing17.xml"/><Relationship Id="rId98" Type="http://schemas.microsoft.com/office/2007/relationships/diagramDrawing" Target="diagrams/drawing18.xml"/><Relationship Id="rId121" Type="http://schemas.openxmlformats.org/officeDocument/2006/relationships/chart" Target="charts/chart4.xml"/><Relationship Id="rId142" Type="http://schemas.openxmlformats.org/officeDocument/2006/relationships/hyperlink" Target="https://www.europarl.europa.eu/doceo/document/." TargetMode="External"/><Relationship Id="rId163" Type="http://schemas.openxmlformats.org/officeDocument/2006/relationships/hyperlink" Target="https://press.un.org/en/2023/sc." TargetMode="External"/><Relationship Id="rId184" Type="http://schemas.openxmlformats.org/officeDocument/2006/relationships/hyperlink" Target="https://eur-lex.europa.eu/eli/agree_internation/2016/123/oj/eng" TargetMode="External"/><Relationship Id="rId189" Type="http://schemas.openxmlformats.org/officeDocument/2006/relationships/hyperlink" Target="https://commission.europa.eu/system/files/2022-05/eu_justice_." TargetMode="External"/><Relationship Id="rId219" Type="http://schemas.openxmlformats.org/officeDocument/2006/relationships/hyperlink" Target="https://www.eeas.europa.eu/eeas/eu-human-rights-guidelines_en" TargetMode="External"/><Relationship Id="rId3" Type="http://schemas.openxmlformats.org/officeDocument/2006/relationships/styles" Target="styles.xml"/><Relationship Id="rId214" Type="http://schemas.openxmlformats.org/officeDocument/2006/relationships/hyperlink" Target="https://www.ohchr.org/en/hr-bodies/upr/kz-index" TargetMode="External"/><Relationship Id="rId230" Type="http://schemas.openxmlformats.org/officeDocument/2006/relationships/hyperlink" Target="https://data.europa.eu/doi/10.2861/52456" TargetMode="External"/><Relationship Id="rId235" Type="http://schemas.openxmlformats.org/officeDocument/2006/relationships/hyperlink" Target="https://www.theguardian.com/world/2025/apr/04/eu-urged-to." TargetMode="External"/><Relationship Id="rId251" Type="http://schemas.openxmlformats.org/officeDocument/2006/relationships/hyperlink" Target="https://online.zakon.kz/Document/?." TargetMode="External"/><Relationship Id="rId256" Type="http://schemas.openxmlformats.org/officeDocument/2006/relationships/hyperlink" Target="https://online.zakon.kz/Document/?doc_id=38665430" TargetMode="External"/><Relationship Id="rId277" Type="http://schemas.openxmlformats.org/officeDocument/2006/relationships/hyperlink" Target="https://www.theglobaleconomy.com/rankings/wb_ruleoflaw" TargetMode="External"/><Relationship Id="rId298" Type="http://schemas.openxmlformats.org/officeDocument/2006/relationships/hyperlink" Target="https://doi.org/10.1787/d705d02f-en" TargetMode="External"/><Relationship Id="rId25" Type="http://schemas.openxmlformats.org/officeDocument/2006/relationships/diagramQuickStyle" Target="diagrams/quickStyle4.xml"/><Relationship Id="rId46" Type="http://schemas.openxmlformats.org/officeDocument/2006/relationships/diagramColors" Target="diagrams/colors8.xml"/><Relationship Id="rId67" Type="http://schemas.openxmlformats.org/officeDocument/2006/relationships/diagramColors" Target="diagrams/colors12.xml"/><Relationship Id="rId116" Type="http://schemas.openxmlformats.org/officeDocument/2006/relationships/diagramLayout" Target="diagrams/layout22.xml"/><Relationship Id="rId137" Type="http://schemas.openxmlformats.org/officeDocument/2006/relationships/diagramQuickStyle" Target="diagrams/quickStyle25.xml"/><Relationship Id="rId158" Type="http://schemas.openxmlformats.org/officeDocument/2006/relationships/hyperlink" Target="https://epthinktank.eu." TargetMode="External"/><Relationship Id="rId272" Type="http://schemas.openxmlformats.org/officeDocument/2006/relationships/hyperlink" Target="https://docs.un.org/ru/A/HRC/WG.6/48/KAZ/1" TargetMode="External"/><Relationship Id="rId293" Type="http://schemas.openxmlformats.org/officeDocument/2006/relationships/hyperlink" Target="https://www.gov.kz/memleket/entities/mfa-delhi/press." TargetMode="External"/><Relationship Id="rId302" Type="http://schemas.openxmlformats.org/officeDocument/2006/relationships/hyperlink" Target="https://eurasianet.org/kazakhstan." TargetMode="External"/><Relationship Id="rId307" Type="http://schemas.openxmlformats.org/officeDocument/2006/relationships/footer" Target="footer1.xml"/><Relationship Id="rId20" Type="http://schemas.openxmlformats.org/officeDocument/2006/relationships/diagramQuickStyle" Target="diagrams/quickStyle3.xml"/><Relationship Id="rId41" Type="http://schemas.openxmlformats.org/officeDocument/2006/relationships/diagramColors" Target="diagrams/colors7.xml"/><Relationship Id="rId62" Type="http://schemas.openxmlformats.org/officeDocument/2006/relationships/diagramColors" Target="diagrams/colors11.xml"/><Relationship Id="rId83" Type="http://schemas.microsoft.com/office/2007/relationships/diagramDrawing" Target="diagrams/drawing15.xml"/><Relationship Id="rId88" Type="http://schemas.microsoft.com/office/2007/relationships/diagramDrawing" Target="diagrams/drawing16.xml"/><Relationship Id="rId111" Type="http://schemas.openxmlformats.org/officeDocument/2006/relationships/diagramQuickStyle" Target="diagrams/quickStyle21.xml"/><Relationship Id="rId132" Type="http://schemas.openxmlformats.org/officeDocument/2006/relationships/diagramQuickStyle" Target="diagrams/quickStyle24.xml"/><Relationship Id="rId153" Type="http://schemas.openxmlformats.org/officeDocument/2006/relationships/hyperlink" Target="https://hcss.nl/wp-content/uploads/2021/08/Essay-7-Normative-Power.pdf" TargetMode="External"/><Relationship Id="rId174" Type="http://schemas.openxmlformats.org/officeDocument/2006/relationships/hyperlink" Target="http://data.europa.eu/eli/dir/2024." TargetMode="External"/><Relationship Id="rId179" Type="http://schemas.openxmlformats.org/officeDocument/2006/relationships/hyperlink" Target="https://finance.ec.europa.eu/capital-markets-union-and-financial." TargetMode="External"/><Relationship Id="rId195" Type="http://schemas.openxmlformats.org/officeDocument/2006/relationships/hyperlink" Target="https://stat.gov.kz/ru/" TargetMode="External"/><Relationship Id="rId209" Type="http://schemas.openxmlformats.org/officeDocument/2006/relationships/hyperlink" Target="https://www.idea.int/sites/default." TargetMode="External"/><Relationship Id="rId190" Type="http://schemas.openxmlformats.org/officeDocument/2006/relationships/hyperlink" Target="https://www.ohchr.org/sites/default/files/Documents/Publications." TargetMode="External"/><Relationship Id="rId204" Type="http://schemas.openxmlformats.org/officeDocument/2006/relationships/hyperlink" Target="https://eur-lex.europa.eu/legal-content/EN/TXT/?uri=CELEX%3A32000L0078" TargetMode="External"/><Relationship Id="rId220" Type="http://schemas.openxmlformats.org/officeDocument/2006/relationships/hyperlink" Target="https://coilink.org/20.500.12592/xt010q" TargetMode="External"/><Relationship Id="rId225" Type="http://schemas.openxmlformats.org/officeDocument/2006/relationships/hyperlink" Target="https://data.europa.eu/eli/reg/2021/947/oj" TargetMode="External"/><Relationship Id="rId241" Type="http://schemas.openxmlformats.org/officeDocument/2006/relationships/hyperlink" Target="https://worldmonitor.kz/en." TargetMode="External"/><Relationship Id="rId246" Type="http://schemas.openxmlformats.org/officeDocument/2006/relationships/hyperlink" Target="https://www.akorda." TargetMode="External"/><Relationship Id="rId267" Type="http://schemas.openxmlformats.org/officeDocument/2006/relationships/hyperlink" Target="https://www.aa.com.tr/ru" TargetMode="External"/><Relationship Id="rId288" Type="http://schemas.openxmlformats.org/officeDocument/2006/relationships/hyperlink" Target="https://ssrn.com/abstract" TargetMode="External"/><Relationship Id="rId15" Type="http://schemas.openxmlformats.org/officeDocument/2006/relationships/diagramQuickStyle" Target="diagrams/quickStyle2.xml"/><Relationship Id="rId36" Type="http://schemas.openxmlformats.org/officeDocument/2006/relationships/diagramColors" Target="diagrams/colors6.xml"/><Relationship Id="rId57" Type="http://schemas.openxmlformats.org/officeDocument/2006/relationships/diagramColors" Target="diagrams/colors10.xml"/><Relationship Id="rId106" Type="http://schemas.openxmlformats.org/officeDocument/2006/relationships/diagramQuickStyle" Target="diagrams/quickStyle20.xml"/><Relationship Id="rId127" Type="http://schemas.openxmlformats.org/officeDocument/2006/relationships/diagramQuickStyle" Target="diagrams/quickStyle23.xml"/><Relationship Id="rId262" Type="http://schemas.openxmlformats.org/officeDocument/2006/relationships/hyperlink" Target="https://astanatimes.com/2025/07/international-experts." TargetMode="External"/><Relationship Id="rId283" Type="http://schemas.openxmlformats.org/officeDocument/2006/relationships/hyperlink" Target="https://globaledge.msu.edu/countries/kazakhstan/indices" TargetMode="External"/><Relationship Id="rId10" Type="http://schemas.openxmlformats.org/officeDocument/2006/relationships/diagramQuickStyle" Target="diagrams/quickStyle1.xml"/><Relationship Id="rId31" Type="http://schemas.openxmlformats.org/officeDocument/2006/relationships/diagramColors" Target="diagrams/colors5.xml"/><Relationship Id="rId52" Type="http://schemas.openxmlformats.org/officeDocument/2006/relationships/diagramColors" Target="diagrams/colors9.xml"/><Relationship Id="rId73" Type="http://schemas.microsoft.com/office/2007/relationships/diagramDrawing" Target="diagrams/drawing13.xml"/><Relationship Id="rId78" Type="http://schemas.microsoft.com/office/2007/relationships/diagramDrawing" Target="diagrams/drawing14.xml"/><Relationship Id="rId94" Type="http://schemas.openxmlformats.org/officeDocument/2006/relationships/diagramData" Target="diagrams/data18.xml"/><Relationship Id="rId99" Type="http://schemas.openxmlformats.org/officeDocument/2006/relationships/diagramData" Target="diagrams/data19.xml"/><Relationship Id="rId101" Type="http://schemas.openxmlformats.org/officeDocument/2006/relationships/diagramQuickStyle" Target="diagrams/quickStyle19.xml"/><Relationship Id="rId122" Type="http://schemas.openxmlformats.org/officeDocument/2006/relationships/chart" Target="charts/chart5.xml"/><Relationship Id="rId143" Type="http://schemas.openxmlformats.org/officeDocument/2006/relationships/hyperlink" Target="https://worldjusticeproject.org/rule-of-law-index/downloads." TargetMode="External"/><Relationship Id="rId148" Type="http://schemas.openxmlformats.org/officeDocument/2006/relationships/hyperlink" Target="https://sareurope.eu/wp-content/uploads/2022/11/5.12.2022-SAR." TargetMode="External"/><Relationship Id="rId164" Type="http://schemas.openxmlformats.org/officeDocument/2006/relationships/hyperlink" Target="https://carnegieendowment.org/posts/2024/07/can-un-security-council." TargetMode="External"/><Relationship Id="rId169" Type="http://schemas.openxmlformats.org/officeDocument/2006/relationships/hyperlink" Target="https://www.greenomy.io/blog/relationships-csrd-eu-taxonomy-sfdr" TargetMode="External"/><Relationship Id="rId185" Type="http://schemas.openxmlformats.org/officeDocument/2006/relationships/hyperlink" Target="https://www.eeas.europa.eu/eeas/kazakhstan-eu-human-rights." TargetMode="External"/><Relationship Id="rId4" Type="http://schemas.openxmlformats.org/officeDocument/2006/relationships/settings" Target="settings.xml"/><Relationship Id="rId9" Type="http://schemas.openxmlformats.org/officeDocument/2006/relationships/diagramLayout" Target="diagrams/layout1.xml"/><Relationship Id="rId180" Type="http://schemas.openxmlformats.org/officeDocument/2006/relationships/hyperlink" Target="https://eur-lex.europa.eu/eli/dir/2024/1760/oj/eng" TargetMode="External"/><Relationship Id="rId210" Type="http://schemas.openxmlformats.org/officeDocument/2006/relationships/hyperlink" Target="https://commission.europa.eu/." TargetMode="External"/><Relationship Id="rId215" Type="http://schemas.openxmlformats.org/officeDocument/2006/relationships/hyperlink" Target="https://www.ecoi.net/en/document/2120092.html" TargetMode="External"/><Relationship Id="rId236" Type="http://schemas.openxmlformats.org/officeDocument/2006/relationships/hyperlink" Target="https://www.eeas.europa.eu/eeas/kazakhstan-annual-human-rights." TargetMode="External"/><Relationship Id="rId257" Type="http://schemas.openxmlformats.org/officeDocument/2006/relationships/hyperlink" Target="https://online.zakon.kz/Document/?doc_id." TargetMode="External"/><Relationship Id="rId278" Type="http://schemas.openxmlformats.org/officeDocument/2006/relationships/hyperlink" Target="https://freedomhouse.org/country/kazakhstan" TargetMode="External"/><Relationship Id="rId26" Type="http://schemas.openxmlformats.org/officeDocument/2006/relationships/diagramColors" Target="diagrams/colors4.xml"/><Relationship Id="rId231" Type="http://schemas.openxmlformats.org/officeDocument/2006/relationships/hyperlink" Target="https://library.fes.de/pdf-files/bueros/bischkek/16168.pdf" TargetMode="External"/><Relationship Id="rId252" Type="http://schemas.openxmlformats.org/officeDocument/2006/relationships/hyperlink" Target="https://adilet.zan.kz/rus." TargetMode="External"/><Relationship Id="rId273" Type="http://schemas.openxmlformats.org/officeDocument/2006/relationships/hyperlink" Target="https://eur-lex.europa.eu/eli/dec/2020/244/oj/eng" TargetMode="External"/><Relationship Id="rId294" Type="http://schemas.openxmlformats.org/officeDocument/2006/relationships/hyperlink" Target="https://pjp-eu.coe.int/en/web/central-asia/opinions" TargetMode="External"/><Relationship Id="rId308" Type="http://schemas.openxmlformats.org/officeDocument/2006/relationships/fontTable" Target="fontTable.xml"/><Relationship Id="rId47" Type="http://schemas.microsoft.com/office/2007/relationships/diagramDrawing" Target="diagrams/drawing8.xml"/><Relationship Id="rId68" Type="http://schemas.microsoft.com/office/2007/relationships/diagramDrawing" Target="diagrams/drawing12.xml"/><Relationship Id="rId89" Type="http://schemas.openxmlformats.org/officeDocument/2006/relationships/diagramData" Target="diagrams/data17.xml"/><Relationship Id="rId112" Type="http://schemas.openxmlformats.org/officeDocument/2006/relationships/diagramColors" Target="diagrams/colors21.xml"/><Relationship Id="rId133" Type="http://schemas.openxmlformats.org/officeDocument/2006/relationships/diagramColors" Target="diagrams/colors24.xml"/><Relationship Id="rId154" Type="http://schemas.openxmlformats.org/officeDocument/2006/relationships/hyperlink" Target="https://aei.pitt.edu" TargetMode="External"/><Relationship Id="rId175" Type="http://schemas.openxmlformats.org/officeDocument/2006/relationships/hyperlink" Target="https://www.reuters.com/sustainability/society." TargetMode="External"/><Relationship Id="rId196" Type="http://schemas.openxmlformats.org/officeDocument/2006/relationships/hyperlink" Target="https://www.ohchr.org/en/press-releases/2025/01/." TargetMode="External"/><Relationship Id="rId200" Type="http://schemas.openxmlformats.org/officeDocument/2006/relationships/hyperlink" Target="https://fra.europa.eu/sites/default/files/fra_uploads/fra-2020." TargetMode="External"/><Relationship Id="rId16" Type="http://schemas.openxmlformats.org/officeDocument/2006/relationships/diagramColors" Target="diagrams/colors2.xml"/><Relationship Id="rId221" Type="http://schemas.openxmlformats.org/officeDocument/2006/relationships/hyperlink" Target="https://www.svri.org/sites/default/files/attachments." TargetMode="External"/><Relationship Id="rId242" Type="http://schemas.openxmlformats.org/officeDocument/2006/relationships/hyperlink" Target="https://www.inform.kz/ru/partnerstvo-kazahstana-ies-stanovitsya." TargetMode="External"/><Relationship Id="rId263" Type="http://schemas.openxmlformats.org/officeDocument/2006/relationships/hyperlink" Target="https://www.hrw.org/world-report/2025/country-chapters/kazakhstan" TargetMode="External"/><Relationship Id="rId284" Type="http://schemas.openxmlformats.org/officeDocument/2006/relationships/hyperlink" Target="https://www.eeas.europa.eu/eeas/kazakhstan/" TargetMode="External"/><Relationship Id="rId37" Type="http://schemas.microsoft.com/office/2007/relationships/diagramDrawing" Target="diagrams/drawing6.xml"/><Relationship Id="rId58" Type="http://schemas.microsoft.com/office/2007/relationships/diagramDrawing" Target="diagrams/drawing10.xml"/><Relationship Id="rId79" Type="http://schemas.openxmlformats.org/officeDocument/2006/relationships/diagramData" Target="diagrams/data15.xml"/><Relationship Id="rId102" Type="http://schemas.openxmlformats.org/officeDocument/2006/relationships/diagramColors" Target="diagrams/colors19.xml"/><Relationship Id="rId123" Type="http://schemas.openxmlformats.org/officeDocument/2006/relationships/chart" Target="charts/chart6.xml"/><Relationship Id="rId144" Type="http://schemas.openxmlformats.org/officeDocument/2006/relationships/hyperlink" Target="https://kz.usembassy.gov/ru/ru-2021-country-reports-on." TargetMode="External"/><Relationship Id="rId90" Type="http://schemas.openxmlformats.org/officeDocument/2006/relationships/diagramLayout" Target="diagrams/layout17.xml"/><Relationship Id="rId165" Type="http://schemas.openxmlformats.org/officeDocument/2006/relationships/hyperlink" Target="https://www.eeas.europa." TargetMode="External"/><Relationship Id="rId186" Type="http://schemas.openxmlformats.org/officeDocument/2006/relationships/hyperlink" Target="https://www.refworld.org/reference/themreport/ohchr/2012/en/97602" TargetMode="External"/><Relationship Id="rId211" Type="http://schemas.openxmlformats.org/officeDocument/2006/relationships/hyperlink" Target="https://www.gov.kz/memleket." TargetMode="External"/><Relationship Id="rId232" Type="http://schemas.openxmlformats.org/officeDocument/2006/relationships/hyperlink" Target="https://www.hrw.org/%20news/2023/02/24/prominence-central-asian-countries." TargetMode="External"/><Relationship Id="rId253" Type="http://schemas.openxmlformats.org/officeDocument/2006/relationships/hyperlink" Target="https://kisi.kz/ru/realizachiya-konchepchii-slyshashhego-gosudarstva-v." TargetMode="External"/><Relationship Id="rId274" Type="http://schemas.openxmlformats.org/officeDocument/2006/relationships/hyperlink" Target="https://eur-lex.europa.eu/EN/legal-content/glossary/accession-criteria-copenhagen." TargetMode="External"/><Relationship Id="rId295" Type="http://schemas.openxmlformats.org/officeDocument/2006/relationships/hyperlink" Target="https://edoc.coe.int/en/european-convention-on-human." TargetMode="External"/><Relationship Id="rId309" Type="http://schemas.openxmlformats.org/officeDocument/2006/relationships/theme" Target="theme/theme1.xml"/><Relationship Id="rId27" Type="http://schemas.microsoft.com/office/2007/relationships/diagramDrawing" Target="diagrams/drawing4.xml"/><Relationship Id="rId48" Type="http://schemas.openxmlformats.org/officeDocument/2006/relationships/chart" Target="charts/chart1.xml"/><Relationship Id="rId69" Type="http://schemas.openxmlformats.org/officeDocument/2006/relationships/diagramData" Target="diagrams/data13.xml"/><Relationship Id="rId113" Type="http://schemas.microsoft.com/office/2007/relationships/diagramDrawing" Target="diagrams/drawing21.xml"/><Relationship Id="rId134" Type="http://schemas.microsoft.com/office/2007/relationships/diagramDrawing" Target="diagrams/drawing24.xml"/><Relationship Id="rId80" Type="http://schemas.openxmlformats.org/officeDocument/2006/relationships/diagramLayout" Target="diagrams/layout15.xml"/><Relationship Id="rId155" Type="http://schemas.openxmlformats.org/officeDocument/2006/relationships/hyperlink" Target="https://international-partnerships.ec.europa.eu/policies/peace-and." TargetMode="External"/><Relationship Id="rId176" Type="http://schemas.openxmlformats.org/officeDocument/2006/relationships/hyperlink" Target="https://www.worldbenchmarkingalliance.org/news/social-benchmark." TargetMode="External"/><Relationship Id="rId197" Type="http://schemas.openxmlformats.org/officeDocument/2006/relationships/hyperlink" Target="https://doi.org/10.48550/arXiv.2005.05906" TargetMode="External"/><Relationship Id="rId201" Type="http://schemas.openxmlformats.org/officeDocument/2006/relationships/hyperlink" Target="https://doi.org/10.1017/cel.2022.5" TargetMode="External"/><Relationship Id="rId222" Type="http://schemas.openxmlformats.org/officeDocument/2006/relationships/hyperlink" Target="https://www.techpolicy.press/the-eus-code-of-practice-on." TargetMode="External"/><Relationship Id="rId243" Type="http://schemas.openxmlformats.org/officeDocument/2006/relationships/hyperlink" Target="https://www.nur.kz/nurfin/economy%20/2069697-kak-soglashenie-o-rasshirennom-partnerstve-vliyaet-na." TargetMode="External"/><Relationship Id="rId264" Type="http://schemas.openxmlformats.org/officeDocument/2006/relationships/hyperlink" Target="https://www.eeas.europa.eu/eeas/central-asia-rule-law-programme_und_" TargetMode="External"/><Relationship Id="rId285" Type="http://schemas.openxmlformats.org/officeDocument/2006/relationships/hyperlink" Target="https://www.ohchr.org/en/meeting-summaries." TargetMode="External"/><Relationship Id="rId17" Type="http://schemas.microsoft.com/office/2007/relationships/diagramDrawing" Target="diagrams/drawing2.xml"/><Relationship Id="rId38" Type="http://schemas.openxmlformats.org/officeDocument/2006/relationships/diagramData" Target="diagrams/data7.xml"/><Relationship Id="rId59" Type="http://schemas.openxmlformats.org/officeDocument/2006/relationships/diagramData" Target="diagrams/data11.xml"/><Relationship Id="rId103" Type="http://schemas.microsoft.com/office/2007/relationships/diagramDrawing" Target="diagrams/drawing19.xml"/><Relationship Id="rId124" Type="http://schemas.openxmlformats.org/officeDocument/2006/relationships/chart" Target="charts/chart7.xml"/><Relationship Id="rId70" Type="http://schemas.openxmlformats.org/officeDocument/2006/relationships/diagramLayout" Target="diagrams/layout13.xml"/><Relationship Id="rId91" Type="http://schemas.openxmlformats.org/officeDocument/2006/relationships/diagramQuickStyle" Target="diagrams/quickStyle17.xml"/><Relationship Id="rId145" Type="http://schemas.openxmlformats.org/officeDocument/2006/relationships/hyperlink" Target="https://www.europarl.europa.eu/thinktank/en." TargetMode="External"/><Relationship Id="rId166" Type="http://schemas.openxmlformats.org/officeDocument/2006/relationships/hyperlink" Target="http://data.europa.eu/eli/reg/2020/1998/oj" TargetMode="External"/><Relationship Id="rId187" Type="http://schemas.openxmlformats.org/officeDocument/2006/relationships/hyperlink" Target="http://unstats.un.org/unsd/dnss/gp/fundprinciples.aspx" TargetMode="External"/><Relationship Id="rId1" Type="http://schemas.openxmlformats.org/officeDocument/2006/relationships/customXml" Target="../customXml/item1.xml"/><Relationship Id="rId212" Type="http://schemas.openxmlformats.org/officeDocument/2006/relationships/hyperlink" Target="https://eucentralasia.eu/the-eus-rule-of-law-initiative-in-central-asia" TargetMode="External"/><Relationship Id="rId233" Type="http://schemas.openxmlformats.org/officeDocument/2006/relationships/hyperlink" Target="https://eucentralasia.eu/evaluation." TargetMode="External"/><Relationship Id="rId254" Type="http://schemas.openxmlformats.org/officeDocument/2006/relationships/hyperlink" Target="https://www.gov.kz/memleket." TargetMode="External"/><Relationship Id="rId28" Type="http://schemas.openxmlformats.org/officeDocument/2006/relationships/diagramData" Target="diagrams/data5.xml"/><Relationship Id="rId49" Type="http://schemas.openxmlformats.org/officeDocument/2006/relationships/diagramData" Target="diagrams/data9.xml"/><Relationship Id="rId114" Type="http://schemas.openxmlformats.org/officeDocument/2006/relationships/chart" Target="charts/chart2.xml"/><Relationship Id="rId275" Type="http://schemas.openxmlformats.org/officeDocument/2006/relationships/hyperlink" Target="https://www.transparency.org/en/countries/kazakhstan" TargetMode="External"/><Relationship Id="rId296" Type="http://schemas.openxmlformats.org/officeDocument/2006/relationships/hyperlink" Target="https://rm.coe.int/prems-007224-gbr-1501-actionplankazakhstan-2024." TargetMode="External"/><Relationship Id="rId300" Type="http://schemas.openxmlformats.org/officeDocument/2006/relationships/hyperlink" Target="https://www.akorda.kz/ru/poslanie." TargetMode="External"/><Relationship Id="rId60" Type="http://schemas.openxmlformats.org/officeDocument/2006/relationships/diagramLayout" Target="diagrams/layout11.xml"/><Relationship Id="rId81" Type="http://schemas.openxmlformats.org/officeDocument/2006/relationships/diagramQuickStyle" Target="diagrams/quickStyle15.xml"/><Relationship Id="rId135" Type="http://schemas.openxmlformats.org/officeDocument/2006/relationships/diagramData" Target="diagrams/data25.xml"/><Relationship Id="rId156" Type="http://schemas.openxmlformats.org/officeDocument/2006/relationships/hyperlink" Target="https://www.cidob.org/en/publications/war-ukraine-and-eus-policy." TargetMode="External"/><Relationship Id="rId177" Type="http://schemas.openxmlformats.org/officeDocument/2006/relationships/hyperlink" Target="https://www.europarl.europa.eu/." TargetMode="External"/><Relationship Id="rId198" Type="http://schemas.openxmlformats.org/officeDocument/2006/relationships/hyperlink" Target="https://doi.org/10.48550/arXiv.2210.13836" TargetMode="External"/><Relationship Id="rId202" Type="http://schemas.openxmlformats.org/officeDocument/2006/relationships/hyperlink" Target="https://hdl.handle.net/1814/71418" TargetMode="External"/><Relationship Id="rId223" Type="http://schemas.openxmlformats.org/officeDocument/2006/relationships/hyperlink" Target="https://doi.org/10.48550/arXiv.2202.02776" TargetMode="External"/><Relationship Id="rId244" Type="http://schemas.openxmlformats.org/officeDocument/2006/relationships/hyperlink" Target="https://www.akorda.kz/ru/glava." TargetMode="External"/><Relationship Id="rId18" Type="http://schemas.openxmlformats.org/officeDocument/2006/relationships/diagramData" Target="diagrams/data3.xml"/><Relationship Id="rId39" Type="http://schemas.openxmlformats.org/officeDocument/2006/relationships/diagramLayout" Target="diagrams/layout7.xml"/><Relationship Id="rId265" Type="http://schemas.openxmlformats.org/officeDocument/2006/relationships/hyperlink" Target="https://ucentralasia.org/resources-and-media/news/2025/june/csi-s." TargetMode="External"/><Relationship Id="rId286" Type="http://schemas.openxmlformats.org/officeDocument/2006/relationships/hyperlink" Target="https://www.venice.coe.int/webforms/documents/default.aspx?pdffile=CDL-AD(2022)028-e" TargetMode="External"/><Relationship Id="rId50" Type="http://schemas.openxmlformats.org/officeDocument/2006/relationships/diagramLayout" Target="diagrams/layout9.xml"/><Relationship Id="rId104" Type="http://schemas.openxmlformats.org/officeDocument/2006/relationships/diagramData" Target="diagrams/data20.xml"/><Relationship Id="rId125" Type="http://schemas.openxmlformats.org/officeDocument/2006/relationships/diagramData" Target="diagrams/data23.xml"/><Relationship Id="rId146" Type="http://schemas.openxmlformats.org/officeDocument/2006/relationships/hyperlink" Target="https://ecipe.org/publications/eu-strategic-positioning-in-the-south." TargetMode="External"/><Relationship Id="rId167" Type="http://schemas.openxmlformats.org/officeDocument/2006/relationships/hyperlink" Target="https://blog.prif.org/2024/12/10." TargetMode="External"/><Relationship Id="rId188" Type="http://schemas.openxmlformats.org/officeDocument/2006/relationships/hyperlink" Target="https://isi-web.org/index.php/activities/professional-ethics/isi" TargetMode="External"/><Relationship Id="rId71" Type="http://schemas.openxmlformats.org/officeDocument/2006/relationships/diagramQuickStyle" Target="diagrams/quickStyle13.xml"/><Relationship Id="rId92" Type="http://schemas.openxmlformats.org/officeDocument/2006/relationships/diagramColors" Target="diagrams/colors17.xml"/><Relationship Id="rId213" Type="http://schemas.openxmlformats.org/officeDocument/2006/relationships/hyperlink" Target="https://www.coe.int." TargetMode="External"/><Relationship Id="rId234" Type="http://schemas.openxmlformats.org/officeDocument/2006/relationships/hyperlink" Target="https://www.consilium.europa.eu/en/meetings." TargetMode="External"/><Relationship Id="rId2" Type="http://schemas.openxmlformats.org/officeDocument/2006/relationships/numbering" Target="numbering.xml"/><Relationship Id="rId29" Type="http://schemas.openxmlformats.org/officeDocument/2006/relationships/diagramLayout" Target="diagrams/layout5.xml"/><Relationship Id="rId255" Type="http://schemas.openxmlformats.org/officeDocument/2006/relationships/hyperlink" Target="https://iraq.un.org/en/288275-national-report." TargetMode="External"/><Relationship Id="rId276" Type="http://schemas.openxmlformats.org/officeDocument/2006/relationships/hyperlink" Target="https://astanatimes.com/2024/10/kazakhstan-strengthens-its-position." TargetMode="External"/><Relationship Id="rId297" Type="http://schemas.openxmlformats.org/officeDocument/2006/relationships/hyperlink" Target="https://astanatimes.com/2024/01/constitutional-court-o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63933598312172701"/>
          <c:y val="2.8776978417266189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0340054002489935"/>
          <c:w val="0.9907407407407407"/>
          <c:h val="0.51841258549046876"/>
        </c:manualLayout>
      </c:layout>
      <c:pie3DChart>
        <c:varyColors val="1"/>
        <c:ser>
          <c:idx val="0"/>
          <c:order val="0"/>
          <c:tx>
            <c:strRef>
              <c:f>Аркуш1!$B$1</c:f>
              <c:strCache>
                <c:ptCount val="1"/>
                <c:pt idx="0">
                  <c:v>% случаев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62F-4360-94DF-2D6CD310AE6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62F-4360-94DF-2D6CD310AE6F}"/>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62F-4360-94DF-2D6CD310AE6F}"/>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62F-4360-94DF-2D6CD310AE6F}"/>
              </c:ext>
            </c:extLst>
          </c:dPt>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Нарушение права на справедливое судебное разбирательство </c:v>
                </c:pt>
                <c:pt idx="1">
                  <c:v>Пытки и жестокое обращение </c:v>
                </c:pt>
                <c:pt idx="2">
                  <c:v>Нарушение права на свободу и личную неприкосновенность </c:v>
                </c:pt>
                <c:pt idx="3">
                  <c:v>Прочие нарушения </c:v>
                </c:pt>
              </c:strCache>
            </c:strRef>
          </c:cat>
          <c:val>
            <c:numRef>
              <c:f>Аркуш1!$B$2:$B$5</c:f>
              <c:numCache>
                <c:formatCode>General</c:formatCode>
                <c:ptCount val="4"/>
                <c:pt idx="0">
                  <c:v>42</c:v>
                </c:pt>
                <c:pt idx="1">
                  <c:v>27</c:v>
                </c:pt>
                <c:pt idx="2">
                  <c:v>18</c:v>
                </c:pt>
                <c:pt idx="3">
                  <c:v>13</c:v>
                </c:pt>
              </c:numCache>
            </c:numRef>
          </c:val>
          <c:extLst xmlns:c16r2="http://schemas.microsoft.com/office/drawing/2015/06/chart">
            <c:ext xmlns:c16="http://schemas.microsoft.com/office/drawing/2014/chart" uri="{C3380CC4-5D6E-409C-BE32-E72D297353CC}">
              <c16:uniqueId val="{00000000-5A49-4B80-BCBB-815B5405BA2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cap="none" spc="20" baseline="0">
                <a:solidFill>
                  <a:sysClr val="windowText" lastClr="000000"/>
                </a:solidFill>
                <a:latin typeface="Times New Roman" panose="02020603050405020304" pitchFamily="18" charset="0"/>
                <a:ea typeface="+mn-ea"/>
                <a:cs typeface="Times New Roman" panose="02020603050405020304" pitchFamily="18" charset="0"/>
              </a:defRPr>
            </a:pPr>
            <a:r>
              <a:rPr lang="uk-UA"/>
              <a:t> </a:t>
            </a:r>
          </a:p>
        </c:rich>
      </c:tx>
      <c:overlay val="0"/>
      <c:spPr>
        <a:noFill/>
        <a:ln>
          <a:noFill/>
        </a:ln>
        <a:effectLst/>
      </c:spPr>
    </c:title>
    <c:autoTitleDeleted val="0"/>
    <c:plotArea>
      <c:layout>
        <c:manualLayout>
          <c:layoutTarget val="inner"/>
          <c:xMode val="edge"/>
          <c:yMode val="edge"/>
          <c:x val="6.8674101610904578E-2"/>
          <c:y val="7.7758594536453521E-2"/>
          <c:w val="0.90158612143742256"/>
          <c:h val="0.48946288456499853"/>
        </c:manualLayout>
      </c:layout>
      <c:barChart>
        <c:barDir val="col"/>
        <c:grouping val="clustered"/>
        <c:varyColors val="0"/>
        <c:ser>
          <c:idx val="0"/>
          <c:order val="0"/>
          <c:tx>
            <c:strRef>
              <c:f>Аркуш1!$B$1</c:f>
              <c:strCache>
                <c:ptCount val="1"/>
                <c:pt idx="0">
                  <c:v>старт (кандидатство/2021р</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trendline>
            <c:spPr>
              <a:ln w="9525" cap="rnd">
                <a:solidFill>
                  <a:schemeClr val="accent1"/>
                </a:solidFill>
              </a:ln>
              <a:effectLst/>
            </c:spPr>
            <c:trendlineType val="linear"/>
            <c:dispRSqr val="0"/>
            <c:dispEq val="0"/>
          </c:trendline>
          <c:cat>
            <c:strRef>
              <c:f>Аркуш1!$A$2:$A$5</c:f>
              <c:strCache>
                <c:ptCount val="4"/>
                <c:pt idx="0">
                  <c:v>Хорватия</c:v>
                </c:pt>
                <c:pt idx="1">
                  <c:v>Болгария</c:v>
                </c:pt>
                <c:pt idx="2">
                  <c:v>Румыния</c:v>
                </c:pt>
                <c:pt idx="3">
                  <c:v>Казахстан</c:v>
                </c:pt>
              </c:strCache>
            </c:strRef>
          </c:cat>
          <c:val>
            <c:numRef>
              <c:f>Аркуш1!$B$2:$B$5</c:f>
              <c:numCache>
                <c:formatCode>General</c:formatCode>
                <c:ptCount val="4"/>
                <c:pt idx="0">
                  <c:v>34</c:v>
                </c:pt>
                <c:pt idx="1">
                  <c:v>35</c:v>
                </c:pt>
                <c:pt idx="2">
                  <c:v>28</c:v>
                </c:pt>
                <c:pt idx="3">
                  <c:v>32</c:v>
                </c:pt>
              </c:numCache>
            </c:numRef>
          </c:val>
          <c:extLst xmlns:c16r2="http://schemas.microsoft.com/office/drawing/2015/06/chart">
            <c:ext xmlns:c16="http://schemas.microsoft.com/office/drawing/2014/chart" uri="{C3380CC4-5D6E-409C-BE32-E72D297353CC}">
              <c16:uniqueId val="{00000000-657E-44D9-A235-471A89C721F3}"/>
            </c:ext>
          </c:extLst>
        </c:ser>
        <c:ser>
          <c:idx val="1"/>
          <c:order val="1"/>
          <c:tx>
            <c:strRef>
              <c:f>Аркуш1!$C$1</c:f>
              <c:strCache>
                <c:ptCount val="1"/>
                <c:pt idx="0">
                  <c:v>У 2021</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dLbl>
              <c:idx val="0"/>
              <c:tx>
                <c:rich>
                  <a:bodyPr/>
                  <a:lstStyle/>
                  <a:p>
                    <a:r>
                      <a:rPr lang="en-US"/>
                      <a:t>+37%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57E-44D9-A235-471A89C721F3}"/>
                </c:ext>
                <c:ext xmlns:c15="http://schemas.microsoft.com/office/drawing/2012/chart" uri="{CE6537A1-D6FC-4f65-9D91-7224C49458BB}"/>
              </c:extLst>
            </c:dLbl>
            <c:dLbl>
              <c:idx val="1"/>
              <c:tx>
                <c:rich>
                  <a:bodyPr/>
                  <a:lstStyle/>
                  <a:p>
                    <a:r>
                      <a:rPr lang="en-US"/>
                      <a:t>+17%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57E-44D9-A235-471A89C721F3}"/>
                </c:ext>
                <c:ext xmlns:c15="http://schemas.microsoft.com/office/drawing/2012/chart" uri="{CE6537A1-D6FC-4f65-9D91-7224C49458BB}"/>
              </c:extLst>
            </c:dLbl>
            <c:dLbl>
              <c:idx val="2"/>
              <c:tx>
                <c:rich>
                  <a:bodyPr/>
                  <a:lstStyle/>
                  <a:p>
                    <a:r>
                      <a:rPr lang="en-US"/>
                      <a:t>+28%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57E-44D9-A235-471A89C721F3}"/>
                </c:ext>
                <c:ext xmlns:c15="http://schemas.microsoft.com/office/drawing/2012/chart" uri="{CE6537A1-D6FC-4f65-9D91-7224C49458BB}"/>
              </c:extLst>
            </c:dLbl>
            <c:dLbl>
              <c:idx val="3"/>
              <c:tx>
                <c:rich>
                  <a:bodyPr/>
                  <a:lstStyle/>
                  <a:p>
                    <a:r>
                      <a:rPr lang="en-US"/>
                      <a:t>+27,3%</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57E-44D9-A235-471A89C721F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9525" cap="rnd">
                <a:solidFill>
                  <a:schemeClr val="accent2"/>
                </a:solidFill>
              </a:ln>
              <a:effectLst/>
            </c:spPr>
            <c:trendlineType val="exp"/>
            <c:dispRSqr val="0"/>
            <c:dispEq val="0"/>
          </c:trendline>
          <c:cat>
            <c:strRef>
              <c:f>Аркуш1!$A$2:$A$5</c:f>
              <c:strCache>
                <c:ptCount val="4"/>
                <c:pt idx="0">
                  <c:v>Хорватия</c:v>
                </c:pt>
                <c:pt idx="1">
                  <c:v>Болгария</c:v>
                </c:pt>
                <c:pt idx="2">
                  <c:v>Румыния</c:v>
                </c:pt>
                <c:pt idx="3">
                  <c:v>Казахстан</c:v>
                </c:pt>
              </c:strCache>
            </c:strRef>
          </c:cat>
          <c:val>
            <c:numRef>
              <c:f>Аркуш1!$C$2:$C$5</c:f>
              <c:numCache>
                <c:formatCode>General</c:formatCode>
                <c:ptCount val="4"/>
                <c:pt idx="0">
                  <c:v>47</c:v>
                </c:pt>
                <c:pt idx="1">
                  <c:v>42</c:v>
                </c:pt>
                <c:pt idx="2">
                  <c:v>45</c:v>
                </c:pt>
                <c:pt idx="3">
                  <c:v>41</c:v>
                </c:pt>
              </c:numCache>
            </c:numRef>
          </c:val>
          <c:extLst xmlns:c16r2="http://schemas.microsoft.com/office/drawing/2015/06/chart">
            <c:ext xmlns:c16="http://schemas.microsoft.com/office/drawing/2014/chart" uri="{C3380CC4-5D6E-409C-BE32-E72D297353CC}">
              <c16:uniqueId val="{00000001-657E-44D9-A235-471A89C721F3}"/>
            </c:ext>
          </c:extLst>
        </c:ser>
        <c:dLbls>
          <c:showLegendKey val="0"/>
          <c:showVal val="0"/>
          <c:showCatName val="0"/>
          <c:showSerName val="0"/>
          <c:showPercent val="0"/>
          <c:showBubbleSize val="0"/>
        </c:dLbls>
        <c:gapWidth val="100"/>
        <c:overlap val="-24"/>
        <c:axId val="553460952"/>
        <c:axId val="553469576"/>
      </c:barChart>
      <c:catAx>
        <c:axId val="553460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3469576"/>
        <c:crosses val="autoZero"/>
        <c:auto val="1"/>
        <c:lblAlgn val="ctr"/>
        <c:lblOffset val="100"/>
        <c:noMultiLvlLbl val="0"/>
      </c:catAx>
      <c:valAx>
        <c:axId val="553469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3460952"/>
        <c:crosses val="autoZero"/>
        <c:crossBetween val="between"/>
      </c:valAx>
      <c:spPr>
        <a:noFill/>
        <a:ln>
          <a:noFill/>
        </a:ln>
        <a:effectLst/>
      </c:spPr>
    </c:plotArea>
    <c:legend>
      <c:legendPos val="b"/>
      <c:layout>
        <c:manualLayout>
          <c:xMode val="edge"/>
          <c:yMode val="edge"/>
          <c:x val="3.5608924881570733E-2"/>
          <c:y val="0.66748762359170954"/>
          <c:w val="0.89213616497489445"/>
          <c:h val="0.26296598444467717"/>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09714956959052"/>
          <c:y val="8.8974854932301742E-2"/>
          <c:w val="0.8654398619752951"/>
          <c:h val="0.82128329703467917"/>
        </c:manualLayout>
      </c:layout>
      <c:lineChart>
        <c:grouping val="standard"/>
        <c:varyColors val="0"/>
        <c:ser>
          <c:idx val="0"/>
          <c:order val="0"/>
          <c:tx>
            <c:strRef>
              <c:f>Аркуш1!$B$1</c:f>
              <c:strCache>
                <c:ptCount val="1"/>
                <c:pt idx="0">
                  <c:v>Стовпець1</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Аркуш1!$A$2:$A$8</c:f>
              <c:numCache>
                <c:formatCode>General</c:formatCode>
                <c:ptCount val="7"/>
                <c:pt idx="0">
                  <c:v>2019</c:v>
                </c:pt>
                <c:pt idx="1">
                  <c:v>2020</c:v>
                </c:pt>
                <c:pt idx="2">
                  <c:v>2021</c:v>
                </c:pt>
                <c:pt idx="3">
                  <c:v>2022</c:v>
                </c:pt>
                <c:pt idx="4">
                  <c:v>2023</c:v>
                </c:pt>
                <c:pt idx="5">
                  <c:v>2024</c:v>
                </c:pt>
              </c:numCache>
            </c:numRef>
          </c:cat>
          <c:val>
            <c:numRef>
              <c:f>Аркуш1!$B$2:$B$8</c:f>
              <c:numCache>
                <c:formatCode>General</c:formatCode>
                <c:ptCount val="7"/>
                <c:pt idx="0">
                  <c:v>34</c:v>
                </c:pt>
                <c:pt idx="1">
                  <c:v>38</c:v>
                </c:pt>
                <c:pt idx="2">
                  <c:v>37</c:v>
                </c:pt>
                <c:pt idx="3">
                  <c:v>36</c:v>
                </c:pt>
                <c:pt idx="4">
                  <c:v>39</c:v>
                </c:pt>
                <c:pt idx="5">
                  <c:v>40</c:v>
                </c:pt>
              </c:numCache>
            </c:numRef>
          </c:val>
          <c:smooth val="0"/>
          <c:extLst xmlns:c16r2="http://schemas.microsoft.com/office/drawing/2015/06/chart">
            <c:ext xmlns:c16="http://schemas.microsoft.com/office/drawing/2014/chart" uri="{C3380CC4-5D6E-409C-BE32-E72D297353CC}">
              <c16:uniqueId val="{00000000-8E73-42C1-806A-C044D2D4EF81}"/>
            </c:ext>
          </c:extLst>
        </c:ser>
        <c:dLbls>
          <c:showLegendKey val="0"/>
          <c:showVal val="0"/>
          <c:showCatName val="0"/>
          <c:showSerName val="0"/>
          <c:showPercent val="0"/>
          <c:showBubbleSize val="0"/>
        </c:dLbls>
        <c:smooth val="0"/>
        <c:axId val="553462128"/>
        <c:axId val="553471144"/>
      </c:lineChart>
      <c:catAx>
        <c:axId val="55346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3471144"/>
        <c:crosses val="autoZero"/>
        <c:auto val="1"/>
        <c:lblAlgn val="ctr"/>
        <c:lblOffset val="100"/>
        <c:noMultiLvlLbl val="0"/>
      </c:catAx>
      <c:valAx>
        <c:axId val="553471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Бал (0-100) высший = меньшей корупции</a:t>
                </a: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34621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2920676582094"/>
          <c:y val="4.3650793650793648E-2"/>
          <c:w val="0.83024496937882764"/>
          <c:h val="0.85635608048993861"/>
        </c:manualLayout>
      </c:layout>
      <c:lineChart>
        <c:grouping val="standard"/>
        <c:varyColors val="0"/>
        <c:ser>
          <c:idx val="0"/>
          <c:order val="0"/>
          <c:tx>
            <c:strRef>
              <c:f>Аркуш1!$B$1</c:f>
              <c:strCache>
                <c:ptCount val="1"/>
                <c:pt idx="0">
                  <c:v>Стовпець1</c:v>
                </c:pt>
              </c:strCache>
            </c:strRef>
          </c:tx>
          <c:spPr>
            <a:ln w="28575" cap="rnd">
              <a:solidFill>
                <a:schemeClr val="accent1"/>
              </a:solidFill>
              <a:round/>
            </a:ln>
            <a:effectLst/>
          </c:spPr>
          <c:marker>
            <c:symbol val="none"/>
          </c:marker>
          <c:cat>
            <c:numRef>
              <c:f>Аркуш1!$A$2:$A$5</c:f>
              <c:numCache>
                <c:formatCode>General</c:formatCode>
                <c:ptCount val="4"/>
                <c:pt idx="0">
                  <c:v>2021</c:v>
                </c:pt>
                <c:pt idx="1">
                  <c:v>2022</c:v>
                </c:pt>
                <c:pt idx="2">
                  <c:v>2023</c:v>
                </c:pt>
                <c:pt idx="3">
                  <c:v>2024</c:v>
                </c:pt>
              </c:numCache>
            </c:numRef>
          </c:cat>
          <c:val>
            <c:numRef>
              <c:f>Аркуш1!$B$2:$B$5</c:f>
              <c:numCache>
                <c:formatCode>General</c:formatCode>
                <c:ptCount val="4"/>
              </c:numCache>
            </c:numRef>
          </c:val>
          <c:smooth val="0"/>
          <c:extLst xmlns:c16r2="http://schemas.microsoft.com/office/drawing/2015/06/chart">
            <c:ext xmlns:c16="http://schemas.microsoft.com/office/drawing/2014/chart" uri="{C3380CC4-5D6E-409C-BE32-E72D297353CC}">
              <c16:uniqueId val="{00000000-1C12-40C3-8ABD-1D9494F3DB9F}"/>
            </c:ext>
          </c:extLst>
        </c:ser>
        <c:ser>
          <c:idx val="1"/>
          <c:order val="1"/>
          <c:tx>
            <c:strRef>
              <c:f>Аркуш1!$C$1</c:f>
              <c:strCache>
                <c:ptCount val="1"/>
                <c:pt idx="0">
                  <c:v>Стовпець2</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Аркуш1!$A$2:$A$5</c:f>
              <c:numCache>
                <c:formatCode>General</c:formatCode>
                <c:ptCount val="4"/>
                <c:pt idx="0">
                  <c:v>2021</c:v>
                </c:pt>
                <c:pt idx="1">
                  <c:v>2022</c:v>
                </c:pt>
                <c:pt idx="2">
                  <c:v>2023</c:v>
                </c:pt>
                <c:pt idx="3">
                  <c:v>2024</c:v>
                </c:pt>
              </c:numCache>
            </c:numRef>
          </c:cat>
          <c:val>
            <c:numRef>
              <c:f>Аркуш1!$C$2:$C$5</c:f>
              <c:numCache>
                <c:formatCode>General</c:formatCode>
                <c:ptCount val="4"/>
                <c:pt idx="0">
                  <c:v>0.52</c:v>
                </c:pt>
                <c:pt idx="1">
                  <c:v>0.51</c:v>
                </c:pt>
                <c:pt idx="2">
                  <c:v>0.53</c:v>
                </c:pt>
                <c:pt idx="3">
                  <c:v>0.54</c:v>
                </c:pt>
              </c:numCache>
            </c:numRef>
          </c:val>
          <c:smooth val="0"/>
          <c:extLst xmlns:c16r2="http://schemas.microsoft.com/office/drawing/2015/06/chart">
            <c:ext xmlns:c16="http://schemas.microsoft.com/office/drawing/2014/chart" uri="{C3380CC4-5D6E-409C-BE32-E72D297353CC}">
              <c16:uniqueId val="{00000001-1C12-40C3-8ABD-1D9494F3DB9F}"/>
            </c:ext>
          </c:extLst>
        </c:ser>
        <c:dLbls>
          <c:showLegendKey val="0"/>
          <c:showVal val="0"/>
          <c:showCatName val="0"/>
          <c:showSerName val="0"/>
          <c:showPercent val="0"/>
          <c:showBubbleSize val="0"/>
        </c:dLbls>
        <c:smooth val="0"/>
        <c:axId val="553464088"/>
        <c:axId val="553464480"/>
      </c:lineChart>
      <c:catAx>
        <c:axId val="55346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3464480"/>
        <c:crosses val="autoZero"/>
        <c:auto val="1"/>
        <c:lblAlgn val="ctr"/>
        <c:lblOffset val="100"/>
        <c:noMultiLvlLbl val="0"/>
      </c:catAx>
      <c:valAx>
        <c:axId val="553464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Общий бал (0-1) высший = сильнее верховенство права</a:t>
                </a: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34640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41279102702092"/>
          <c:y val="6.25E-2"/>
          <c:w val="0.83220831209048507"/>
          <c:h val="0.81137347888332145"/>
        </c:manualLayout>
      </c:layout>
      <c:lineChart>
        <c:grouping val="standard"/>
        <c:varyColors val="0"/>
        <c:ser>
          <c:idx val="0"/>
          <c:order val="0"/>
          <c:tx>
            <c:strRef>
              <c:f>Аркуш1!$B$1</c:f>
              <c:strCache>
                <c:ptCount val="1"/>
                <c:pt idx="0">
                  <c:v>Стовпець1</c:v>
                </c:pt>
              </c:strCache>
            </c:strRef>
          </c:tx>
          <c:spPr>
            <a:ln w="28575" cap="rnd">
              <a:solidFill>
                <a:schemeClr val="accent1"/>
              </a:solidFill>
              <a:round/>
            </a:ln>
            <a:effectLst/>
          </c:spPr>
          <c:marker>
            <c:symbol val="none"/>
          </c:marker>
          <c:cat>
            <c:numRef>
              <c:f>Аркуш1!$A$2:$A$6</c:f>
              <c:numCache>
                <c:formatCode>General</c:formatCode>
                <c:ptCount val="5"/>
                <c:pt idx="0">
                  <c:v>2021</c:v>
                </c:pt>
                <c:pt idx="1">
                  <c:v>2022</c:v>
                </c:pt>
                <c:pt idx="2">
                  <c:v>2023</c:v>
                </c:pt>
                <c:pt idx="3">
                  <c:v>2024</c:v>
                </c:pt>
                <c:pt idx="4">
                  <c:v>2025</c:v>
                </c:pt>
              </c:numCache>
            </c:numRef>
          </c:cat>
          <c:val>
            <c:numRef>
              <c:f>Аркуш1!$B$2:$B$6</c:f>
              <c:numCache>
                <c:formatCode>General</c:formatCode>
                <c:ptCount val="5"/>
              </c:numCache>
            </c:numRef>
          </c:val>
          <c:smooth val="0"/>
          <c:extLst xmlns:c16r2="http://schemas.microsoft.com/office/drawing/2015/06/chart">
            <c:ext xmlns:c16="http://schemas.microsoft.com/office/drawing/2014/chart" uri="{C3380CC4-5D6E-409C-BE32-E72D297353CC}">
              <c16:uniqueId val="{00000000-43A2-45DE-BFA3-EB8B71950720}"/>
            </c:ext>
          </c:extLst>
        </c:ser>
        <c:ser>
          <c:idx val="1"/>
          <c:order val="1"/>
          <c:tx>
            <c:strRef>
              <c:f>Аркуш1!$C$1</c:f>
              <c:strCache>
                <c:ptCount val="1"/>
                <c:pt idx="0">
                  <c:v>Стовпець2</c:v>
                </c:pt>
              </c:strCache>
            </c:strRef>
          </c:tx>
          <c:spPr>
            <a:ln w="28575" cap="rnd">
              <a:solidFill>
                <a:schemeClr val="accent2"/>
              </a:solidFill>
              <a:round/>
            </a:ln>
            <a:effectLst/>
          </c:spPr>
          <c:marker>
            <c:symbol val="none"/>
          </c:marker>
          <c:cat>
            <c:numRef>
              <c:f>Аркуш1!$A$2:$A$6</c:f>
              <c:numCache>
                <c:formatCode>General</c:formatCode>
                <c:ptCount val="5"/>
                <c:pt idx="0">
                  <c:v>2021</c:v>
                </c:pt>
                <c:pt idx="1">
                  <c:v>2022</c:v>
                </c:pt>
                <c:pt idx="2">
                  <c:v>2023</c:v>
                </c:pt>
                <c:pt idx="3">
                  <c:v>2024</c:v>
                </c:pt>
                <c:pt idx="4">
                  <c:v>2025</c:v>
                </c:pt>
              </c:numCache>
            </c:numRef>
          </c:cat>
          <c:val>
            <c:numRef>
              <c:f>Аркуш1!$C$2:$C$6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43A2-45DE-BFA3-EB8B71950720}"/>
            </c:ext>
          </c:extLst>
        </c:ser>
        <c:ser>
          <c:idx val="2"/>
          <c:order val="2"/>
          <c:tx>
            <c:strRef>
              <c:f>Аркуш1!$D$1</c:f>
              <c:strCache>
                <c:ptCount val="1"/>
                <c:pt idx="0">
                  <c:v>Стовпець3</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2021</c:v>
                </c:pt>
                <c:pt idx="1">
                  <c:v>2022</c:v>
                </c:pt>
                <c:pt idx="2">
                  <c:v>2023</c:v>
                </c:pt>
                <c:pt idx="3">
                  <c:v>2024</c:v>
                </c:pt>
                <c:pt idx="4">
                  <c:v>2025</c:v>
                </c:pt>
              </c:numCache>
            </c:numRef>
          </c:cat>
          <c:val>
            <c:numRef>
              <c:f>Аркуш1!$D$2:$D$6</c:f>
              <c:numCache>
                <c:formatCode>General</c:formatCode>
                <c:ptCount val="5"/>
                <c:pt idx="0">
                  <c:v>23</c:v>
                </c:pt>
                <c:pt idx="1">
                  <c:v>23</c:v>
                </c:pt>
                <c:pt idx="2">
                  <c:v>23</c:v>
                </c:pt>
                <c:pt idx="3">
                  <c:v>23</c:v>
                </c:pt>
                <c:pt idx="4">
                  <c:v>23</c:v>
                </c:pt>
              </c:numCache>
            </c:numRef>
          </c:val>
          <c:smooth val="0"/>
          <c:extLst xmlns:c16r2="http://schemas.microsoft.com/office/drawing/2015/06/chart">
            <c:ext xmlns:c16="http://schemas.microsoft.com/office/drawing/2014/chart" uri="{C3380CC4-5D6E-409C-BE32-E72D297353CC}">
              <c16:uniqueId val="{00000002-43A2-45DE-BFA3-EB8B71950720}"/>
            </c:ext>
          </c:extLst>
        </c:ser>
        <c:dLbls>
          <c:showLegendKey val="0"/>
          <c:showVal val="0"/>
          <c:showCatName val="0"/>
          <c:showSerName val="0"/>
          <c:showPercent val="0"/>
          <c:showBubbleSize val="0"/>
        </c:dLbls>
        <c:smooth val="0"/>
        <c:axId val="553465264"/>
        <c:axId val="553483688"/>
      </c:lineChart>
      <c:catAx>
        <c:axId val="55346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3483688"/>
        <c:crosses val="autoZero"/>
        <c:auto val="1"/>
        <c:lblAlgn val="ctr"/>
        <c:lblOffset val="100"/>
        <c:noMultiLvlLbl val="0"/>
      </c:catAx>
      <c:valAx>
        <c:axId val="553483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Общий бал (0-100). высший = больше свобод</a:t>
                </a: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3465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i="1">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6984543598716"/>
          <c:y val="4.3650793650793648E-2"/>
          <c:w val="0.80746719160104985"/>
          <c:h val="0.83651481064866895"/>
        </c:manualLayout>
      </c:layout>
      <c:lineChart>
        <c:grouping val="standard"/>
        <c:varyColors val="0"/>
        <c:ser>
          <c:idx val="0"/>
          <c:order val="0"/>
          <c:tx>
            <c:strRef>
              <c:f>Аркуш1!$B$1</c:f>
              <c:strCache>
                <c:ptCount val="1"/>
                <c:pt idx="0">
                  <c:v>Стовпець1</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Аркуш1!$A$2:$A$6</c:f>
              <c:numCache>
                <c:formatCode>General</c:formatCode>
                <c:ptCount val="5"/>
                <c:pt idx="0">
                  <c:v>2021</c:v>
                </c:pt>
                <c:pt idx="1">
                  <c:v>2022</c:v>
                </c:pt>
                <c:pt idx="2">
                  <c:v>2023</c:v>
                </c:pt>
                <c:pt idx="3">
                  <c:v>2024</c:v>
                </c:pt>
                <c:pt idx="4">
                  <c:v>2025</c:v>
                </c:pt>
              </c:numCache>
            </c:numRef>
          </c:cat>
          <c:val>
            <c:numRef>
              <c:f>Аркуш1!$B$2:$B$6</c:f>
              <c:numCache>
                <c:formatCode>General</c:formatCode>
                <c:ptCount val="5"/>
                <c:pt idx="0">
                  <c:v>69.599999999999994</c:v>
                </c:pt>
                <c:pt idx="1">
                  <c:v>64.400000000000006</c:v>
                </c:pt>
                <c:pt idx="2" formatCode="0.00">
                  <c:v>63.3</c:v>
                </c:pt>
                <c:pt idx="3">
                  <c:v>62</c:v>
                </c:pt>
                <c:pt idx="4">
                  <c:v>63.8</c:v>
                </c:pt>
              </c:numCache>
            </c:numRef>
          </c:val>
          <c:smooth val="0"/>
          <c:extLst xmlns:c16r2="http://schemas.microsoft.com/office/drawing/2015/06/chart">
            <c:ext xmlns:c16="http://schemas.microsoft.com/office/drawing/2014/chart" uri="{C3380CC4-5D6E-409C-BE32-E72D297353CC}">
              <c16:uniqueId val="{00000000-07B1-4372-8319-85DF5687FF45}"/>
            </c:ext>
          </c:extLst>
        </c:ser>
        <c:dLbls>
          <c:showLegendKey val="0"/>
          <c:showVal val="0"/>
          <c:showCatName val="0"/>
          <c:showSerName val="0"/>
          <c:showPercent val="0"/>
          <c:showBubbleSize val="0"/>
        </c:dLbls>
        <c:smooth val="0"/>
        <c:axId val="553477024"/>
        <c:axId val="553475456"/>
      </c:lineChart>
      <c:catAx>
        <c:axId val="55347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3475456"/>
        <c:crosses val="autoZero"/>
        <c:auto val="1"/>
        <c:lblAlgn val="ctr"/>
        <c:lblOffset val="100"/>
        <c:noMultiLvlLbl val="0"/>
      </c:catAx>
      <c:valAx>
        <c:axId val="553475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Бал, (0-100) высший = больше экономической свободы  </a:t>
                </a:r>
              </a:p>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534770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Ряд 1</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3-27F9-4176-8850-B880DF76BB98}"/>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4-27F9-4176-8850-B880DF76BB98}"/>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27F9-4176-8850-B880DF76BB98}"/>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6-27F9-4176-8850-B880DF76BB98}"/>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7-27F9-4176-8850-B880DF76BB98}"/>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1"/>
              <c:showSerName val="0"/>
              <c:showPercent val="1"/>
              <c:showBubbleSize val="0"/>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1"/>
              <c:showSerName val="0"/>
              <c:showPercent val="1"/>
              <c:showBubbleSize val="0"/>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1"/>
              <c:showSerName val="0"/>
              <c:showPercent val="1"/>
              <c:showBubbleSize val="0"/>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1"/>
              <c:showSerName val="0"/>
              <c:showPercent val="1"/>
              <c:showBubbleSize val="0"/>
            </c:dLbl>
            <c:dLbl>
              <c:idx val="4"/>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1"/>
              <c:showSerName val="0"/>
              <c:showPercent val="1"/>
              <c:showBubbleSize val="0"/>
            </c:dLbl>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dLblPos val="inEnd"/>
            <c:showLegendKey val="0"/>
            <c:showVal val="1"/>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Аркуш1!$A$2:$A$6</c:f>
              <c:strCache>
                <c:ptCount val="4"/>
                <c:pt idx="0">
                  <c:v>Rule of Low</c:v>
                </c:pt>
                <c:pt idx="1">
                  <c:v>CPI  (антикорупция)</c:v>
                </c:pt>
                <c:pt idx="2">
                  <c:v>Экономческие свободы</c:v>
                </c:pt>
                <c:pt idx="3">
                  <c:v>Freedom House</c:v>
                </c:pt>
              </c:strCache>
            </c:strRef>
          </c:cat>
          <c:val>
            <c:numRef>
              <c:f>Аркуш1!$B$2:$B$6</c:f>
              <c:numCache>
                <c:formatCode>General</c:formatCode>
                <c:ptCount val="5"/>
                <c:pt idx="0">
                  <c:v>54</c:v>
                </c:pt>
                <c:pt idx="1">
                  <c:v>40</c:v>
                </c:pt>
                <c:pt idx="2">
                  <c:v>63.8</c:v>
                </c:pt>
                <c:pt idx="3">
                  <c:v>23</c:v>
                </c:pt>
              </c:numCache>
            </c:numRef>
          </c:val>
          <c:extLst xmlns:c16r2="http://schemas.microsoft.com/office/drawing/2015/06/chart">
            <c:ext xmlns:c16="http://schemas.microsoft.com/office/drawing/2014/chart" uri="{C3380CC4-5D6E-409C-BE32-E72D297353CC}">
              <c16:uniqueId val="{00000000-27F9-4176-8850-B880DF76BB98}"/>
            </c:ext>
          </c:extLst>
        </c:ser>
        <c:ser>
          <c:idx val="1"/>
          <c:order val="1"/>
          <c:tx>
            <c:strRef>
              <c:f>Аркуш1!$C$1</c:f>
              <c:strCache>
                <c:ptCount val="1"/>
                <c:pt idx="0">
                  <c:v>Ряд 2</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8-27F9-4176-8850-B880DF76BB98}"/>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9-27F9-4176-8850-B880DF76BB98}"/>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A-27F9-4176-8850-B880DF76BB98}"/>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B-27F9-4176-8850-B880DF76BB98}"/>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C-27F9-4176-8850-B880DF76BB98}"/>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1"/>
              <c:showSerName val="0"/>
              <c:showPercent val="1"/>
              <c:showBubbleSize val="0"/>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1"/>
              <c:showSerName val="0"/>
              <c:showPercent val="1"/>
              <c:showBubbleSize val="0"/>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1"/>
              <c:showSerName val="0"/>
              <c:showPercent val="1"/>
              <c:showBubbleSize val="0"/>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1"/>
              <c:showSerName val="0"/>
              <c:showPercent val="1"/>
              <c:showBubbleSize val="0"/>
            </c:dLbl>
            <c:dLbl>
              <c:idx val="4"/>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1"/>
              <c:showSerName val="0"/>
              <c:showPercent val="1"/>
              <c:showBubbleSize val="0"/>
            </c:dLbl>
            <c:spPr>
              <a:solidFill>
                <a:sysClr val="window" lastClr="FFFFFF">
                  <a:alpha val="90000"/>
                </a:sysClr>
              </a:solidFill>
              <a:ln w="12700" cap="flat" cmpd="sng" algn="ctr">
                <a:solidFill>
                  <a:srgbClr val="ED7D31"/>
                </a:solidFill>
                <a:round/>
              </a:ln>
              <a:effectLst>
                <a:outerShdw blurRad="50800" dist="38100" dir="2700000" algn="tl" rotWithShape="0">
                  <a:srgbClr val="ED7D31">
                    <a:lumMod val="75000"/>
                    <a:alpha val="40000"/>
                  </a:srgbClr>
                </a:outerShdw>
              </a:effectLst>
            </c:sp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Аркуш1!$A$2:$A$6</c:f>
              <c:strCache>
                <c:ptCount val="4"/>
                <c:pt idx="0">
                  <c:v>Rule of Low</c:v>
                </c:pt>
                <c:pt idx="1">
                  <c:v>CPI  (антикорупция)</c:v>
                </c:pt>
                <c:pt idx="2">
                  <c:v>Экономческие свободы</c:v>
                </c:pt>
                <c:pt idx="3">
                  <c:v>Freedom House</c:v>
                </c:pt>
              </c:strCache>
            </c:strRef>
          </c:cat>
          <c:val>
            <c:numRef>
              <c:f>Аркуш1!$C$2:$C$6</c:f>
              <c:numCache>
                <c:formatCode>General</c:formatCode>
                <c:ptCount val="5"/>
              </c:numCache>
            </c:numRef>
          </c:val>
          <c:extLst xmlns:c16r2="http://schemas.microsoft.com/office/drawing/2015/06/chart">
            <c:ext xmlns:c16="http://schemas.microsoft.com/office/drawing/2014/chart" uri="{C3380CC4-5D6E-409C-BE32-E72D297353CC}">
              <c16:uniqueId val="{00000001-27F9-4176-8850-B880DF76BB98}"/>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273DC2-C59F-4B6E-AA70-AD9BBABFACE8}" type="doc">
      <dgm:prSet loTypeId="urn:microsoft.com/office/officeart/2005/8/layout/process4" loCatId="list" qsTypeId="urn:microsoft.com/office/officeart/2005/8/quickstyle/simple5" qsCatId="simple" csTypeId="urn:microsoft.com/office/officeart/2005/8/colors/accent0_1" csCatId="mainScheme" phldr="1"/>
      <dgm:spPr/>
      <dgm:t>
        <a:bodyPr/>
        <a:lstStyle/>
        <a:p>
          <a:endParaRPr lang="ru-RU"/>
        </a:p>
      </dgm:t>
    </dgm:pt>
    <dgm:pt modelId="{5A19AB03-4131-4BD0-BA09-D06723343FC3}">
      <dgm:prSet phldrT="[Текст]" custT="1"/>
      <dgm:spPr/>
      <dgm:t>
        <a:bodyPr/>
        <a:lstStyle/>
        <a:p>
          <a:r>
            <a:rPr lang="ru-RU" sz="1050" b="0" i="0">
              <a:latin typeface="Times New Roman" panose="02020603050405020304" pitchFamily="18" charset="0"/>
              <a:cs typeface="Times New Roman" panose="02020603050405020304" pitchFamily="18" charset="0"/>
            </a:rPr>
            <a:t>Ценностно-нормативный уровень – ядро идентичности</a:t>
          </a:r>
        </a:p>
      </dgm:t>
    </dgm:pt>
    <dgm:pt modelId="{E813B597-F033-4496-B6E0-F1475F0F4E22}" type="parTrans" cxnId="{40868F70-E48F-400E-AC43-1FBCFC8826C9}">
      <dgm:prSet/>
      <dgm:spPr/>
      <dgm:t>
        <a:bodyPr/>
        <a:lstStyle/>
        <a:p>
          <a:endParaRPr lang="ru-RU" sz="1050">
            <a:latin typeface="Times New Roman" panose="02020603050405020304" pitchFamily="18" charset="0"/>
            <a:cs typeface="Times New Roman" panose="02020603050405020304" pitchFamily="18" charset="0"/>
          </a:endParaRPr>
        </a:p>
      </dgm:t>
    </dgm:pt>
    <dgm:pt modelId="{9F4DA768-E807-4177-92B2-2A0C9B77FCDA}" type="sibTrans" cxnId="{40868F70-E48F-400E-AC43-1FBCFC8826C9}">
      <dgm:prSet/>
      <dgm:spPr/>
      <dgm:t>
        <a:bodyPr/>
        <a:lstStyle/>
        <a:p>
          <a:endParaRPr lang="ru-RU" sz="1050">
            <a:latin typeface="Times New Roman" panose="02020603050405020304" pitchFamily="18" charset="0"/>
            <a:cs typeface="Times New Roman" panose="02020603050405020304" pitchFamily="18" charset="0"/>
          </a:endParaRPr>
        </a:p>
      </dgm:t>
    </dgm:pt>
    <dgm:pt modelId="{CA867E18-F01A-477D-9BC7-3365A7714EB2}">
      <dgm:prSet phldrT="[Текст]" custT="1"/>
      <dgm:spPr/>
      <dgm:t>
        <a:bodyPr/>
        <a:lstStyle/>
        <a:p>
          <a:r>
            <a:rPr lang="ru-RU" sz="1050" i="1">
              <a:latin typeface="Times New Roman" panose="02020603050405020304" pitchFamily="18" charset="0"/>
              <a:cs typeface="Times New Roman" panose="02020603050405020304" pitchFamily="18" charset="0"/>
            </a:rPr>
            <a:t>Права человека, достоинство, демократия, равенство, солидарность не как риторические формулы, а как онтологические основы существования ЕС.</a:t>
          </a:r>
        </a:p>
      </dgm:t>
    </dgm:pt>
    <dgm:pt modelId="{89E2FE80-C632-4276-A025-24C7E2F40204}" type="parTrans" cxnId="{F9ADF602-E61A-4FBF-87A8-834F4F3D0018}">
      <dgm:prSet/>
      <dgm:spPr/>
      <dgm:t>
        <a:bodyPr/>
        <a:lstStyle/>
        <a:p>
          <a:endParaRPr lang="ru-RU" sz="1050">
            <a:latin typeface="Times New Roman" panose="02020603050405020304" pitchFamily="18" charset="0"/>
            <a:cs typeface="Times New Roman" panose="02020603050405020304" pitchFamily="18" charset="0"/>
          </a:endParaRPr>
        </a:p>
      </dgm:t>
    </dgm:pt>
    <dgm:pt modelId="{47CD655B-EC47-4316-95F6-E65F4ACDD12A}" type="sibTrans" cxnId="{F9ADF602-E61A-4FBF-87A8-834F4F3D0018}">
      <dgm:prSet/>
      <dgm:spPr/>
      <dgm:t>
        <a:bodyPr/>
        <a:lstStyle/>
        <a:p>
          <a:endParaRPr lang="ru-RU" sz="1050">
            <a:latin typeface="Times New Roman" panose="02020603050405020304" pitchFamily="18" charset="0"/>
            <a:cs typeface="Times New Roman" panose="02020603050405020304" pitchFamily="18" charset="0"/>
          </a:endParaRPr>
        </a:p>
      </dgm:t>
    </dgm:pt>
    <dgm:pt modelId="{13758432-CA08-49C3-8052-EE3643AA4433}">
      <dgm:prSet phldrT="[Текст]" custT="1"/>
      <dgm:spPr/>
      <dgm:t>
        <a:bodyPr/>
        <a:lstStyle/>
        <a:p>
          <a:r>
            <a:rPr lang="ru-RU" sz="1050" b="0">
              <a:latin typeface="Times New Roman" panose="02020603050405020304" pitchFamily="18" charset="0"/>
              <a:cs typeface="Times New Roman" panose="02020603050405020304" pitchFamily="18" charset="0"/>
            </a:rPr>
            <a:t>Институционно-операционный уровень – механизмы воспроизводства</a:t>
          </a:r>
        </a:p>
      </dgm:t>
    </dgm:pt>
    <dgm:pt modelId="{EC92CBA8-881A-479B-B913-D529AA84A687}" type="parTrans" cxnId="{3ED0D564-5B38-4C9E-B22F-ACCE5390B239}">
      <dgm:prSet/>
      <dgm:spPr/>
      <dgm:t>
        <a:bodyPr/>
        <a:lstStyle/>
        <a:p>
          <a:endParaRPr lang="ru-RU" sz="1050">
            <a:latin typeface="Times New Roman" panose="02020603050405020304" pitchFamily="18" charset="0"/>
            <a:cs typeface="Times New Roman" panose="02020603050405020304" pitchFamily="18" charset="0"/>
          </a:endParaRPr>
        </a:p>
      </dgm:t>
    </dgm:pt>
    <dgm:pt modelId="{3798CA79-8E9B-40D1-ACC1-51391AC4191B}" type="sibTrans" cxnId="{3ED0D564-5B38-4C9E-B22F-ACCE5390B239}">
      <dgm:prSet/>
      <dgm:spPr/>
      <dgm:t>
        <a:bodyPr/>
        <a:lstStyle/>
        <a:p>
          <a:endParaRPr lang="ru-RU" sz="1050">
            <a:latin typeface="Times New Roman" panose="02020603050405020304" pitchFamily="18" charset="0"/>
            <a:cs typeface="Times New Roman" panose="02020603050405020304" pitchFamily="18" charset="0"/>
          </a:endParaRPr>
        </a:p>
      </dgm:t>
    </dgm:pt>
    <dgm:pt modelId="{AB74BED8-EDD5-40D3-A0A6-2FA5343D024F}">
      <dgm:prSet phldrT="[Текст]" custT="1"/>
      <dgm:spPr/>
      <dgm:t>
        <a:bodyPr/>
        <a:lstStyle/>
        <a:p>
          <a:r>
            <a:rPr lang="ru-RU" sz="1050" i="1">
              <a:latin typeface="Times New Roman" panose="02020603050405020304" pitchFamily="18" charset="0"/>
              <a:cs typeface="Times New Roman" panose="02020603050405020304" pitchFamily="18" charset="0"/>
            </a:rPr>
            <a:t>Европейский суд, Европейский парламент, агентства по правам человека, Специальный представитель ЕС по правам человека.</a:t>
          </a:r>
        </a:p>
      </dgm:t>
    </dgm:pt>
    <dgm:pt modelId="{17369204-51A0-4DF6-8CB1-CA1DD1E6032D}" type="parTrans" cxnId="{CDD75171-415B-47C9-B2F2-7086ADBC646A}">
      <dgm:prSet/>
      <dgm:spPr/>
      <dgm:t>
        <a:bodyPr/>
        <a:lstStyle/>
        <a:p>
          <a:endParaRPr lang="ru-RU" sz="1050">
            <a:latin typeface="Times New Roman" panose="02020603050405020304" pitchFamily="18" charset="0"/>
            <a:cs typeface="Times New Roman" panose="02020603050405020304" pitchFamily="18" charset="0"/>
          </a:endParaRPr>
        </a:p>
      </dgm:t>
    </dgm:pt>
    <dgm:pt modelId="{B634B445-EB10-438E-950B-7B972C27919D}" type="sibTrans" cxnId="{CDD75171-415B-47C9-B2F2-7086ADBC646A}">
      <dgm:prSet/>
      <dgm:spPr/>
      <dgm:t>
        <a:bodyPr/>
        <a:lstStyle/>
        <a:p>
          <a:endParaRPr lang="ru-RU" sz="1050">
            <a:latin typeface="Times New Roman" panose="02020603050405020304" pitchFamily="18" charset="0"/>
            <a:cs typeface="Times New Roman" panose="02020603050405020304" pitchFamily="18" charset="0"/>
          </a:endParaRPr>
        </a:p>
      </dgm:t>
    </dgm:pt>
    <dgm:pt modelId="{15544E64-24A2-4D19-B8EC-7AD2B1690F4D}">
      <dgm:prSet phldrT="[Текст]" custT="1"/>
      <dgm:spPr/>
      <dgm:t>
        <a:bodyPr/>
        <a:lstStyle/>
        <a:p>
          <a:r>
            <a:rPr lang="ru-RU" sz="1050" b="0">
              <a:latin typeface="Times New Roman" panose="02020603050405020304" pitchFamily="18" charset="0"/>
              <a:cs typeface="Times New Roman" panose="02020603050405020304" pitchFamily="18" charset="0"/>
            </a:rPr>
            <a:t>Геостратегический уровень –  проекция ценностей во внешний мир</a:t>
          </a:r>
        </a:p>
      </dgm:t>
    </dgm:pt>
    <dgm:pt modelId="{BBA8D7E5-00C6-4EA0-9AB4-DE053A877538}" type="parTrans" cxnId="{F75B7200-DCB5-4F34-9B45-A646CCFC0D44}">
      <dgm:prSet/>
      <dgm:spPr/>
      <dgm:t>
        <a:bodyPr/>
        <a:lstStyle/>
        <a:p>
          <a:endParaRPr lang="ru-RU" sz="1050">
            <a:latin typeface="Times New Roman" panose="02020603050405020304" pitchFamily="18" charset="0"/>
            <a:cs typeface="Times New Roman" panose="02020603050405020304" pitchFamily="18" charset="0"/>
          </a:endParaRPr>
        </a:p>
      </dgm:t>
    </dgm:pt>
    <dgm:pt modelId="{B53BDC0C-485A-4A62-ABD9-BDC08ACAC558}" type="sibTrans" cxnId="{F75B7200-DCB5-4F34-9B45-A646CCFC0D44}">
      <dgm:prSet/>
      <dgm:spPr/>
      <dgm:t>
        <a:bodyPr/>
        <a:lstStyle/>
        <a:p>
          <a:endParaRPr lang="ru-RU" sz="1050">
            <a:latin typeface="Times New Roman" panose="02020603050405020304" pitchFamily="18" charset="0"/>
            <a:cs typeface="Times New Roman" panose="02020603050405020304" pitchFamily="18" charset="0"/>
          </a:endParaRPr>
        </a:p>
      </dgm:t>
    </dgm:pt>
    <dgm:pt modelId="{3D02FDE4-E515-48D5-9A17-B327775CB3ED}">
      <dgm:prSet phldrT="[Текст]" custT="1"/>
      <dgm:spPr/>
      <dgm:t>
        <a:bodyPr/>
        <a:lstStyle/>
        <a:p>
          <a:r>
            <a:rPr lang="ru-RU" sz="1050" i="1">
              <a:latin typeface="Times New Roman" panose="02020603050405020304" pitchFamily="18" charset="0"/>
              <a:cs typeface="Times New Roman" panose="02020603050405020304" pitchFamily="18" charset="0"/>
            </a:rPr>
            <a:t>Права человека как способ внешней идентификации ЕС в международных отношениях</a:t>
          </a:r>
        </a:p>
      </dgm:t>
    </dgm:pt>
    <dgm:pt modelId="{2D04BCCD-2DA8-4496-B5FF-471FA572A674}" type="parTrans" cxnId="{1514C75A-7AC4-40A8-8F2C-F87864A36B8D}">
      <dgm:prSet/>
      <dgm:spPr/>
      <dgm:t>
        <a:bodyPr/>
        <a:lstStyle/>
        <a:p>
          <a:endParaRPr lang="ru-RU" sz="1050">
            <a:latin typeface="Times New Roman" panose="02020603050405020304" pitchFamily="18" charset="0"/>
            <a:cs typeface="Times New Roman" panose="02020603050405020304" pitchFamily="18" charset="0"/>
          </a:endParaRPr>
        </a:p>
      </dgm:t>
    </dgm:pt>
    <dgm:pt modelId="{AA32DEBA-D763-4010-905E-7C9E275C8DB9}" type="sibTrans" cxnId="{1514C75A-7AC4-40A8-8F2C-F87864A36B8D}">
      <dgm:prSet/>
      <dgm:spPr/>
      <dgm:t>
        <a:bodyPr/>
        <a:lstStyle/>
        <a:p>
          <a:endParaRPr lang="ru-RU" sz="1050">
            <a:latin typeface="Times New Roman" panose="02020603050405020304" pitchFamily="18" charset="0"/>
            <a:cs typeface="Times New Roman" panose="02020603050405020304" pitchFamily="18" charset="0"/>
          </a:endParaRPr>
        </a:p>
      </dgm:t>
    </dgm:pt>
    <dgm:pt modelId="{8003BAF2-B2A1-43C7-BD97-2DDF370DB53E}" type="pres">
      <dgm:prSet presAssocID="{FD273DC2-C59F-4B6E-AA70-AD9BBABFACE8}" presName="Name0" presStyleCnt="0">
        <dgm:presLayoutVars>
          <dgm:dir/>
          <dgm:animLvl val="lvl"/>
          <dgm:resizeHandles val="exact"/>
        </dgm:presLayoutVars>
      </dgm:prSet>
      <dgm:spPr/>
      <dgm:t>
        <a:bodyPr/>
        <a:lstStyle/>
        <a:p>
          <a:endParaRPr lang="ru-RU"/>
        </a:p>
      </dgm:t>
    </dgm:pt>
    <dgm:pt modelId="{65318415-D20D-4420-B970-1A05E676C290}" type="pres">
      <dgm:prSet presAssocID="{15544E64-24A2-4D19-B8EC-7AD2B1690F4D}" presName="boxAndChildren" presStyleCnt="0"/>
      <dgm:spPr/>
    </dgm:pt>
    <dgm:pt modelId="{362F71C2-3F2B-4509-9E10-13185613E8D1}" type="pres">
      <dgm:prSet presAssocID="{15544E64-24A2-4D19-B8EC-7AD2B1690F4D}" presName="parentTextBox" presStyleLbl="node1" presStyleIdx="0" presStyleCnt="3"/>
      <dgm:spPr/>
      <dgm:t>
        <a:bodyPr/>
        <a:lstStyle/>
        <a:p>
          <a:endParaRPr lang="ru-RU"/>
        </a:p>
      </dgm:t>
    </dgm:pt>
    <dgm:pt modelId="{5B8F52AC-3BAE-4CA5-BC67-FB35D8C149E5}" type="pres">
      <dgm:prSet presAssocID="{15544E64-24A2-4D19-B8EC-7AD2B1690F4D}" presName="entireBox" presStyleLbl="node1" presStyleIdx="0" presStyleCnt="3"/>
      <dgm:spPr/>
      <dgm:t>
        <a:bodyPr/>
        <a:lstStyle/>
        <a:p>
          <a:endParaRPr lang="ru-RU"/>
        </a:p>
      </dgm:t>
    </dgm:pt>
    <dgm:pt modelId="{4D17F478-7A34-4A17-9DC2-6E1D8DCFD693}" type="pres">
      <dgm:prSet presAssocID="{15544E64-24A2-4D19-B8EC-7AD2B1690F4D}" presName="descendantBox" presStyleCnt="0"/>
      <dgm:spPr/>
    </dgm:pt>
    <dgm:pt modelId="{13320CBC-FA7A-44B7-AA7C-1B8514218C18}" type="pres">
      <dgm:prSet presAssocID="{3D02FDE4-E515-48D5-9A17-B327775CB3ED}" presName="childTextBox" presStyleLbl="fgAccFollowNode1" presStyleIdx="0" presStyleCnt="3" custLinFactNeighborY="-14538">
        <dgm:presLayoutVars>
          <dgm:bulletEnabled val="1"/>
        </dgm:presLayoutVars>
      </dgm:prSet>
      <dgm:spPr/>
      <dgm:t>
        <a:bodyPr/>
        <a:lstStyle/>
        <a:p>
          <a:endParaRPr lang="ru-RU"/>
        </a:p>
      </dgm:t>
    </dgm:pt>
    <dgm:pt modelId="{031A9713-1FBC-44EA-8FCD-BBA3A40DA4AB}" type="pres">
      <dgm:prSet presAssocID="{3798CA79-8E9B-40D1-ACC1-51391AC4191B}" presName="sp" presStyleCnt="0"/>
      <dgm:spPr/>
    </dgm:pt>
    <dgm:pt modelId="{9F4DE698-F540-4BF0-B923-BA09729AC873}" type="pres">
      <dgm:prSet presAssocID="{13758432-CA08-49C3-8052-EE3643AA4433}" presName="arrowAndChildren" presStyleCnt="0"/>
      <dgm:spPr/>
    </dgm:pt>
    <dgm:pt modelId="{A0E6D9BA-6837-42FE-9CBB-54FD171BD015}" type="pres">
      <dgm:prSet presAssocID="{13758432-CA08-49C3-8052-EE3643AA4433}" presName="parentTextArrow" presStyleLbl="node1" presStyleIdx="0" presStyleCnt="3"/>
      <dgm:spPr/>
      <dgm:t>
        <a:bodyPr/>
        <a:lstStyle/>
        <a:p>
          <a:endParaRPr lang="ru-RU"/>
        </a:p>
      </dgm:t>
    </dgm:pt>
    <dgm:pt modelId="{C203B96C-749C-4D77-B3FA-1E0453D28528}" type="pres">
      <dgm:prSet presAssocID="{13758432-CA08-49C3-8052-EE3643AA4433}" presName="arrow" presStyleLbl="node1" presStyleIdx="1" presStyleCnt="3" custScaleY="61978"/>
      <dgm:spPr/>
      <dgm:t>
        <a:bodyPr/>
        <a:lstStyle/>
        <a:p>
          <a:endParaRPr lang="ru-RU"/>
        </a:p>
      </dgm:t>
    </dgm:pt>
    <dgm:pt modelId="{D248A12D-5BC5-4DCF-93A4-84F913FFACD3}" type="pres">
      <dgm:prSet presAssocID="{13758432-CA08-49C3-8052-EE3643AA4433}" presName="descendantArrow" presStyleCnt="0"/>
      <dgm:spPr/>
    </dgm:pt>
    <dgm:pt modelId="{76EFE7D4-BA17-43E8-8DD3-A69DD0C7F175}" type="pres">
      <dgm:prSet presAssocID="{AB74BED8-EDD5-40D3-A0A6-2FA5343D024F}" presName="childTextArrow" presStyleLbl="fgAccFollowNode1" presStyleIdx="1" presStyleCnt="3">
        <dgm:presLayoutVars>
          <dgm:bulletEnabled val="1"/>
        </dgm:presLayoutVars>
      </dgm:prSet>
      <dgm:spPr/>
      <dgm:t>
        <a:bodyPr/>
        <a:lstStyle/>
        <a:p>
          <a:endParaRPr lang="ru-RU"/>
        </a:p>
      </dgm:t>
    </dgm:pt>
    <dgm:pt modelId="{8EC81723-1C71-4964-9344-0CC3428725BA}" type="pres">
      <dgm:prSet presAssocID="{9F4DA768-E807-4177-92B2-2A0C9B77FCDA}" presName="sp" presStyleCnt="0"/>
      <dgm:spPr/>
    </dgm:pt>
    <dgm:pt modelId="{DC19935C-43EE-4F55-98E0-74EE7869F381}" type="pres">
      <dgm:prSet presAssocID="{5A19AB03-4131-4BD0-BA09-D06723343FC3}" presName="arrowAndChildren" presStyleCnt="0"/>
      <dgm:spPr/>
    </dgm:pt>
    <dgm:pt modelId="{23D1077B-A34A-4AE4-B3E1-395AECC4820E}" type="pres">
      <dgm:prSet presAssocID="{5A19AB03-4131-4BD0-BA09-D06723343FC3}" presName="parentTextArrow" presStyleLbl="node1" presStyleIdx="1" presStyleCnt="3"/>
      <dgm:spPr/>
      <dgm:t>
        <a:bodyPr/>
        <a:lstStyle/>
        <a:p>
          <a:endParaRPr lang="ru-RU"/>
        </a:p>
      </dgm:t>
    </dgm:pt>
    <dgm:pt modelId="{918CF2A2-28AC-4B89-A525-BE3E5900DAE1}" type="pres">
      <dgm:prSet presAssocID="{5A19AB03-4131-4BD0-BA09-D06723343FC3}" presName="arrow" presStyleLbl="node1" presStyleIdx="2" presStyleCnt="3" custScaleY="65145" custLinFactNeighborX="6944" custLinFactNeighborY="-21930"/>
      <dgm:spPr/>
      <dgm:t>
        <a:bodyPr/>
        <a:lstStyle/>
        <a:p>
          <a:endParaRPr lang="ru-RU"/>
        </a:p>
      </dgm:t>
    </dgm:pt>
    <dgm:pt modelId="{76161D49-E841-4CE6-90CE-478B81A711EC}" type="pres">
      <dgm:prSet presAssocID="{5A19AB03-4131-4BD0-BA09-D06723343FC3}" presName="descendantArrow" presStyleCnt="0"/>
      <dgm:spPr/>
    </dgm:pt>
    <dgm:pt modelId="{84694244-8F4C-4C3C-81C9-02D42F845E9E}" type="pres">
      <dgm:prSet presAssocID="{CA867E18-F01A-477D-9BC7-3365A7714EB2}" presName="childTextArrow" presStyleLbl="fgAccFollowNode1" presStyleIdx="2" presStyleCnt="3">
        <dgm:presLayoutVars>
          <dgm:bulletEnabled val="1"/>
        </dgm:presLayoutVars>
      </dgm:prSet>
      <dgm:spPr/>
      <dgm:t>
        <a:bodyPr/>
        <a:lstStyle/>
        <a:p>
          <a:endParaRPr lang="ru-RU"/>
        </a:p>
      </dgm:t>
    </dgm:pt>
  </dgm:ptLst>
  <dgm:cxnLst>
    <dgm:cxn modelId="{A52C2034-D4E7-4FA3-A466-33F91087FD32}" type="presOf" srcId="{15544E64-24A2-4D19-B8EC-7AD2B1690F4D}" destId="{362F71C2-3F2B-4509-9E10-13185613E8D1}" srcOrd="0" destOrd="0" presId="urn:microsoft.com/office/officeart/2005/8/layout/process4"/>
    <dgm:cxn modelId="{F75B7200-DCB5-4F34-9B45-A646CCFC0D44}" srcId="{FD273DC2-C59F-4B6E-AA70-AD9BBABFACE8}" destId="{15544E64-24A2-4D19-B8EC-7AD2B1690F4D}" srcOrd="2" destOrd="0" parTransId="{BBA8D7E5-00C6-4EA0-9AB4-DE053A877538}" sibTransId="{B53BDC0C-485A-4A62-ABD9-BDC08ACAC558}"/>
    <dgm:cxn modelId="{3ED0D564-5B38-4C9E-B22F-ACCE5390B239}" srcId="{FD273DC2-C59F-4B6E-AA70-AD9BBABFACE8}" destId="{13758432-CA08-49C3-8052-EE3643AA4433}" srcOrd="1" destOrd="0" parTransId="{EC92CBA8-881A-479B-B913-D529AA84A687}" sibTransId="{3798CA79-8E9B-40D1-ACC1-51391AC4191B}"/>
    <dgm:cxn modelId="{5C50B4E4-F4AB-4F4D-9673-D110F95E0014}" type="presOf" srcId="{3D02FDE4-E515-48D5-9A17-B327775CB3ED}" destId="{13320CBC-FA7A-44B7-AA7C-1B8514218C18}" srcOrd="0" destOrd="0" presId="urn:microsoft.com/office/officeart/2005/8/layout/process4"/>
    <dgm:cxn modelId="{24BE3171-A0B2-4D5A-A000-09B8D88ED762}" type="presOf" srcId="{15544E64-24A2-4D19-B8EC-7AD2B1690F4D}" destId="{5B8F52AC-3BAE-4CA5-BC67-FB35D8C149E5}" srcOrd="1" destOrd="0" presId="urn:microsoft.com/office/officeart/2005/8/layout/process4"/>
    <dgm:cxn modelId="{F9ADF602-E61A-4FBF-87A8-834F4F3D0018}" srcId="{5A19AB03-4131-4BD0-BA09-D06723343FC3}" destId="{CA867E18-F01A-477D-9BC7-3365A7714EB2}" srcOrd="0" destOrd="0" parTransId="{89E2FE80-C632-4276-A025-24C7E2F40204}" sibTransId="{47CD655B-EC47-4316-95F6-E65F4ACDD12A}"/>
    <dgm:cxn modelId="{68335905-4BF2-4B08-9BB2-F706307ACE12}" type="presOf" srcId="{5A19AB03-4131-4BD0-BA09-D06723343FC3}" destId="{918CF2A2-28AC-4B89-A525-BE3E5900DAE1}" srcOrd="1" destOrd="0" presId="urn:microsoft.com/office/officeart/2005/8/layout/process4"/>
    <dgm:cxn modelId="{3E26A052-159B-4DE1-9B28-D6C03FE703A5}" type="presOf" srcId="{13758432-CA08-49C3-8052-EE3643AA4433}" destId="{C203B96C-749C-4D77-B3FA-1E0453D28528}" srcOrd="1" destOrd="0" presId="urn:microsoft.com/office/officeart/2005/8/layout/process4"/>
    <dgm:cxn modelId="{40868F70-E48F-400E-AC43-1FBCFC8826C9}" srcId="{FD273DC2-C59F-4B6E-AA70-AD9BBABFACE8}" destId="{5A19AB03-4131-4BD0-BA09-D06723343FC3}" srcOrd="0" destOrd="0" parTransId="{E813B597-F033-4496-B6E0-F1475F0F4E22}" sibTransId="{9F4DA768-E807-4177-92B2-2A0C9B77FCDA}"/>
    <dgm:cxn modelId="{DCCD9035-EE35-4CC9-B2FC-2ED5CD926E1D}" type="presOf" srcId="{5A19AB03-4131-4BD0-BA09-D06723343FC3}" destId="{23D1077B-A34A-4AE4-B3E1-395AECC4820E}" srcOrd="0" destOrd="0" presId="urn:microsoft.com/office/officeart/2005/8/layout/process4"/>
    <dgm:cxn modelId="{CDD75171-415B-47C9-B2F2-7086ADBC646A}" srcId="{13758432-CA08-49C3-8052-EE3643AA4433}" destId="{AB74BED8-EDD5-40D3-A0A6-2FA5343D024F}" srcOrd="0" destOrd="0" parTransId="{17369204-51A0-4DF6-8CB1-CA1DD1E6032D}" sibTransId="{B634B445-EB10-438E-950B-7B972C27919D}"/>
    <dgm:cxn modelId="{28D5690A-62E4-4EB2-B81F-A8D5D72C79E0}" type="presOf" srcId="{FD273DC2-C59F-4B6E-AA70-AD9BBABFACE8}" destId="{8003BAF2-B2A1-43C7-BD97-2DDF370DB53E}" srcOrd="0" destOrd="0" presId="urn:microsoft.com/office/officeart/2005/8/layout/process4"/>
    <dgm:cxn modelId="{E1A131FD-5722-40AE-BD3A-F978A5432B02}" type="presOf" srcId="{CA867E18-F01A-477D-9BC7-3365A7714EB2}" destId="{84694244-8F4C-4C3C-81C9-02D42F845E9E}" srcOrd="0" destOrd="0" presId="urn:microsoft.com/office/officeart/2005/8/layout/process4"/>
    <dgm:cxn modelId="{1514C75A-7AC4-40A8-8F2C-F87864A36B8D}" srcId="{15544E64-24A2-4D19-B8EC-7AD2B1690F4D}" destId="{3D02FDE4-E515-48D5-9A17-B327775CB3ED}" srcOrd="0" destOrd="0" parTransId="{2D04BCCD-2DA8-4496-B5FF-471FA572A674}" sibTransId="{AA32DEBA-D763-4010-905E-7C9E275C8DB9}"/>
    <dgm:cxn modelId="{993437D6-1F4B-40A6-81CC-2CDE1A8AB837}" type="presOf" srcId="{AB74BED8-EDD5-40D3-A0A6-2FA5343D024F}" destId="{76EFE7D4-BA17-43E8-8DD3-A69DD0C7F175}" srcOrd="0" destOrd="0" presId="urn:microsoft.com/office/officeart/2005/8/layout/process4"/>
    <dgm:cxn modelId="{B02871DB-D544-46A1-9C6B-57DD9BFB82D8}" type="presOf" srcId="{13758432-CA08-49C3-8052-EE3643AA4433}" destId="{A0E6D9BA-6837-42FE-9CBB-54FD171BD015}" srcOrd="0" destOrd="0" presId="urn:microsoft.com/office/officeart/2005/8/layout/process4"/>
    <dgm:cxn modelId="{038C1CF0-6B04-4A27-ABE9-AF431A1ACC54}" type="presParOf" srcId="{8003BAF2-B2A1-43C7-BD97-2DDF370DB53E}" destId="{65318415-D20D-4420-B970-1A05E676C290}" srcOrd="0" destOrd="0" presId="urn:microsoft.com/office/officeart/2005/8/layout/process4"/>
    <dgm:cxn modelId="{65115945-C87A-4417-81A9-0BC71470D0E1}" type="presParOf" srcId="{65318415-D20D-4420-B970-1A05E676C290}" destId="{362F71C2-3F2B-4509-9E10-13185613E8D1}" srcOrd="0" destOrd="0" presId="urn:microsoft.com/office/officeart/2005/8/layout/process4"/>
    <dgm:cxn modelId="{197DDC9B-1DF2-4EEE-95D9-89FEDA249A07}" type="presParOf" srcId="{65318415-D20D-4420-B970-1A05E676C290}" destId="{5B8F52AC-3BAE-4CA5-BC67-FB35D8C149E5}" srcOrd="1" destOrd="0" presId="urn:microsoft.com/office/officeart/2005/8/layout/process4"/>
    <dgm:cxn modelId="{40EE35D0-1FCD-4E1F-9F46-1600AE2C6632}" type="presParOf" srcId="{65318415-D20D-4420-B970-1A05E676C290}" destId="{4D17F478-7A34-4A17-9DC2-6E1D8DCFD693}" srcOrd="2" destOrd="0" presId="urn:microsoft.com/office/officeart/2005/8/layout/process4"/>
    <dgm:cxn modelId="{2162D2F3-ED08-4A5F-8CB1-E02A05FC0EA5}" type="presParOf" srcId="{4D17F478-7A34-4A17-9DC2-6E1D8DCFD693}" destId="{13320CBC-FA7A-44B7-AA7C-1B8514218C18}" srcOrd="0" destOrd="0" presId="urn:microsoft.com/office/officeart/2005/8/layout/process4"/>
    <dgm:cxn modelId="{D4683DE0-F4A1-40FE-B613-170FDC5A2EA6}" type="presParOf" srcId="{8003BAF2-B2A1-43C7-BD97-2DDF370DB53E}" destId="{031A9713-1FBC-44EA-8FCD-BBA3A40DA4AB}" srcOrd="1" destOrd="0" presId="urn:microsoft.com/office/officeart/2005/8/layout/process4"/>
    <dgm:cxn modelId="{9A50AE61-1E4A-435F-84E4-CE4BF00F6ADC}" type="presParOf" srcId="{8003BAF2-B2A1-43C7-BD97-2DDF370DB53E}" destId="{9F4DE698-F540-4BF0-B923-BA09729AC873}" srcOrd="2" destOrd="0" presId="urn:microsoft.com/office/officeart/2005/8/layout/process4"/>
    <dgm:cxn modelId="{30AB9723-1150-4225-9A29-3B727DA15632}" type="presParOf" srcId="{9F4DE698-F540-4BF0-B923-BA09729AC873}" destId="{A0E6D9BA-6837-42FE-9CBB-54FD171BD015}" srcOrd="0" destOrd="0" presId="urn:microsoft.com/office/officeart/2005/8/layout/process4"/>
    <dgm:cxn modelId="{2868678E-5DBB-4AE4-A47E-50141CEEFC95}" type="presParOf" srcId="{9F4DE698-F540-4BF0-B923-BA09729AC873}" destId="{C203B96C-749C-4D77-B3FA-1E0453D28528}" srcOrd="1" destOrd="0" presId="urn:microsoft.com/office/officeart/2005/8/layout/process4"/>
    <dgm:cxn modelId="{2B47D870-AF91-42B6-AFC4-F4BFA8088128}" type="presParOf" srcId="{9F4DE698-F540-4BF0-B923-BA09729AC873}" destId="{D248A12D-5BC5-4DCF-93A4-84F913FFACD3}" srcOrd="2" destOrd="0" presId="urn:microsoft.com/office/officeart/2005/8/layout/process4"/>
    <dgm:cxn modelId="{BF6F5EA2-299B-4B5B-A9E9-ABBE992C6E7E}" type="presParOf" srcId="{D248A12D-5BC5-4DCF-93A4-84F913FFACD3}" destId="{76EFE7D4-BA17-43E8-8DD3-A69DD0C7F175}" srcOrd="0" destOrd="0" presId="urn:microsoft.com/office/officeart/2005/8/layout/process4"/>
    <dgm:cxn modelId="{4B81CD2D-D807-4C07-8EA0-7B3323DB38C1}" type="presParOf" srcId="{8003BAF2-B2A1-43C7-BD97-2DDF370DB53E}" destId="{8EC81723-1C71-4964-9344-0CC3428725BA}" srcOrd="3" destOrd="0" presId="urn:microsoft.com/office/officeart/2005/8/layout/process4"/>
    <dgm:cxn modelId="{4FF0DEA3-34E9-4D86-A854-812460F2FDED}" type="presParOf" srcId="{8003BAF2-B2A1-43C7-BD97-2DDF370DB53E}" destId="{DC19935C-43EE-4F55-98E0-74EE7869F381}" srcOrd="4" destOrd="0" presId="urn:microsoft.com/office/officeart/2005/8/layout/process4"/>
    <dgm:cxn modelId="{653EB8E7-966B-4FFD-9D31-113E35058F85}" type="presParOf" srcId="{DC19935C-43EE-4F55-98E0-74EE7869F381}" destId="{23D1077B-A34A-4AE4-B3E1-395AECC4820E}" srcOrd="0" destOrd="0" presId="urn:microsoft.com/office/officeart/2005/8/layout/process4"/>
    <dgm:cxn modelId="{DD9B9F32-B481-4082-874C-847EC1D099F6}" type="presParOf" srcId="{DC19935C-43EE-4F55-98E0-74EE7869F381}" destId="{918CF2A2-28AC-4B89-A525-BE3E5900DAE1}" srcOrd="1" destOrd="0" presId="urn:microsoft.com/office/officeart/2005/8/layout/process4"/>
    <dgm:cxn modelId="{145091F3-6D56-4318-A06C-BE8D866EEBAD}" type="presParOf" srcId="{DC19935C-43EE-4F55-98E0-74EE7869F381}" destId="{76161D49-E841-4CE6-90CE-478B81A711EC}" srcOrd="2" destOrd="0" presId="urn:microsoft.com/office/officeart/2005/8/layout/process4"/>
    <dgm:cxn modelId="{04615E86-EA38-4FBE-B334-CE88CD098879}" type="presParOf" srcId="{76161D49-E841-4CE6-90CE-478B81A711EC}" destId="{84694244-8F4C-4C3C-81C9-02D42F845E9E}" srcOrd="0" destOrd="0" presId="urn:microsoft.com/office/officeart/2005/8/layout/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29DE93AB-7B10-4498-9E6C-FFF6BAE1A554}" type="doc">
      <dgm:prSet loTypeId="urn:microsoft.com/office/officeart/2005/8/layout/vList5" loCatId="list" qsTypeId="urn:microsoft.com/office/officeart/2005/8/quickstyle/simple5" qsCatId="simple" csTypeId="urn:microsoft.com/office/officeart/2005/8/colors/accent0_2" csCatId="mainScheme" phldr="1"/>
      <dgm:spPr/>
      <dgm:t>
        <a:bodyPr/>
        <a:lstStyle/>
        <a:p>
          <a:endParaRPr lang="ru-RU"/>
        </a:p>
      </dgm:t>
    </dgm:pt>
    <dgm:pt modelId="{055A6586-DE61-4821-BF55-499D87DCE957}">
      <dgm:prSet phldrT="[Текст]" custT="1"/>
      <dgm:spPr/>
      <dgm:t>
        <a:bodyPr/>
        <a:lstStyle/>
        <a:p>
          <a:r>
            <a:rPr lang="ru-RU" sz="1100" b="0" i="1">
              <a:solidFill>
                <a:sysClr val="windowText" lastClr="000000"/>
              </a:solidFill>
              <a:latin typeface="Times New Roman" panose="02020603050405020304" pitchFamily="18" charset="0"/>
              <a:cs typeface="Times New Roman" panose="02020603050405020304" pitchFamily="18" charset="0"/>
            </a:rPr>
            <a:t>1. Базовые права человека</a:t>
          </a:r>
        </a:p>
      </dgm:t>
    </dgm:pt>
    <dgm:pt modelId="{E42E67AB-D6B1-4503-88C2-EACD8B239218}" type="parTrans" cxnId="{D0DFE598-F3E4-4658-ACC7-8591DADA1D6D}">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F8A45121-9540-4E2B-BE73-023395D2A7CC}" type="sibTrans" cxnId="{D0DFE598-F3E4-4658-ACC7-8591DADA1D6D}">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1972AF4C-B803-4CC6-9FE2-90118F131BD8}">
      <dgm:prSet phldrT="[Текст]" custT="1"/>
      <dgm:spPr/>
      <dgm:t>
        <a:bodyPr/>
        <a:lstStyle/>
        <a:p>
          <a:pPr algn="just"/>
          <a:r>
            <a:rPr lang="ru-RU" sz="1100">
              <a:solidFill>
                <a:sysClr val="windowText" lastClr="000000"/>
              </a:solidFill>
              <a:latin typeface="Times New Roman" panose="02020603050405020304" pitchFamily="18" charset="0"/>
              <a:cs typeface="Times New Roman" panose="02020603050405020304" pitchFamily="18" charset="0"/>
            </a:rPr>
            <a:t>Статья 2 </a:t>
          </a:r>
          <a:r>
            <a:rPr lang="ru-RU" sz="1100"/>
            <a:t>–</a:t>
          </a:r>
          <a:r>
            <a:rPr lang="ru-RU" sz="1100">
              <a:solidFill>
                <a:sysClr val="windowText" lastClr="000000"/>
              </a:solidFill>
              <a:latin typeface="Times New Roman" panose="02020603050405020304" pitchFamily="18" charset="0"/>
              <a:cs typeface="Times New Roman" panose="02020603050405020304" pitchFamily="18" charset="0"/>
            </a:rPr>
            <a:t> Право на жизнь: Гарантирует защиту жизни законом; имеет значение для регулирования применения силы государством.</a:t>
          </a:r>
        </a:p>
      </dgm:t>
    </dgm:pt>
    <dgm:pt modelId="{CE700ABB-E460-45A0-8134-952D3C52B485}" type="parTrans" cxnId="{BBE8B031-D82C-4C65-9D83-770DF7E3FE9B}">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ED40161D-8AB6-47AE-88F3-0F6F8971CB28}" type="sibTrans" cxnId="{BBE8B031-D82C-4C65-9D83-770DF7E3FE9B}">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7151B6F5-BB8C-4BF2-B366-84CB2CA4749F}">
      <dgm:prSet phldrT="[Текст]" custT="1"/>
      <dgm:spPr/>
      <dgm:t>
        <a:bodyPr/>
        <a:lstStyle/>
        <a:p>
          <a:pPr algn="just"/>
          <a:r>
            <a:rPr lang="ru-RU" sz="1100">
              <a:solidFill>
                <a:sysClr val="windowText" lastClr="000000"/>
              </a:solidFill>
              <a:latin typeface="Times New Roman" panose="02020603050405020304" pitchFamily="18" charset="0"/>
              <a:cs typeface="Times New Roman" panose="02020603050405020304" pitchFamily="18" charset="0"/>
            </a:rPr>
            <a:t>Статья 3 </a:t>
          </a:r>
          <a:r>
            <a:rPr lang="ru-RU" sz="1100"/>
            <a:t>–</a:t>
          </a:r>
          <a:r>
            <a:rPr lang="ru-RU" sz="1100">
              <a:solidFill>
                <a:sysClr val="windowText" lastClr="000000"/>
              </a:solidFill>
              <a:latin typeface="Times New Roman" panose="02020603050405020304" pitchFamily="18" charset="0"/>
              <a:cs typeface="Times New Roman" panose="02020603050405020304" pitchFamily="18" charset="0"/>
            </a:rPr>
            <a:t> Запрет пыток: Абсолютный запрет пыток, бесчеловечного и унижающего достоинство обращения; не допускает отступлений даже в условиях чрезвычайного положения.</a:t>
          </a:r>
        </a:p>
      </dgm:t>
    </dgm:pt>
    <dgm:pt modelId="{5C3A4EAF-C7AF-4D98-8932-B94E0CCEEB06}" type="parTrans" cxnId="{9EBFA342-6E38-4A17-BD27-69D7D08BB9CE}">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B8EF27BD-E0B1-4764-A3A2-58AA707908A4}" type="sibTrans" cxnId="{9EBFA342-6E38-4A17-BD27-69D7D08BB9CE}">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1767CDDA-ADB7-4EDB-831D-EBA9D8CA871D}">
      <dgm:prSet phldrT="[Текст]" custT="1"/>
      <dgm:spPr/>
      <dgm:t>
        <a:bodyPr/>
        <a:lstStyle/>
        <a:p>
          <a:r>
            <a:rPr lang="ru-RU" sz="1100" b="0" i="1">
              <a:solidFill>
                <a:sysClr val="windowText" lastClr="000000"/>
              </a:solidFill>
              <a:latin typeface="Times New Roman" panose="02020603050405020304" pitchFamily="18" charset="0"/>
              <a:cs typeface="Times New Roman" panose="02020603050405020304" pitchFamily="18" charset="0"/>
            </a:rPr>
            <a:t>2. Процедурные гарантии</a:t>
          </a:r>
        </a:p>
      </dgm:t>
    </dgm:pt>
    <dgm:pt modelId="{3FF89AF2-5726-4614-852F-8B22EB068E74}" type="parTrans" cxnId="{91A485C3-80B8-44AB-878C-57945F759094}">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494F1329-1EDA-461A-A2F1-9FCE7BAA0C2A}" type="sibTrans" cxnId="{91A485C3-80B8-44AB-878C-57945F759094}">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E3F46039-7B10-41D6-83FD-3388391D2426}">
      <dgm:prSet phldrT="[Текст]" custT="1"/>
      <dgm:spPr/>
      <dgm:t>
        <a:bodyPr/>
        <a:lstStyle/>
        <a:p>
          <a:r>
            <a:rPr lang="ru-RU" sz="1100" b="0" i="1">
              <a:solidFill>
                <a:sysClr val="windowText" lastClr="000000"/>
              </a:solidFill>
              <a:latin typeface="Times New Roman" panose="02020603050405020304" pitchFamily="18" charset="0"/>
              <a:cs typeface="Times New Roman" panose="02020603050405020304" pitchFamily="18" charset="0"/>
            </a:rPr>
            <a:t>3. Гражданские свободы</a:t>
          </a:r>
        </a:p>
      </dgm:t>
    </dgm:pt>
    <dgm:pt modelId="{0DF1B3C5-3713-478E-876C-A348332913E1}" type="parTrans" cxnId="{875A15BA-8AC5-4219-B60C-E91B5D88C8C1}">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EA8AF63F-5746-4E29-90AB-2041C6456387}" type="sibTrans" cxnId="{875A15BA-8AC5-4219-B60C-E91B5D88C8C1}">
      <dgm:prSet/>
      <dgm:spPr/>
      <dgm:t>
        <a:bodyPr/>
        <a:lstStyle/>
        <a:p>
          <a:endParaRPr lang="ru-RU" sz="1100">
            <a:solidFill>
              <a:sysClr val="windowText" lastClr="000000"/>
            </a:solidFill>
            <a:latin typeface="Times New Roman" panose="02020603050405020304" pitchFamily="18" charset="0"/>
            <a:cs typeface="Times New Roman" panose="02020603050405020304" pitchFamily="18" charset="0"/>
          </a:endParaRPr>
        </a:p>
      </dgm:t>
    </dgm:pt>
    <dgm:pt modelId="{2B3471C6-65BA-471B-B88D-20A8B18A1013}">
      <dgm:prSet custT="1"/>
      <dgm:spPr/>
      <dgm:t>
        <a:bodyPr/>
        <a:lstStyle/>
        <a:p>
          <a:pPr algn="just"/>
          <a:r>
            <a:rPr lang="ru-RU" sz="1100">
              <a:solidFill>
                <a:sysClr val="windowText" lastClr="000000"/>
              </a:solidFill>
              <a:latin typeface="Times New Roman" panose="02020603050405020304" pitchFamily="18" charset="0"/>
              <a:cs typeface="Times New Roman" panose="02020603050405020304" pitchFamily="18" charset="0"/>
            </a:rPr>
            <a:t>Статья 5 </a:t>
          </a:r>
          <a:r>
            <a:rPr lang="ru-RU" sz="1100"/>
            <a:t>–</a:t>
          </a:r>
          <a:r>
            <a:rPr lang="ru-RU" sz="1100">
              <a:solidFill>
                <a:sysClr val="windowText" lastClr="000000"/>
              </a:solidFill>
              <a:latin typeface="Times New Roman" panose="02020603050405020304" pitchFamily="18" charset="0"/>
              <a:cs typeface="Times New Roman" panose="02020603050405020304" pitchFamily="18" charset="0"/>
            </a:rPr>
            <a:t> Свобода и личная неприкосновенность: Устанавливает допустимые основания для задержания и ареста, закрепляет право на судебный контроль.</a:t>
          </a: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5A95F7C1-0520-4061-9E87-294EC5798EFC}" type="parTrans" cxnId="{69C36AAE-F4AD-4752-A533-F8E6E76959B7}">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38721B6A-DC71-4833-B8D0-D365ECB9D5C4}" type="sibTrans" cxnId="{69C36AAE-F4AD-4752-A533-F8E6E76959B7}">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D3226C48-9039-4757-B4E5-01CEC44B1B00}">
      <dgm:prSet custT="1"/>
      <dgm:spPr/>
      <dgm:t>
        <a:bodyPr/>
        <a:lstStyle/>
        <a:p>
          <a:pPr algn="just"/>
          <a:r>
            <a:rPr lang="ru-RU" sz="1100">
              <a:solidFill>
                <a:sysClr val="windowText" lastClr="000000"/>
              </a:solidFill>
              <a:latin typeface="Times New Roman" panose="02020603050405020304" pitchFamily="18" charset="0"/>
              <a:cs typeface="Times New Roman" panose="02020603050405020304" pitchFamily="18" charset="0"/>
            </a:rPr>
            <a:t>Статья 6 </a:t>
          </a:r>
          <a:r>
            <a:rPr lang="ru-RU" sz="1100"/>
            <a:t>–</a:t>
          </a:r>
          <a:r>
            <a:rPr lang="ru-RU" sz="1100">
              <a:solidFill>
                <a:sysClr val="windowText" lastClr="000000"/>
              </a:solidFill>
              <a:latin typeface="Times New Roman" panose="02020603050405020304" pitchFamily="18" charset="0"/>
              <a:cs typeface="Times New Roman" panose="02020603050405020304" pitchFamily="18" charset="0"/>
            </a:rPr>
            <a:t> Право на справедливый суд: Охватывает принципы независимости суда, презумпции невиновности, права на защиту и гласность процесса</a:t>
          </a: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1959FCE4-22DD-440E-8A23-E8722D4B291D}" type="parTrans" cxnId="{04B867CA-9C09-4CBE-94ED-DD8261F24463}">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F07BEE00-21F7-4DA4-94DC-2A279416638E}" type="sibTrans" cxnId="{04B867CA-9C09-4CBE-94ED-DD8261F24463}">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322741DF-E131-4D7A-8F21-8878B2EDBEC4}">
      <dgm:prSet custT="1"/>
      <dgm:spPr/>
      <dgm:t>
        <a:bodyPr/>
        <a:lstStyle/>
        <a:p>
          <a:pPr algn="just"/>
          <a:r>
            <a:rPr lang="ru-RU" sz="1100">
              <a:solidFill>
                <a:sysClr val="windowText" lastClr="000000"/>
              </a:solidFill>
              <a:latin typeface="Times New Roman" panose="02020603050405020304" pitchFamily="18" charset="0"/>
              <a:cs typeface="Times New Roman" panose="02020603050405020304" pitchFamily="18" charset="0"/>
            </a:rPr>
            <a:t>Статья 8 </a:t>
          </a:r>
          <a:r>
            <a:rPr lang="ru-RU" sz="1100"/>
            <a:t>–</a:t>
          </a:r>
          <a:r>
            <a:rPr lang="ru-RU" sz="1100">
              <a:solidFill>
                <a:sysClr val="windowText" lastClr="000000"/>
              </a:solidFill>
              <a:latin typeface="Times New Roman" panose="02020603050405020304" pitchFamily="18" charset="0"/>
              <a:cs typeface="Times New Roman" panose="02020603050405020304" pitchFamily="18" charset="0"/>
            </a:rPr>
            <a:t> Право на уважение частной и семейной жизни: Обеспечивает защиту личной сферы, корреспонденции, жилища; применяется в цифровом контексте</a:t>
          </a: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D8D18742-2FC9-48E6-9028-B8BDE88637A8}" type="parTrans" cxnId="{BDA78C12-3C49-4BE3-9F88-1C54254A41A8}">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AD8DFDE7-D1C3-418A-BB49-587EEB4F4849}" type="sibTrans" cxnId="{BDA78C12-3C49-4BE3-9F88-1C54254A41A8}">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BAD56F7D-EB00-4B0C-AEBC-4E96FAADBD0B}">
      <dgm:prSet custT="1"/>
      <dgm:spPr/>
      <dgm:t>
        <a:bodyPr/>
        <a:lstStyle/>
        <a:p>
          <a:pPr algn="just"/>
          <a:r>
            <a:rPr lang="uk-UA" sz="1100">
              <a:solidFill>
                <a:sysClr val="windowText" lastClr="000000"/>
              </a:solidFill>
              <a:latin typeface="Times New Roman" panose="02020603050405020304" pitchFamily="18" charset="0"/>
              <a:cs typeface="Times New Roman" panose="02020603050405020304" pitchFamily="18" charset="0"/>
            </a:rPr>
            <a:t>Статья 10 </a:t>
          </a:r>
          <a:r>
            <a:rPr lang="ru-RU" sz="1100"/>
            <a:t>–</a:t>
          </a:r>
          <a:r>
            <a:rPr lang="uk-UA" sz="1100">
              <a:solidFill>
                <a:sysClr val="windowText" lastClr="000000"/>
              </a:solidFill>
              <a:latin typeface="Times New Roman" panose="02020603050405020304" pitchFamily="18" charset="0"/>
              <a:cs typeface="Times New Roman" panose="02020603050405020304" pitchFamily="18" charset="0"/>
            </a:rPr>
            <a:t> Свобода выражения мнений: Гарантирует свободу информации и мнений; допускает ограничения лишь в демократически обоснованных целях</a:t>
          </a:r>
        </a:p>
      </dgm:t>
    </dgm:pt>
    <dgm:pt modelId="{40061627-C8F2-4B0F-8FEA-A8786544E906}" type="parTrans" cxnId="{DBC21813-CECE-4086-AF7A-8743D5368FDD}">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2809AC0C-A286-4194-8F70-1674CA81124A}" type="sibTrans" cxnId="{DBC21813-CECE-4086-AF7A-8743D5368FDD}">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6576A81D-A89E-47BA-8DFD-549D6865F1E7}">
      <dgm:prSet custT="1"/>
      <dgm:spPr/>
      <dgm:t>
        <a:bodyPr/>
        <a:lstStyle/>
        <a:p>
          <a:pPr algn="just"/>
          <a:r>
            <a:rPr lang="ru-RU" sz="1100">
              <a:solidFill>
                <a:sysClr val="windowText" lastClr="000000"/>
              </a:solidFill>
              <a:latin typeface="Times New Roman" panose="02020603050405020304" pitchFamily="18" charset="0"/>
              <a:cs typeface="Times New Roman" panose="02020603050405020304" pitchFamily="18" charset="0"/>
            </a:rPr>
            <a:t>Статья 11 </a:t>
          </a:r>
          <a:r>
            <a:rPr lang="ru-RU" sz="1100"/>
            <a:t>–</a:t>
          </a:r>
          <a:r>
            <a:rPr lang="ru-RU" sz="1100">
              <a:solidFill>
                <a:sysClr val="windowText" lastClr="000000"/>
              </a:solidFill>
              <a:latin typeface="Times New Roman" panose="02020603050405020304" pitchFamily="18" charset="0"/>
              <a:cs typeface="Times New Roman" panose="02020603050405020304" pitchFamily="18" charset="0"/>
            </a:rPr>
            <a:t> Свобода собраний и ассоциаций: Закрепляет право на мирные собрания и создание организаций, включая профсоюзы</a:t>
          </a: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CC6ACF1B-EC9B-43F4-BABB-8B3EA11CBF55}" type="parTrans" cxnId="{62CBB314-23CC-4420-A336-833D465CD8C0}">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ED4E51C9-8D00-46F6-AEDC-F14FE88177A3}" type="sibTrans" cxnId="{62CBB314-23CC-4420-A336-833D465CD8C0}">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6DAB16B7-3B16-441D-841C-2C77E11EAD6B}">
      <dgm:prSet custT="1"/>
      <dgm:spPr/>
      <dgm:t>
        <a:bodyPr/>
        <a:lstStyle/>
        <a:p>
          <a:r>
            <a:rPr lang="uk-UA" sz="1100" b="0" i="1">
              <a:solidFill>
                <a:sysClr val="windowText" lastClr="000000"/>
              </a:solidFill>
              <a:latin typeface="Times New Roman" panose="02020603050405020304" pitchFamily="18" charset="0"/>
              <a:cs typeface="Times New Roman" panose="02020603050405020304" pitchFamily="18" charset="0"/>
            </a:rPr>
            <a:t>4. Принцип равенства</a:t>
          </a:r>
        </a:p>
      </dgm:t>
    </dgm:pt>
    <dgm:pt modelId="{E768592F-C670-4477-867A-52017D8CF4C2}" type="parTrans" cxnId="{C2E8AF84-42BA-4F31-9F57-46C74DC6B0CD}">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1E63CF5C-3BA2-4887-948D-3DB5E8CCB871}" type="sibTrans" cxnId="{C2E8AF84-42BA-4F31-9F57-46C74DC6B0CD}">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873AA9C1-ACCD-41AA-84D8-AB738E09D8E1}">
      <dgm:prSet custT="1"/>
      <dgm:spPr/>
      <dgm:t>
        <a:bodyPr/>
        <a:lstStyle/>
        <a:p>
          <a:pPr algn="just"/>
          <a:r>
            <a:rPr lang="ru-RU" sz="1100">
              <a:solidFill>
                <a:sysClr val="windowText" lastClr="000000"/>
              </a:solidFill>
              <a:latin typeface="Times New Roman" panose="02020603050405020304" pitchFamily="18" charset="0"/>
              <a:cs typeface="Times New Roman" panose="02020603050405020304" pitchFamily="18" charset="0"/>
            </a:rPr>
            <a:t>Статья 14 </a:t>
          </a:r>
          <a:r>
            <a:rPr lang="ru-RU" sz="1100"/>
            <a:t>–</a:t>
          </a:r>
          <a:r>
            <a:rPr lang="ru-RU" sz="1100">
              <a:solidFill>
                <a:sysClr val="windowText" lastClr="000000"/>
              </a:solidFill>
              <a:latin typeface="Times New Roman" panose="02020603050405020304" pitchFamily="18" charset="0"/>
              <a:cs typeface="Times New Roman" panose="02020603050405020304" pitchFamily="18" charset="0"/>
            </a:rPr>
            <a:t> Запрет дискриминации: Обеспечивает равное осуществление всех прав Конвенции независимо от пола, расы, религии и других признаков.</a:t>
          </a:r>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2347A0AE-8AB4-415A-872B-6B245B5459DE}" type="parTrans" cxnId="{9E574F7F-E928-43AD-B997-C20789D8C6E7}">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02A3D1AA-C6FA-4129-88C6-6F7F1D8F5B11}" type="sibTrans" cxnId="{9E574F7F-E928-43AD-B997-C20789D8C6E7}">
      <dgm:prSet/>
      <dgm:spPr/>
      <dgm:t>
        <a:bodyPr/>
        <a:lstStyle/>
        <a:p>
          <a:endParaRPr lang="uk-UA" sz="1100">
            <a:solidFill>
              <a:sysClr val="windowText" lastClr="000000"/>
            </a:solidFill>
            <a:latin typeface="Times New Roman" panose="02020603050405020304" pitchFamily="18" charset="0"/>
            <a:cs typeface="Times New Roman" panose="02020603050405020304" pitchFamily="18" charset="0"/>
          </a:endParaRPr>
        </a:p>
      </dgm:t>
    </dgm:pt>
    <dgm:pt modelId="{BFA4B437-6D2F-4C43-B0C5-5EC9EE944EE8}" type="pres">
      <dgm:prSet presAssocID="{29DE93AB-7B10-4498-9E6C-FFF6BAE1A554}" presName="Name0" presStyleCnt="0">
        <dgm:presLayoutVars>
          <dgm:dir/>
          <dgm:animLvl val="lvl"/>
          <dgm:resizeHandles val="exact"/>
        </dgm:presLayoutVars>
      </dgm:prSet>
      <dgm:spPr/>
      <dgm:t>
        <a:bodyPr/>
        <a:lstStyle/>
        <a:p>
          <a:endParaRPr lang="ru-RU"/>
        </a:p>
      </dgm:t>
    </dgm:pt>
    <dgm:pt modelId="{555BAB78-0F14-4561-BFDF-F7C4B36E2E73}" type="pres">
      <dgm:prSet presAssocID="{055A6586-DE61-4821-BF55-499D87DCE957}" presName="linNode" presStyleCnt="0"/>
      <dgm:spPr/>
    </dgm:pt>
    <dgm:pt modelId="{A5140EEF-5C21-4757-8731-F2A816602A2E}" type="pres">
      <dgm:prSet presAssocID="{055A6586-DE61-4821-BF55-499D87DCE957}" presName="parentText" presStyleLbl="node1" presStyleIdx="0" presStyleCnt="4" custScaleX="71205" custScaleY="53483" custLinFactNeighborX="-7155" custLinFactNeighborY="15343">
        <dgm:presLayoutVars>
          <dgm:chMax val="1"/>
          <dgm:bulletEnabled val="1"/>
        </dgm:presLayoutVars>
      </dgm:prSet>
      <dgm:spPr/>
      <dgm:t>
        <a:bodyPr/>
        <a:lstStyle/>
        <a:p>
          <a:endParaRPr lang="ru-RU"/>
        </a:p>
      </dgm:t>
    </dgm:pt>
    <dgm:pt modelId="{CC0D924A-FB3B-4F7E-8AA5-5CBB4A56D119}" type="pres">
      <dgm:prSet presAssocID="{055A6586-DE61-4821-BF55-499D87DCE957}" presName="descendantText" presStyleLbl="alignAccFollowNode1" presStyleIdx="0" presStyleCnt="4" custScaleX="113443" custScaleY="100767">
        <dgm:presLayoutVars>
          <dgm:bulletEnabled val="1"/>
        </dgm:presLayoutVars>
      </dgm:prSet>
      <dgm:spPr/>
      <dgm:t>
        <a:bodyPr/>
        <a:lstStyle/>
        <a:p>
          <a:endParaRPr lang="ru-RU"/>
        </a:p>
      </dgm:t>
    </dgm:pt>
    <dgm:pt modelId="{B3ADBAC2-03EF-43BA-9E3A-D48BB091183A}" type="pres">
      <dgm:prSet presAssocID="{F8A45121-9540-4E2B-BE73-023395D2A7CC}" presName="sp" presStyleCnt="0"/>
      <dgm:spPr/>
    </dgm:pt>
    <dgm:pt modelId="{6F646CB9-A1C5-43AC-ADB8-58FE48411246}" type="pres">
      <dgm:prSet presAssocID="{1767CDDA-ADB7-4EDB-831D-EBA9D8CA871D}" presName="linNode" presStyleCnt="0"/>
      <dgm:spPr/>
    </dgm:pt>
    <dgm:pt modelId="{2EB62AD0-FB31-46DA-8531-4795B4C41A1F}" type="pres">
      <dgm:prSet presAssocID="{1767CDDA-ADB7-4EDB-831D-EBA9D8CA871D}" presName="parentText" presStyleLbl="node1" presStyleIdx="1" presStyleCnt="4" custScaleX="70517" custScaleY="62247" custLinFactNeighborX="-193">
        <dgm:presLayoutVars>
          <dgm:chMax val="1"/>
          <dgm:bulletEnabled val="1"/>
        </dgm:presLayoutVars>
      </dgm:prSet>
      <dgm:spPr/>
      <dgm:t>
        <a:bodyPr/>
        <a:lstStyle/>
        <a:p>
          <a:endParaRPr lang="ru-RU"/>
        </a:p>
      </dgm:t>
    </dgm:pt>
    <dgm:pt modelId="{6A0C51C2-AB1A-4B3A-883D-C927D0958670}" type="pres">
      <dgm:prSet presAssocID="{1767CDDA-ADB7-4EDB-831D-EBA9D8CA871D}" presName="descendantText" presStyleLbl="alignAccFollowNode1" presStyleIdx="1" presStyleCnt="4" custScaleX="113491" custScaleY="89193">
        <dgm:presLayoutVars>
          <dgm:bulletEnabled val="1"/>
        </dgm:presLayoutVars>
      </dgm:prSet>
      <dgm:spPr/>
      <dgm:t>
        <a:bodyPr/>
        <a:lstStyle/>
        <a:p>
          <a:endParaRPr lang="ru-RU"/>
        </a:p>
      </dgm:t>
    </dgm:pt>
    <dgm:pt modelId="{9B51A3E9-82FC-499C-A933-7380AAE9319E}" type="pres">
      <dgm:prSet presAssocID="{494F1329-1EDA-461A-A2F1-9FCE7BAA0C2A}" presName="sp" presStyleCnt="0"/>
      <dgm:spPr/>
    </dgm:pt>
    <dgm:pt modelId="{C31B5AFD-2BDF-4D34-B0D0-F318C87E2AE8}" type="pres">
      <dgm:prSet presAssocID="{E3F46039-7B10-41D6-83FD-3388391D2426}" presName="linNode" presStyleCnt="0"/>
      <dgm:spPr/>
    </dgm:pt>
    <dgm:pt modelId="{11CD61F3-BD92-478E-B553-99B48F5903B5}" type="pres">
      <dgm:prSet presAssocID="{E3F46039-7B10-41D6-83FD-3388391D2426}" presName="parentText" presStyleLbl="node1" presStyleIdx="2" presStyleCnt="4" custScaleX="71121" custScaleY="49361">
        <dgm:presLayoutVars>
          <dgm:chMax val="1"/>
          <dgm:bulletEnabled val="1"/>
        </dgm:presLayoutVars>
      </dgm:prSet>
      <dgm:spPr/>
      <dgm:t>
        <a:bodyPr/>
        <a:lstStyle/>
        <a:p>
          <a:endParaRPr lang="ru-RU"/>
        </a:p>
      </dgm:t>
    </dgm:pt>
    <dgm:pt modelId="{27831E10-990C-4FED-9807-7C5524110992}" type="pres">
      <dgm:prSet presAssocID="{E3F46039-7B10-41D6-83FD-3388391D2426}" presName="descendantText" presStyleLbl="alignAccFollowNode1" presStyleIdx="2" presStyleCnt="4" custScaleX="113538" custScaleY="120241">
        <dgm:presLayoutVars>
          <dgm:bulletEnabled val="1"/>
        </dgm:presLayoutVars>
      </dgm:prSet>
      <dgm:spPr/>
      <dgm:t>
        <a:bodyPr/>
        <a:lstStyle/>
        <a:p>
          <a:endParaRPr lang="ru-RU"/>
        </a:p>
      </dgm:t>
    </dgm:pt>
    <dgm:pt modelId="{F8F0B107-1E2D-48D4-9AF9-4677AF8CAF8E}" type="pres">
      <dgm:prSet presAssocID="{EA8AF63F-5746-4E29-90AB-2041C6456387}" presName="sp" presStyleCnt="0"/>
      <dgm:spPr/>
    </dgm:pt>
    <dgm:pt modelId="{519EFB0C-E059-473B-A855-EDF28DD9D995}" type="pres">
      <dgm:prSet presAssocID="{6DAB16B7-3B16-441D-841C-2C77E11EAD6B}" presName="linNode" presStyleCnt="0"/>
      <dgm:spPr/>
    </dgm:pt>
    <dgm:pt modelId="{4E1A24A3-1E85-40F9-8291-42EC4D650864}" type="pres">
      <dgm:prSet presAssocID="{6DAB16B7-3B16-441D-841C-2C77E11EAD6B}" presName="parentText" presStyleLbl="node1" presStyleIdx="3" presStyleCnt="4" custScaleX="69142" custScaleY="44294">
        <dgm:presLayoutVars>
          <dgm:chMax val="1"/>
          <dgm:bulletEnabled val="1"/>
        </dgm:presLayoutVars>
      </dgm:prSet>
      <dgm:spPr/>
      <dgm:t>
        <a:bodyPr/>
        <a:lstStyle/>
        <a:p>
          <a:endParaRPr lang="ru-RU"/>
        </a:p>
      </dgm:t>
    </dgm:pt>
    <dgm:pt modelId="{59478207-B03D-41A1-9D54-E200D68178CB}" type="pres">
      <dgm:prSet presAssocID="{6DAB16B7-3B16-441D-841C-2C77E11EAD6B}" presName="descendantText" presStyleLbl="alignAccFollowNode1" presStyleIdx="3" presStyleCnt="4" custScaleX="114696" custScaleY="58121">
        <dgm:presLayoutVars>
          <dgm:bulletEnabled val="1"/>
        </dgm:presLayoutVars>
      </dgm:prSet>
      <dgm:spPr/>
      <dgm:t>
        <a:bodyPr/>
        <a:lstStyle/>
        <a:p>
          <a:endParaRPr lang="ru-RU"/>
        </a:p>
      </dgm:t>
    </dgm:pt>
  </dgm:ptLst>
  <dgm:cxnLst>
    <dgm:cxn modelId="{B2002849-4259-4E70-B03C-39143FF41B66}" type="presOf" srcId="{6576A81D-A89E-47BA-8DFD-549D6865F1E7}" destId="{27831E10-990C-4FED-9807-7C5524110992}" srcOrd="0" destOrd="2" presId="urn:microsoft.com/office/officeart/2005/8/layout/vList5"/>
    <dgm:cxn modelId="{E9A6E677-51CF-47B2-A74E-E56E475C7EFE}" type="presOf" srcId="{BAD56F7D-EB00-4B0C-AEBC-4E96FAADBD0B}" destId="{27831E10-990C-4FED-9807-7C5524110992}" srcOrd="0" destOrd="1" presId="urn:microsoft.com/office/officeart/2005/8/layout/vList5"/>
    <dgm:cxn modelId="{00E018D7-B4E8-4F12-BEEA-73AB99889818}" type="presOf" srcId="{873AA9C1-ACCD-41AA-84D8-AB738E09D8E1}" destId="{59478207-B03D-41A1-9D54-E200D68178CB}" srcOrd="0" destOrd="0" presId="urn:microsoft.com/office/officeart/2005/8/layout/vList5"/>
    <dgm:cxn modelId="{CCEC7DDA-636F-4DDF-9709-9D6198E335A9}" type="presOf" srcId="{1972AF4C-B803-4CC6-9FE2-90118F131BD8}" destId="{CC0D924A-FB3B-4F7E-8AA5-5CBB4A56D119}" srcOrd="0" destOrd="0" presId="urn:microsoft.com/office/officeart/2005/8/layout/vList5"/>
    <dgm:cxn modelId="{CA84BA9D-DF38-4CD9-AE31-B5C35F7B1CE7}" type="presOf" srcId="{E3F46039-7B10-41D6-83FD-3388391D2426}" destId="{11CD61F3-BD92-478E-B553-99B48F5903B5}" srcOrd="0" destOrd="0" presId="urn:microsoft.com/office/officeart/2005/8/layout/vList5"/>
    <dgm:cxn modelId="{FD154EB2-1CF3-4DA0-A37F-A5BCDDE8FB42}" type="presOf" srcId="{055A6586-DE61-4821-BF55-499D87DCE957}" destId="{A5140EEF-5C21-4757-8731-F2A816602A2E}" srcOrd="0" destOrd="0" presId="urn:microsoft.com/office/officeart/2005/8/layout/vList5"/>
    <dgm:cxn modelId="{69C36AAE-F4AD-4752-A533-F8E6E76959B7}" srcId="{1767CDDA-ADB7-4EDB-831D-EBA9D8CA871D}" destId="{2B3471C6-65BA-471B-B88D-20A8B18A1013}" srcOrd="0" destOrd="0" parTransId="{5A95F7C1-0520-4061-9E87-294EC5798EFC}" sibTransId="{38721B6A-DC71-4833-B8D0-D365ECB9D5C4}"/>
    <dgm:cxn modelId="{D0DFE598-F3E4-4658-ACC7-8591DADA1D6D}" srcId="{29DE93AB-7B10-4498-9E6C-FFF6BAE1A554}" destId="{055A6586-DE61-4821-BF55-499D87DCE957}" srcOrd="0" destOrd="0" parTransId="{E42E67AB-D6B1-4503-88C2-EACD8B239218}" sibTransId="{F8A45121-9540-4E2B-BE73-023395D2A7CC}"/>
    <dgm:cxn modelId="{9E574F7F-E928-43AD-B997-C20789D8C6E7}" srcId="{6DAB16B7-3B16-441D-841C-2C77E11EAD6B}" destId="{873AA9C1-ACCD-41AA-84D8-AB738E09D8E1}" srcOrd="0" destOrd="0" parTransId="{2347A0AE-8AB4-415A-872B-6B245B5459DE}" sibTransId="{02A3D1AA-C6FA-4129-88C6-6F7F1D8F5B11}"/>
    <dgm:cxn modelId="{91A485C3-80B8-44AB-878C-57945F759094}" srcId="{29DE93AB-7B10-4498-9E6C-FFF6BAE1A554}" destId="{1767CDDA-ADB7-4EDB-831D-EBA9D8CA871D}" srcOrd="1" destOrd="0" parTransId="{3FF89AF2-5726-4614-852F-8B22EB068E74}" sibTransId="{494F1329-1EDA-461A-A2F1-9FCE7BAA0C2A}"/>
    <dgm:cxn modelId="{E4939CBB-8F9B-4D1E-BE17-3BF4C0DDABD0}" type="presOf" srcId="{7151B6F5-BB8C-4BF2-B366-84CB2CA4749F}" destId="{CC0D924A-FB3B-4F7E-8AA5-5CBB4A56D119}" srcOrd="0" destOrd="1" presId="urn:microsoft.com/office/officeart/2005/8/layout/vList5"/>
    <dgm:cxn modelId="{0F1AF4BD-0219-408D-87B9-A4AE0A82A69D}" type="presOf" srcId="{2B3471C6-65BA-471B-B88D-20A8B18A1013}" destId="{6A0C51C2-AB1A-4B3A-883D-C927D0958670}" srcOrd="0" destOrd="0" presId="urn:microsoft.com/office/officeart/2005/8/layout/vList5"/>
    <dgm:cxn modelId="{0EE7AB5B-3C00-473E-B538-D87ADBDD5AA3}" type="presOf" srcId="{322741DF-E131-4D7A-8F21-8878B2EDBEC4}" destId="{27831E10-990C-4FED-9807-7C5524110992}" srcOrd="0" destOrd="0" presId="urn:microsoft.com/office/officeart/2005/8/layout/vList5"/>
    <dgm:cxn modelId="{04B867CA-9C09-4CBE-94ED-DD8261F24463}" srcId="{1767CDDA-ADB7-4EDB-831D-EBA9D8CA871D}" destId="{D3226C48-9039-4757-B4E5-01CEC44B1B00}" srcOrd="1" destOrd="0" parTransId="{1959FCE4-22DD-440E-8A23-E8722D4B291D}" sibTransId="{F07BEE00-21F7-4DA4-94DC-2A279416638E}"/>
    <dgm:cxn modelId="{A8638998-FB54-4304-BB62-5B1CCD8C1855}" type="presOf" srcId="{29DE93AB-7B10-4498-9E6C-FFF6BAE1A554}" destId="{BFA4B437-6D2F-4C43-B0C5-5EC9EE944EE8}" srcOrd="0" destOrd="0" presId="urn:microsoft.com/office/officeart/2005/8/layout/vList5"/>
    <dgm:cxn modelId="{6FC6FF55-ED7B-4069-84FA-3C27A1729346}" type="presOf" srcId="{D3226C48-9039-4757-B4E5-01CEC44B1B00}" destId="{6A0C51C2-AB1A-4B3A-883D-C927D0958670}" srcOrd="0" destOrd="1" presId="urn:microsoft.com/office/officeart/2005/8/layout/vList5"/>
    <dgm:cxn modelId="{BDA78C12-3C49-4BE3-9F88-1C54254A41A8}" srcId="{E3F46039-7B10-41D6-83FD-3388391D2426}" destId="{322741DF-E131-4D7A-8F21-8878B2EDBEC4}" srcOrd="0" destOrd="0" parTransId="{D8D18742-2FC9-48E6-9028-B8BDE88637A8}" sibTransId="{AD8DFDE7-D1C3-418A-BB49-587EEB4F4849}"/>
    <dgm:cxn modelId="{C2E8AF84-42BA-4F31-9F57-46C74DC6B0CD}" srcId="{29DE93AB-7B10-4498-9E6C-FFF6BAE1A554}" destId="{6DAB16B7-3B16-441D-841C-2C77E11EAD6B}" srcOrd="3" destOrd="0" parTransId="{E768592F-C670-4477-867A-52017D8CF4C2}" sibTransId="{1E63CF5C-3BA2-4887-948D-3DB5E8CCB871}"/>
    <dgm:cxn modelId="{62CBB314-23CC-4420-A336-833D465CD8C0}" srcId="{E3F46039-7B10-41D6-83FD-3388391D2426}" destId="{6576A81D-A89E-47BA-8DFD-549D6865F1E7}" srcOrd="2" destOrd="0" parTransId="{CC6ACF1B-EC9B-43F4-BABB-8B3EA11CBF55}" sibTransId="{ED4E51C9-8D00-46F6-AEDC-F14FE88177A3}"/>
    <dgm:cxn modelId="{DBC21813-CECE-4086-AF7A-8743D5368FDD}" srcId="{E3F46039-7B10-41D6-83FD-3388391D2426}" destId="{BAD56F7D-EB00-4B0C-AEBC-4E96FAADBD0B}" srcOrd="1" destOrd="0" parTransId="{40061627-C8F2-4B0F-8FEA-A8786544E906}" sibTransId="{2809AC0C-A286-4194-8F70-1674CA81124A}"/>
    <dgm:cxn modelId="{875A15BA-8AC5-4219-B60C-E91B5D88C8C1}" srcId="{29DE93AB-7B10-4498-9E6C-FFF6BAE1A554}" destId="{E3F46039-7B10-41D6-83FD-3388391D2426}" srcOrd="2" destOrd="0" parTransId="{0DF1B3C5-3713-478E-876C-A348332913E1}" sibTransId="{EA8AF63F-5746-4E29-90AB-2041C6456387}"/>
    <dgm:cxn modelId="{15434D40-EA8F-4B2A-A9BE-75C9BE76A81B}" type="presOf" srcId="{6DAB16B7-3B16-441D-841C-2C77E11EAD6B}" destId="{4E1A24A3-1E85-40F9-8291-42EC4D650864}" srcOrd="0" destOrd="0" presId="urn:microsoft.com/office/officeart/2005/8/layout/vList5"/>
    <dgm:cxn modelId="{9EBFA342-6E38-4A17-BD27-69D7D08BB9CE}" srcId="{055A6586-DE61-4821-BF55-499D87DCE957}" destId="{7151B6F5-BB8C-4BF2-B366-84CB2CA4749F}" srcOrd="1" destOrd="0" parTransId="{5C3A4EAF-C7AF-4D98-8932-B94E0CCEEB06}" sibTransId="{B8EF27BD-E0B1-4764-A3A2-58AA707908A4}"/>
    <dgm:cxn modelId="{B6B0A785-3DBB-4C40-A366-214674CA5737}" type="presOf" srcId="{1767CDDA-ADB7-4EDB-831D-EBA9D8CA871D}" destId="{2EB62AD0-FB31-46DA-8531-4795B4C41A1F}" srcOrd="0" destOrd="0" presId="urn:microsoft.com/office/officeart/2005/8/layout/vList5"/>
    <dgm:cxn modelId="{BBE8B031-D82C-4C65-9D83-770DF7E3FE9B}" srcId="{055A6586-DE61-4821-BF55-499D87DCE957}" destId="{1972AF4C-B803-4CC6-9FE2-90118F131BD8}" srcOrd="0" destOrd="0" parTransId="{CE700ABB-E460-45A0-8134-952D3C52B485}" sibTransId="{ED40161D-8AB6-47AE-88F3-0F6F8971CB28}"/>
    <dgm:cxn modelId="{5A9B9E97-1E11-4C6B-8352-6A341E186BAF}" type="presParOf" srcId="{BFA4B437-6D2F-4C43-B0C5-5EC9EE944EE8}" destId="{555BAB78-0F14-4561-BFDF-F7C4B36E2E73}" srcOrd="0" destOrd="0" presId="urn:microsoft.com/office/officeart/2005/8/layout/vList5"/>
    <dgm:cxn modelId="{6DEFFDB3-D865-4A28-B125-A0CE010C3975}" type="presParOf" srcId="{555BAB78-0F14-4561-BFDF-F7C4B36E2E73}" destId="{A5140EEF-5C21-4757-8731-F2A816602A2E}" srcOrd="0" destOrd="0" presId="urn:microsoft.com/office/officeart/2005/8/layout/vList5"/>
    <dgm:cxn modelId="{545A7078-3D7B-4B1B-973A-41D9A2C99515}" type="presParOf" srcId="{555BAB78-0F14-4561-BFDF-F7C4B36E2E73}" destId="{CC0D924A-FB3B-4F7E-8AA5-5CBB4A56D119}" srcOrd="1" destOrd="0" presId="urn:microsoft.com/office/officeart/2005/8/layout/vList5"/>
    <dgm:cxn modelId="{E5BB0C8E-0E36-4A35-8602-BCA4A5CFB427}" type="presParOf" srcId="{BFA4B437-6D2F-4C43-B0C5-5EC9EE944EE8}" destId="{B3ADBAC2-03EF-43BA-9E3A-D48BB091183A}" srcOrd="1" destOrd="0" presId="urn:microsoft.com/office/officeart/2005/8/layout/vList5"/>
    <dgm:cxn modelId="{A37F4F6C-7A64-4EF9-8486-D54F4E968733}" type="presParOf" srcId="{BFA4B437-6D2F-4C43-B0C5-5EC9EE944EE8}" destId="{6F646CB9-A1C5-43AC-ADB8-58FE48411246}" srcOrd="2" destOrd="0" presId="urn:microsoft.com/office/officeart/2005/8/layout/vList5"/>
    <dgm:cxn modelId="{0F510FE4-B839-4B64-97D3-421E275DFD28}" type="presParOf" srcId="{6F646CB9-A1C5-43AC-ADB8-58FE48411246}" destId="{2EB62AD0-FB31-46DA-8531-4795B4C41A1F}" srcOrd="0" destOrd="0" presId="urn:microsoft.com/office/officeart/2005/8/layout/vList5"/>
    <dgm:cxn modelId="{E01CDCB0-4BA1-49B1-99FC-E9A4EADA10C4}" type="presParOf" srcId="{6F646CB9-A1C5-43AC-ADB8-58FE48411246}" destId="{6A0C51C2-AB1A-4B3A-883D-C927D0958670}" srcOrd="1" destOrd="0" presId="urn:microsoft.com/office/officeart/2005/8/layout/vList5"/>
    <dgm:cxn modelId="{4FD1E822-1434-4238-BB33-DA9B113E7D62}" type="presParOf" srcId="{BFA4B437-6D2F-4C43-B0C5-5EC9EE944EE8}" destId="{9B51A3E9-82FC-499C-A933-7380AAE9319E}" srcOrd="3" destOrd="0" presId="urn:microsoft.com/office/officeart/2005/8/layout/vList5"/>
    <dgm:cxn modelId="{17A76035-C22B-4CBA-8A79-D2F87FA38441}" type="presParOf" srcId="{BFA4B437-6D2F-4C43-B0C5-5EC9EE944EE8}" destId="{C31B5AFD-2BDF-4D34-B0D0-F318C87E2AE8}" srcOrd="4" destOrd="0" presId="urn:microsoft.com/office/officeart/2005/8/layout/vList5"/>
    <dgm:cxn modelId="{78E9941C-202D-4F2A-AFDA-5F2712F1BE5F}" type="presParOf" srcId="{C31B5AFD-2BDF-4D34-B0D0-F318C87E2AE8}" destId="{11CD61F3-BD92-478E-B553-99B48F5903B5}" srcOrd="0" destOrd="0" presId="urn:microsoft.com/office/officeart/2005/8/layout/vList5"/>
    <dgm:cxn modelId="{7E458443-6E65-4723-AD48-B75775FBC4E2}" type="presParOf" srcId="{C31B5AFD-2BDF-4D34-B0D0-F318C87E2AE8}" destId="{27831E10-990C-4FED-9807-7C5524110992}" srcOrd="1" destOrd="0" presId="urn:microsoft.com/office/officeart/2005/8/layout/vList5"/>
    <dgm:cxn modelId="{69301A81-DDCC-4856-A018-4B32839F34D4}" type="presParOf" srcId="{BFA4B437-6D2F-4C43-B0C5-5EC9EE944EE8}" destId="{F8F0B107-1E2D-48D4-9AF9-4677AF8CAF8E}" srcOrd="5" destOrd="0" presId="urn:microsoft.com/office/officeart/2005/8/layout/vList5"/>
    <dgm:cxn modelId="{6F574547-CE4B-4887-A359-A9C018DEF3B4}" type="presParOf" srcId="{BFA4B437-6D2F-4C43-B0C5-5EC9EE944EE8}" destId="{519EFB0C-E059-473B-A855-EDF28DD9D995}" srcOrd="6" destOrd="0" presId="urn:microsoft.com/office/officeart/2005/8/layout/vList5"/>
    <dgm:cxn modelId="{331E0737-A57F-46A3-BFF6-FB46EE0501BC}" type="presParOf" srcId="{519EFB0C-E059-473B-A855-EDF28DD9D995}" destId="{4E1A24A3-1E85-40F9-8291-42EC4D650864}" srcOrd="0" destOrd="0" presId="urn:microsoft.com/office/officeart/2005/8/layout/vList5"/>
    <dgm:cxn modelId="{5C922565-FB9E-41C9-A37D-5F07466E9B0C}" type="presParOf" srcId="{519EFB0C-E059-473B-A855-EDF28DD9D995}" destId="{59478207-B03D-41A1-9D54-E200D68178CB}" srcOrd="1" destOrd="0" presId="urn:microsoft.com/office/officeart/2005/8/layout/vList5"/>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F3028B20-4C51-4E26-9DA1-4D0917A46E2B}" type="doc">
      <dgm:prSet loTypeId="urn:microsoft.com/office/officeart/2005/8/layout/process1" loCatId="process" qsTypeId="urn:microsoft.com/office/officeart/2005/8/quickstyle/simple1" qsCatId="simple" csTypeId="urn:microsoft.com/office/officeart/2005/8/colors/accent0_1" csCatId="mainScheme" phldr="1"/>
      <dgm:spPr/>
      <dgm:t>
        <a:bodyPr/>
        <a:lstStyle/>
        <a:p>
          <a:endParaRPr lang="uk-UA"/>
        </a:p>
      </dgm:t>
    </dgm:pt>
    <dgm:pt modelId="{D50B327D-CE8F-4A3D-9AE1-08330E5155AA}">
      <dgm:prSet phldrT="[Текст]"/>
      <dgm:spPr/>
      <dgm:t>
        <a:bodyPr/>
        <a:lstStyle/>
        <a:p>
          <a:r>
            <a:rPr lang="uk-UA">
              <a:latin typeface="Times New Roman" panose="02020603050405020304" pitchFamily="18" charset="0"/>
              <a:cs typeface="Times New Roman" panose="02020603050405020304" pitchFamily="18" charset="0"/>
            </a:rPr>
            <a:t>отсутствие системного мониторинга применения Хартии в национальных правопорядках</a:t>
          </a:r>
        </a:p>
      </dgm:t>
    </dgm:pt>
    <dgm:pt modelId="{FE02F2B1-EAA4-4C2A-87A6-90C8206A36C6}" type="parTrans" cxnId="{F3E4535C-0CB2-4A9D-B1E9-91ABC3841319}">
      <dgm:prSet/>
      <dgm:spPr/>
      <dgm:t>
        <a:bodyPr/>
        <a:lstStyle/>
        <a:p>
          <a:endParaRPr lang="uk-UA"/>
        </a:p>
      </dgm:t>
    </dgm:pt>
    <dgm:pt modelId="{3AF13C74-1B95-41F7-AD26-A0838756D757}" type="sibTrans" cxnId="{F3E4535C-0CB2-4A9D-B1E9-91ABC3841319}">
      <dgm:prSet/>
      <dgm:spPr/>
      <dgm:t>
        <a:bodyPr/>
        <a:lstStyle/>
        <a:p>
          <a:endParaRPr lang="uk-UA"/>
        </a:p>
      </dgm:t>
    </dgm:pt>
    <dgm:pt modelId="{608C6C9C-7773-461A-9247-C29006B792AD}">
      <dgm:prSet phldrT="[Текст]"/>
      <dgm:spPr/>
      <dgm:t>
        <a:bodyPr/>
        <a:lstStyle/>
        <a:p>
          <a:r>
            <a:rPr lang="ru-RU">
              <a:latin typeface="Times New Roman" panose="02020603050405020304" pitchFamily="18" charset="0"/>
              <a:cs typeface="Times New Roman" panose="02020603050405020304" pitchFamily="18" charset="0"/>
            </a:rPr>
            <a:t>недостаток образовательных программ по её внедрению в судебную и административную практику</a:t>
          </a:r>
          <a:endParaRPr lang="uk-UA">
            <a:latin typeface="Times New Roman" panose="02020603050405020304" pitchFamily="18" charset="0"/>
            <a:cs typeface="Times New Roman" panose="02020603050405020304" pitchFamily="18" charset="0"/>
          </a:endParaRPr>
        </a:p>
      </dgm:t>
    </dgm:pt>
    <dgm:pt modelId="{88D5D98F-A973-458A-A8E5-FEE3710FA139}" type="parTrans" cxnId="{217E5247-1CBC-4778-B551-D73E58B2BCE6}">
      <dgm:prSet/>
      <dgm:spPr/>
      <dgm:t>
        <a:bodyPr/>
        <a:lstStyle/>
        <a:p>
          <a:endParaRPr lang="uk-UA"/>
        </a:p>
      </dgm:t>
    </dgm:pt>
    <dgm:pt modelId="{91FC64E7-5C9E-4AC7-84EF-B0DDC5EFE8CA}" type="sibTrans" cxnId="{217E5247-1CBC-4778-B551-D73E58B2BCE6}">
      <dgm:prSet/>
      <dgm:spPr/>
      <dgm:t>
        <a:bodyPr/>
        <a:lstStyle/>
        <a:p>
          <a:endParaRPr lang="uk-UA"/>
        </a:p>
      </dgm:t>
    </dgm:pt>
    <dgm:pt modelId="{E8ACA877-4253-487C-957C-2A9A4DD5B873}">
      <dgm:prSet phldrT="[Текст]"/>
      <dgm:spPr/>
      <dgm:t>
        <a:bodyPr/>
        <a:lstStyle/>
        <a:p>
          <a:r>
            <a:rPr lang="uk-UA">
              <a:latin typeface="Times New Roman" panose="02020603050405020304" pitchFamily="18" charset="0"/>
              <a:cs typeface="Times New Roman" panose="02020603050405020304" pitchFamily="18" charset="0"/>
            </a:rPr>
            <a:t>ограниченное внимание к Хартии в национальных стратегиях по правам человека</a:t>
          </a:r>
        </a:p>
      </dgm:t>
    </dgm:pt>
    <dgm:pt modelId="{55A7C6FB-B537-4ECD-B236-ABEBCA9EB4AF}" type="parTrans" cxnId="{73523098-F4E5-441D-AC1C-33D321766B9D}">
      <dgm:prSet/>
      <dgm:spPr/>
      <dgm:t>
        <a:bodyPr/>
        <a:lstStyle/>
        <a:p>
          <a:endParaRPr lang="uk-UA"/>
        </a:p>
      </dgm:t>
    </dgm:pt>
    <dgm:pt modelId="{C76CAA91-2F9F-4D73-9E25-563D098F0B1C}" type="sibTrans" cxnId="{73523098-F4E5-441D-AC1C-33D321766B9D}">
      <dgm:prSet/>
      <dgm:spPr/>
      <dgm:t>
        <a:bodyPr/>
        <a:lstStyle/>
        <a:p>
          <a:endParaRPr lang="uk-UA"/>
        </a:p>
      </dgm:t>
    </dgm:pt>
    <dgm:pt modelId="{6D5509E7-6165-41CD-A3FC-283E0732289F}" type="pres">
      <dgm:prSet presAssocID="{F3028B20-4C51-4E26-9DA1-4D0917A46E2B}" presName="Name0" presStyleCnt="0">
        <dgm:presLayoutVars>
          <dgm:dir/>
          <dgm:resizeHandles val="exact"/>
        </dgm:presLayoutVars>
      </dgm:prSet>
      <dgm:spPr/>
      <dgm:t>
        <a:bodyPr/>
        <a:lstStyle/>
        <a:p>
          <a:endParaRPr lang="ru-RU"/>
        </a:p>
      </dgm:t>
    </dgm:pt>
    <dgm:pt modelId="{D5C5D5F3-041E-452C-8BD3-05BB79AEE7D9}" type="pres">
      <dgm:prSet presAssocID="{D50B327D-CE8F-4A3D-9AE1-08330E5155AA}" presName="node" presStyleLbl="node1" presStyleIdx="0" presStyleCnt="3" custLinFactNeighborX="-835" custLinFactNeighborY="4486">
        <dgm:presLayoutVars>
          <dgm:bulletEnabled val="1"/>
        </dgm:presLayoutVars>
      </dgm:prSet>
      <dgm:spPr/>
      <dgm:t>
        <a:bodyPr/>
        <a:lstStyle/>
        <a:p>
          <a:endParaRPr lang="ru-RU"/>
        </a:p>
      </dgm:t>
    </dgm:pt>
    <dgm:pt modelId="{56D1539E-4712-4DC6-912E-E139A981C33B}" type="pres">
      <dgm:prSet presAssocID="{3AF13C74-1B95-41F7-AD26-A0838756D757}" presName="sibTrans" presStyleLbl="sibTrans2D1" presStyleIdx="0" presStyleCnt="2"/>
      <dgm:spPr/>
      <dgm:t>
        <a:bodyPr/>
        <a:lstStyle/>
        <a:p>
          <a:endParaRPr lang="ru-RU"/>
        </a:p>
      </dgm:t>
    </dgm:pt>
    <dgm:pt modelId="{14069B15-AC91-40A8-9438-F56063B2B0AB}" type="pres">
      <dgm:prSet presAssocID="{3AF13C74-1B95-41F7-AD26-A0838756D757}" presName="connectorText" presStyleLbl="sibTrans2D1" presStyleIdx="0" presStyleCnt="2"/>
      <dgm:spPr/>
      <dgm:t>
        <a:bodyPr/>
        <a:lstStyle/>
        <a:p>
          <a:endParaRPr lang="ru-RU"/>
        </a:p>
      </dgm:t>
    </dgm:pt>
    <dgm:pt modelId="{EA0EA56C-0139-403E-B6F7-0C1A1AAAC203}" type="pres">
      <dgm:prSet presAssocID="{608C6C9C-7773-461A-9247-C29006B792AD}" presName="node" presStyleLbl="node1" presStyleIdx="1" presStyleCnt="3">
        <dgm:presLayoutVars>
          <dgm:bulletEnabled val="1"/>
        </dgm:presLayoutVars>
      </dgm:prSet>
      <dgm:spPr/>
      <dgm:t>
        <a:bodyPr/>
        <a:lstStyle/>
        <a:p>
          <a:endParaRPr lang="ru-RU"/>
        </a:p>
      </dgm:t>
    </dgm:pt>
    <dgm:pt modelId="{E33E2249-13B9-422D-BCBE-A2596ED3F7EA}" type="pres">
      <dgm:prSet presAssocID="{91FC64E7-5C9E-4AC7-84EF-B0DDC5EFE8CA}" presName="sibTrans" presStyleLbl="sibTrans2D1" presStyleIdx="1" presStyleCnt="2"/>
      <dgm:spPr/>
      <dgm:t>
        <a:bodyPr/>
        <a:lstStyle/>
        <a:p>
          <a:endParaRPr lang="ru-RU"/>
        </a:p>
      </dgm:t>
    </dgm:pt>
    <dgm:pt modelId="{3651C009-BFFA-4616-8388-A04426286FAF}" type="pres">
      <dgm:prSet presAssocID="{91FC64E7-5C9E-4AC7-84EF-B0DDC5EFE8CA}" presName="connectorText" presStyleLbl="sibTrans2D1" presStyleIdx="1" presStyleCnt="2"/>
      <dgm:spPr/>
      <dgm:t>
        <a:bodyPr/>
        <a:lstStyle/>
        <a:p>
          <a:endParaRPr lang="ru-RU"/>
        </a:p>
      </dgm:t>
    </dgm:pt>
    <dgm:pt modelId="{70B0A8A5-DFC9-48E7-A0FC-CDE88BEE642B}" type="pres">
      <dgm:prSet presAssocID="{E8ACA877-4253-487C-957C-2A9A4DD5B873}" presName="node" presStyleLbl="node1" presStyleIdx="2" presStyleCnt="3">
        <dgm:presLayoutVars>
          <dgm:bulletEnabled val="1"/>
        </dgm:presLayoutVars>
      </dgm:prSet>
      <dgm:spPr/>
      <dgm:t>
        <a:bodyPr/>
        <a:lstStyle/>
        <a:p>
          <a:endParaRPr lang="ru-RU"/>
        </a:p>
      </dgm:t>
    </dgm:pt>
  </dgm:ptLst>
  <dgm:cxnLst>
    <dgm:cxn modelId="{F3E4535C-0CB2-4A9D-B1E9-91ABC3841319}" srcId="{F3028B20-4C51-4E26-9DA1-4D0917A46E2B}" destId="{D50B327D-CE8F-4A3D-9AE1-08330E5155AA}" srcOrd="0" destOrd="0" parTransId="{FE02F2B1-EAA4-4C2A-87A6-90C8206A36C6}" sibTransId="{3AF13C74-1B95-41F7-AD26-A0838756D757}"/>
    <dgm:cxn modelId="{5ECF09BB-DA79-43B0-8168-51095EA657AA}" type="presOf" srcId="{F3028B20-4C51-4E26-9DA1-4D0917A46E2B}" destId="{6D5509E7-6165-41CD-A3FC-283E0732289F}" srcOrd="0" destOrd="0" presId="urn:microsoft.com/office/officeart/2005/8/layout/process1"/>
    <dgm:cxn modelId="{63617891-8523-4AB5-ABE6-59C4CFA1B554}" type="presOf" srcId="{3AF13C74-1B95-41F7-AD26-A0838756D757}" destId="{14069B15-AC91-40A8-9438-F56063B2B0AB}" srcOrd="1" destOrd="0" presId="urn:microsoft.com/office/officeart/2005/8/layout/process1"/>
    <dgm:cxn modelId="{985A02B4-2BB5-48D7-8634-05B3024DA278}" type="presOf" srcId="{D50B327D-CE8F-4A3D-9AE1-08330E5155AA}" destId="{D5C5D5F3-041E-452C-8BD3-05BB79AEE7D9}" srcOrd="0" destOrd="0" presId="urn:microsoft.com/office/officeart/2005/8/layout/process1"/>
    <dgm:cxn modelId="{590E923C-AA4A-4094-B5C5-76D3944F297D}" type="presOf" srcId="{3AF13C74-1B95-41F7-AD26-A0838756D757}" destId="{56D1539E-4712-4DC6-912E-E139A981C33B}" srcOrd="0" destOrd="0" presId="urn:microsoft.com/office/officeart/2005/8/layout/process1"/>
    <dgm:cxn modelId="{64E20549-31C6-4D87-885A-3C503F8AEC16}" type="presOf" srcId="{91FC64E7-5C9E-4AC7-84EF-B0DDC5EFE8CA}" destId="{E33E2249-13B9-422D-BCBE-A2596ED3F7EA}" srcOrd="0" destOrd="0" presId="urn:microsoft.com/office/officeart/2005/8/layout/process1"/>
    <dgm:cxn modelId="{94E3734A-96BD-46BB-8425-DD967B3EE6D2}" type="presOf" srcId="{91FC64E7-5C9E-4AC7-84EF-B0DDC5EFE8CA}" destId="{3651C009-BFFA-4616-8388-A04426286FAF}" srcOrd="1" destOrd="0" presId="urn:microsoft.com/office/officeart/2005/8/layout/process1"/>
    <dgm:cxn modelId="{7D25A414-1923-49A1-9510-5FD233E5A31C}" type="presOf" srcId="{E8ACA877-4253-487C-957C-2A9A4DD5B873}" destId="{70B0A8A5-DFC9-48E7-A0FC-CDE88BEE642B}" srcOrd="0" destOrd="0" presId="urn:microsoft.com/office/officeart/2005/8/layout/process1"/>
    <dgm:cxn modelId="{217E5247-1CBC-4778-B551-D73E58B2BCE6}" srcId="{F3028B20-4C51-4E26-9DA1-4D0917A46E2B}" destId="{608C6C9C-7773-461A-9247-C29006B792AD}" srcOrd="1" destOrd="0" parTransId="{88D5D98F-A973-458A-A8E5-FEE3710FA139}" sibTransId="{91FC64E7-5C9E-4AC7-84EF-B0DDC5EFE8CA}"/>
    <dgm:cxn modelId="{4F6784B6-326C-42DF-A212-60A5493D196F}" type="presOf" srcId="{608C6C9C-7773-461A-9247-C29006B792AD}" destId="{EA0EA56C-0139-403E-B6F7-0C1A1AAAC203}" srcOrd="0" destOrd="0" presId="urn:microsoft.com/office/officeart/2005/8/layout/process1"/>
    <dgm:cxn modelId="{73523098-F4E5-441D-AC1C-33D321766B9D}" srcId="{F3028B20-4C51-4E26-9DA1-4D0917A46E2B}" destId="{E8ACA877-4253-487C-957C-2A9A4DD5B873}" srcOrd="2" destOrd="0" parTransId="{55A7C6FB-B537-4ECD-B236-ABEBCA9EB4AF}" sibTransId="{C76CAA91-2F9F-4D73-9E25-563D098F0B1C}"/>
    <dgm:cxn modelId="{DFD3D9AD-5F5D-40A8-88FB-8F1DBD5A9A67}" type="presParOf" srcId="{6D5509E7-6165-41CD-A3FC-283E0732289F}" destId="{D5C5D5F3-041E-452C-8BD3-05BB79AEE7D9}" srcOrd="0" destOrd="0" presId="urn:microsoft.com/office/officeart/2005/8/layout/process1"/>
    <dgm:cxn modelId="{BDA76013-45F1-4ED6-9A7E-217FAA8F8898}" type="presParOf" srcId="{6D5509E7-6165-41CD-A3FC-283E0732289F}" destId="{56D1539E-4712-4DC6-912E-E139A981C33B}" srcOrd="1" destOrd="0" presId="urn:microsoft.com/office/officeart/2005/8/layout/process1"/>
    <dgm:cxn modelId="{50E3D9CC-980F-4645-9C50-A75C3E3B7B3F}" type="presParOf" srcId="{56D1539E-4712-4DC6-912E-E139A981C33B}" destId="{14069B15-AC91-40A8-9438-F56063B2B0AB}" srcOrd="0" destOrd="0" presId="urn:microsoft.com/office/officeart/2005/8/layout/process1"/>
    <dgm:cxn modelId="{CFCFDF00-602F-4821-8A4A-C44552D782A1}" type="presParOf" srcId="{6D5509E7-6165-41CD-A3FC-283E0732289F}" destId="{EA0EA56C-0139-403E-B6F7-0C1A1AAAC203}" srcOrd="2" destOrd="0" presId="urn:microsoft.com/office/officeart/2005/8/layout/process1"/>
    <dgm:cxn modelId="{5501F44A-6586-40CB-B794-90C5D3D53112}" type="presParOf" srcId="{6D5509E7-6165-41CD-A3FC-283E0732289F}" destId="{E33E2249-13B9-422D-BCBE-A2596ED3F7EA}" srcOrd="3" destOrd="0" presId="urn:microsoft.com/office/officeart/2005/8/layout/process1"/>
    <dgm:cxn modelId="{1AE8E302-A411-46BC-A48C-B7301FA9CEC3}" type="presParOf" srcId="{E33E2249-13B9-422D-BCBE-A2596ED3F7EA}" destId="{3651C009-BFFA-4616-8388-A04426286FAF}" srcOrd="0" destOrd="0" presId="urn:microsoft.com/office/officeart/2005/8/layout/process1"/>
    <dgm:cxn modelId="{C72ECCE9-78F1-4A7B-B884-088FC7D404D8}" type="presParOf" srcId="{6D5509E7-6165-41CD-A3FC-283E0732289F}" destId="{70B0A8A5-DFC9-48E7-A0FC-CDE88BEE642B}" srcOrd="4" destOrd="0" presId="urn:microsoft.com/office/officeart/2005/8/layout/process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F12A28B-0AA6-4545-9A0B-B3FDEB056B7A}"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uk-UA"/>
        </a:p>
      </dgm:t>
    </dgm:pt>
    <dgm:pt modelId="{F3AAF8CF-F306-4146-95A2-D4FD26239BAB}">
      <dgm:prSet custT="1"/>
      <dgm:spPr/>
      <dgm:t>
        <a:bodyPr/>
        <a:lstStyle/>
        <a:p>
          <a:r>
            <a:rPr lang="uk-UA" sz="1100">
              <a:latin typeface="Times New Roman" panose="02020603050405020304" pitchFamily="18" charset="0"/>
              <a:cs typeface="Times New Roman" panose="02020603050405020304" pitchFamily="18" charset="0"/>
            </a:rPr>
            <a:t>внедрение механизмов оценки влияния Хартии на национальное законодательство</a:t>
          </a:r>
        </a:p>
      </dgm:t>
    </dgm:pt>
    <dgm:pt modelId="{BA89FD9E-7EF5-4B01-A021-96CCF4BBC534}" type="parTrans" cxnId="{BC576F74-3F79-4092-BE2C-B10C0389317C}">
      <dgm:prSet/>
      <dgm:spPr/>
      <dgm:t>
        <a:bodyPr/>
        <a:lstStyle/>
        <a:p>
          <a:endParaRPr lang="uk-UA" sz="1100">
            <a:latin typeface="Times New Roman" panose="02020603050405020304" pitchFamily="18" charset="0"/>
            <a:cs typeface="Times New Roman" panose="02020603050405020304" pitchFamily="18" charset="0"/>
          </a:endParaRPr>
        </a:p>
      </dgm:t>
    </dgm:pt>
    <dgm:pt modelId="{F65BC440-41DB-4B72-A1F8-702297BEFECD}" type="sibTrans" cxnId="{BC576F74-3F79-4092-BE2C-B10C0389317C}">
      <dgm:prSet custT="1"/>
      <dgm:spPr/>
      <dgm:t>
        <a:bodyPr/>
        <a:lstStyle/>
        <a:p>
          <a:endParaRPr lang="uk-UA" sz="1100">
            <a:latin typeface="Times New Roman" panose="02020603050405020304" pitchFamily="18" charset="0"/>
            <a:cs typeface="Times New Roman" panose="02020603050405020304" pitchFamily="18" charset="0"/>
          </a:endParaRPr>
        </a:p>
      </dgm:t>
    </dgm:pt>
    <dgm:pt modelId="{D710BA88-6BFC-406D-9465-E3073BAB03F8}">
      <dgm:prSet custT="1"/>
      <dgm:spPr/>
      <dgm:t>
        <a:bodyPr/>
        <a:lstStyle/>
        <a:p>
          <a:r>
            <a:rPr lang="uk-UA" sz="1100">
              <a:latin typeface="Times New Roman" panose="02020603050405020304" pitchFamily="18" charset="0"/>
              <a:cs typeface="Times New Roman" panose="02020603050405020304" pitchFamily="18" charset="0"/>
            </a:rPr>
            <a:t>проведение регулярных тренингов для судей, прокуроров и чиновников</a:t>
          </a:r>
        </a:p>
      </dgm:t>
    </dgm:pt>
    <dgm:pt modelId="{C95939BA-745B-4EE1-A64B-6B9605D458E8}" type="parTrans" cxnId="{4A8AF3AD-61A5-475C-82C5-7C33D7C4D8B0}">
      <dgm:prSet/>
      <dgm:spPr/>
      <dgm:t>
        <a:bodyPr/>
        <a:lstStyle/>
        <a:p>
          <a:endParaRPr lang="uk-UA" sz="1100">
            <a:latin typeface="Times New Roman" panose="02020603050405020304" pitchFamily="18" charset="0"/>
            <a:cs typeface="Times New Roman" panose="02020603050405020304" pitchFamily="18" charset="0"/>
          </a:endParaRPr>
        </a:p>
      </dgm:t>
    </dgm:pt>
    <dgm:pt modelId="{7A59540D-5611-4AAA-832D-6474EB5ED662}" type="sibTrans" cxnId="{4A8AF3AD-61A5-475C-82C5-7C33D7C4D8B0}">
      <dgm:prSet custT="1"/>
      <dgm:spPr/>
      <dgm:t>
        <a:bodyPr/>
        <a:lstStyle/>
        <a:p>
          <a:endParaRPr lang="uk-UA" sz="1100">
            <a:latin typeface="Times New Roman" panose="02020603050405020304" pitchFamily="18" charset="0"/>
            <a:cs typeface="Times New Roman" panose="02020603050405020304" pitchFamily="18" charset="0"/>
          </a:endParaRPr>
        </a:p>
      </dgm:t>
    </dgm:pt>
    <dgm:pt modelId="{48A008E0-FFB3-4C55-8AE8-F55FCA984210}">
      <dgm:prSet custT="1"/>
      <dgm:spPr/>
      <dgm:t>
        <a:bodyPr/>
        <a:lstStyle/>
        <a:p>
          <a:pPr>
            <a:buSzPts val="1000"/>
            <a:buFont typeface="Symbol" panose="05050102010706020507" pitchFamily="18" charset="2"/>
            <a:buChar char=""/>
          </a:pPr>
          <a:r>
            <a:rPr lang="ru-RU" sz="1100">
              <a:latin typeface="Times New Roman" panose="02020603050405020304" pitchFamily="18" charset="0"/>
              <a:cs typeface="Times New Roman" panose="02020603050405020304" pitchFamily="18" charset="0"/>
            </a:rPr>
            <a:t>разработку методических пособий и практических руководств по применению Хартии;</a:t>
          </a:r>
          <a:endParaRPr lang="uk-UA" sz="1100">
            <a:latin typeface="Times New Roman" panose="02020603050405020304" pitchFamily="18" charset="0"/>
            <a:cs typeface="Times New Roman" panose="02020603050405020304" pitchFamily="18" charset="0"/>
          </a:endParaRPr>
        </a:p>
      </dgm:t>
    </dgm:pt>
    <dgm:pt modelId="{876D6704-3A08-423F-8D1B-B5F7B6307D49}" type="parTrans" cxnId="{C61DC388-E29C-4549-9334-2821B20A02F8}">
      <dgm:prSet/>
      <dgm:spPr/>
      <dgm:t>
        <a:bodyPr/>
        <a:lstStyle/>
        <a:p>
          <a:endParaRPr lang="uk-UA" sz="1100">
            <a:latin typeface="Times New Roman" panose="02020603050405020304" pitchFamily="18" charset="0"/>
            <a:cs typeface="Times New Roman" panose="02020603050405020304" pitchFamily="18" charset="0"/>
          </a:endParaRPr>
        </a:p>
      </dgm:t>
    </dgm:pt>
    <dgm:pt modelId="{29B66F5B-506B-48CB-B39A-0B36306A5B02}" type="sibTrans" cxnId="{C61DC388-E29C-4549-9334-2821B20A02F8}">
      <dgm:prSet custT="1"/>
      <dgm:spPr/>
      <dgm:t>
        <a:bodyPr/>
        <a:lstStyle/>
        <a:p>
          <a:endParaRPr lang="uk-UA" sz="1100">
            <a:latin typeface="Times New Roman" panose="02020603050405020304" pitchFamily="18" charset="0"/>
            <a:cs typeface="Times New Roman" panose="02020603050405020304" pitchFamily="18" charset="0"/>
          </a:endParaRPr>
        </a:p>
      </dgm:t>
    </dgm:pt>
    <dgm:pt modelId="{1E31D0E9-2C0B-42A5-B39A-913117A0D185}">
      <dgm:prSet custT="1"/>
      <dgm:spPr/>
      <dgm:t>
        <a:bodyPr/>
        <a:lstStyle/>
        <a:p>
          <a:pPr>
            <a:buSzPts val="1000"/>
            <a:buFont typeface="Symbol" panose="05050102010706020507" pitchFamily="18" charset="2"/>
            <a:buChar char=""/>
          </a:pPr>
          <a:r>
            <a:rPr lang="ru-RU" sz="1100">
              <a:latin typeface="Times New Roman" panose="02020603050405020304" pitchFamily="18" charset="0"/>
              <a:cs typeface="Times New Roman" panose="02020603050405020304" pitchFamily="18" charset="0"/>
            </a:rPr>
            <a:t>институциональное включение Хартии в стратегические документы и планы действий в области прав человека.</a:t>
          </a:r>
          <a:endParaRPr lang="uk-UA" sz="1100">
            <a:latin typeface="Times New Roman" panose="02020603050405020304" pitchFamily="18" charset="0"/>
            <a:cs typeface="Times New Roman" panose="02020603050405020304" pitchFamily="18" charset="0"/>
          </a:endParaRPr>
        </a:p>
      </dgm:t>
    </dgm:pt>
    <dgm:pt modelId="{DBB76431-86AF-47CE-BCA5-D51A7ECA21B7}" type="parTrans" cxnId="{5B90FA0F-4FDF-4566-BCB9-5CDF99E1B498}">
      <dgm:prSet/>
      <dgm:spPr/>
      <dgm:t>
        <a:bodyPr/>
        <a:lstStyle/>
        <a:p>
          <a:endParaRPr lang="uk-UA" sz="1100">
            <a:latin typeface="Times New Roman" panose="02020603050405020304" pitchFamily="18" charset="0"/>
            <a:cs typeface="Times New Roman" panose="02020603050405020304" pitchFamily="18" charset="0"/>
          </a:endParaRPr>
        </a:p>
      </dgm:t>
    </dgm:pt>
    <dgm:pt modelId="{72B12883-CE39-463C-9EDF-5F7A2ED03713}" type="sibTrans" cxnId="{5B90FA0F-4FDF-4566-BCB9-5CDF99E1B498}">
      <dgm:prSet/>
      <dgm:spPr/>
      <dgm:t>
        <a:bodyPr/>
        <a:lstStyle/>
        <a:p>
          <a:endParaRPr lang="uk-UA" sz="1100">
            <a:latin typeface="Times New Roman" panose="02020603050405020304" pitchFamily="18" charset="0"/>
            <a:cs typeface="Times New Roman" panose="02020603050405020304" pitchFamily="18" charset="0"/>
          </a:endParaRPr>
        </a:p>
      </dgm:t>
    </dgm:pt>
    <dgm:pt modelId="{BA502398-C77F-48B5-8BAB-5CA18EF0B883}" type="pres">
      <dgm:prSet presAssocID="{3F12A28B-0AA6-4545-9A0B-B3FDEB056B7A}" presName="Name0" presStyleCnt="0">
        <dgm:presLayoutVars>
          <dgm:dir/>
          <dgm:resizeHandles val="exact"/>
        </dgm:presLayoutVars>
      </dgm:prSet>
      <dgm:spPr/>
      <dgm:t>
        <a:bodyPr/>
        <a:lstStyle/>
        <a:p>
          <a:endParaRPr lang="ru-RU"/>
        </a:p>
      </dgm:t>
    </dgm:pt>
    <dgm:pt modelId="{6E3CF335-5B4E-4CD1-A463-A9D439DC74AA}" type="pres">
      <dgm:prSet presAssocID="{F3AAF8CF-F306-4146-95A2-D4FD26239BAB}" presName="node" presStyleLbl="node1" presStyleIdx="0" presStyleCnt="4">
        <dgm:presLayoutVars>
          <dgm:bulletEnabled val="1"/>
        </dgm:presLayoutVars>
      </dgm:prSet>
      <dgm:spPr/>
      <dgm:t>
        <a:bodyPr/>
        <a:lstStyle/>
        <a:p>
          <a:endParaRPr lang="ru-RU"/>
        </a:p>
      </dgm:t>
    </dgm:pt>
    <dgm:pt modelId="{2E871D1A-20E1-4B26-B21E-4A4A9BBC0448}" type="pres">
      <dgm:prSet presAssocID="{F65BC440-41DB-4B72-A1F8-702297BEFECD}" presName="sibTrans" presStyleLbl="sibTrans1D1" presStyleIdx="0" presStyleCnt="3"/>
      <dgm:spPr/>
      <dgm:t>
        <a:bodyPr/>
        <a:lstStyle/>
        <a:p>
          <a:endParaRPr lang="ru-RU"/>
        </a:p>
      </dgm:t>
    </dgm:pt>
    <dgm:pt modelId="{6D74074F-1DD4-4251-B7B2-9D5AC687BA3A}" type="pres">
      <dgm:prSet presAssocID="{F65BC440-41DB-4B72-A1F8-702297BEFECD}" presName="connectorText" presStyleLbl="sibTrans1D1" presStyleIdx="0" presStyleCnt="3"/>
      <dgm:spPr/>
      <dgm:t>
        <a:bodyPr/>
        <a:lstStyle/>
        <a:p>
          <a:endParaRPr lang="ru-RU"/>
        </a:p>
      </dgm:t>
    </dgm:pt>
    <dgm:pt modelId="{E857FF48-0496-4111-A9B9-B04455C20F0B}" type="pres">
      <dgm:prSet presAssocID="{D710BA88-6BFC-406D-9465-E3073BAB03F8}" presName="node" presStyleLbl="node1" presStyleIdx="1" presStyleCnt="4">
        <dgm:presLayoutVars>
          <dgm:bulletEnabled val="1"/>
        </dgm:presLayoutVars>
      </dgm:prSet>
      <dgm:spPr/>
      <dgm:t>
        <a:bodyPr/>
        <a:lstStyle/>
        <a:p>
          <a:endParaRPr lang="ru-RU"/>
        </a:p>
      </dgm:t>
    </dgm:pt>
    <dgm:pt modelId="{FD7491DD-5ACC-4A5A-BF18-6E32120DC05E}" type="pres">
      <dgm:prSet presAssocID="{7A59540D-5611-4AAA-832D-6474EB5ED662}" presName="sibTrans" presStyleLbl="sibTrans1D1" presStyleIdx="1" presStyleCnt="3"/>
      <dgm:spPr/>
      <dgm:t>
        <a:bodyPr/>
        <a:lstStyle/>
        <a:p>
          <a:endParaRPr lang="ru-RU"/>
        </a:p>
      </dgm:t>
    </dgm:pt>
    <dgm:pt modelId="{F03C704A-F157-4088-8F97-D6001FE652FD}" type="pres">
      <dgm:prSet presAssocID="{7A59540D-5611-4AAA-832D-6474EB5ED662}" presName="connectorText" presStyleLbl="sibTrans1D1" presStyleIdx="1" presStyleCnt="3"/>
      <dgm:spPr/>
      <dgm:t>
        <a:bodyPr/>
        <a:lstStyle/>
        <a:p>
          <a:endParaRPr lang="ru-RU"/>
        </a:p>
      </dgm:t>
    </dgm:pt>
    <dgm:pt modelId="{084952A5-8431-4A69-80C5-19C6AA712F5D}" type="pres">
      <dgm:prSet presAssocID="{48A008E0-FFB3-4C55-8AE8-F55FCA984210}" presName="node" presStyleLbl="node1" presStyleIdx="2" presStyleCnt="4">
        <dgm:presLayoutVars>
          <dgm:bulletEnabled val="1"/>
        </dgm:presLayoutVars>
      </dgm:prSet>
      <dgm:spPr/>
      <dgm:t>
        <a:bodyPr/>
        <a:lstStyle/>
        <a:p>
          <a:endParaRPr lang="ru-RU"/>
        </a:p>
      </dgm:t>
    </dgm:pt>
    <dgm:pt modelId="{A2014678-AE92-4C70-B1C6-DE50D4FE0DC6}" type="pres">
      <dgm:prSet presAssocID="{29B66F5B-506B-48CB-B39A-0B36306A5B02}" presName="sibTrans" presStyleLbl="sibTrans1D1" presStyleIdx="2" presStyleCnt="3"/>
      <dgm:spPr/>
      <dgm:t>
        <a:bodyPr/>
        <a:lstStyle/>
        <a:p>
          <a:endParaRPr lang="ru-RU"/>
        </a:p>
      </dgm:t>
    </dgm:pt>
    <dgm:pt modelId="{180BD591-8A2B-4404-8665-3C07172880EB}" type="pres">
      <dgm:prSet presAssocID="{29B66F5B-506B-48CB-B39A-0B36306A5B02}" presName="connectorText" presStyleLbl="sibTrans1D1" presStyleIdx="2" presStyleCnt="3"/>
      <dgm:spPr/>
      <dgm:t>
        <a:bodyPr/>
        <a:lstStyle/>
        <a:p>
          <a:endParaRPr lang="ru-RU"/>
        </a:p>
      </dgm:t>
    </dgm:pt>
    <dgm:pt modelId="{496DE19C-F3F7-4A57-9C80-FBB89B64A28E}" type="pres">
      <dgm:prSet presAssocID="{1E31D0E9-2C0B-42A5-B39A-913117A0D185}" presName="node" presStyleLbl="node1" presStyleIdx="3" presStyleCnt="4" custScaleX="142767" custScaleY="66506">
        <dgm:presLayoutVars>
          <dgm:bulletEnabled val="1"/>
        </dgm:presLayoutVars>
      </dgm:prSet>
      <dgm:spPr/>
      <dgm:t>
        <a:bodyPr/>
        <a:lstStyle/>
        <a:p>
          <a:endParaRPr lang="ru-RU"/>
        </a:p>
      </dgm:t>
    </dgm:pt>
  </dgm:ptLst>
  <dgm:cxnLst>
    <dgm:cxn modelId="{FB2D6BED-B1E3-4DBE-B81C-051F63B05984}" type="presOf" srcId="{7A59540D-5611-4AAA-832D-6474EB5ED662}" destId="{FD7491DD-5ACC-4A5A-BF18-6E32120DC05E}" srcOrd="0" destOrd="0" presId="urn:microsoft.com/office/officeart/2005/8/layout/bProcess3"/>
    <dgm:cxn modelId="{9C2C4B13-2378-41E5-8CD8-58D8F0C4B1E5}" type="presOf" srcId="{1E31D0E9-2C0B-42A5-B39A-913117A0D185}" destId="{496DE19C-F3F7-4A57-9C80-FBB89B64A28E}" srcOrd="0" destOrd="0" presId="urn:microsoft.com/office/officeart/2005/8/layout/bProcess3"/>
    <dgm:cxn modelId="{485D88B2-82AF-4444-AE25-7C1385359EC4}" type="presOf" srcId="{29B66F5B-506B-48CB-B39A-0B36306A5B02}" destId="{180BD591-8A2B-4404-8665-3C07172880EB}" srcOrd="1" destOrd="0" presId="urn:microsoft.com/office/officeart/2005/8/layout/bProcess3"/>
    <dgm:cxn modelId="{1E294559-78DD-41BF-BA29-E6B2DFCF8E78}" type="presOf" srcId="{3F12A28B-0AA6-4545-9A0B-B3FDEB056B7A}" destId="{BA502398-C77F-48B5-8BAB-5CA18EF0B883}" srcOrd="0" destOrd="0" presId="urn:microsoft.com/office/officeart/2005/8/layout/bProcess3"/>
    <dgm:cxn modelId="{EC3694FD-08F3-484E-989E-0A7D63A948E0}" type="presOf" srcId="{29B66F5B-506B-48CB-B39A-0B36306A5B02}" destId="{A2014678-AE92-4C70-B1C6-DE50D4FE0DC6}" srcOrd="0" destOrd="0" presId="urn:microsoft.com/office/officeart/2005/8/layout/bProcess3"/>
    <dgm:cxn modelId="{5B90FA0F-4FDF-4566-BCB9-5CDF99E1B498}" srcId="{3F12A28B-0AA6-4545-9A0B-B3FDEB056B7A}" destId="{1E31D0E9-2C0B-42A5-B39A-913117A0D185}" srcOrd="3" destOrd="0" parTransId="{DBB76431-86AF-47CE-BCA5-D51A7ECA21B7}" sibTransId="{72B12883-CE39-463C-9EDF-5F7A2ED03713}"/>
    <dgm:cxn modelId="{BF26EE92-7217-46A6-B5C0-F854A7335019}" type="presOf" srcId="{48A008E0-FFB3-4C55-8AE8-F55FCA984210}" destId="{084952A5-8431-4A69-80C5-19C6AA712F5D}" srcOrd="0" destOrd="0" presId="urn:microsoft.com/office/officeart/2005/8/layout/bProcess3"/>
    <dgm:cxn modelId="{ECC6203A-48B0-4D2C-858B-15CB4339EB92}" type="presOf" srcId="{F65BC440-41DB-4B72-A1F8-702297BEFECD}" destId="{6D74074F-1DD4-4251-B7B2-9D5AC687BA3A}" srcOrd="1" destOrd="0" presId="urn:microsoft.com/office/officeart/2005/8/layout/bProcess3"/>
    <dgm:cxn modelId="{BC576F74-3F79-4092-BE2C-B10C0389317C}" srcId="{3F12A28B-0AA6-4545-9A0B-B3FDEB056B7A}" destId="{F3AAF8CF-F306-4146-95A2-D4FD26239BAB}" srcOrd="0" destOrd="0" parTransId="{BA89FD9E-7EF5-4B01-A021-96CCF4BBC534}" sibTransId="{F65BC440-41DB-4B72-A1F8-702297BEFECD}"/>
    <dgm:cxn modelId="{4877CA15-0CE0-4631-9D4D-43F127B5CCB8}" type="presOf" srcId="{F3AAF8CF-F306-4146-95A2-D4FD26239BAB}" destId="{6E3CF335-5B4E-4CD1-A463-A9D439DC74AA}" srcOrd="0" destOrd="0" presId="urn:microsoft.com/office/officeart/2005/8/layout/bProcess3"/>
    <dgm:cxn modelId="{85DF2E7D-F41F-479B-B987-15BE93761393}" type="presOf" srcId="{7A59540D-5611-4AAA-832D-6474EB5ED662}" destId="{F03C704A-F157-4088-8F97-D6001FE652FD}" srcOrd="1" destOrd="0" presId="urn:microsoft.com/office/officeart/2005/8/layout/bProcess3"/>
    <dgm:cxn modelId="{0490F71A-F334-4D56-ABAE-00F719269BA7}" type="presOf" srcId="{D710BA88-6BFC-406D-9465-E3073BAB03F8}" destId="{E857FF48-0496-4111-A9B9-B04455C20F0B}" srcOrd="0" destOrd="0" presId="urn:microsoft.com/office/officeart/2005/8/layout/bProcess3"/>
    <dgm:cxn modelId="{4A8AF3AD-61A5-475C-82C5-7C33D7C4D8B0}" srcId="{3F12A28B-0AA6-4545-9A0B-B3FDEB056B7A}" destId="{D710BA88-6BFC-406D-9465-E3073BAB03F8}" srcOrd="1" destOrd="0" parTransId="{C95939BA-745B-4EE1-A64B-6B9605D458E8}" sibTransId="{7A59540D-5611-4AAA-832D-6474EB5ED662}"/>
    <dgm:cxn modelId="{C352314A-2445-4466-AEBD-9A7837CFF331}" type="presOf" srcId="{F65BC440-41DB-4B72-A1F8-702297BEFECD}" destId="{2E871D1A-20E1-4B26-B21E-4A4A9BBC0448}" srcOrd="0" destOrd="0" presId="urn:microsoft.com/office/officeart/2005/8/layout/bProcess3"/>
    <dgm:cxn modelId="{C61DC388-E29C-4549-9334-2821B20A02F8}" srcId="{3F12A28B-0AA6-4545-9A0B-B3FDEB056B7A}" destId="{48A008E0-FFB3-4C55-8AE8-F55FCA984210}" srcOrd="2" destOrd="0" parTransId="{876D6704-3A08-423F-8D1B-B5F7B6307D49}" sibTransId="{29B66F5B-506B-48CB-B39A-0B36306A5B02}"/>
    <dgm:cxn modelId="{9D0C9706-1D55-4D59-BCD2-19E693C25D0D}" type="presParOf" srcId="{BA502398-C77F-48B5-8BAB-5CA18EF0B883}" destId="{6E3CF335-5B4E-4CD1-A463-A9D439DC74AA}" srcOrd="0" destOrd="0" presId="urn:microsoft.com/office/officeart/2005/8/layout/bProcess3"/>
    <dgm:cxn modelId="{48C2CCEB-9908-449C-9DB1-B2AB15839460}" type="presParOf" srcId="{BA502398-C77F-48B5-8BAB-5CA18EF0B883}" destId="{2E871D1A-20E1-4B26-B21E-4A4A9BBC0448}" srcOrd="1" destOrd="0" presId="urn:microsoft.com/office/officeart/2005/8/layout/bProcess3"/>
    <dgm:cxn modelId="{FC8AD96F-041A-48FD-A9BC-69B24A1961DB}" type="presParOf" srcId="{2E871D1A-20E1-4B26-B21E-4A4A9BBC0448}" destId="{6D74074F-1DD4-4251-B7B2-9D5AC687BA3A}" srcOrd="0" destOrd="0" presId="urn:microsoft.com/office/officeart/2005/8/layout/bProcess3"/>
    <dgm:cxn modelId="{B43CC377-4D76-4921-9570-91E4C0A5FC3D}" type="presParOf" srcId="{BA502398-C77F-48B5-8BAB-5CA18EF0B883}" destId="{E857FF48-0496-4111-A9B9-B04455C20F0B}" srcOrd="2" destOrd="0" presId="urn:microsoft.com/office/officeart/2005/8/layout/bProcess3"/>
    <dgm:cxn modelId="{4430F3E2-2265-4F40-9FE7-17EE971B95AF}" type="presParOf" srcId="{BA502398-C77F-48B5-8BAB-5CA18EF0B883}" destId="{FD7491DD-5ACC-4A5A-BF18-6E32120DC05E}" srcOrd="3" destOrd="0" presId="urn:microsoft.com/office/officeart/2005/8/layout/bProcess3"/>
    <dgm:cxn modelId="{7C2222BC-C5BF-4DF8-B1B3-698B47C78755}" type="presParOf" srcId="{FD7491DD-5ACC-4A5A-BF18-6E32120DC05E}" destId="{F03C704A-F157-4088-8F97-D6001FE652FD}" srcOrd="0" destOrd="0" presId="urn:microsoft.com/office/officeart/2005/8/layout/bProcess3"/>
    <dgm:cxn modelId="{42955C3F-0E33-4B34-A741-E2489872D4AB}" type="presParOf" srcId="{BA502398-C77F-48B5-8BAB-5CA18EF0B883}" destId="{084952A5-8431-4A69-80C5-19C6AA712F5D}" srcOrd="4" destOrd="0" presId="urn:microsoft.com/office/officeart/2005/8/layout/bProcess3"/>
    <dgm:cxn modelId="{157D3F0A-B606-4760-A7AD-9AFBC98B96AD}" type="presParOf" srcId="{BA502398-C77F-48B5-8BAB-5CA18EF0B883}" destId="{A2014678-AE92-4C70-B1C6-DE50D4FE0DC6}" srcOrd="5" destOrd="0" presId="urn:microsoft.com/office/officeart/2005/8/layout/bProcess3"/>
    <dgm:cxn modelId="{E9A4662B-6D52-4530-94C2-0B3CAAC2FE41}" type="presParOf" srcId="{A2014678-AE92-4C70-B1C6-DE50D4FE0DC6}" destId="{180BD591-8A2B-4404-8665-3C07172880EB}" srcOrd="0" destOrd="0" presId="urn:microsoft.com/office/officeart/2005/8/layout/bProcess3"/>
    <dgm:cxn modelId="{11C668DA-4FE2-4B75-8117-2210088C2ADD}" type="presParOf" srcId="{BA502398-C77F-48B5-8BAB-5CA18EF0B883}" destId="{496DE19C-F3F7-4A57-9C80-FBB89B64A28E}" srcOrd="6" destOrd="0" presId="urn:microsoft.com/office/officeart/2005/8/layout/bProcess3"/>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E33BA9B2-501C-4A5A-BF2E-A2A642091509}"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uk-UA"/>
        </a:p>
      </dgm:t>
    </dgm:pt>
    <dgm:pt modelId="{F8EE2B8F-C7EF-445D-BE4C-53BAC5264863}">
      <dgm:prSet phldrT="[Текст]" custT="1"/>
      <dgm:spPr/>
      <dgm:t>
        <a:bodyPr/>
        <a:lstStyle/>
        <a:p>
          <a:pPr algn="ctr"/>
          <a:r>
            <a:rPr lang="uk-UA" sz="1200">
              <a:latin typeface="Times New Roman" panose="02020603050405020304" pitchFamily="18" charset="0"/>
              <a:cs typeface="Times New Roman" panose="02020603050405020304" pitchFamily="18" charset="0"/>
            </a:rPr>
            <a:t> Методология мониторинга ЕС</a:t>
          </a:r>
        </a:p>
      </dgm:t>
    </dgm:pt>
    <dgm:pt modelId="{902B781B-44DD-40FF-B3A5-2B1ECEACD93B}" type="parTrans" cxnId="{9AA7BFF2-22F0-4E88-8C58-D8D3EEA1DAE4}">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C5B11E63-1114-46D0-A59C-D135C645F37B}" type="sibTrans" cxnId="{9AA7BFF2-22F0-4E88-8C58-D8D3EEA1DAE4}">
      <dgm:prSet custT="1"/>
      <dgm:spPr/>
      <dgm:t>
        <a:bodyPr/>
        <a:lstStyle/>
        <a:p>
          <a:pPr algn="ctr"/>
          <a:endParaRPr lang="uk-UA" sz="1200">
            <a:latin typeface="Times New Roman" panose="02020603050405020304" pitchFamily="18" charset="0"/>
            <a:cs typeface="Times New Roman" panose="02020603050405020304" pitchFamily="18" charset="0"/>
          </a:endParaRPr>
        </a:p>
      </dgm:t>
    </dgm:pt>
    <dgm:pt modelId="{6FFD03B6-943C-40E8-B965-BF07D2E91B31}">
      <dgm:prSet phldrT="[Текст]" custT="1"/>
      <dgm:spPr/>
      <dgm:t>
        <a:bodyPr/>
        <a:lstStyle/>
        <a:p>
          <a:pPr algn="ctr"/>
          <a:r>
            <a:rPr lang="uk-UA" sz="1200">
              <a:latin typeface="Times New Roman" panose="02020603050405020304" pitchFamily="18" charset="0"/>
              <a:cs typeface="Times New Roman" panose="02020603050405020304" pitchFamily="18" charset="0"/>
            </a:rPr>
            <a:t>Адаптация к национальным условиям</a:t>
          </a:r>
        </a:p>
      </dgm:t>
    </dgm:pt>
    <dgm:pt modelId="{D5909CBE-4759-4B66-B102-65831B1D52F0}" type="parTrans" cxnId="{C9FEB92C-95B2-485F-B710-2131DBFD1D63}">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6F575391-5283-4893-AF74-BF192AA11F5F}" type="sibTrans" cxnId="{C9FEB92C-95B2-485F-B710-2131DBFD1D63}">
      <dgm:prSet custT="1"/>
      <dgm:spPr/>
      <dgm:t>
        <a:bodyPr/>
        <a:lstStyle/>
        <a:p>
          <a:pPr algn="ctr"/>
          <a:endParaRPr lang="uk-UA" sz="1200">
            <a:latin typeface="Times New Roman" panose="02020603050405020304" pitchFamily="18" charset="0"/>
            <a:cs typeface="Times New Roman" panose="02020603050405020304" pitchFamily="18" charset="0"/>
          </a:endParaRPr>
        </a:p>
      </dgm:t>
    </dgm:pt>
    <dgm:pt modelId="{1DB70DCE-94FC-4058-B807-3230DAE34FBB}">
      <dgm:prSet phldrT="[Текст]" custT="1"/>
      <dgm:spPr/>
      <dgm:t>
        <a:bodyPr/>
        <a:lstStyle/>
        <a:p>
          <a:pPr algn="ctr"/>
          <a:r>
            <a:rPr lang="uk-UA" sz="1200">
              <a:latin typeface="Times New Roman" panose="02020603050405020304" pitchFamily="18" charset="0"/>
              <a:cs typeface="Times New Roman" panose="02020603050405020304" pitchFamily="18" charset="0"/>
            </a:rPr>
            <a:t>Формирование единого отчетного шаблона </a:t>
          </a:r>
        </a:p>
      </dgm:t>
    </dgm:pt>
    <dgm:pt modelId="{C034720D-A653-46F5-91BA-B3763AB94542}" type="parTrans" cxnId="{BDACEFB9-A094-40B8-8FD8-78759972B627}">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AD0C36F8-49FE-4ED1-BB77-07BD31F4E592}" type="sibTrans" cxnId="{BDACEFB9-A094-40B8-8FD8-78759972B627}">
      <dgm:prSet custT="1"/>
      <dgm:spPr/>
      <dgm:t>
        <a:bodyPr/>
        <a:lstStyle/>
        <a:p>
          <a:pPr algn="ctr"/>
          <a:endParaRPr lang="uk-UA" sz="1200">
            <a:latin typeface="Times New Roman" panose="02020603050405020304" pitchFamily="18" charset="0"/>
            <a:cs typeface="Times New Roman" panose="02020603050405020304" pitchFamily="18" charset="0"/>
          </a:endParaRPr>
        </a:p>
      </dgm:t>
    </dgm:pt>
    <dgm:pt modelId="{F52F07A5-4F4E-4B9A-A619-F516C4CF7834}">
      <dgm:prSet phldrT="[Текст]" custT="1"/>
      <dgm:spPr/>
      <dgm:t>
        <a:bodyPr/>
        <a:lstStyle/>
        <a:p>
          <a:pPr algn="ctr"/>
          <a:r>
            <a:rPr lang="uk-UA" sz="1200">
              <a:latin typeface="Times New Roman" panose="02020603050405020304" pitchFamily="18" charset="0"/>
              <a:cs typeface="Times New Roman" panose="02020603050405020304" pitchFamily="18" charset="0"/>
            </a:rPr>
            <a:t>Публикация ежегодного национального отчета</a:t>
          </a:r>
        </a:p>
      </dgm:t>
    </dgm:pt>
    <dgm:pt modelId="{CAA6E81A-203A-4FB8-BEB0-C3DE30E8E9B5}" type="parTrans" cxnId="{987F5831-C9EB-4434-98D2-E3CB44784A0E}">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3C591257-67E3-4A3B-A533-347A9D95327B}" type="sibTrans" cxnId="{987F5831-C9EB-4434-98D2-E3CB44784A0E}">
      <dgm:prSet custT="1"/>
      <dgm:spPr/>
      <dgm:t>
        <a:bodyPr/>
        <a:lstStyle/>
        <a:p>
          <a:pPr algn="ctr"/>
          <a:endParaRPr lang="uk-UA" sz="1200">
            <a:latin typeface="Times New Roman" panose="02020603050405020304" pitchFamily="18" charset="0"/>
            <a:cs typeface="Times New Roman" panose="02020603050405020304" pitchFamily="18" charset="0"/>
          </a:endParaRPr>
        </a:p>
      </dgm:t>
    </dgm:pt>
    <dgm:pt modelId="{33836AFD-7386-44A8-AD65-C173E981EAE8}">
      <dgm:prSet phldrT="[Текст]" custT="1"/>
      <dgm:spPr/>
      <dgm:t>
        <a:bodyPr/>
        <a:lstStyle/>
        <a:p>
          <a:pPr algn="ctr"/>
          <a:r>
            <a:rPr lang="uk-UA" sz="1200">
              <a:latin typeface="Times New Roman" panose="02020603050405020304" pitchFamily="18" charset="0"/>
              <a:cs typeface="Times New Roman" panose="02020603050405020304" pitchFamily="18" charset="0"/>
            </a:rPr>
            <a:t>Разработка дорожной карты правовых инициатив</a:t>
          </a:r>
        </a:p>
      </dgm:t>
    </dgm:pt>
    <dgm:pt modelId="{F4F095CA-7C60-4181-BA15-7627606E52C8}" type="parTrans" cxnId="{E678571D-CF8D-4312-B1F2-EEFB11181806}">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2BF668A4-6143-49DA-8C47-EAAFA5685B68}" type="sibTrans" cxnId="{E678571D-CF8D-4312-B1F2-EEFB11181806}">
      <dgm:prSet/>
      <dgm:spPr/>
      <dgm:t>
        <a:bodyPr/>
        <a:lstStyle/>
        <a:p>
          <a:pPr algn="ctr"/>
          <a:endParaRPr lang="uk-UA" sz="1200">
            <a:latin typeface="Times New Roman" panose="02020603050405020304" pitchFamily="18" charset="0"/>
            <a:cs typeface="Times New Roman" panose="02020603050405020304" pitchFamily="18" charset="0"/>
          </a:endParaRPr>
        </a:p>
      </dgm:t>
    </dgm:pt>
    <dgm:pt modelId="{49CC4D17-2A62-4AF4-8978-3B36AF900569}" type="pres">
      <dgm:prSet presAssocID="{E33BA9B2-501C-4A5A-BF2E-A2A642091509}" presName="Name0" presStyleCnt="0">
        <dgm:presLayoutVars>
          <dgm:dir/>
          <dgm:resizeHandles val="exact"/>
        </dgm:presLayoutVars>
      </dgm:prSet>
      <dgm:spPr/>
      <dgm:t>
        <a:bodyPr/>
        <a:lstStyle/>
        <a:p>
          <a:endParaRPr lang="ru-RU"/>
        </a:p>
      </dgm:t>
    </dgm:pt>
    <dgm:pt modelId="{B7AE71DE-61A1-49BC-8912-DEC3BEE27706}" type="pres">
      <dgm:prSet presAssocID="{F8EE2B8F-C7EF-445D-BE4C-53BAC5264863}" presName="node" presStyleLbl="node1" presStyleIdx="0" presStyleCnt="5">
        <dgm:presLayoutVars>
          <dgm:bulletEnabled val="1"/>
        </dgm:presLayoutVars>
      </dgm:prSet>
      <dgm:spPr/>
      <dgm:t>
        <a:bodyPr/>
        <a:lstStyle/>
        <a:p>
          <a:endParaRPr lang="ru-RU"/>
        </a:p>
      </dgm:t>
    </dgm:pt>
    <dgm:pt modelId="{23086878-F0F1-4FA6-A431-A9B567F1B015}" type="pres">
      <dgm:prSet presAssocID="{C5B11E63-1114-46D0-A59C-D135C645F37B}" presName="sibTrans" presStyleLbl="sibTrans1D1" presStyleIdx="0" presStyleCnt="4"/>
      <dgm:spPr/>
      <dgm:t>
        <a:bodyPr/>
        <a:lstStyle/>
        <a:p>
          <a:endParaRPr lang="ru-RU"/>
        </a:p>
      </dgm:t>
    </dgm:pt>
    <dgm:pt modelId="{304EA9F5-FAE4-4707-AFE6-A0538534F7B0}" type="pres">
      <dgm:prSet presAssocID="{C5B11E63-1114-46D0-A59C-D135C645F37B}" presName="connectorText" presStyleLbl="sibTrans1D1" presStyleIdx="0" presStyleCnt="4"/>
      <dgm:spPr/>
      <dgm:t>
        <a:bodyPr/>
        <a:lstStyle/>
        <a:p>
          <a:endParaRPr lang="ru-RU"/>
        </a:p>
      </dgm:t>
    </dgm:pt>
    <dgm:pt modelId="{CB23373F-27C0-4A41-9AFB-8F35AEC48155}" type="pres">
      <dgm:prSet presAssocID="{6FFD03B6-943C-40E8-B965-BF07D2E91B31}" presName="node" presStyleLbl="node1" presStyleIdx="1" presStyleCnt="5">
        <dgm:presLayoutVars>
          <dgm:bulletEnabled val="1"/>
        </dgm:presLayoutVars>
      </dgm:prSet>
      <dgm:spPr/>
      <dgm:t>
        <a:bodyPr/>
        <a:lstStyle/>
        <a:p>
          <a:endParaRPr lang="ru-RU"/>
        </a:p>
      </dgm:t>
    </dgm:pt>
    <dgm:pt modelId="{D7D1D264-758E-4127-B91D-24733D2FFD62}" type="pres">
      <dgm:prSet presAssocID="{6F575391-5283-4893-AF74-BF192AA11F5F}" presName="sibTrans" presStyleLbl="sibTrans1D1" presStyleIdx="1" presStyleCnt="4"/>
      <dgm:spPr/>
      <dgm:t>
        <a:bodyPr/>
        <a:lstStyle/>
        <a:p>
          <a:endParaRPr lang="ru-RU"/>
        </a:p>
      </dgm:t>
    </dgm:pt>
    <dgm:pt modelId="{41CE55CE-247A-4644-AC8C-A74823B441D9}" type="pres">
      <dgm:prSet presAssocID="{6F575391-5283-4893-AF74-BF192AA11F5F}" presName="connectorText" presStyleLbl="sibTrans1D1" presStyleIdx="1" presStyleCnt="4"/>
      <dgm:spPr/>
      <dgm:t>
        <a:bodyPr/>
        <a:lstStyle/>
        <a:p>
          <a:endParaRPr lang="ru-RU"/>
        </a:p>
      </dgm:t>
    </dgm:pt>
    <dgm:pt modelId="{5AFFA08A-001C-4ED2-B5AA-25012E7A66BF}" type="pres">
      <dgm:prSet presAssocID="{1DB70DCE-94FC-4058-B807-3230DAE34FBB}" presName="node" presStyleLbl="node1" presStyleIdx="2" presStyleCnt="5">
        <dgm:presLayoutVars>
          <dgm:bulletEnabled val="1"/>
        </dgm:presLayoutVars>
      </dgm:prSet>
      <dgm:spPr/>
      <dgm:t>
        <a:bodyPr/>
        <a:lstStyle/>
        <a:p>
          <a:endParaRPr lang="ru-RU"/>
        </a:p>
      </dgm:t>
    </dgm:pt>
    <dgm:pt modelId="{9C3690FD-7DCE-44FB-86B6-7AAFB2150292}" type="pres">
      <dgm:prSet presAssocID="{AD0C36F8-49FE-4ED1-BB77-07BD31F4E592}" presName="sibTrans" presStyleLbl="sibTrans1D1" presStyleIdx="2" presStyleCnt="4"/>
      <dgm:spPr/>
      <dgm:t>
        <a:bodyPr/>
        <a:lstStyle/>
        <a:p>
          <a:endParaRPr lang="ru-RU"/>
        </a:p>
      </dgm:t>
    </dgm:pt>
    <dgm:pt modelId="{6A486F00-6316-4CFF-8F89-F8B42ED120ED}" type="pres">
      <dgm:prSet presAssocID="{AD0C36F8-49FE-4ED1-BB77-07BD31F4E592}" presName="connectorText" presStyleLbl="sibTrans1D1" presStyleIdx="2" presStyleCnt="4"/>
      <dgm:spPr/>
      <dgm:t>
        <a:bodyPr/>
        <a:lstStyle/>
        <a:p>
          <a:endParaRPr lang="ru-RU"/>
        </a:p>
      </dgm:t>
    </dgm:pt>
    <dgm:pt modelId="{A3AE89AF-6C4D-4BBC-8EDD-40425E4B81E4}" type="pres">
      <dgm:prSet presAssocID="{F52F07A5-4F4E-4B9A-A619-F516C4CF7834}" presName="node" presStyleLbl="node1" presStyleIdx="3" presStyleCnt="5">
        <dgm:presLayoutVars>
          <dgm:bulletEnabled val="1"/>
        </dgm:presLayoutVars>
      </dgm:prSet>
      <dgm:spPr/>
      <dgm:t>
        <a:bodyPr/>
        <a:lstStyle/>
        <a:p>
          <a:endParaRPr lang="ru-RU"/>
        </a:p>
      </dgm:t>
    </dgm:pt>
    <dgm:pt modelId="{14CFC39C-3E7C-4DBC-B9C1-166BF4C45C4D}" type="pres">
      <dgm:prSet presAssocID="{3C591257-67E3-4A3B-A533-347A9D95327B}" presName="sibTrans" presStyleLbl="sibTrans1D1" presStyleIdx="3" presStyleCnt="4"/>
      <dgm:spPr/>
      <dgm:t>
        <a:bodyPr/>
        <a:lstStyle/>
        <a:p>
          <a:endParaRPr lang="ru-RU"/>
        </a:p>
      </dgm:t>
    </dgm:pt>
    <dgm:pt modelId="{879EB343-C4A3-4653-990A-62346BF2E962}" type="pres">
      <dgm:prSet presAssocID="{3C591257-67E3-4A3B-A533-347A9D95327B}" presName="connectorText" presStyleLbl="sibTrans1D1" presStyleIdx="3" presStyleCnt="4"/>
      <dgm:spPr/>
      <dgm:t>
        <a:bodyPr/>
        <a:lstStyle/>
        <a:p>
          <a:endParaRPr lang="ru-RU"/>
        </a:p>
      </dgm:t>
    </dgm:pt>
    <dgm:pt modelId="{95AB7865-62D1-45E8-A263-78400B5FE5AC}" type="pres">
      <dgm:prSet presAssocID="{33836AFD-7386-44A8-AD65-C173E981EAE8}" presName="node" presStyleLbl="node1" presStyleIdx="4" presStyleCnt="5">
        <dgm:presLayoutVars>
          <dgm:bulletEnabled val="1"/>
        </dgm:presLayoutVars>
      </dgm:prSet>
      <dgm:spPr/>
      <dgm:t>
        <a:bodyPr/>
        <a:lstStyle/>
        <a:p>
          <a:endParaRPr lang="ru-RU"/>
        </a:p>
      </dgm:t>
    </dgm:pt>
  </dgm:ptLst>
  <dgm:cxnLst>
    <dgm:cxn modelId="{E678571D-CF8D-4312-B1F2-EEFB11181806}" srcId="{E33BA9B2-501C-4A5A-BF2E-A2A642091509}" destId="{33836AFD-7386-44A8-AD65-C173E981EAE8}" srcOrd="4" destOrd="0" parTransId="{F4F095CA-7C60-4181-BA15-7627606E52C8}" sibTransId="{2BF668A4-6143-49DA-8C47-EAAFA5685B68}"/>
    <dgm:cxn modelId="{BDACEFB9-A094-40B8-8FD8-78759972B627}" srcId="{E33BA9B2-501C-4A5A-BF2E-A2A642091509}" destId="{1DB70DCE-94FC-4058-B807-3230DAE34FBB}" srcOrd="2" destOrd="0" parTransId="{C034720D-A653-46F5-91BA-B3763AB94542}" sibTransId="{AD0C36F8-49FE-4ED1-BB77-07BD31F4E592}"/>
    <dgm:cxn modelId="{14710469-CE0B-414C-A141-5EBE7768B709}" type="presOf" srcId="{F8EE2B8F-C7EF-445D-BE4C-53BAC5264863}" destId="{B7AE71DE-61A1-49BC-8912-DEC3BEE27706}" srcOrd="0" destOrd="0" presId="urn:microsoft.com/office/officeart/2005/8/layout/bProcess3"/>
    <dgm:cxn modelId="{66A9D811-6CA9-4C47-AB56-8EC9DA016C29}" type="presOf" srcId="{AD0C36F8-49FE-4ED1-BB77-07BD31F4E592}" destId="{9C3690FD-7DCE-44FB-86B6-7AAFB2150292}" srcOrd="0" destOrd="0" presId="urn:microsoft.com/office/officeart/2005/8/layout/bProcess3"/>
    <dgm:cxn modelId="{BA67ED8A-5BCB-4AC1-B940-23CFAB90B18D}" type="presOf" srcId="{AD0C36F8-49FE-4ED1-BB77-07BD31F4E592}" destId="{6A486F00-6316-4CFF-8F89-F8B42ED120ED}" srcOrd="1" destOrd="0" presId="urn:microsoft.com/office/officeart/2005/8/layout/bProcess3"/>
    <dgm:cxn modelId="{554E7EC5-E5E6-4F3D-AF05-BA89821ECF3F}" type="presOf" srcId="{E33BA9B2-501C-4A5A-BF2E-A2A642091509}" destId="{49CC4D17-2A62-4AF4-8978-3B36AF900569}" srcOrd="0" destOrd="0" presId="urn:microsoft.com/office/officeart/2005/8/layout/bProcess3"/>
    <dgm:cxn modelId="{BE045D41-5D5E-468D-8D6D-FBB6469DF7E2}" type="presOf" srcId="{3C591257-67E3-4A3B-A533-347A9D95327B}" destId="{879EB343-C4A3-4653-990A-62346BF2E962}" srcOrd="1" destOrd="0" presId="urn:microsoft.com/office/officeart/2005/8/layout/bProcess3"/>
    <dgm:cxn modelId="{DCCAC9A1-571C-40DE-BE30-4BD2DB5B712D}" type="presOf" srcId="{C5B11E63-1114-46D0-A59C-D135C645F37B}" destId="{304EA9F5-FAE4-4707-AFE6-A0538534F7B0}" srcOrd="1" destOrd="0" presId="urn:microsoft.com/office/officeart/2005/8/layout/bProcess3"/>
    <dgm:cxn modelId="{1531E058-DDAF-4E2B-BA1B-56F4D156B76F}" type="presOf" srcId="{C5B11E63-1114-46D0-A59C-D135C645F37B}" destId="{23086878-F0F1-4FA6-A431-A9B567F1B015}" srcOrd="0" destOrd="0" presId="urn:microsoft.com/office/officeart/2005/8/layout/bProcess3"/>
    <dgm:cxn modelId="{9F2E4524-1A80-4DC0-93C7-B35115EE6633}" type="presOf" srcId="{6FFD03B6-943C-40E8-B965-BF07D2E91B31}" destId="{CB23373F-27C0-4A41-9AFB-8F35AEC48155}" srcOrd="0" destOrd="0" presId="urn:microsoft.com/office/officeart/2005/8/layout/bProcess3"/>
    <dgm:cxn modelId="{55DDCB84-61C2-4A59-B8F8-36B2FA9393C4}" type="presOf" srcId="{1DB70DCE-94FC-4058-B807-3230DAE34FBB}" destId="{5AFFA08A-001C-4ED2-B5AA-25012E7A66BF}" srcOrd="0" destOrd="0" presId="urn:microsoft.com/office/officeart/2005/8/layout/bProcess3"/>
    <dgm:cxn modelId="{AA0FCD8C-5C4B-4EDC-9DF0-E9A75100CF4D}" type="presOf" srcId="{3C591257-67E3-4A3B-A533-347A9D95327B}" destId="{14CFC39C-3E7C-4DBC-B9C1-166BF4C45C4D}" srcOrd="0" destOrd="0" presId="urn:microsoft.com/office/officeart/2005/8/layout/bProcess3"/>
    <dgm:cxn modelId="{987F5831-C9EB-4434-98D2-E3CB44784A0E}" srcId="{E33BA9B2-501C-4A5A-BF2E-A2A642091509}" destId="{F52F07A5-4F4E-4B9A-A619-F516C4CF7834}" srcOrd="3" destOrd="0" parTransId="{CAA6E81A-203A-4FB8-BEB0-C3DE30E8E9B5}" sibTransId="{3C591257-67E3-4A3B-A533-347A9D95327B}"/>
    <dgm:cxn modelId="{9AA7BFF2-22F0-4E88-8C58-D8D3EEA1DAE4}" srcId="{E33BA9B2-501C-4A5A-BF2E-A2A642091509}" destId="{F8EE2B8F-C7EF-445D-BE4C-53BAC5264863}" srcOrd="0" destOrd="0" parTransId="{902B781B-44DD-40FF-B3A5-2B1ECEACD93B}" sibTransId="{C5B11E63-1114-46D0-A59C-D135C645F37B}"/>
    <dgm:cxn modelId="{C9FEB92C-95B2-485F-B710-2131DBFD1D63}" srcId="{E33BA9B2-501C-4A5A-BF2E-A2A642091509}" destId="{6FFD03B6-943C-40E8-B965-BF07D2E91B31}" srcOrd="1" destOrd="0" parTransId="{D5909CBE-4759-4B66-B102-65831B1D52F0}" sibTransId="{6F575391-5283-4893-AF74-BF192AA11F5F}"/>
    <dgm:cxn modelId="{E545587E-0A56-4BCE-9F1E-83A49FB67978}" type="presOf" srcId="{F52F07A5-4F4E-4B9A-A619-F516C4CF7834}" destId="{A3AE89AF-6C4D-4BBC-8EDD-40425E4B81E4}" srcOrd="0" destOrd="0" presId="urn:microsoft.com/office/officeart/2005/8/layout/bProcess3"/>
    <dgm:cxn modelId="{FBF5238A-CDCC-49D6-A5E3-9CF840B55988}" type="presOf" srcId="{6F575391-5283-4893-AF74-BF192AA11F5F}" destId="{41CE55CE-247A-4644-AC8C-A74823B441D9}" srcOrd="1" destOrd="0" presId="urn:microsoft.com/office/officeart/2005/8/layout/bProcess3"/>
    <dgm:cxn modelId="{E61E76E6-C434-41FF-8A05-E64B438931FE}" type="presOf" srcId="{6F575391-5283-4893-AF74-BF192AA11F5F}" destId="{D7D1D264-758E-4127-B91D-24733D2FFD62}" srcOrd="0" destOrd="0" presId="urn:microsoft.com/office/officeart/2005/8/layout/bProcess3"/>
    <dgm:cxn modelId="{519B8E07-DD92-4A91-A8BE-016B7DF68180}" type="presOf" srcId="{33836AFD-7386-44A8-AD65-C173E981EAE8}" destId="{95AB7865-62D1-45E8-A263-78400B5FE5AC}" srcOrd="0" destOrd="0" presId="urn:microsoft.com/office/officeart/2005/8/layout/bProcess3"/>
    <dgm:cxn modelId="{5D287E1F-D820-4BC8-A24E-5CDBDB297288}" type="presParOf" srcId="{49CC4D17-2A62-4AF4-8978-3B36AF900569}" destId="{B7AE71DE-61A1-49BC-8912-DEC3BEE27706}" srcOrd="0" destOrd="0" presId="urn:microsoft.com/office/officeart/2005/8/layout/bProcess3"/>
    <dgm:cxn modelId="{86DB694D-3898-42A7-8D6B-E67239FD9B77}" type="presParOf" srcId="{49CC4D17-2A62-4AF4-8978-3B36AF900569}" destId="{23086878-F0F1-4FA6-A431-A9B567F1B015}" srcOrd="1" destOrd="0" presId="urn:microsoft.com/office/officeart/2005/8/layout/bProcess3"/>
    <dgm:cxn modelId="{94E25701-816A-4AAA-A7B9-E00B0453A863}" type="presParOf" srcId="{23086878-F0F1-4FA6-A431-A9B567F1B015}" destId="{304EA9F5-FAE4-4707-AFE6-A0538534F7B0}" srcOrd="0" destOrd="0" presId="urn:microsoft.com/office/officeart/2005/8/layout/bProcess3"/>
    <dgm:cxn modelId="{01D058B7-285B-4FC2-B345-68C8FE2CF04B}" type="presParOf" srcId="{49CC4D17-2A62-4AF4-8978-3B36AF900569}" destId="{CB23373F-27C0-4A41-9AFB-8F35AEC48155}" srcOrd="2" destOrd="0" presId="urn:microsoft.com/office/officeart/2005/8/layout/bProcess3"/>
    <dgm:cxn modelId="{5623B051-4B7A-4FB4-8037-571F770FF780}" type="presParOf" srcId="{49CC4D17-2A62-4AF4-8978-3B36AF900569}" destId="{D7D1D264-758E-4127-B91D-24733D2FFD62}" srcOrd="3" destOrd="0" presId="urn:microsoft.com/office/officeart/2005/8/layout/bProcess3"/>
    <dgm:cxn modelId="{E43AB917-C22D-4649-9A27-E347D4CECDD2}" type="presParOf" srcId="{D7D1D264-758E-4127-B91D-24733D2FFD62}" destId="{41CE55CE-247A-4644-AC8C-A74823B441D9}" srcOrd="0" destOrd="0" presId="urn:microsoft.com/office/officeart/2005/8/layout/bProcess3"/>
    <dgm:cxn modelId="{313BAE33-50F2-49EC-92AF-544B1E6ABAC4}" type="presParOf" srcId="{49CC4D17-2A62-4AF4-8978-3B36AF900569}" destId="{5AFFA08A-001C-4ED2-B5AA-25012E7A66BF}" srcOrd="4" destOrd="0" presId="urn:microsoft.com/office/officeart/2005/8/layout/bProcess3"/>
    <dgm:cxn modelId="{C33FD7BD-68BC-4522-AB50-0896122BEF8C}" type="presParOf" srcId="{49CC4D17-2A62-4AF4-8978-3B36AF900569}" destId="{9C3690FD-7DCE-44FB-86B6-7AAFB2150292}" srcOrd="5" destOrd="0" presId="urn:microsoft.com/office/officeart/2005/8/layout/bProcess3"/>
    <dgm:cxn modelId="{5CFA319E-A7F0-4C49-93E1-0F3C4A93E2AD}" type="presParOf" srcId="{9C3690FD-7DCE-44FB-86B6-7AAFB2150292}" destId="{6A486F00-6316-4CFF-8F89-F8B42ED120ED}" srcOrd="0" destOrd="0" presId="urn:microsoft.com/office/officeart/2005/8/layout/bProcess3"/>
    <dgm:cxn modelId="{211FF7B7-8902-4445-9181-510B20013E18}" type="presParOf" srcId="{49CC4D17-2A62-4AF4-8978-3B36AF900569}" destId="{A3AE89AF-6C4D-4BBC-8EDD-40425E4B81E4}" srcOrd="6" destOrd="0" presId="urn:microsoft.com/office/officeart/2005/8/layout/bProcess3"/>
    <dgm:cxn modelId="{26094298-01C0-4F08-B5C9-83659B4D074C}" type="presParOf" srcId="{49CC4D17-2A62-4AF4-8978-3B36AF900569}" destId="{14CFC39C-3E7C-4DBC-B9C1-166BF4C45C4D}" srcOrd="7" destOrd="0" presId="urn:microsoft.com/office/officeart/2005/8/layout/bProcess3"/>
    <dgm:cxn modelId="{CE30C852-AE82-473A-93DB-AECEF1AC7A1A}" type="presParOf" srcId="{14CFC39C-3E7C-4DBC-B9C1-166BF4C45C4D}" destId="{879EB343-C4A3-4653-990A-62346BF2E962}" srcOrd="0" destOrd="0" presId="urn:microsoft.com/office/officeart/2005/8/layout/bProcess3"/>
    <dgm:cxn modelId="{96A9F5B0-66C9-436B-8B65-D55E5B8358E1}" type="presParOf" srcId="{49CC4D17-2A62-4AF4-8978-3B36AF900569}" destId="{95AB7865-62D1-45E8-A263-78400B5FE5AC}" srcOrd="8" destOrd="0" presId="urn:microsoft.com/office/officeart/2005/8/layout/bProcess3"/>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0205432-4685-4539-B721-DF17ACACE8D7}"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uk-UA"/>
        </a:p>
      </dgm:t>
    </dgm:pt>
    <dgm:pt modelId="{D9ABEBB4-F387-4A89-BA86-654283978618}">
      <dgm:prSet phldrT="[Текст]" custT="1"/>
      <dgm:spPr/>
      <dgm:t>
        <a:bodyPr/>
        <a:lstStyle/>
        <a:p>
          <a:r>
            <a:rPr lang="uk-UA" sz="1100" b="0" i="1">
              <a:latin typeface="Times New Roman" panose="02020603050405020304" pitchFamily="18" charset="0"/>
              <a:cs typeface="Times New Roman" panose="02020603050405020304" pitchFamily="18" charset="0"/>
            </a:rPr>
            <a:t>Уполномоченый по правам человека</a:t>
          </a:r>
        </a:p>
      </dgm:t>
    </dgm:pt>
    <dgm:pt modelId="{BB11400C-AB69-4EA1-AAF0-67E4F264244D}" type="parTrans" cxnId="{57BD9995-8CEE-4CCB-9EA7-D16ABB292DCD}">
      <dgm:prSet/>
      <dgm:spPr/>
      <dgm:t>
        <a:bodyPr/>
        <a:lstStyle/>
        <a:p>
          <a:endParaRPr lang="uk-UA" sz="1100">
            <a:latin typeface="Times New Roman" panose="02020603050405020304" pitchFamily="18" charset="0"/>
            <a:cs typeface="Times New Roman" panose="02020603050405020304" pitchFamily="18" charset="0"/>
          </a:endParaRPr>
        </a:p>
      </dgm:t>
    </dgm:pt>
    <dgm:pt modelId="{4C5B1911-1EE4-45A5-B56A-89185D00213A}" type="sibTrans" cxnId="{57BD9995-8CEE-4CCB-9EA7-D16ABB292DCD}">
      <dgm:prSet/>
      <dgm:spPr/>
      <dgm:t>
        <a:bodyPr/>
        <a:lstStyle/>
        <a:p>
          <a:endParaRPr lang="uk-UA" sz="1100">
            <a:latin typeface="Times New Roman" panose="02020603050405020304" pitchFamily="18" charset="0"/>
            <a:cs typeface="Times New Roman" panose="02020603050405020304" pitchFamily="18" charset="0"/>
          </a:endParaRPr>
        </a:p>
      </dgm:t>
    </dgm:pt>
    <dgm:pt modelId="{4B816361-CFA4-4B97-A0A9-DC979FA00732}">
      <dgm:prSet phldrT="[Текст]" custT="1"/>
      <dgm:spPr/>
      <dgm:t>
        <a:bodyPr/>
        <a:lstStyle/>
        <a:p>
          <a:r>
            <a:rPr lang="uk-UA" sz="1100">
              <a:latin typeface="Times New Roman" panose="02020603050405020304" pitchFamily="18" charset="0"/>
              <a:cs typeface="Times New Roman" panose="02020603050405020304" pitchFamily="18" charset="0"/>
            </a:rPr>
            <a:t>Создание экспертного центра на базе действующего института</a:t>
          </a:r>
        </a:p>
      </dgm:t>
    </dgm:pt>
    <dgm:pt modelId="{6839DEB5-36A6-4DE9-A1F4-B6CA9F3B376E}" type="parTrans" cxnId="{BE7BA573-42D0-490F-A353-B2EFA75E2462}">
      <dgm:prSet/>
      <dgm:spPr/>
      <dgm:t>
        <a:bodyPr/>
        <a:lstStyle/>
        <a:p>
          <a:endParaRPr lang="uk-UA" sz="1100">
            <a:latin typeface="Times New Roman" panose="02020603050405020304" pitchFamily="18" charset="0"/>
            <a:cs typeface="Times New Roman" panose="02020603050405020304" pitchFamily="18" charset="0"/>
          </a:endParaRPr>
        </a:p>
      </dgm:t>
    </dgm:pt>
    <dgm:pt modelId="{A25979D4-979D-4098-A16F-88F424DDBDEE}" type="sibTrans" cxnId="{BE7BA573-42D0-490F-A353-B2EFA75E2462}">
      <dgm:prSet/>
      <dgm:spPr/>
      <dgm:t>
        <a:bodyPr/>
        <a:lstStyle/>
        <a:p>
          <a:endParaRPr lang="uk-UA" sz="1100">
            <a:latin typeface="Times New Roman" panose="02020603050405020304" pitchFamily="18" charset="0"/>
            <a:cs typeface="Times New Roman" panose="02020603050405020304" pitchFamily="18" charset="0"/>
          </a:endParaRPr>
        </a:p>
      </dgm:t>
    </dgm:pt>
    <dgm:pt modelId="{64720D1B-1EC3-4841-A92E-925355EB39E5}">
      <dgm:prSet phldrT="[Текст]" custT="1"/>
      <dgm:spPr/>
      <dgm:t>
        <a:bodyPr/>
        <a:lstStyle/>
        <a:p>
          <a:r>
            <a:rPr lang="uk-UA" sz="1100">
              <a:latin typeface="Times New Roman" panose="02020603050405020304" pitchFamily="18" charset="0"/>
              <a:cs typeface="Times New Roman" panose="02020603050405020304" pitchFamily="18" charset="0"/>
            </a:rPr>
            <a:t>Формирование независимого совета и консультативной платформы</a:t>
          </a:r>
        </a:p>
      </dgm:t>
    </dgm:pt>
    <dgm:pt modelId="{0ADC9548-8012-4B17-AD23-5DAE8C7371E7}" type="parTrans" cxnId="{FE100355-176C-4187-B468-95E8340BE292}">
      <dgm:prSet/>
      <dgm:spPr/>
      <dgm:t>
        <a:bodyPr/>
        <a:lstStyle/>
        <a:p>
          <a:endParaRPr lang="uk-UA" sz="1100">
            <a:latin typeface="Times New Roman" panose="02020603050405020304" pitchFamily="18" charset="0"/>
            <a:cs typeface="Times New Roman" panose="02020603050405020304" pitchFamily="18" charset="0"/>
          </a:endParaRPr>
        </a:p>
      </dgm:t>
    </dgm:pt>
    <dgm:pt modelId="{0F8AAE4E-EA71-4D90-AA65-5B65B5694DBC}" type="sibTrans" cxnId="{FE100355-176C-4187-B468-95E8340BE292}">
      <dgm:prSet/>
      <dgm:spPr/>
      <dgm:t>
        <a:bodyPr/>
        <a:lstStyle/>
        <a:p>
          <a:endParaRPr lang="uk-UA" sz="1100">
            <a:latin typeface="Times New Roman" panose="02020603050405020304" pitchFamily="18" charset="0"/>
            <a:cs typeface="Times New Roman" panose="02020603050405020304" pitchFamily="18" charset="0"/>
          </a:endParaRPr>
        </a:p>
      </dgm:t>
    </dgm:pt>
    <dgm:pt modelId="{91D108DD-C74C-4D92-8337-CD49C6B953FD}">
      <dgm:prSet phldrT="[Текст]" custT="1"/>
      <dgm:spPr/>
      <dgm:t>
        <a:bodyPr/>
        <a:lstStyle/>
        <a:p>
          <a:r>
            <a:rPr lang="uk-UA" sz="1100">
              <a:latin typeface="Times New Roman" panose="02020603050405020304" pitchFamily="18" charset="0"/>
              <a:cs typeface="Times New Roman" panose="02020603050405020304" pitchFamily="18" charset="0"/>
            </a:rPr>
            <a:t>Проведение регуляторных аналитических обзоров и общественных консультаций</a:t>
          </a:r>
        </a:p>
      </dgm:t>
    </dgm:pt>
    <dgm:pt modelId="{9849318D-C365-4466-82CC-3CC321B4047B}" type="parTrans" cxnId="{52FCAE43-C34F-453B-AE9F-00278CA82DD8}">
      <dgm:prSet/>
      <dgm:spPr/>
      <dgm:t>
        <a:bodyPr/>
        <a:lstStyle/>
        <a:p>
          <a:endParaRPr lang="uk-UA" sz="1100">
            <a:latin typeface="Times New Roman" panose="02020603050405020304" pitchFamily="18" charset="0"/>
            <a:cs typeface="Times New Roman" panose="02020603050405020304" pitchFamily="18" charset="0"/>
          </a:endParaRPr>
        </a:p>
      </dgm:t>
    </dgm:pt>
    <dgm:pt modelId="{F60D4F9B-62EE-48F1-9125-93BDF77925CB}" type="sibTrans" cxnId="{52FCAE43-C34F-453B-AE9F-00278CA82DD8}">
      <dgm:prSet/>
      <dgm:spPr/>
      <dgm:t>
        <a:bodyPr/>
        <a:lstStyle/>
        <a:p>
          <a:endParaRPr lang="uk-UA" sz="1100">
            <a:latin typeface="Times New Roman" panose="02020603050405020304" pitchFamily="18" charset="0"/>
            <a:cs typeface="Times New Roman" panose="02020603050405020304" pitchFamily="18" charset="0"/>
          </a:endParaRPr>
        </a:p>
      </dgm:t>
    </dgm:pt>
    <dgm:pt modelId="{34FC1B20-4061-4C35-8E52-4D64F82514CF}" type="pres">
      <dgm:prSet presAssocID="{30205432-4685-4539-B721-DF17ACACE8D7}" presName="cycle" presStyleCnt="0">
        <dgm:presLayoutVars>
          <dgm:chMax val="1"/>
          <dgm:dir/>
          <dgm:animLvl val="ctr"/>
          <dgm:resizeHandles val="exact"/>
        </dgm:presLayoutVars>
      </dgm:prSet>
      <dgm:spPr/>
      <dgm:t>
        <a:bodyPr/>
        <a:lstStyle/>
        <a:p>
          <a:endParaRPr lang="ru-RU"/>
        </a:p>
      </dgm:t>
    </dgm:pt>
    <dgm:pt modelId="{486A5437-0D89-46B1-85C7-CF046AC1057E}" type="pres">
      <dgm:prSet presAssocID="{D9ABEBB4-F387-4A89-BA86-654283978618}" presName="centerShape" presStyleLbl="node0" presStyleIdx="0" presStyleCnt="1" custScaleX="106498" custScaleY="105388"/>
      <dgm:spPr/>
      <dgm:t>
        <a:bodyPr/>
        <a:lstStyle/>
        <a:p>
          <a:endParaRPr lang="ru-RU"/>
        </a:p>
      </dgm:t>
    </dgm:pt>
    <dgm:pt modelId="{D0C7235F-03F7-4A28-BF90-7412E1A82B91}" type="pres">
      <dgm:prSet presAssocID="{6839DEB5-36A6-4DE9-A1F4-B6CA9F3B376E}" presName="parTrans" presStyleLbl="bgSibTrans2D1" presStyleIdx="0" presStyleCnt="3" custAng="11984268" custFlipHor="1" custScaleX="24454" custScaleY="168416" custLinFactNeighborX="26023" custLinFactNeighborY="61059"/>
      <dgm:spPr>
        <a:prstGeom prst="upDownArrow">
          <a:avLst/>
        </a:prstGeom>
      </dgm:spPr>
      <dgm:t>
        <a:bodyPr/>
        <a:lstStyle/>
        <a:p>
          <a:endParaRPr lang="ru-RU"/>
        </a:p>
      </dgm:t>
    </dgm:pt>
    <dgm:pt modelId="{9A9B10CA-FBFC-48D3-B19A-96C5A3A417C6}" type="pres">
      <dgm:prSet presAssocID="{4B816361-CFA4-4B97-A0A9-DC979FA00732}" presName="node" presStyleLbl="node1" presStyleIdx="0" presStyleCnt="3" custRadScaleRad="116409" custRadScaleInc="2563">
        <dgm:presLayoutVars>
          <dgm:bulletEnabled val="1"/>
        </dgm:presLayoutVars>
      </dgm:prSet>
      <dgm:spPr/>
      <dgm:t>
        <a:bodyPr/>
        <a:lstStyle/>
        <a:p>
          <a:endParaRPr lang="ru-RU"/>
        </a:p>
      </dgm:t>
    </dgm:pt>
    <dgm:pt modelId="{8845B4DD-5A23-4C95-BF48-14449A624E3B}" type="pres">
      <dgm:prSet presAssocID="{0ADC9548-8012-4B17-AD23-5DAE8C7371E7}" presName="parTrans" presStyleLbl="bgSibTrans2D1" presStyleIdx="1" presStyleCnt="3" custAng="10800000" custScaleX="69957" custLinFactNeighborX="567" custLinFactNeighborY="79376"/>
      <dgm:spPr>
        <a:prstGeom prst="leftRightArrow">
          <a:avLst/>
        </a:prstGeom>
      </dgm:spPr>
      <dgm:t>
        <a:bodyPr/>
        <a:lstStyle/>
        <a:p>
          <a:endParaRPr lang="ru-RU"/>
        </a:p>
      </dgm:t>
    </dgm:pt>
    <dgm:pt modelId="{F91723A2-F0E6-4398-AE92-A8CF8851FC0D}" type="pres">
      <dgm:prSet presAssocID="{64720D1B-1EC3-4841-A92E-925355EB39E5}" presName="node" presStyleLbl="node1" presStyleIdx="1" presStyleCnt="3">
        <dgm:presLayoutVars>
          <dgm:bulletEnabled val="1"/>
        </dgm:presLayoutVars>
      </dgm:prSet>
      <dgm:spPr/>
      <dgm:t>
        <a:bodyPr/>
        <a:lstStyle/>
        <a:p>
          <a:endParaRPr lang="ru-RU"/>
        </a:p>
      </dgm:t>
    </dgm:pt>
    <dgm:pt modelId="{CDEC228D-80F3-4236-AA3B-98EE870672FE}" type="pres">
      <dgm:prSet presAssocID="{9849318D-C365-4466-82CC-3CC321B4047B}" presName="parTrans" presStyleLbl="bgSibTrans2D1" presStyleIdx="2" presStyleCnt="3" custAng="11005361" custScaleX="55407" custLinFactNeighborX="-28052" custLinFactNeighborY="62585"/>
      <dgm:spPr>
        <a:prstGeom prst="leftRightArrow">
          <a:avLst/>
        </a:prstGeom>
      </dgm:spPr>
      <dgm:t>
        <a:bodyPr/>
        <a:lstStyle/>
        <a:p>
          <a:endParaRPr lang="ru-RU"/>
        </a:p>
      </dgm:t>
    </dgm:pt>
    <dgm:pt modelId="{C234BDD3-DC6A-42DE-AFE2-A7BD711442CD}" type="pres">
      <dgm:prSet presAssocID="{91D108DD-C74C-4D92-8337-CD49C6B953FD}" presName="node" presStyleLbl="node1" presStyleIdx="2" presStyleCnt="3" custRadScaleRad="114155" custRadScaleInc="28">
        <dgm:presLayoutVars>
          <dgm:bulletEnabled val="1"/>
        </dgm:presLayoutVars>
      </dgm:prSet>
      <dgm:spPr/>
      <dgm:t>
        <a:bodyPr/>
        <a:lstStyle/>
        <a:p>
          <a:endParaRPr lang="ru-RU"/>
        </a:p>
      </dgm:t>
    </dgm:pt>
  </dgm:ptLst>
  <dgm:cxnLst>
    <dgm:cxn modelId="{FE100355-176C-4187-B468-95E8340BE292}" srcId="{D9ABEBB4-F387-4A89-BA86-654283978618}" destId="{64720D1B-1EC3-4841-A92E-925355EB39E5}" srcOrd="1" destOrd="0" parTransId="{0ADC9548-8012-4B17-AD23-5DAE8C7371E7}" sibTransId="{0F8AAE4E-EA71-4D90-AA65-5B65B5694DBC}"/>
    <dgm:cxn modelId="{BE7BA573-42D0-490F-A353-B2EFA75E2462}" srcId="{D9ABEBB4-F387-4A89-BA86-654283978618}" destId="{4B816361-CFA4-4B97-A0A9-DC979FA00732}" srcOrd="0" destOrd="0" parTransId="{6839DEB5-36A6-4DE9-A1F4-B6CA9F3B376E}" sibTransId="{A25979D4-979D-4098-A16F-88F424DDBDEE}"/>
    <dgm:cxn modelId="{C74FDD08-221B-4F38-9528-E33B7001A0D9}" type="presOf" srcId="{6839DEB5-36A6-4DE9-A1F4-B6CA9F3B376E}" destId="{D0C7235F-03F7-4A28-BF90-7412E1A82B91}" srcOrd="0" destOrd="0" presId="urn:microsoft.com/office/officeart/2005/8/layout/radial4"/>
    <dgm:cxn modelId="{CDB3EBCB-0589-4923-9C6C-52DDEE464B62}" type="presOf" srcId="{30205432-4685-4539-B721-DF17ACACE8D7}" destId="{34FC1B20-4061-4C35-8E52-4D64F82514CF}" srcOrd="0" destOrd="0" presId="urn:microsoft.com/office/officeart/2005/8/layout/radial4"/>
    <dgm:cxn modelId="{B932F2BC-0D62-4964-B5AF-B2BC41446E2C}" type="presOf" srcId="{4B816361-CFA4-4B97-A0A9-DC979FA00732}" destId="{9A9B10CA-FBFC-48D3-B19A-96C5A3A417C6}" srcOrd="0" destOrd="0" presId="urn:microsoft.com/office/officeart/2005/8/layout/radial4"/>
    <dgm:cxn modelId="{D52DCD6B-7614-4059-AE1F-FF97B4B14B94}" type="presOf" srcId="{0ADC9548-8012-4B17-AD23-5DAE8C7371E7}" destId="{8845B4DD-5A23-4C95-BF48-14449A624E3B}" srcOrd="0" destOrd="0" presId="urn:microsoft.com/office/officeart/2005/8/layout/radial4"/>
    <dgm:cxn modelId="{61F04616-EFEA-43DC-9DCC-77EEBC29576B}" type="presOf" srcId="{D9ABEBB4-F387-4A89-BA86-654283978618}" destId="{486A5437-0D89-46B1-85C7-CF046AC1057E}" srcOrd="0" destOrd="0" presId="urn:microsoft.com/office/officeart/2005/8/layout/radial4"/>
    <dgm:cxn modelId="{52FCAE43-C34F-453B-AE9F-00278CA82DD8}" srcId="{D9ABEBB4-F387-4A89-BA86-654283978618}" destId="{91D108DD-C74C-4D92-8337-CD49C6B953FD}" srcOrd="2" destOrd="0" parTransId="{9849318D-C365-4466-82CC-3CC321B4047B}" sibTransId="{F60D4F9B-62EE-48F1-9125-93BDF77925CB}"/>
    <dgm:cxn modelId="{9B17D561-5C6D-4CBA-8AB0-AB38692502CD}" type="presOf" srcId="{64720D1B-1EC3-4841-A92E-925355EB39E5}" destId="{F91723A2-F0E6-4398-AE92-A8CF8851FC0D}" srcOrd="0" destOrd="0" presId="urn:microsoft.com/office/officeart/2005/8/layout/radial4"/>
    <dgm:cxn modelId="{57BD9995-8CEE-4CCB-9EA7-D16ABB292DCD}" srcId="{30205432-4685-4539-B721-DF17ACACE8D7}" destId="{D9ABEBB4-F387-4A89-BA86-654283978618}" srcOrd="0" destOrd="0" parTransId="{BB11400C-AB69-4EA1-AAF0-67E4F264244D}" sibTransId="{4C5B1911-1EE4-45A5-B56A-89185D00213A}"/>
    <dgm:cxn modelId="{9DFBA7C1-50D4-48F2-ADA5-C856D9220F51}" type="presOf" srcId="{9849318D-C365-4466-82CC-3CC321B4047B}" destId="{CDEC228D-80F3-4236-AA3B-98EE870672FE}" srcOrd="0" destOrd="0" presId="urn:microsoft.com/office/officeart/2005/8/layout/radial4"/>
    <dgm:cxn modelId="{6456B656-4696-4009-A620-8CD9D1DE8BCB}" type="presOf" srcId="{91D108DD-C74C-4D92-8337-CD49C6B953FD}" destId="{C234BDD3-DC6A-42DE-AFE2-A7BD711442CD}" srcOrd="0" destOrd="0" presId="urn:microsoft.com/office/officeart/2005/8/layout/radial4"/>
    <dgm:cxn modelId="{15262C47-0DCF-4BA6-9042-591F170818CC}" type="presParOf" srcId="{34FC1B20-4061-4C35-8E52-4D64F82514CF}" destId="{486A5437-0D89-46B1-85C7-CF046AC1057E}" srcOrd="0" destOrd="0" presId="urn:microsoft.com/office/officeart/2005/8/layout/radial4"/>
    <dgm:cxn modelId="{0BA97C60-9207-4C57-95F1-EFB92AB9A9C6}" type="presParOf" srcId="{34FC1B20-4061-4C35-8E52-4D64F82514CF}" destId="{D0C7235F-03F7-4A28-BF90-7412E1A82B91}" srcOrd="1" destOrd="0" presId="urn:microsoft.com/office/officeart/2005/8/layout/radial4"/>
    <dgm:cxn modelId="{45001774-83E9-4E4A-A085-86FA6D00C23D}" type="presParOf" srcId="{34FC1B20-4061-4C35-8E52-4D64F82514CF}" destId="{9A9B10CA-FBFC-48D3-B19A-96C5A3A417C6}" srcOrd="2" destOrd="0" presId="urn:microsoft.com/office/officeart/2005/8/layout/radial4"/>
    <dgm:cxn modelId="{B88C93EE-143F-4C5F-A743-D4552901E132}" type="presParOf" srcId="{34FC1B20-4061-4C35-8E52-4D64F82514CF}" destId="{8845B4DD-5A23-4C95-BF48-14449A624E3B}" srcOrd="3" destOrd="0" presId="urn:microsoft.com/office/officeart/2005/8/layout/radial4"/>
    <dgm:cxn modelId="{AA04F81C-AF6D-45BD-AA9A-E8AE201A1C50}" type="presParOf" srcId="{34FC1B20-4061-4C35-8E52-4D64F82514CF}" destId="{F91723A2-F0E6-4398-AE92-A8CF8851FC0D}" srcOrd="4" destOrd="0" presId="urn:microsoft.com/office/officeart/2005/8/layout/radial4"/>
    <dgm:cxn modelId="{C2BC8330-2D63-4AE1-9BD9-99A38AE4DE51}" type="presParOf" srcId="{34FC1B20-4061-4C35-8E52-4D64F82514CF}" destId="{CDEC228D-80F3-4236-AA3B-98EE870672FE}" srcOrd="5" destOrd="0" presId="urn:microsoft.com/office/officeart/2005/8/layout/radial4"/>
    <dgm:cxn modelId="{EF6688A0-B8B8-491F-BA40-CE3F926B1ABE}" type="presParOf" srcId="{34FC1B20-4061-4C35-8E52-4D64F82514CF}" destId="{C234BDD3-DC6A-42DE-AFE2-A7BD711442CD}" srcOrd="6" destOrd="0" presId="urn:microsoft.com/office/officeart/2005/8/layout/radial4"/>
  </dgm:cxnLst>
  <dgm:bg/>
  <dgm:whole/>
  <dgm:extLst>
    <a:ext uri="http://schemas.microsoft.com/office/drawing/2008/diagram">
      <dsp:dataModelExt xmlns:dsp="http://schemas.microsoft.com/office/drawing/2008/diagram" relId="rId78"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1860AB88-0D09-4BFA-9E50-1D6983B31ACF}" type="doc">
      <dgm:prSet loTypeId="urn:microsoft.com/office/officeart/2005/8/layout/arrow2" loCatId="process" qsTypeId="urn:microsoft.com/office/officeart/2005/8/quickstyle/simple2" qsCatId="simple" csTypeId="urn:microsoft.com/office/officeart/2005/8/colors/accent3_2" csCatId="accent3" phldr="1"/>
      <dgm:spPr/>
      <dgm:t>
        <a:bodyPr/>
        <a:lstStyle/>
        <a:p>
          <a:endParaRPr lang="uk-UA"/>
        </a:p>
      </dgm:t>
    </dgm:pt>
    <dgm:pt modelId="{5365DA18-EFD5-497B-A234-F57D9EF4187D}">
      <dgm:prSet phldrT="[Текст]" custT="1"/>
      <dgm:spPr/>
      <dgm:t>
        <a:bodyPr/>
        <a:lstStyle/>
        <a:p>
          <a:pPr algn="l"/>
          <a:r>
            <a:rPr lang="ru-RU" sz="1200" i="1">
              <a:latin typeface="Times New Roman" panose="02020603050405020304" pitchFamily="18" charset="0"/>
              <a:cs typeface="Times New Roman" panose="02020603050405020304" pitchFamily="18" charset="0"/>
            </a:rPr>
            <a:t>Формирование предложений и обратная связь с государственными структурами</a:t>
          </a:r>
          <a:endParaRPr lang="uk-UA" sz="1200" i="1">
            <a:latin typeface="Times New Roman" panose="02020603050405020304" pitchFamily="18" charset="0"/>
            <a:cs typeface="Times New Roman" panose="02020603050405020304" pitchFamily="18" charset="0"/>
          </a:endParaRPr>
        </a:p>
      </dgm:t>
    </dgm:pt>
    <dgm:pt modelId="{C72A470A-A159-4233-AEB6-5C9ED28160CC}" type="parTrans" cxnId="{EB37D8F8-EC13-46DB-A445-FD08A77AA8B0}">
      <dgm:prSet/>
      <dgm:spPr/>
      <dgm:t>
        <a:bodyPr/>
        <a:lstStyle/>
        <a:p>
          <a:endParaRPr lang="uk-UA" sz="1200">
            <a:latin typeface="Times New Roman" panose="02020603050405020304" pitchFamily="18" charset="0"/>
            <a:cs typeface="Times New Roman" panose="02020603050405020304" pitchFamily="18" charset="0"/>
          </a:endParaRPr>
        </a:p>
      </dgm:t>
    </dgm:pt>
    <dgm:pt modelId="{370F900D-0511-41E0-A670-4B6F9CAA749B}" type="sibTrans" cxnId="{EB37D8F8-EC13-46DB-A445-FD08A77AA8B0}">
      <dgm:prSet/>
      <dgm:spPr/>
      <dgm:t>
        <a:bodyPr/>
        <a:lstStyle/>
        <a:p>
          <a:endParaRPr lang="uk-UA" sz="1200">
            <a:latin typeface="Times New Roman" panose="02020603050405020304" pitchFamily="18" charset="0"/>
            <a:cs typeface="Times New Roman" panose="02020603050405020304" pitchFamily="18" charset="0"/>
          </a:endParaRPr>
        </a:p>
      </dgm:t>
    </dgm:pt>
    <dgm:pt modelId="{0EA81373-89F4-4B88-ACE6-59B2A131202C}">
      <dgm:prSet custT="1"/>
      <dgm:spPr/>
      <dgm:t>
        <a:bodyPr/>
        <a:lstStyle/>
        <a:p>
          <a:pPr algn="just"/>
          <a:r>
            <a:rPr lang="ru-RU" sz="1200" i="1">
              <a:latin typeface="Times New Roman" panose="02020603050405020304" pitchFamily="18" charset="0"/>
              <a:cs typeface="Times New Roman" panose="02020603050405020304" pitchFamily="18" charset="0"/>
            </a:rPr>
            <a:t>Национально-международная мониторинговая платформа</a:t>
          </a:r>
          <a:endParaRPr lang="uk-UA" sz="1200" i="1">
            <a:latin typeface="Times New Roman" panose="02020603050405020304" pitchFamily="18" charset="0"/>
            <a:cs typeface="Times New Roman" panose="02020603050405020304" pitchFamily="18" charset="0"/>
          </a:endParaRPr>
        </a:p>
      </dgm:t>
    </dgm:pt>
    <dgm:pt modelId="{8CCD2BF5-2994-4AD2-ABF4-1A1D0A0F6D34}" type="parTrans" cxnId="{4A62F259-D871-40A8-B1D1-4333CD6BAEA0}">
      <dgm:prSet/>
      <dgm:spPr/>
      <dgm:t>
        <a:bodyPr/>
        <a:lstStyle/>
        <a:p>
          <a:endParaRPr lang="uk-UA" sz="1200">
            <a:latin typeface="Times New Roman" panose="02020603050405020304" pitchFamily="18" charset="0"/>
            <a:cs typeface="Times New Roman" panose="02020603050405020304" pitchFamily="18" charset="0"/>
          </a:endParaRPr>
        </a:p>
      </dgm:t>
    </dgm:pt>
    <dgm:pt modelId="{A6EB5BB7-D34E-44D1-B3D7-85A077410070}" type="sibTrans" cxnId="{4A62F259-D871-40A8-B1D1-4333CD6BAEA0}">
      <dgm:prSet/>
      <dgm:spPr/>
      <dgm:t>
        <a:bodyPr/>
        <a:lstStyle/>
        <a:p>
          <a:endParaRPr lang="uk-UA" sz="1200">
            <a:latin typeface="Times New Roman" panose="02020603050405020304" pitchFamily="18" charset="0"/>
            <a:cs typeface="Times New Roman" panose="02020603050405020304" pitchFamily="18" charset="0"/>
          </a:endParaRPr>
        </a:p>
      </dgm:t>
    </dgm:pt>
    <dgm:pt modelId="{F890B8CA-975A-4002-A52B-50F8F030224E}">
      <dgm:prSet custT="1"/>
      <dgm:spPr/>
      <dgm:t>
        <a:bodyPr/>
        <a:lstStyle/>
        <a:p>
          <a:pPr algn="l"/>
          <a:r>
            <a:rPr lang="ru-RU" sz="1200" i="1">
              <a:latin typeface="Times New Roman" panose="02020603050405020304" pitchFamily="18" charset="0"/>
              <a:cs typeface="Times New Roman" panose="02020603050405020304" pitchFamily="18" charset="0"/>
            </a:rPr>
            <a:t>Формирование системы индикаторов</a:t>
          </a:r>
          <a:endParaRPr lang="uk-UA" sz="1200" i="1">
            <a:latin typeface="Times New Roman" panose="02020603050405020304" pitchFamily="18" charset="0"/>
            <a:cs typeface="Times New Roman" panose="02020603050405020304" pitchFamily="18" charset="0"/>
          </a:endParaRPr>
        </a:p>
      </dgm:t>
    </dgm:pt>
    <dgm:pt modelId="{E221518C-7B7C-45CE-9E16-8D323C9B3416}" type="parTrans" cxnId="{A2D20DFA-22AD-42D7-B52B-9AA0A9A64401}">
      <dgm:prSet/>
      <dgm:spPr/>
      <dgm:t>
        <a:bodyPr/>
        <a:lstStyle/>
        <a:p>
          <a:endParaRPr lang="uk-UA" sz="1200">
            <a:latin typeface="Times New Roman" panose="02020603050405020304" pitchFamily="18" charset="0"/>
            <a:cs typeface="Times New Roman" panose="02020603050405020304" pitchFamily="18" charset="0"/>
          </a:endParaRPr>
        </a:p>
      </dgm:t>
    </dgm:pt>
    <dgm:pt modelId="{4A46BAC3-81DC-4A03-9194-1C879B3C6A22}" type="sibTrans" cxnId="{A2D20DFA-22AD-42D7-B52B-9AA0A9A64401}">
      <dgm:prSet/>
      <dgm:spPr/>
      <dgm:t>
        <a:bodyPr/>
        <a:lstStyle/>
        <a:p>
          <a:endParaRPr lang="uk-UA" sz="1200">
            <a:latin typeface="Times New Roman" panose="02020603050405020304" pitchFamily="18" charset="0"/>
            <a:cs typeface="Times New Roman" panose="02020603050405020304" pitchFamily="18" charset="0"/>
          </a:endParaRPr>
        </a:p>
      </dgm:t>
    </dgm:pt>
    <dgm:pt modelId="{3D6344F0-91E6-4C7C-AE5C-C7159D4950A4}">
      <dgm:prSet custT="1"/>
      <dgm:spPr/>
      <dgm:t>
        <a:bodyPr/>
        <a:lstStyle/>
        <a:p>
          <a:pPr algn="l"/>
          <a:r>
            <a:rPr lang="ru-RU" sz="1200" i="1">
              <a:latin typeface="Times New Roman" panose="02020603050405020304" pitchFamily="18" charset="0"/>
              <a:cs typeface="Times New Roman" panose="02020603050405020304" pitchFamily="18" charset="0"/>
            </a:rPr>
            <a:t>Публикация результатов и обсуждение с заинтересованными сторонами</a:t>
          </a:r>
          <a:endParaRPr lang="uk-UA" sz="1200" i="1">
            <a:latin typeface="Times New Roman" panose="02020603050405020304" pitchFamily="18" charset="0"/>
            <a:cs typeface="Times New Roman" panose="02020603050405020304" pitchFamily="18" charset="0"/>
          </a:endParaRPr>
        </a:p>
      </dgm:t>
    </dgm:pt>
    <dgm:pt modelId="{3B65C872-7DE6-422F-B038-FA4E45C08BDC}" type="parTrans" cxnId="{F1DBBA37-C6B2-445D-9980-FC225F872903}">
      <dgm:prSet/>
      <dgm:spPr/>
      <dgm:t>
        <a:bodyPr/>
        <a:lstStyle/>
        <a:p>
          <a:endParaRPr lang="uk-UA" sz="1200">
            <a:latin typeface="Times New Roman" panose="02020603050405020304" pitchFamily="18" charset="0"/>
            <a:cs typeface="Times New Roman" panose="02020603050405020304" pitchFamily="18" charset="0"/>
          </a:endParaRPr>
        </a:p>
      </dgm:t>
    </dgm:pt>
    <dgm:pt modelId="{BD0B8DFF-FABB-420F-9EA6-631313272654}" type="sibTrans" cxnId="{F1DBBA37-C6B2-445D-9980-FC225F872903}">
      <dgm:prSet/>
      <dgm:spPr/>
      <dgm:t>
        <a:bodyPr/>
        <a:lstStyle/>
        <a:p>
          <a:endParaRPr lang="uk-UA" sz="1200">
            <a:latin typeface="Times New Roman" panose="02020603050405020304" pitchFamily="18" charset="0"/>
            <a:cs typeface="Times New Roman" panose="02020603050405020304" pitchFamily="18" charset="0"/>
          </a:endParaRPr>
        </a:p>
      </dgm:t>
    </dgm:pt>
    <dgm:pt modelId="{3FAE9D11-4C98-4384-945B-CA7BFE37A019}">
      <dgm:prSet custT="1"/>
      <dgm:spPr/>
      <dgm:t>
        <a:bodyPr/>
        <a:lstStyle/>
        <a:p>
          <a:pPr algn="just"/>
          <a:r>
            <a:rPr lang="ru-RU" sz="1200">
              <a:latin typeface="Times New Roman" panose="02020603050405020304" pitchFamily="18" charset="0"/>
              <a:cs typeface="Times New Roman" panose="02020603050405020304" pitchFamily="18" charset="0"/>
            </a:rPr>
            <a:t>Представление данных, аналитических выводов и рекомендаций широкой аудитории, включая государственные органы, международные организации, экспертов и гражданское общество.</a:t>
          </a:r>
          <a:endParaRPr lang="uk-UA" sz="1200">
            <a:latin typeface="Times New Roman" panose="02020603050405020304" pitchFamily="18" charset="0"/>
            <a:cs typeface="Times New Roman" panose="02020603050405020304" pitchFamily="18" charset="0"/>
          </a:endParaRPr>
        </a:p>
      </dgm:t>
    </dgm:pt>
    <dgm:pt modelId="{EE9E5348-EA89-4033-AD93-E6CF55B81745}" type="parTrans" cxnId="{5AB342DC-1D70-40A0-BA82-74D9965079F6}">
      <dgm:prSet/>
      <dgm:spPr/>
      <dgm:t>
        <a:bodyPr/>
        <a:lstStyle/>
        <a:p>
          <a:endParaRPr lang="uk-UA" sz="1200">
            <a:latin typeface="Times New Roman" panose="02020603050405020304" pitchFamily="18" charset="0"/>
            <a:cs typeface="Times New Roman" panose="02020603050405020304" pitchFamily="18" charset="0"/>
          </a:endParaRPr>
        </a:p>
      </dgm:t>
    </dgm:pt>
    <dgm:pt modelId="{DD51A3FC-54D7-4434-8B4D-D700B2E68499}" type="sibTrans" cxnId="{5AB342DC-1D70-40A0-BA82-74D9965079F6}">
      <dgm:prSet/>
      <dgm:spPr/>
      <dgm:t>
        <a:bodyPr/>
        <a:lstStyle/>
        <a:p>
          <a:endParaRPr lang="uk-UA" sz="1200">
            <a:latin typeface="Times New Roman" panose="02020603050405020304" pitchFamily="18" charset="0"/>
            <a:cs typeface="Times New Roman" panose="02020603050405020304" pitchFamily="18" charset="0"/>
          </a:endParaRPr>
        </a:p>
      </dgm:t>
    </dgm:pt>
    <dgm:pt modelId="{F9FB3662-791F-459E-9F26-234DC091608A}">
      <dgm:prSet custT="1"/>
      <dgm:spPr/>
      <dgm:t>
        <a:bodyPr/>
        <a:lstStyle/>
        <a:p>
          <a:pPr algn="just"/>
          <a:r>
            <a:rPr lang="ru-RU" sz="1200">
              <a:latin typeface="Times New Roman" panose="02020603050405020304" pitchFamily="18" charset="0"/>
              <a:cs typeface="Times New Roman" panose="02020603050405020304" pitchFamily="18" charset="0"/>
            </a:rPr>
            <a:t>Мониторинг показателей с интеграцией национальных данных и международных стандартов для обоснованных решений</a:t>
          </a:r>
        </a:p>
      </dgm:t>
    </dgm:pt>
    <dgm:pt modelId="{D9B6829F-A3FD-437C-982E-2F1D11CA7420}" type="parTrans" cxnId="{0C227E3C-3CD3-4F54-BFFC-1CECD89F0476}">
      <dgm:prSet/>
      <dgm:spPr/>
      <dgm:t>
        <a:bodyPr/>
        <a:lstStyle/>
        <a:p>
          <a:endParaRPr lang="ru-RU" sz="1200">
            <a:latin typeface="Times New Roman" panose="02020603050405020304" pitchFamily="18" charset="0"/>
            <a:cs typeface="Times New Roman" panose="02020603050405020304" pitchFamily="18" charset="0"/>
          </a:endParaRPr>
        </a:p>
      </dgm:t>
    </dgm:pt>
    <dgm:pt modelId="{F3F85346-8F63-47B2-966B-DCF85B274195}" type="sibTrans" cxnId="{0C227E3C-3CD3-4F54-BFFC-1CECD89F0476}">
      <dgm:prSet/>
      <dgm:spPr/>
      <dgm:t>
        <a:bodyPr/>
        <a:lstStyle/>
        <a:p>
          <a:endParaRPr lang="ru-RU" sz="1200">
            <a:latin typeface="Times New Roman" panose="02020603050405020304" pitchFamily="18" charset="0"/>
            <a:cs typeface="Times New Roman" panose="02020603050405020304" pitchFamily="18" charset="0"/>
          </a:endParaRPr>
        </a:p>
      </dgm:t>
    </dgm:pt>
    <dgm:pt modelId="{7F3DD364-1330-44C2-A427-6DC2B11C46FF}">
      <dgm:prSet custT="1"/>
      <dgm:spPr/>
      <dgm:t>
        <a:bodyPr/>
        <a:lstStyle/>
        <a:p>
          <a:pPr algn="just"/>
          <a:r>
            <a:rPr lang="ru-RU" sz="1200">
              <a:latin typeface="Times New Roman" panose="02020603050405020304" pitchFamily="18" charset="0"/>
              <a:cs typeface="Times New Roman" panose="02020603050405020304" pitchFamily="18" charset="0"/>
            </a:rPr>
            <a:t>Отбор ключевых показателей для мониторинга и оценки с целью объективного анализа данных для управленческих решений.</a:t>
          </a:r>
        </a:p>
      </dgm:t>
    </dgm:pt>
    <dgm:pt modelId="{1481B08B-9076-45D5-B8C5-AC3EE7048BBE}" type="parTrans" cxnId="{77ECAC86-32D8-474D-99E6-41DFADD1CC04}">
      <dgm:prSet/>
      <dgm:spPr/>
      <dgm:t>
        <a:bodyPr/>
        <a:lstStyle/>
        <a:p>
          <a:endParaRPr lang="ru-RU" sz="1200">
            <a:latin typeface="Times New Roman" panose="02020603050405020304" pitchFamily="18" charset="0"/>
            <a:cs typeface="Times New Roman" panose="02020603050405020304" pitchFamily="18" charset="0"/>
          </a:endParaRPr>
        </a:p>
      </dgm:t>
    </dgm:pt>
    <dgm:pt modelId="{9EB2B29C-4AA4-460C-8201-B608C84560D6}" type="sibTrans" cxnId="{77ECAC86-32D8-474D-99E6-41DFADD1CC04}">
      <dgm:prSet/>
      <dgm:spPr/>
      <dgm:t>
        <a:bodyPr/>
        <a:lstStyle/>
        <a:p>
          <a:endParaRPr lang="ru-RU" sz="1200">
            <a:latin typeface="Times New Roman" panose="02020603050405020304" pitchFamily="18" charset="0"/>
            <a:cs typeface="Times New Roman" panose="02020603050405020304" pitchFamily="18" charset="0"/>
          </a:endParaRPr>
        </a:p>
      </dgm:t>
    </dgm:pt>
    <dgm:pt modelId="{05EB0A12-C60C-4466-A841-F5DB024DA9EC}">
      <dgm:prSet custT="1"/>
      <dgm:spPr/>
      <dgm:t>
        <a:bodyPr/>
        <a:lstStyle/>
        <a:p>
          <a:pPr algn="just"/>
          <a:r>
            <a:rPr lang="ru-RU" sz="1200">
              <a:latin typeface="Times New Roman" panose="02020603050405020304" pitchFamily="18" charset="0"/>
              <a:cs typeface="Times New Roman" panose="02020603050405020304" pitchFamily="18" charset="0"/>
            </a:rPr>
            <a:t>Аналитико-консультационный этап формирования рекомендаций с учетом обратной связи для улучшения решений.</a:t>
          </a:r>
        </a:p>
      </dgm:t>
    </dgm:pt>
    <dgm:pt modelId="{2F5E7AEF-D07C-4A84-9148-41E3093B54FC}" type="parTrans" cxnId="{D58AF669-72FF-4C9B-B3D0-2E0928D8C69B}">
      <dgm:prSet/>
      <dgm:spPr/>
      <dgm:t>
        <a:bodyPr/>
        <a:lstStyle/>
        <a:p>
          <a:endParaRPr lang="ru-RU" sz="1200">
            <a:latin typeface="Times New Roman" panose="02020603050405020304" pitchFamily="18" charset="0"/>
            <a:cs typeface="Times New Roman" panose="02020603050405020304" pitchFamily="18" charset="0"/>
          </a:endParaRPr>
        </a:p>
      </dgm:t>
    </dgm:pt>
    <dgm:pt modelId="{1F724A8B-84D3-4E77-A307-4B985394F70A}" type="sibTrans" cxnId="{D58AF669-72FF-4C9B-B3D0-2E0928D8C69B}">
      <dgm:prSet/>
      <dgm:spPr/>
      <dgm:t>
        <a:bodyPr/>
        <a:lstStyle/>
        <a:p>
          <a:endParaRPr lang="ru-RU" sz="1200">
            <a:latin typeface="Times New Roman" panose="02020603050405020304" pitchFamily="18" charset="0"/>
            <a:cs typeface="Times New Roman" panose="02020603050405020304" pitchFamily="18" charset="0"/>
          </a:endParaRPr>
        </a:p>
      </dgm:t>
    </dgm:pt>
    <dgm:pt modelId="{DFB562A3-1208-4A69-96CE-87CB35CFF7E7}" type="pres">
      <dgm:prSet presAssocID="{1860AB88-0D09-4BFA-9E50-1D6983B31ACF}" presName="arrowDiagram" presStyleCnt="0">
        <dgm:presLayoutVars>
          <dgm:chMax val="5"/>
          <dgm:dir/>
          <dgm:resizeHandles val="exact"/>
        </dgm:presLayoutVars>
      </dgm:prSet>
      <dgm:spPr/>
      <dgm:t>
        <a:bodyPr/>
        <a:lstStyle/>
        <a:p>
          <a:endParaRPr lang="ru-RU"/>
        </a:p>
      </dgm:t>
    </dgm:pt>
    <dgm:pt modelId="{AB6B6017-962D-473D-97E2-368307DB5AD5}" type="pres">
      <dgm:prSet presAssocID="{1860AB88-0D09-4BFA-9E50-1D6983B31ACF}" presName="arrow" presStyleLbl="bgShp" presStyleIdx="0" presStyleCnt="1"/>
      <dgm:spPr/>
    </dgm:pt>
    <dgm:pt modelId="{A51A3B1F-563E-452F-9BCD-3FBBC10AC8F4}" type="pres">
      <dgm:prSet presAssocID="{1860AB88-0D09-4BFA-9E50-1D6983B31ACF}" presName="arrowDiagram4" presStyleCnt="0"/>
      <dgm:spPr/>
    </dgm:pt>
    <dgm:pt modelId="{0C67778B-8B3C-4ECC-9994-C598F0A7719B}" type="pres">
      <dgm:prSet presAssocID="{0EA81373-89F4-4B88-ACE6-59B2A131202C}" presName="bullet4a" presStyleLbl="node1" presStyleIdx="0" presStyleCnt="4"/>
      <dgm:spPr/>
    </dgm:pt>
    <dgm:pt modelId="{A77B79E4-643A-4692-BB0D-1A5DE8A9E11A}" type="pres">
      <dgm:prSet presAssocID="{0EA81373-89F4-4B88-ACE6-59B2A131202C}" presName="textBox4a" presStyleLbl="revTx" presStyleIdx="0" presStyleCnt="4" custScaleX="118487" custLinFactNeighborX="9809" custLinFactNeighborY="-17349">
        <dgm:presLayoutVars>
          <dgm:bulletEnabled val="1"/>
        </dgm:presLayoutVars>
      </dgm:prSet>
      <dgm:spPr/>
      <dgm:t>
        <a:bodyPr/>
        <a:lstStyle/>
        <a:p>
          <a:endParaRPr lang="ru-RU"/>
        </a:p>
      </dgm:t>
    </dgm:pt>
    <dgm:pt modelId="{C1C22099-7C9C-42A3-84A5-E43F63AAD716}" type="pres">
      <dgm:prSet presAssocID="{F890B8CA-975A-4002-A52B-50F8F030224E}" presName="bullet4b" presStyleLbl="node1" presStyleIdx="1" presStyleCnt="4"/>
      <dgm:spPr/>
    </dgm:pt>
    <dgm:pt modelId="{EF7688D1-7CCF-4600-934C-C1FAB7B50E5E}" type="pres">
      <dgm:prSet presAssocID="{F890B8CA-975A-4002-A52B-50F8F030224E}" presName="textBox4b" presStyleLbl="revTx" presStyleIdx="1" presStyleCnt="4" custScaleX="104270" custLinFactNeighborX="14132" custLinFactNeighborY="-3162">
        <dgm:presLayoutVars>
          <dgm:bulletEnabled val="1"/>
        </dgm:presLayoutVars>
      </dgm:prSet>
      <dgm:spPr/>
      <dgm:t>
        <a:bodyPr/>
        <a:lstStyle/>
        <a:p>
          <a:endParaRPr lang="ru-RU"/>
        </a:p>
      </dgm:t>
    </dgm:pt>
    <dgm:pt modelId="{6DD784FB-9F15-4649-B808-64D908A945FD}" type="pres">
      <dgm:prSet presAssocID="{3D6344F0-91E6-4C7C-AE5C-C7159D4950A4}" presName="bullet4c" presStyleLbl="node1" presStyleIdx="2" presStyleCnt="4"/>
      <dgm:spPr/>
    </dgm:pt>
    <dgm:pt modelId="{9C55BB85-0855-4DF2-936E-7593DEF34936}" type="pres">
      <dgm:prSet presAssocID="{3D6344F0-91E6-4C7C-AE5C-C7159D4950A4}" presName="textBox4c" presStyleLbl="revTx" presStyleIdx="2" presStyleCnt="4" custScaleX="111828" custLinFactNeighborX="9831" custLinFactNeighborY="668">
        <dgm:presLayoutVars>
          <dgm:bulletEnabled val="1"/>
        </dgm:presLayoutVars>
      </dgm:prSet>
      <dgm:spPr/>
      <dgm:t>
        <a:bodyPr/>
        <a:lstStyle/>
        <a:p>
          <a:endParaRPr lang="ru-RU"/>
        </a:p>
      </dgm:t>
    </dgm:pt>
    <dgm:pt modelId="{8449C0A8-4BEA-4A92-80B9-9F001C99F719}" type="pres">
      <dgm:prSet presAssocID="{5365DA18-EFD5-497B-A234-F57D9EF4187D}" presName="bullet4d" presStyleLbl="node1" presStyleIdx="3" presStyleCnt="4"/>
      <dgm:spPr/>
    </dgm:pt>
    <dgm:pt modelId="{F1CB945C-12F0-4B9D-A19A-F66D3249B778}" type="pres">
      <dgm:prSet presAssocID="{5365DA18-EFD5-497B-A234-F57D9EF4187D}" presName="textBox4d" presStyleLbl="revTx" presStyleIdx="3" presStyleCnt="4" custScaleX="130108">
        <dgm:presLayoutVars>
          <dgm:bulletEnabled val="1"/>
        </dgm:presLayoutVars>
      </dgm:prSet>
      <dgm:spPr/>
      <dgm:t>
        <a:bodyPr/>
        <a:lstStyle/>
        <a:p>
          <a:endParaRPr lang="ru-RU"/>
        </a:p>
      </dgm:t>
    </dgm:pt>
  </dgm:ptLst>
  <dgm:cxnLst>
    <dgm:cxn modelId="{EB37D8F8-EC13-46DB-A445-FD08A77AA8B0}" srcId="{1860AB88-0D09-4BFA-9E50-1D6983B31ACF}" destId="{5365DA18-EFD5-497B-A234-F57D9EF4187D}" srcOrd="3" destOrd="0" parTransId="{C72A470A-A159-4233-AEB6-5C9ED28160CC}" sibTransId="{370F900D-0511-41E0-A670-4B6F9CAA749B}"/>
    <dgm:cxn modelId="{F1DBBA37-C6B2-445D-9980-FC225F872903}" srcId="{1860AB88-0D09-4BFA-9E50-1D6983B31ACF}" destId="{3D6344F0-91E6-4C7C-AE5C-C7159D4950A4}" srcOrd="2" destOrd="0" parTransId="{3B65C872-7DE6-422F-B038-FA4E45C08BDC}" sibTransId="{BD0B8DFF-FABB-420F-9EA6-631313272654}"/>
    <dgm:cxn modelId="{4A62F259-D871-40A8-B1D1-4333CD6BAEA0}" srcId="{1860AB88-0D09-4BFA-9E50-1D6983B31ACF}" destId="{0EA81373-89F4-4B88-ACE6-59B2A131202C}" srcOrd="0" destOrd="0" parTransId="{8CCD2BF5-2994-4AD2-ABF4-1A1D0A0F6D34}" sibTransId="{A6EB5BB7-D34E-44D1-B3D7-85A077410070}"/>
    <dgm:cxn modelId="{D58AF669-72FF-4C9B-B3D0-2E0928D8C69B}" srcId="{5365DA18-EFD5-497B-A234-F57D9EF4187D}" destId="{05EB0A12-C60C-4466-A841-F5DB024DA9EC}" srcOrd="0" destOrd="0" parTransId="{2F5E7AEF-D07C-4A84-9148-41E3093B54FC}" sibTransId="{1F724A8B-84D3-4E77-A307-4B985394F70A}"/>
    <dgm:cxn modelId="{F9EFF575-8C43-47A9-B20F-0FE00E2A442A}" type="presOf" srcId="{F9FB3662-791F-459E-9F26-234DC091608A}" destId="{A77B79E4-643A-4692-BB0D-1A5DE8A9E11A}" srcOrd="0" destOrd="1" presId="urn:microsoft.com/office/officeart/2005/8/layout/arrow2"/>
    <dgm:cxn modelId="{75E825DD-712E-4CA0-8D6C-FD997B048D8B}" type="presOf" srcId="{5365DA18-EFD5-497B-A234-F57D9EF4187D}" destId="{F1CB945C-12F0-4B9D-A19A-F66D3249B778}" srcOrd="0" destOrd="0" presId="urn:microsoft.com/office/officeart/2005/8/layout/arrow2"/>
    <dgm:cxn modelId="{0C227E3C-3CD3-4F54-BFFC-1CECD89F0476}" srcId="{0EA81373-89F4-4B88-ACE6-59B2A131202C}" destId="{F9FB3662-791F-459E-9F26-234DC091608A}" srcOrd="0" destOrd="0" parTransId="{D9B6829F-A3FD-437C-982E-2F1D11CA7420}" sibTransId="{F3F85346-8F63-47B2-966B-DCF85B274195}"/>
    <dgm:cxn modelId="{8351B3F2-FB9C-47EC-A285-538F89E785D6}" type="presOf" srcId="{F890B8CA-975A-4002-A52B-50F8F030224E}" destId="{EF7688D1-7CCF-4600-934C-C1FAB7B50E5E}" srcOrd="0" destOrd="0" presId="urn:microsoft.com/office/officeart/2005/8/layout/arrow2"/>
    <dgm:cxn modelId="{008EF6F6-6A15-4DB3-8E14-7261A14BC45D}" type="presOf" srcId="{7F3DD364-1330-44C2-A427-6DC2B11C46FF}" destId="{EF7688D1-7CCF-4600-934C-C1FAB7B50E5E}" srcOrd="0" destOrd="1" presId="urn:microsoft.com/office/officeart/2005/8/layout/arrow2"/>
    <dgm:cxn modelId="{A2D20DFA-22AD-42D7-B52B-9AA0A9A64401}" srcId="{1860AB88-0D09-4BFA-9E50-1D6983B31ACF}" destId="{F890B8CA-975A-4002-A52B-50F8F030224E}" srcOrd="1" destOrd="0" parTransId="{E221518C-7B7C-45CE-9E16-8D323C9B3416}" sibTransId="{4A46BAC3-81DC-4A03-9194-1C879B3C6A22}"/>
    <dgm:cxn modelId="{E8180700-B3AB-46D1-9949-B548323FE496}" type="presOf" srcId="{1860AB88-0D09-4BFA-9E50-1D6983B31ACF}" destId="{DFB562A3-1208-4A69-96CE-87CB35CFF7E7}" srcOrd="0" destOrd="0" presId="urn:microsoft.com/office/officeart/2005/8/layout/arrow2"/>
    <dgm:cxn modelId="{4AE2D7ED-9F0B-48E0-ADC0-1E059307FDFB}" type="presOf" srcId="{05EB0A12-C60C-4466-A841-F5DB024DA9EC}" destId="{F1CB945C-12F0-4B9D-A19A-F66D3249B778}" srcOrd="0" destOrd="1" presId="urn:microsoft.com/office/officeart/2005/8/layout/arrow2"/>
    <dgm:cxn modelId="{11FB979C-8CD1-4296-AC55-12CEA7EDFAFC}" type="presOf" srcId="{3FAE9D11-4C98-4384-945B-CA7BFE37A019}" destId="{9C55BB85-0855-4DF2-936E-7593DEF34936}" srcOrd="0" destOrd="1" presId="urn:microsoft.com/office/officeart/2005/8/layout/arrow2"/>
    <dgm:cxn modelId="{5E733961-B025-409A-B08E-258FCCDA1667}" type="presOf" srcId="{0EA81373-89F4-4B88-ACE6-59B2A131202C}" destId="{A77B79E4-643A-4692-BB0D-1A5DE8A9E11A}" srcOrd="0" destOrd="0" presId="urn:microsoft.com/office/officeart/2005/8/layout/arrow2"/>
    <dgm:cxn modelId="{77ECAC86-32D8-474D-99E6-41DFADD1CC04}" srcId="{F890B8CA-975A-4002-A52B-50F8F030224E}" destId="{7F3DD364-1330-44C2-A427-6DC2B11C46FF}" srcOrd="0" destOrd="0" parTransId="{1481B08B-9076-45D5-B8C5-AC3EE7048BBE}" sibTransId="{9EB2B29C-4AA4-460C-8201-B608C84560D6}"/>
    <dgm:cxn modelId="{5AB342DC-1D70-40A0-BA82-74D9965079F6}" srcId="{3D6344F0-91E6-4C7C-AE5C-C7159D4950A4}" destId="{3FAE9D11-4C98-4384-945B-CA7BFE37A019}" srcOrd="0" destOrd="0" parTransId="{EE9E5348-EA89-4033-AD93-E6CF55B81745}" sibTransId="{DD51A3FC-54D7-4434-8B4D-D700B2E68499}"/>
    <dgm:cxn modelId="{0A75318A-CF9A-4570-BB3D-26F9DEED8A31}" type="presOf" srcId="{3D6344F0-91E6-4C7C-AE5C-C7159D4950A4}" destId="{9C55BB85-0855-4DF2-936E-7593DEF34936}" srcOrd="0" destOrd="0" presId="urn:microsoft.com/office/officeart/2005/8/layout/arrow2"/>
    <dgm:cxn modelId="{A7FBBA46-FC0B-450F-948E-EC719EFEAC07}" type="presParOf" srcId="{DFB562A3-1208-4A69-96CE-87CB35CFF7E7}" destId="{AB6B6017-962D-473D-97E2-368307DB5AD5}" srcOrd="0" destOrd="0" presId="urn:microsoft.com/office/officeart/2005/8/layout/arrow2"/>
    <dgm:cxn modelId="{C3115678-DE6D-4996-A02F-E33842B6A8DC}" type="presParOf" srcId="{DFB562A3-1208-4A69-96CE-87CB35CFF7E7}" destId="{A51A3B1F-563E-452F-9BCD-3FBBC10AC8F4}" srcOrd="1" destOrd="0" presId="urn:microsoft.com/office/officeart/2005/8/layout/arrow2"/>
    <dgm:cxn modelId="{FBF4A335-5BC8-471B-A770-D9B28F4227D8}" type="presParOf" srcId="{A51A3B1F-563E-452F-9BCD-3FBBC10AC8F4}" destId="{0C67778B-8B3C-4ECC-9994-C598F0A7719B}" srcOrd="0" destOrd="0" presId="urn:microsoft.com/office/officeart/2005/8/layout/arrow2"/>
    <dgm:cxn modelId="{38510E12-6388-425A-9508-EB01A5B6B5E7}" type="presParOf" srcId="{A51A3B1F-563E-452F-9BCD-3FBBC10AC8F4}" destId="{A77B79E4-643A-4692-BB0D-1A5DE8A9E11A}" srcOrd="1" destOrd="0" presId="urn:microsoft.com/office/officeart/2005/8/layout/arrow2"/>
    <dgm:cxn modelId="{03DFB964-7115-437E-98B5-F56E3BB2DF73}" type="presParOf" srcId="{A51A3B1F-563E-452F-9BCD-3FBBC10AC8F4}" destId="{C1C22099-7C9C-42A3-84A5-E43F63AAD716}" srcOrd="2" destOrd="0" presId="urn:microsoft.com/office/officeart/2005/8/layout/arrow2"/>
    <dgm:cxn modelId="{4068D115-76BE-4A37-B366-D0F57B4E8B9D}" type="presParOf" srcId="{A51A3B1F-563E-452F-9BCD-3FBBC10AC8F4}" destId="{EF7688D1-7CCF-4600-934C-C1FAB7B50E5E}" srcOrd="3" destOrd="0" presId="urn:microsoft.com/office/officeart/2005/8/layout/arrow2"/>
    <dgm:cxn modelId="{CB371CC0-3CDF-4641-A206-146E060AE469}" type="presParOf" srcId="{A51A3B1F-563E-452F-9BCD-3FBBC10AC8F4}" destId="{6DD784FB-9F15-4649-B808-64D908A945FD}" srcOrd="4" destOrd="0" presId="urn:microsoft.com/office/officeart/2005/8/layout/arrow2"/>
    <dgm:cxn modelId="{A857A481-C71D-4A2C-86CA-B20509ED13FF}" type="presParOf" srcId="{A51A3B1F-563E-452F-9BCD-3FBBC10AC8F4}" destId="{9C55BB85-0855-4DF2-936E-7593DEF34936}" srcOrd="5" destOrd="0" presId="urn:microsoft.com/office/officeart/2005/8/layout/arrow2"/>
    <dgm:cxn modelId="{39DA6523-2C7D-4A46-BF20-CB09D94B5259}" type="presParOf" srcId="{A51A3B1F-563E-452F-9BCD-3FBBC10AC8F4}" destId="{8449C0A8-4BEA-4A92-80B9-9F001C99F719}" srcOrd="6" destOrd="0" presId="urn:microsoft.com/office/officeart/2005/8/layout/arrow2"/>
    <dgm:cxn modelId="{AE65B61D-C49F-434F-8173-2E74D29E84D3}" type="presParOf" srcId="{A51A3B1F-563E-452F-9BCD-3FBBC10AC8F4}" destId="{F1CB945C-12F0-4B9D-A19A-F66D3249B778}" srcOrd="7" destOrd="0" presId="urn:microsoft.com/office/officeart/2005/8/layout/arrow2"/>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855ADD6A-E72A-4B16-A6F4-FC46CD7C9548}" type="doc">
      <dgm:prSet loTypeId="urn:microsoft.com/office/officeart/2008/layout/NameandTitleOrganizationalChart" loCatId="hierarchy" qsTypeId="urn:microsoft.com/office/officeart/2005/8/quickstyle/simple1" qsCatId="simple" csTypeId="urn:microsoft.com/office/officeart/2005/8/colors/accent0_1" csCatId="mainScheme" phldr="1"/>
      <dgm:spPr/>
      <dgm:t>
        <a:bodyPr/>
        <a:lstStyle/>
        <a:p>
          <a:endParaRPr lang="ru-RU"/>
        </a:p>
      </dgm:t>
    </dgm:pt>
    <dgm:pt modelId="{7926A48C-1E11-45D1-8BD1-D6931A9803C3}">
      <dgm:prSet phldrT="[Текст]" custT="1"/>
      <dgm:spPr/>
      <dgm:t>
        <a:bodyPr/>
        <a:lstStyle/>
        <a:p>
          <a:r>
            <a:rPr lang="ru-RU" sz="1200" b="0" i="1">
              <a:latin typeface="Times New Roman" panose="02020603050405020304" pitchFamily="18" charset="0"/>
              <a:cs typeface="Times New Roman" panose="02020603050405020304" pitchFamily="18" charset="0"/>
            </a:rPr>
            <a:t>Уровень реализации</a:t>
          </a:r>
        </a:p>
      </dgm:t>
    </dgm:pt>
    <dgm:pt modelId="{AE40BF7A-42C2-4817-970A-38D66B7098CD}" type="parTrans" cxnId="{FB263904-4E28-41CE-A4E7-2B18F2EFA01F}">
      <dgm:prSet/>
      <dgm:spPr/>
      <dgm:t>
        <a:bodyPr/>
        <a:lstStyle/>
        <a:p>
          <a:endParaRPr lang="ru-RU" sz="1200">
            <a:latin typeface="Times New Roman" panose="02020603050405020304" pitchFamily="18" charset="0"/>
            <a:cs typeface="Times New Roman" panose="02020603050405020304" pitchFamily="18" charset="0"/>
          </a:endParaRPr>
        </a:p>
      </dgm:t>
    </dgm:pt>
    <dgm:pt modelId="{95F6180A-ED62-4C77-B3D4-AF933F31AF55}" type="sibTrans" cxnId="{FB263904-4E28-41CE-A4E7-2B18F2EFA01F}">
      <dgm:prSet custT="1"/>
      <dgm:spPr/>
      <dgm:t>
        <a:bodyPr/>
        <a:lstStyle/>
        <a:p>
          <a:endParaRPr lang="ru-RU" sz="1200">
            <a:latin typeface="Times New Roman" panose="02020603050405020304" pitchFamily="18" charset="0"/>
            <a:cs typeface="Times New Roman" panose="02020603050405020304" pitchFamily="18" charset="0"/>
          </a:endParaRPr>
        </a:p>
      </dgm:t>
    </dgm:pt>
    <dgm:pt modelId="{5C51E594-79BC-4494-9BFB-33FA1B6990EB}">
      <dgm:prSet phldrT="[Текст]" custT="1"/>
      <dgm:spPr/>
      <dgm:t>
        <a:bodyPr/>
        <a:lstStyle/>
        <a:p>
          <a:r>
            <a:rPr lang="ru-RU" sz="1200">
              <a:latin typeface="Times New Roman" panose="02020603050405020304" pitchFamily="18" charset="0"/>
              <a:cs typeface="Times New Roman" panose="02020603050405020304" pitchFamily="18" charset="0"/>
            </a:rPr>
            <a:t>Глобальный</a:t>
          </a:r>
        </a:p>
      </dgm:t>
    </dgm:pt>
    <dgm:pt modelId="{0A5FF3F3-D24C-40CB-8FDF-2AC9ECA78DB6}" type="parTrans" cxnId="{20360A41-31D6-43C4-B3BC-729B8483E6EF}">
      <dgm:prSet/>
      <dgm:spPr/>
      <dgm:t>
        <a:bodyPr/>
        <a:lstStyle/>
        <a:p>
          <a:endParaRPr lang="ru-RU" sz="1200">
            <a:latin typeface="Times New Roman" panose="02020603050405020304" pitchFamily="18" charset="0"/>
            <a:cs typeface="Times New Roman" panose="02020603050405020304" pitchFamily="18" charset="0"/>
          </a:endParaRPr>
        </a:p>
      </dgm:t>
    </dgm:pt>
    <dgm:pt modelId="{4A991C48-C1C4-408D-8021-A2035AFC106F}" type="sibTrans" cxnId="{20360A41-31D6-43C4-B3BC-729B8483E6EF}">
      <dgm:prSet custT="1"/>
      <dgm:spPr/>
      <dgm:t>
        <a:bodyPr/>
        <a:lstStyle/>
        <a:p>
          <a:pPr algn="l"/>
          <a:r>
            <a:rPr lang="ru-RU" sz="1200" i="1">
              <a:latin typeface="Times New Roman" panose="02020603050405020304" pitchFamily="18" charset="0"/>
              <a:cs typeface="Times New Roman" panose="02020603050405020304" pitchFamily="18" charset="0"/>
            </a:rPr>
            <a:t>Европейская служба внешних связей (EEAS), Специальный представитель ЕС по правам человека</a:t>
          </a:r>
        </a:p>
      </dgm:t>
    </dgm:pt>
    <dgm:pt modelId="{91F7D630-3CB4-4035-9B9C-B3342680FA9E}">
      <dgm:prSet phldrT="[Текст]" custT="1"/>
      <dgm:spPr/>
      <dgm:t>
        <a:bodyPr/>
        <a:lstStyle/>
        <a:p>
          <a:r>
            <a:rPr lang="ru-RU" sz="1200">
              <a:latin typeface="Times New Roman" panose="02020603050405020304" pitchFamily="18" charset="0"/>
              <a:cs typeface="Times New Roman" panose="02020603050405020304" pitchFamily="18" charset="0"/>
            </a:rPr>
            <a:t>Национальный</a:t>
          </a:r>
        </a:p>
      </dgm:t>
    </dgm:pt>
    <dgm:pt modelId="{9119A3E3-287F-45B8-84C5-A3BDF1FD4BE9}" type="parTrans" cxnId="{99E739DA-FD0E-4BA1-9977-6D5444471A00}">
      <dgm:prSet/>
      <dgm:spPr/>
      <dgm:t>
        <a:bodyPr/>
        <a:lstStyle/>
        <a:p>
          <a:endParaRPr lang="ru-RU" sz="1200">
            <a:latin typeface="Times New Roman" panose="02020603050405020304" pitchFamily="18" charset="0"/>
            <a:cs typeface="Times New Roman" panose="02020603050405020304" pitchFamily="18" charset="0"/>
          </a:endParaRPr>
        </a:p>
      </dgm:t>
    </dgm:pt>
    <dgm:pt modelId="{8EB2DD66-A625-417E-B257-DDF79B9DD282}" type="sibTrans" cxnId="{99E739DA-FD0E-4BA1-9977-6D5444471A00}">
      <dgm:prSet custT="1"/>
      <dgm:spPr/>
      <dgm:t>
        <a:bodyPr/>
        <a:lstStyle/>
        <a:p>
          <a:pPr algn="l"/>
          <a:r>
            <a:rPr lang="ru-RU" sz="1200" i="1">
              <a:latin typeface="Times New Roman" panose="02020603050405020304" pitchFamily="18" charset="0"/>
              <a:cs typeface="Times New Roman" panose="02020603050405020304" pitchFamily="18" charset="0"/>
            </a:rPr>
            <a:t>Посольства государств-членов ЕС, миссии в рамках ОПБО (CSDP)</a:t>
          </a:r>
        </a:p>
      </dgm:t>
    </dgm:pt>
    <dgm:pt modelId="{C7020DB0-3E58-4BB0-A6B0-D55DE11797E3}">
      <dgm:prSet phldrT="[Текст]" custT="1"/>
      <dgm:spPr/>
      <dgm:t>
        <a:bodyPr/>
        <a:lstStyle/>
        <a:p>
          <a:r>
            <a:rPr lang="ru-RU" sz="1200">
              <a:latin typeface="Times New Roman" panose="02020603050405020304" pitchFamily="18" charset="0"/>
              <a:cs typeface="Times New Roman" panose="02020603050405020304" pitchFamily="18" charset="0"/>
            </a:rPr>
            <a:t>Региональный</a:t>
          </a:r>
        </a:p>
      </dgm:t>
    </dgm:pt>
    <dgm:pt modelId="{E3ABC07E-902C-4AAF-B157-1590ABB69226}" type="parTrans" cxnId="{FE0C0693-F120-4AEC-AE3E-399068B16530}">
      <dgm:prSet/>
      <dgm:spPr/>
      <dgm:t>
        <a:bodyPr/>
        <a:lstStyle/>
        <a:p>
          <a:endParaRPr lang="ru-RU" sz="1200">
            <a:latin typeface="Times New Roman" panose="02020603050405020304" pitchFamily="18" charset="0"/>
            <a:cs typeface="Times New Roman" panose="02020603050405020304" pitchFamily="18" charset="0"/>
          </a:endParaRPr>
        </a:p>
      </dgm:t>
    </dgm:pt>
    <dgm:pt modelId="{49A05B46-11C2-4769-8B8D-5F97492BC6B1}" type="sibTrans" cxnId="{FE0C0693-F120-4AEC-AE3E-399068B16530}">
      <dgm:prSet custT="1"/>
      <dgm:spPr/>
      <dgm:t>
        <a:bodyPr/>
        <a:lstStyle/>
        <a:p>
          <a:pPr algn="l"/>
          <a:r>
            <a:rPr lang="ru-RU" sz="1200" i="1">
              <a:latin typeface="Times New Roman" panose="02020603050405020304" pitchFamily="18" charset="0"/>
              <a:cs typeface="Times New Roman" panose="02020603050405020304" pitchFamily="18" charset="0"/>
            </a:rPr>
            <a:t>Делегации ЕС, региональные структуры Соседства</a:t>
          </a:r>
        </a:p>
      </dgm:t>
    </dgm:pt>
    <dgm:pt modelId="{BE1161FC-AACC-4A07-A32B-F09587559EB5}" type="asst">
      <dgm:prSet custT="1"/>
      <dgm:spPr/>
      <dgm:t>
        <a:bodyPr/>
        <a:lstStyle/>
        <a:p>
          <a:r>
            <a:rPr lang="ru-RU" sz="1200">
              <a:latin typeface="Times New Roman" panose="02020603050405020304" pitchFamily="18" charset="0"/>
              <a:cs typeface="Times New Roman" panose="02020603050405020304" pitchFamily="18" charset="0"/>
            </a:rPr>
            <a:t>Тематические резолюции, участие в форумах ООН, международная адвокация, механизм санкционного давления</a:t>
          </a:r>
        </a:p>
      </dgm:t>
    </dgm:pt>
    <dgm:pt modelId="{931CC4AF-9002-4E87-B181-678FD76186DC}" type="parTrans" cxnId="{49CBF196-D750-472B-BF92-33A10185D352}">
      <dgm:prSet/>
      <dgm:spPr/>
      <dgm:t>
        <a:bodyPr/>
        <a:lstStyle/>
        <a:p>
          <a:endParaRPr lang="ru-RU" sz="1200">
            <a:latin typeface="Times New Roman" panose="02020603050405020304" pitchFamily="18" charset="0"/>
            <a:cs typeface="Times New Roman" panose="02020603050405020304" pitchFamily="18" charset="0"/>
          </a:endParaRPr>
        </a:p>
      </dgm:t>
    </dgm:pt>
    <dgm:pt modelId="{D6335D96-4879-4946-B245-419837161A58}" type="sibTrans" cxnId="{49CBF196-D750-472B-BF92-33A10185D352}">
      <dgm:prSet custT="1"/>
      <dgm:spPr/>
      <dgm:t>
        <a:bodyPr/>
        <a:lstStyle/>
        <a:p>
          <a:endParaRPr lang="ru-RU" sz="1200">
            <a:latin typeface="Times New Roman" panose="02020603050405020304" pitchFamily="18" charset="0"/>
            <a:cs typeface="Times New Roman" panose="02020603050405020304" pitchFamily="18" charset="0"/>
          </a:endParaRPr>
        </a:p>
      </dgm:t>
    </dgm:pt>
    <dgm:pt modelId="{E455DAF8-FCEA-4AEF-8D66-29470840BA73}" type="asst">
      <dgm:prSet custT="1"/>
      <dgm:spPr/>
      <dgm:t>
        <a:bodyPr/>
        <a:lstStyle/>
        <a:p>
          <a:r>
            <a:rPr lang="ru-RU" sz="1200">
              <a:latin typeface="Times New Roman" panose="02020603050405020304" pitchFamily="18" charset="0"/>
              <a:cs typeface="Times New Roman" panose="02020603050405020304" pitchFamily="18" charset="0"/>
            </a:rPr>
            <a:t>Избирательные наблюдательные миссии, мониторинг судебных процессов, поддержка правозащитников, публичная дипломатия</a:t>
          </a:r>
        </a:p>
      </dgm:t>
    </dgm:pt>
    <dgm:pt modelId="{369E3110-E984-461E-9B59-69BC82097D5D}" type="parTrans" cxnId="{E9385199-FD8C-4F6B-9963-8762EB911335}">
      <dgm:prSet/>
      <dgm:spPr/>
      <dgm:t>
        <a:bodyPr/>
        <a:lstStyle/>
        <a:p>
          <a:endParaRPr lang="ru-RU" sz="1200">
            <a:latin typeface="Times New Roman" panose="02020603050405020304" pitchFamily="18" charset="0"/>
            <a:cs typeface="Times New Roman" panose="02020603050405020304" pitchFamily="18" charset="0"/>
          </a:endParaRPr>
        </a:p>
      </dgm:t>
    </dgm:pt>
    <dgm:pt modelId="{F2B6FA18-B817-49F9-90F0-4677777A6A4E}" type="sibTrans" cxnId="{E9385199-FD8C-4F6B-9963-8762EB911335}">
      <dgm:prSet custT="1"/>
      <dgm:spPr/>
      <dgm:t>
        <a:bodyPr/>
        <a:lstStyle/>
        <a:p>
          <a:endParaRPr lang="ru-RU" sz="1200">
            <a:latin typeface="Times New Roman" panose="02020603050405020304" pitchFamily="18" charset="0"/>
            <a:cs typeface="Times New Roman" panose="02020603050405020304" pitchFamily="18" charset="0"/>
          </a:endParaRPr>
        </a:p>
      </dgm:t>
    </dgm:pt>
    <dgm:pt modelId="{AD7BC823-98EB-4A5C-93D1-8210BB00ACF0}" type="asst">
      <dgm:prSet custT="1"/>
      <dgm:spPr/>
      <dgm:t>
        <a:bodyPr/>
        <a:lstStyle/>
        <a:p>
          <a:r>
            <a:rPr lang="ru-RU" sz="1200">
              <a:latin typeface="Times New Roman" panose="02020603050405020304" pitchFamily="18" charset="0"/>
              <a:cs typeface="Times New Roman" panose="02020603050405020304" pitchFamily="18" charset="0"/>
            </a:rPr>
            <a:t>Программы </a:t>
          </a:r>
          <a:r>
            <a:rPr lang="en-US" sz="1200">
              <a:latin typeface="Times New Roman" panose="02020603050405020304" pitchFamily="18" charset="0"/>
              <a:cs typeface="Times New Roman" panose="02020603050405020304" pitchFamily="18" charset="0"/>
            </a:rPr>
            <a:t>NDICI – Global Europe, </a:t>
          </a:r>
          <a:r>
            <a:rPr lang="ru-RU" sz="1200">
              <a:latin typeface="Times New Roman" panose="02020603050405020304" pitchFamily="18" charset="0"/>
              <a:cs typeface="Times New Roman" panose="02020603050405020304" pitchFamily="18" charset="0"/>
            </a:rPr>
            <a:t>структурированный диалог с региональными организациями</a:t>
          </a:r>
        </a:p>
      </dgm:t>
    </dgm:pt>
    <dgm:pt modelId="{9D0AFEEB-8512-4CE7-A4E3-097CAD43344B}" type="parTrans" cxnId="{66D143FA-FE63-467B-8B75-F67ECD8A0FDE}">
      <dgm:prSet/>
      <dgm:spPr/>
      <dgm:t>
        <a:bodyPr/>
        <a:lstStyle/>
        <a:p>
          <a:endParaRPr lang="ru-RU" sz="1200">
            <a:latin typeface="Times New Roman" panose="02020603050405020304" pitchFamily="18" charset="0"/>
            <a:cs typeface="Times New Roman" panose="02020603050405020304" pitchFamily="18" charset="0"/>
          </a:endParaRPr>
        </a:p>
      </dgm:t>
    </dgm:pt>
    <dgm:pt modelId="{CCA0643C-6630-4165-A4DB-59BD69B6743D}" type="sibTrans" cxnId="{66D143FA-FE63-467B-8B75-F67ECD8A0FDE}">
      <dgm:prSet custT="1"/>
      <dgm:spPr/>
      <dgm:t>
        <a:bodyPr/>
        <a:lstStyle/>
        <a:p>
          <a:endParaRPr lang="ru-RU" sz="1200">
            <a:latin typeface="Times New Roman" panose="02020603050405020304" pitchFamily="18" charset="0"/>
            <a:cs typeface="Times New Roman" panose="02020603050405020304" pitchFamily="18" charset="0"/>
          </a:endParaRPr>
        </a:p>
      </dgm:t>
    </dgm:pt>
    <dgm:pt modelId="{C55A8ED6-C54F-4689-989D-8836E370FB50}" type="pres">
      <dgm:prSet presAssocID="{855ADD6A-E72A-4B16-A6F4-FC46CD7C9548}" presName="hierChild1" presStyleCnt="0">
        <dgm:presLayoutVars>
          <dgm:orgChart val="1"/>
          <dgm:chPref val="1"/>
          <dgm:dir/>
          <dgm:animOne val="branch"/>
          <dgm:animLvl val="lvl"/>
          <dgm:resizeHandles/>
        </dgm:presLayoutVars>
      </dgm:prSet>
      <dgm:spPr/>
      <dgm:t>
        <a:bodyPr/>
        <a:lstStyle/>
        <a:p>
          <a:endParaRPr lang="ru-RU"/>
        </a:p>
      </dgm:t>
    </dgm:pt>
    <dgm:pt modelId="{5895C5DC-0D6C-4B44-99B9-879BC2FB73D4}" type="pres">
      <dgm:prSet presAssocID="{7926A48C-1E11-45D1-8BD1-D6931A9803C3}" presName="hierRoot1" presStyleCnt="0">
        <dgm:presLayoutVars>
          <dgm:hierBranch val="init"/>
        </dgm:presLayoutVars>
      </dgm:prSet>
      <dgm:spPr/>
    </dgm:pt>
    <dgm:pt modelId="{A1D8AFB0-DEB6-4FBB-971C-11E04365EBB6}" type="pres">
      <dgm:prSet presAssocID="{7926A48C-1E11-45D1-8BD1-D6931A9803C3}" presName="rootComposite1" presStyleCnt="0"/>
      <dgm:spPr/>
    </dgm:pt>
    <dgm:pt modelId="{0A456BCE-93B5-456A-922D-A9CD632F797B}" type="pres">
      <dgm:prSet presAssocID="{7926A48C-1E11-45D1-8BD1-D6931A9803C3}" presName="rootText1" presStyleLbl="node0" presStyleIdx="0" presStyleCnt="1" custLinFactNeighborX="631" custLinFactNeighborY="-81640">
        <dgm:presLayoutVars>
          <dgm:chMax/>
          <dgm:chPref val="3"/>
        </dgm:presLayoutVars>
      </dgm:prSet>
      <dgm:spPr/>
      <dgm:t>
        <a:bodyPr/>
        <a:lstStyle/>
        <a:p>
          <a:endParaRPr lang="ru-RU"/>
        </a:p>
      </dgm:t>
    </dgm:pt>
    <dgm:pt modelId="{39567F6F-90B8-40B1-802E-1BFB5CAB2AAA}" type="pres">
      <dgm:prSet presAssocID="{7926A48C-1E11-45D1-8BD1-D6931A9803C3}" presName="titleText1" presStyleLbl="fgAcc0" presStyleIdx="0" presStyleCnt="1" custScaleY="21933" custLinFactNeighborX="-22364" custLinFactNeighborY="-82198">
        <dgm:presLayoutVars>
          <dgm:chMax val="0"/>
          <dgm:chPref val="0"/>
        </dgm:presLayoutVars>
      </dgm:prSet>
      <dgm:spPr/>
      <dgm:t>
        <a:bodyPr/>
        <a:lstStyle/>
        <a:p>
          <a:endParaRPr lang="ru-RU"/>
        </a:p>
      </dgm:t>
    </dgm:pt>
    <dgm:pt modelId="{FA6508F6-0F81-4214-A749-2D11FB4F3E81}" type="pres">
      <dgm:prSet presAssocID="{7926A48C-1E11-45D1-8BD1-D6931A9803C3}" presName="rootConnector1" presStyleLbl="node1" presStyleIdx="0" presStyleCnt="3"/>
      <dgm:spPr/>
      <dgm:t>
        <a:bodyPr/>
        <a:lstStyle/>
        <a:p>
          <a:endParaRPr lang="ru-RU"/>
        </a:p>
      </dgm:t>
    </dgm:pt>
    <dgm:pt modelId="{B7EE269A-9923-4806-8147-0E85C3C1D03C}" type="pres">
      <dgm:prSet presAssocID="{7926A48C-1E11-45D1-8BD1-D6931A9803C3}" presName="hierChild2" presStyleCnt="0"/>
      <dgm:spPr/>
    </dgm:pt>
    <dgm:pt modelId="{4088E215-6DD2-41C0-81CC-D1B123C1D367}" type="pres">
      <dgm:prSet presAssocID="{0A5FF3F3-D24C-40CB-8FDF-2AC9ECA78DB6}" presName="Name37" presStyleLbl="parChTrans1D2" presStyleIdx="0" presStyleCnt="3"/>
      <dgm:spPr/>
      <dgm:t>
        <a:bodyPr/>
        <a:lstStyle/>
        <a:p>
          <a:endParaRPr lang="ru-RU"/>
        </a:p>
      </dgm:t>
    </dgm:pt>
    <dgm:pt modelId="{A22A5E01-CDDB-4008-B679-7366FDA467E9}" type="pres">
      <dgm:prSet presAssocID="{5C51E594-79BC-4494-9BFB-33FA1B6990EB}" presName="hierRoot2" presStyleCnt="0">
        <dgm:presLayoutVars>
          <dgm:hierBranch val="init"/>
        </dgm:presLayoutVars>
      </dgm:prSet>
      <dgm:spPr/>
    </dgm:pt>
    <dgm:pt modelId="{E76F0C48-CB73-4A63-BC0B-9D5AD9B0C14A}" type="pres">
      <dgm:prSet presAssocID="{5C51E594-79BC-4494-9BFB-33FA1B6990EB}" presName="rootComposite" presStyleCnt="0"/>
      <dgm:spPr/>
    </dgm:pt>
    <dgm:pt modelId="{9DCFAB8C-4B3E-4B65-85F3-9D02B1F370EA}" type="pres">
      <dgm:prSet presAssocID="{5C51E594-79BC-4494-9BFB-33FA1B6990EB}" presName="rootText" presStyleLbl="node1" presStyleIdx="0" presStyleCnt="3" custScaleY="64435" custLinFactNeighborX="-9463" custLinFactNeighborY="-91388">
        <dgm:presLayoutVars>
          <dgm:chMax/>
          <dgm:chPref val="3"/>
        </dgm:presLayoutVars>
      </dgm:prSet>
      <dgm:spPr/>
      <dgm:t>
        <a:bodyPr/>
        <a:lstStyle/>
        <a:p>
          <a:endParaRPr lang="ru-RU"/>
        </a:p>
      </dgm:t>
    </dgm:pt>
    <dgm:pt modelId="{7951E30D-1979-4B9D-98FC-FB564A23BC30}" type="pres">
      <dgm:prSet presAssocID="{5C51E594-79BC-4494-9BFB-33FA1B6990EB}" presName="titleText2" presStyleLbl="fgAcc1" presStyleIdx="0" presStyleCnt="3" custScaleX="177209" custScaleY="448763" custLinFactNeighborX="-348" custLinFactNeighborY="-97807">
        <dgm:presLayoutVars>
          <dgm:chMax val="0"/>
          <dgm:chPref val="0"/>
        </dgm:presLayoutVars>
      </dgm:prSet>
      <dgm:spPr/>
      <dgm:t>
        <a:bodyPr/>
        <a:lstStyle/>
        <a:p>
          <a:endParaRPr lang="ru-RU"/>
        </a:p>
      </dgm:t>
    </dgm:pt>
    <dgm:pt modelId="{3C9D0C11-BAB0-4C44-A2A2-C544C6FF3BEE}" type="pres">
      <dgm:prSet presAssocID="{5C51E594-79BC-4494-9BFB-33FA1B6990EB}" presName="rootConnector" presStyleLbl="node2" presStyleIdx="0" presStyleCnt="0"/>
      <dgm:spPr/>
      <dgm:t>
        <a:bodyPr/>
        <a:lstStyle/>
        <a:p>
          <a:endParaRPr lang="ru-RU"/>
        </a:p>
      </dgm:t>
    </dgm:pt>
    <dgm:pt modelId="{60E6BB7B-85AB-4CDD-932A-F213CBCEC84B}" type="pres">
      <dgm:prSet presAssocID="{5C51E594-79BC-4494-9BFB-33FA1B6990EB}" presName="hierChild4" presStyleCnt="0"/>
      <dgm:spPr/>
    </dgm:pt>
    <dgm:pt modelId="{04F21EFC-0C10-4C18-B3B1-E5286CECEC69}" type="pres">
      <dgm:prSet presAssocID="{5C51E594-79BC-4494-9BFB-33FA1B6990EB}" presName="hierChild5" presStyleCnt="0"/>
      <dgm:spPr/>
    </dgm:pt>
    <dgm:pt modelId="{CECC8A0F-7210-435B-BC19-2AE7D4CDD5A2}" type="pres">
      <dgm:prSet presAssocID="{931CC4AF-9002-4E87-B181-678FD76186DC}" presName="Name96" presStyleLbl="parChTrans1D3" presStyleIdx="0" presStyleCnt="3"/>
      <dgm:spPr/>
      <dgm:t>
        <a:bodyPr/>
        <a:lstStyle/>
        <a:p>
          <a:endParaRPr lang="ru-RU"/>
        </a:p>
      </dgm:t>
    </dgm:pt>
    <dgm:pt modelId="{79A56F07-D462-4D4C-9BC4-07D87052028A}" type="pres">
      <dgm:prSet presAssocID="{BE1161FC-AACC-4A07-A32B-F09587559EB5}" presName="hierRoot3" presStyleCnt="0">
        <dgm:presLayoutVars>
          <dgm:hierBranch val="init"/>
        </dgm:presLayoutVars>
      </dgm:prSet>
      <dgm:spPr/>
    </dgm:pt>
    <dgm:pt modelId="{0414A2C7-F861-4DA0-8961-95078D161400}" type="pres">
      <dgm:prSet presAssocID="{BE1161FC-AACC-4A07-A32B-F09587559EB5}" presName="rootComposite3" presStyleCnt="0"/>
      <dgm:spPr/>
    </dgm:pt>
    <dgm:pt modelId="{69A6110C-5264-4816-932E-20EF9E1396D9}" type="pres">
      <dgm:prSet presAssocID="{BE1161FC-AACC-4A07-A32B-F09587559EB5}" presName="rootText3" presStyleLbl="asst1" presStyleIdx="0" presStyleCnt="3" custScaleX="108875" custScaleY="269398" custLinFactNeighborX="-3286" custLinFactNeighborY="-40497">
        <dgm:presLayoutVars>
          <dgm:chPref val="3"/>
        </dgm:presLayoutVars>
      </dgm:prSet>
      <dgm:spPr/>
      <dgm:t>
        <a:bodyPr/>
        <a:lstStyle/>
        <a:p>
          <a:endParaRPr lang="ru-RU"/>
        </a:p>
      </dgm:t>
    </dgm:pt>
    <dgm:pt modelId="{EA742858-EA5F-407A-9172-FF6C2402898E}" type="pres">
      <dgm:prSet presAssocID="{BE1161FC-AACC-4A07-A32B-F09587559EB5}" presName="titleText3" presStyleLbl="fgAcc2" presStyleIdx="0" presStyleCnt="3" custFlipVert="1" custScaleY="21933" custLinFactY="38677" custLinFactNeighborX="-20853" custLinFactNeighborY="100000">
        <dgm:presLayoutVars>
          <dgm:chMax val="0"/>
          <dgm:chPref val="0"/>
        </dgm:presLayoutVars>
      </dgm:prSet>
      <dgm:spPr/>
      <dgm:t>
        <a:bodyPr/>
        <a:lstStyle/>
        <a:p>
          <a:endParaRPr lang="ru-RU"/>
        </a:p>
      </dgm:t>
    </dgm:pt>
    <dgm:pt modelId="{FFC6A66B-B33C-46EF-BFAA-048FC5F0D277}" type="pres">
      <dgm:prSet presAssocID="{BE1161FC-AACC-4A07-A32B-F09587559EB5}" presName="rootConnector3" presStyleLbl="asst2" presStyleIdx="0" presStyleCnt="0"/>
      <dgm:spPr/>
      <dgm:t>
        <a:bodyPr/>
        <a:lstStyle/>
        <a:p>
          <a:endParaRPr lang="ru-RU"/>
        </a:p>
      </dgm:t>
    </dgm:pt>
    <dgm:pt modelId="{280F63E7-DF9D-435E-8520-E2DEE846E5E9}" type="pres">
      <dgm:prSet presAssocID="{BE1161FC-AACC-4A07-A32B-F09587559EB5}" presName="hierChild6" presStyleCnt="0"/>
      <dgm:spPr/>
    </dgm:pt>
    <dgm:pt modelId="{BD65846F-6BDF-4839-9F78-738692E87F64}" type="pres">
      <dgm:prSet presAssocID="{BE1161FC-AACC-4A07-A32B-F09587559EB5}" presName="hierChild7" presStyleCnt="0"/>
      <dgm:spPr/>
    </dgm:pt>
    <dgm:pt modelId="{0543853A-9594-4674-AC64-0D3476C2B720}" type="pres">
      <dgm:prSet presAssocID="{9119A3E3-287F-45B8-84C5-A3BDF1FD4BE9}" presName="Name37" presStyleLbl="parChTrans1D2" presStyleIdx="1" presStyleCnt="3"/>
      <dgm:spPr/>
      <dgm:t>
        <a:bodyPr/>
        <a:lstStyle/>
        <a:p>
          <a:endParaRPr lang="ru-RU"/>
        </a:p>
      </dgm:t>
    </dgm:pt>
    <dgm:pt modelId="{ECACB7A7-19A3-4010-9F11-E848BAAF7564}" type="pres">
      <dgm:prSet presAssocID="{91F7D630-3CB4-4035-9B9C-B3342680FA9E}" presName="hierRoot2" presStyleCnt="0">
        <dgm:presLayoutVars>
          <dgm:hierBranch val="init"/>
        </dgm:presLayoutVars>
      </dgm:prSet>
      <dgm:spPr/>
    </dgm:pt>
    <dgm:pt modelId="{72DD5779-C157-47B4-AE25-578C4F734C28}" type="pres">
      <dgm:prSet presAssocID="{91F7D630-3CB4-4035-9B9C-B3342680FA9E}" presName="rootComposite" presStyleCnt="0"/>
      <dgm:spPr/>
    </dgm:pt>
    <dgm:pt modelId="{9918FF45-1A9B-455B-8A6B-6932E3FDD4F2}" type="pres">
      <dgm:prSet presAssocID="{91F7D630-3CB4-4035-9B9C-B3342680FA9E}" presName="rootText" presStyleLbl="node1" presStyleIdx="1" presStyleCnt="3" custScaleY="60554" custLinFactNeighborX="-3198" custLinFactNeighborY="-72020">
        <dgm:presLayoutVars>
          <dgm:chMax/>
          <dgm:chPref val="3"/>
        </dgm:presLayoutVars>
      </dgm:prSet>
      <dgm:spPr/>
      <dgm:t>
        <a:bodyPr/>
        <a:lstStyle/>
        <a:p>
          <a:endParaRPr lang="ru-RU"/>
        </a:p>
      </dgm:t>
    </dgm:pt>
    <dgm:pt modelId="{EEF168BE-E320-4583-BD8E-61FA6EA5FBCF}" type="pres">
      <dgm:prSet presAssocID="{91F7D630-3CB4-4035-9B9C-B3342680FA9E}" presName="titleText2" presStyleLbl="fgAcc1" presStyleIdx="1" presStyleCnt="3" custScaleX="145345" custScaleY="435191" custLinFactNeighborX="340" custLinFactNeighborY="33">
        <dgm:presLayoutVars>
          <dgm:chMax val="0"/>
          <dgm:chPref val="0"/>
        </dgm:presLayoutVars>
      </dgm:prSet>
      <dgm:spPr/>
      <dgm:t>
        <a:bodyPr/>
        <a:lstStyle/>
        <a:p>
          <a:endParaRPr lang="ru-RU"/>
        </a:p>
      </dgm:t>
    </dgm:pt>
    <dgm:pt modelId="{B58AD5A0-2358-4B26-B223-A5159BE2D66A}" type="pres">
      <dgm:prSet presAssocID="{91F7D630-3CB4-4035-9B9C-B3342680FA9E}" presName="rootConnector" presStyleLbl="node2" presStyleIdx="0" presStyleCnt="0"/>
      <dgm:spPr/>
      <dgm:t>
        <a:bodyPr/>
        <a:lstStyle/>
        <a:p>
          <a:endParaRPr lang="ru-RU"/>
        </a:p>
      </dgm:t>
    </dgm:pt>
    <dgm:pt modelId="{52571B33-B621-482D-83B2-8B2E43E38749}" type="pres">
      <dgm:prSet presAssocID="{91F7D630-3CB4-4035-9B9C-B3342680FA9E}" presName="hierChild4" presStyleCnt="0"/>
      <dgm:spPr/>
    </dgm:pt>
    <dgm:pt modelId="{33FAB989-73D3-46E7-A64A-4AC43FE02F87}" type="pres">
      <dgm:prSet presAssocID="{91F7D630-3CB4-4035-9B9C-B3342680FA9E}" presName="hierChild5" presStyleCnt="0"/>
      <dgm:spPr/>
    </dgm:pt>
    <dgm:pt modelId="{CCB4E35B-5D3C-41A1-8BBF-F728BA74CC8E}" type="pres">
      <dgm:prSet presAssocID="{369E3110-E984-461E-9B59-69BC82097D5D}" presName="Name96" presStyleLbl="parChTrans1D3" presStyleIdx="1" presStyleCnt="3"/>
      <dgm:spPr/>
      <dgm:t>
        <a:bodyPr/>
        <a:lstStyle/>
        <a:p>
          <a:endParaRPr lang="ru-RU"/>
        </a:p>
      </dgm:t>
    </dgm:pt>
    <dgm:pt modelId="{D3397876-073A-48E3-A151-54AFE5EDFFB6}" type="pres">
      <dgm:prSet presAssocID="{E455DAF8-FCEA-4AEF-8D66-29470840BA73}" presName="hierRoot3" presStyleCnt="0">
        <dgm:presLayoutVars>
          <dgm:hierBranch val="init"/>
        </dgm:presLayoutVars>
      </dgm:prSet>
      <dgm:spPr/>
    </dgm:pt>
    <dgm:pt modelId="{B416C5B7-C304-4DB7-92CA-E69DB12143CB}" type="pres">
      <dgm:prSet presAssocID="{E455DAF8-FCEA-4AEF-8D66-29470840BA73}" presName="rootComposite3" presStyleCnt="0"/>
      <dgm:spPr/>
    </dgm:pt>
    <dgm:pt modelId="{06D1F989-B9B2-49BE-9764-18B7E2D76D5D}" type="pres">
      <dgm:prSet presAssocID="{E455DAF8-FCEA-4AEF-8D66-29470840BA73}" presName="rootText3" presStyleLbl="asst1" presStyleIdx="1" presStyleCnt="3" custScaleX="136433" custScaleY="254414" custLinFactNeighborX="-9413" custLinFactNeighborY="-19273">
        <dgm:presLayoutVars>
          <dgm:chPref val="3"/>
        </dgm:presLayoutVars>
      </dgm:prSet>
      <dgm:spPr/>
      <dgm:t>
        <a:bodyPr/>
        <a:lstStyle/>
        <a:p>
          <a:endParaRPr lang="ru-RU"/>
        </a:p>
      </dgm:t>
    </dgm:pt>
    <dgm:pt modelId="{2F7A7DA2-9EA5-4F00-9A12-528130516C9B}" type="pres">
      <dgm:prSet presAssocID="{E455DAF8-FCEA-4AEF-8D66-29470840BA73}" presName="titleText3" presStyleLbl="fgAcc2" presStyleIdx="1" presStyleCnt="3" custScaleY="21933" custLinFactY="80700" custLinFactNeighborX="-28106" custLinFactNeighborY="100000">
        <dgm:presLayoutVars>
          <dgm:chMax val="0"/>
          <dgm:chPref val="0"/>
        </dgm:presLayoutVars>
      </dgm:prSet>
      <dgm:spPr/>
      <dgm:t>
        <a:bodyPr/>
        <a:lstStyle/>
        <a:p>
          <a:endParaRPr lang="ru-RU"/>
        </a:p>
      </dgm:t>
    </dgm:pt>
    <dgm:pt modelId="{D0756ED9-D4A0-4CCA-9639-13C3B3A8E67E}" type="pres">
      <dgm:prSet presAssocID="{E455DAF8-FCEA-4AEF-8D66-29470840BA73}" presName="rootConnector3" presStyleLbl="asst2" presStyleIdx="0" presStyleCnt="0"/>
      <dgm:spPr/>
      <dgm:t>
        <a:bodyPr/>
        <a:lstStyle/>
        <a:p>
          <a:endParaRPr lang="ru-RU"/>
        </a:p>
      </dgm:t>
    </dgm:pt>
    <dgm:pt modelId="{2A53BF53-6EA6-49E0-A78D-1D47413E833A}" type="pres">
      <dgm:prSet presAssocID="{E455DAF8-FCEA-4AEF-8D66-29470840BA73}" presName="hierChild6" presStyleCnt="0"/>
      <dgm:spPr/>
    </dgm:pt>
    <dgm:pt modelId="{2C348F2B-AB2C-49BB-AEDE-EDF327B88E66}" type="pres">
      <dgm:prSet presAssocID="{E455DAF8-FCEA-4AEF-8D66-29470840BA73}" presName="hierChild7" presStyleCnt="0"/>
      <dgm:spPr/>
    </dgm:pt>
    <dgm:pt modelId="{5772B4CF-F3C4-44D6-A35F-09173D59F06B}" type="pres">
      <dgm:prSet presAssocID="{E3ABC07E-902C-4AAF-B157-1590ABB69226}" presName="Name37" presStyleLbl="parChTrans1D2" presStyleIdx="2" presStyleCnt="3"/>
      <dgm:spPr/>
      <dgm:t>
        <a:bodyPr/>
        <a:lstStyle/>
        <a:p>
          <a:endParaRPr lang="ru-RU"/>
        </a:p>
      </dgm:t>
    </dgm:pt>
    <dgm:pt modelId="{04A704D3-3911-45AA-9F9F-DDEF95594522}" type="pres">
      <dgm:prSet presAssocID="{C7020DB0-3E58-4BB0-A6B0-D55DE11797E3}" presName="hierRoot2" presStyleCnt="0">
        <dgm:presLayoutVars>
          <dgm:hierBranch val="init"/>
        </dgm:presLayoutVars>
      </dgm:prSet>
      <dgm:spPr/>
    </dgm:pt>
    <dgm:pt modelId="{BB83565B-F98B-4A10-87A3-EDE3B9019CE5}" type="pres">
      <dgm:prSet presAssocID="{C7020DB0-3E58-4BB0-A6B0-D55DE11797E3}" presName="rootComposite" presStyleCnt="0"/>
      <dgm:spPr/>
    </dgm:pt>
    <dgm:pt modelId="{F2116CA4-C8F0-4BE0-AEF1-5049201FC5C9}" type="pres">
      <dgm:prSet presAssocID="{C7020DB0-3E58-4BB0-A6B0-D55DE11797E3}" presName="rootText" presStyleLbl="node1" presStyleIdx="2" presStyleCnt="3" custScaleY="54689" custLinFactNeighborX="11987" custLinFactNeighborY="-91387">
        <dgm:presLayoutVars>
          <dgm:chMax/>
          <dgm:chPref val="3"/>
        </dgm:presLayoutVars>
      </dgm:prSet>
      <dgm:spPr/>
      <dgm:t>
        <a:bodyPr/>
        <a:lstStyle/>
        <a:p>
          <a:endParaRPr lang="ru-RU"/>
        </a:p>
      </dgm:t>
    </dgm:pt>
    <dgm:pt modelId="{DAAE2D5C-8E6E-44E5-802E-D75CF6C31798}" type="pres">
      <dgm:prSet presAssocID="{C7020DB0-3E58-4BB0-A6B0-D55DE11797E3}" presName="titleText2" presStyleLbl="fgAcc1" presStyleIdx="2" presStyleCnt="3" custScaleX="121778" custScaleY="466552" custLinFactY="-7744" custLinFactNeighborY="-100000">
        <dgm:presLayoutVars>
          <dgm:chMax val="0"/>
          <dgm:chPref val="0"/>
        </dgm:presLayoutVars>
      </dgm:prSet>
      <dgm:spPr/>
      <dgm:t>
        <a:bodyPr/>
        <a:lstStyle/>
        <a:p>
          <a:endParaRPr lang="ru-RU"/>
        </a:p>
      </dgm:t>
    </dgm:pt>
    <dgm:pt modelId="{455A0E1A-5B89-43D3-B1C5-C7B2D7BF284E}" type="pres">
      <dgm:prSet presAssocID="{C7020DB0-3E58-4BB0-A6B0-D55DE11797E3}" presName="rootConnector" presStyleLbl="node2" presStyleIdx="0" presStyleCnt="0"/>
      <dgm:spPr/>
      <dgm:t>
        <a:bodyPr/>
        <a:lstStyle/>
        <a:p>
          <a:endParaRPr lang="ru-RU"/>
        </a:p>
      </dgm:t>
    </dgm:pt>
    <dgm:pt modelId="{F4408EA8-CB59-420E-9A0F-144635179C41}" type="pres">
      <dgm:prSet presAssocID="{C7020DB0-3E58-4BB0-A6B0-D55DE11797E3}" presName="hierChild4" presStyleCnt="0"/>
      <dgm:spPr/>
    </dgm:pt>
    <dgm:pt modelId="{2129D8E5-8636-44E3-A167-65B09E2B46AD}" type="pres">
      <dgm:prSet presAssocID="{C7020DB0-3E58-4BB0-A6B0-D55DE11797E3}" presName="hierChild5" presStyleCnt="0"/>
      <dgm:spPr/>
    </dgm:pt>
    <dgm:pt modelId="{5114FBB3-7487-4FB3-9A15-8ED5E6867E68}" type="pres">
      <dgm:prSet presAssocID="{9D0AFEEB-8512-4CE7-A4E3-097CAD43344B}" presName="Name96" presStyleLbl="parChTrans1D3" presStyleIdx="2" presStyleCnt="3"/>
      <dgm:spPr/>
      <dgm:t>
        <a:bodyPr/>
        <a:lstStyle/>
        <a:p>
          <a:endParaRPr lang="ru-RU"/>
        </a:p>
      </dgm:t>
    </dgm:pt>
    <dgm:pt modelId="{CB688C67-C975-41D1-B826-4A0A942F1B26}" type="pres">
      <dgm:prSet presAssocID="{AD7BC823-98EB-4A5C-93D1-8210BB00ACF0}" presName="hierRoot3" presStyleCnt="0">
        <dgm:presLayoutVars>
          <dgm:hierBranch val="init"/>
        </dgm:presLayoutVars>
      </dgm:prSet>
      <dgm:spPr/>
    </dgm:pt>
    <dgm:pt modelId="{1312E327-BE1F-4B82-A942-3D9F756ACD62}" type="pres">
      <dgm:prSet presAssocID="{AD7BC823-98EB-4A5C-93D1-8210BB00ACF0}" presName="rootComposite3" presStyleCnt="0"/>
      <dgm:spPr/>
    </dgm:pt>
    <dgm:pt modelId="{285F0B51-F48C-4ADE-BDF9-3E16107F8433}" type="pres">
      <dgm:prSet presAssocID="{AD7BC823-98EB-4A5C-93D1-8210BB00ACF0}" presName="rootText3" presStyleLbl="asst1" presStyleIdx="2" presStyleCnt="3" custScaleX="135809" custScaleY="214552" custLinFactNeighborX="16602" custLinFactNeighborY="-60202">
        <dgm:presLayoutVars>
          <dgm:chPref val="3"/>
        </dgm:presLayoutVars>
      </dgm:prSet>
      <dgm:spPr/>
      <dgm:t>
        <a:bodyPr/>
        <a:lstStyle/>
        <a:p>
          <a:endParaRPr lang="ru-RU"/>
        </a:p>
      </dgm:t>
    </dgm:pt>
    <dgm:pt modelId="{308BC837-A227-40FA-B708-5B6F216B4838}" type="pres">
      <dgm:prSet presAssocID="{AD7BC823-98EB-4A5C-93D1-8210BB00ACF0}" presName="titleText3" presStyleLbl="fgAcc2" presStyleIdx="2" presStyleCnt="3" custScaleY="21933" custLinFactNeighborX="3322" custLinFactNeighborY="-4202">
        <dgm:presLayoutVars>
          <dgm:chMax val="0"/>
          <dgm:chPref val="0"/>
        </dgm:presLayoutVars>
      </dgm:prSet>
      <dgm:spPr/>
      <dgm:t>
        <a:bodyPr/>
        <a:lstStyle/>
        <a:p>
          <a:endParaRPr lang="ru-RU"/>
        </a:p>
      </dgm:t>
    </dgm:pt>
    <dgm:pt modelId="{76F68259-119C-4EFF-80FD-AC62A052F397}" type="pres">
      <dgm:prSet presAssocID="{AD7BC823-98EB-4A5C-93D1-8210BB00ACF0}" presName="rootConnector3" presStyleLbl="asst2" presStyleIdx="0" presStyleCnt="0"/>
      <dgm:spPr/>
      <dgm:t>
        <a:bodyPr/>
        <a:lstStyle/>
        <a:p>
          <a:endParaRPr lang="ru-RU"/>
        </a:p>
      </dgm:t>
    </dgm:pt>
    <dgm:pt modelId="{DF58B8B0-F433-4027-AE5D-60BF3AD86B9D}" type="pres">
      <dgm:prSet presAssocID="{AD7BC823-98EB-4A5C-93D1-8210BB00ACF0}" presName="hierChild6" presStyleCnt="0"/>
      <dgm:spPr/>
    </dgm:pt>
    <dgm:pt modelId="{0659A9B3-D616-47B4-A2E7-853848DC9172}" type="pres">
      <dgm:prSet presAssocID="{AD7BC823-98EB-4A5C-93D1-8210BB00ACF0}" presName="hierChild7" presStyleCnt="0"/>
      <dgm:spPr/>
    </dgm:pt>
    <dgm:pt modelId="{A1CBC782-B5CA-4CB5-A386-1A12BD91F598}" type="pres">
      <dgm:prSet presAssocID="{7926A48C-1E11-45D1-8BD1-D6931A9803C3}" presName="hierChild3" presStyleCnt="0"/>
      <dgm:spPr/>
    </dgm:pt>
  </dgm:ptLst>
  <dgm:cxnLst>
    <dgm:cxn modelId="{76B07140-39FE-4C5D-8CE2-892B74C98C4F}" type="presOf" srcId="{D6335D96-4879-4946-B245-419837161A58}" destId="{EA742858-EA5F-407A-9172-FF6C2402898E}" srcOrd="0" destOrd="0" presId="urn:microsoft.com/office/officeart/2008/layout/NameandTitleOrganizationalChart"/>
    <dgm:cxn modelId="{AE8BE01E-83A8-435F-B9BC-C328AB0096AB}" type="presOf" srcId="{CCA0643C-6630-4165-A4DB-59BD69B6743D}" destId="{308BC837-A227-40FA-B708-5B6F216B4838}" srcOrd="0" destOrd="0" presId="urn:microsoft.com/office/officeart/2008/layout/NameandTitleOrganizationalChart"/>
    <dgm:cxn modelId="{156968A4-A0EE-45EF-B645-DCC4B0C72B30}" type="presOf" srcId="{7926A48C-1E11-45D1-8BD1-D6931A9803C3}" destId="{0A456BCE-93B5-456A-922D-A9CD632F797B}" srcOrd="0" destOrd="0" presId="urn:microsoft.com/office/officeart/2008/layout/NameandTitleOrganizationalChart"/>
    <dgm:cxn modelId="{6003FFA3-D6B0-47A7-AAB0-B7056363865A}" type="presOf" srcId="{C7020DB0-3E58-4BB0-A6B0-D55DE11797E3}" destId="{455A0E1A-5B89-43D3-B1C5-C7B2D7BF284E}" srcOrd="1" destOrd="0" presId="urn:microsoft.com/office/officeart/2008/layout/NameandTitleOrganizationalChart"/>
    <dgm:cxn modelId="{8B518207-42F8-4CC1-B801-FEB7628FC083}" type="presOf" srcId="{9119A3E3-287F-45B8-84C5-A3BDF1FD4BE9}" destId="{0543853A-9594-4674-AC64-0D3476C2B720}" srcOrd="0" destOrd="0" presId="urn:microsoft.com/office/officeart/2008/layout/NameandTitleOrganizationalChart"/>
    <dgm:cxn modelId="{FD894D1A-7513-4E03-A881-F3C9C1386755}" type="presOf" srcId="{931CC4AF-9002-4E87-B181-678FD76186DC}" destId="{CECC8A0F-7210-435B-BC19-2AE7D4CDD5A2}" srcOrd="0" destOrd="0" presId="urn:microsoft.com/office/officeart/2008/layout/NameandTitleOrganizationalChart"/>
    <dgm:cxn modelId="{D26DB816-C3F6-4284-B2CE-9D4EE4015BE5}" type="presOf" srcId="{E455DAF8-FCEA-4AEF-8D66-29470840BA73}" destId="{D0756ED9-D4A0-4CCA-9639-13C3B3A8E67E}" srcOrd="1" destOrd="0" presId="urn:microsoft.com/office/officeart/2008/layout/NameandTitleOrganizationalChart"/>
    <dgm:cxn modelId="{11AD253F-E16E-44C0-A681-986C83D3A031}" type="presOf" srcId="{49A05B46-11C2-4769-8B8D-5F97492BC6B1}" destId="{DAAE2D5C-8E6E-44E5-802E-D75CF6C31798}" srcOrd="0" destOrd="0" presId="urn:microsoft.com/office/officeart/2008/layout/NameandTitleOrganizationalChart"/>
    <dgm:cxn modelId="{FB263904-4E28-41CE-A4E7-2B18F2EFA01F}" srcId="{855ADD6A-E72A-4B16-A6F4-FC46CD7C9548}" destId="{7926A48C-1E11-45D1-8BD1-D6931A9803C3}" srcOrd="0" destOrd="0" parTransId="{AE40BF7A-42C2-4817-970A-38D66B7098CD}" sibTransId="{95F6180A-ED62-4C77-B3D4-AF933F31AF55}"/>
    <dgm:cxn modelId="{66D143FA-FE63-467B-8B75-F67ECD8A0FDE}" srcId="{C7020DB0-3E58-4BB0-A6B0-D55DE11797E3}" destId="{AD7BC823-98EB-4A5C-93D1-8210BB00ACF0}" srcOrd="0" destOrd="0" parTransId="{9D0AFEEB-8512-4CE7-A4E3-097CAD43344B}" sibTransId="{CCA0643C-6630-4165-A4DB-59BD69B6743D}"/>
    <dgm:cxn modelId="{8D80910A-D4E4-4F5A-BA1B-3C0359C876A7}" type="presOf" srcId="{BE1161FC-AACC-4A07-A32B-F09587559EB5}" destId="{69A6110C-5264-4816-932E-20EF9E1396D9}" srcOrd="0" destOrd="0" presId="urn:microsoft.com/office/officeart/2008/layout/NameandTitleOrganizationalChart"/>
    <dgm:cxn modelId="{7335B989-79C7-4DAD-B8C5-2939C10B54F3}" type="presOf" srcId="{BE1161FC-AACC-4A07-A32B-F09587559EB5}" destId="{FFC6A66B-B33C-46EF-BFAA-048FC5F0D277}" srcOrd="1" destOrd="0" presId="urn:microsoft.com/office/officeart/2008/layout/NameandTitleOrganizationalChart"/>
    <dgm:cxn modelId="{40DF9547-4BCD-429C-9A74-253B57DDD0BC}" type="presOf" srcId="{AD7BC823-98EB-4A5C-93D1-8210BB00ACF0}" destId="{76F68259-119C-4EFF-80FD-AC62A052F397}" srcOrd="1" destOrd="0" presId="urn:microsoft.com/office/officeart/2008/layout/NameandTitleOrganizationalChart"/>
    <dgm:cxn modelId="{15379028-D4C4-4EE7-B94C-A118F00C190E}" type="presOf" srcId="{8EB2DD66-A625-417E-B257-DDF79B9DD282}" destId="{EEF168BE-E320-4583-BD8E-61FA6EA5FBCF}" srcOrd="0" destOrd="0" presId="urn:microsoft.com/office/officeart/2008/layout/NameandTitleOrganizationalChart"/>
    <dgm:cxn modelId="{20360A41-31D6-43C4-B3BC-729B8483E6EF}" srcId="{7926A48C-1E11-45D1-8BD1-D6931A9803C3}" destId="{5C51E594-79BC-4494-9BFB-33FA1B6990EB}" srcOrd="0" destOrd="0" parTransId="{0A5FF3F3-D24C-40CB-8FDF-2AC9ECA78DB6}" sibTransId="{4A991C48-C1C4-408D-8021-A2035AFC106F}"/>
    <dgm:cxn modelId="{BC890774-6FEF-4399-8BCA-24C3BA5FF142}" type="presOf" srcId="{95F6180A-ED62-4C77-B3D4-AF933F31AF55}" destId="{39567F6F-90B8-40B1-802E-1BFB5CAB2AAA}" srcOrd="0" destOrd="0" presId="urn:microsoft.com/office/officeart/2008/layout/NameandTitleOrganizationalChart"/>
    <dgm:cxn modelId="{99E739DA-FD0E-4BA1-9977-6D5444471A00}" srcId="{7926A48C-1E11-45D1-8BD1-D6931A9803C3}" destId="{91F7D630-3CB4-4035-9B9C-B3342680FA9E}" srcOrd="1" destOrd="0" parTransId="{9119A3E3-287F-45B8-84C5-A3BDF1FD4BE9}" sibTransId="{8EB2DD66-A625-417E-B257-DDF79B9DD282}"/>
    <dgm:cxn modelId="{E9385199-FD8C-4F6B-9963-8762EB911335}" srcId="{91F7D630-3CB4-4035-9B9C-B3342680FA9E}" destId="{E455DAF8-FCEA-4AEF-8D66-29470840BA73}" srcOrd="0" destOrd="0" parTransId="{369E3110-E984-461E-9B59-69BC82097D5D}" sibTransId="{F2B6FA18-B817-49F9-90F0-4677777A6A4E}"/>
    <dgm:cxn modelId="{602EE356-F046-4A9B-8E17-10D1C44BF70C}" type="presOf" srcId="{91F7D630-3CB4-4035-9B9C-B3342680FA9E}" destId="{9918FF45-1A9B-455B-8A6B-6932E3FDD4F2}" srcOrd="0" destOrd="0" presId="urn:microsoft.com/office/officeart/2008/layout/NameandTitleOrganizationalChart"/>
    <dgm:cxn modelId="{211BEF71-83FE-48B4-BEC3-80E9888D5CB0}" type="presOf" srcId="{91F7D630-3CB4-4035-9B9C-B3342680FA9E}" destId="{B58AD5A0-2358-4B26-B223-A5159BE2D66A}" srcOrd="1" destOrd="0" presId="urn:microsoft.com/office/officeart/2008/layout/NameandTitleOrganizationalChart"/>
    <dgm:cxn modelId="{5ED0CA73-62DB-472F-AA1E-8C8623122C3D}" type="presOf" srcId="{E455DAF8-FCEA-4AEF-8D66-29470840BA73}" destId="{06D1F989-B9B2-49BE-9764-18B7E2D76D5D}" srcOrd="0" destOrd="0" presId="urn:microsoft.com/office/officeart/2008/layout/NameandTitleOrganizationalChart"/>
    <dgm:cxn modelId="{FAC1076E-55CE-45AC-80FE-F0F294F3FDE3}" type="presOf" srcId="{5C51E594-79BC-4494-9BFB-33FA1B6990EB}" destId="{9DCFAB8C-4B3E-4B65-85F3-9D02B1F370EA}" srcOrd="0" destOrd="0" presId="urn:microsoft.com/office/officeart/2008/layout/NameandTitleOrganizationalChart"/>
    <dgm:cxn modelId="{E8779A1C-25AF-4AE4-95C1-8E979379A91C}" type="presOf" srcId="{7926A48C-1E11-45D1-8BD1-D6931A9803C3}" destId="{FA6508F6-0F81-4214-A749-2D11FB4F3E81}" srcOrd="1" destOrd="0" presId="urn:microsoft.com/office/officeart/2008/layout/NameandTitleOrganizationalChart"/>
    <dgm:cxn modelId="{49CBF196-D750-472B-BF92-33A10185D352}" srcId="{5C51E594-79BC-4494-9BFB-33FA1B6990EB}" destId="{BE1161FC-AACC-4A07-A32B-F09587559EB5}" srcOrd="0" destOrd="0" parTransId="{931CC4AF-9002-4E87-B181-678FD76186DC}" sibTransId="{D6335D96-4879-4946-B245-419837161A58}"/>
    <dgm:cxn modelId="{E7AAA5F2-023B-4CC8-9F64-DC4A4547228D}" type="presOf" srcId="{5C51E594-79BC-4494-9BFB-33FA1B6990EB}" destId="{3C9D0C11-BAB0-4C44-A2A2-C544C6FF3BEE}" srcOrd="1" destOrd="0" presId="urn:microsoft.com/office/officeart/2008/layout/NameandTitleOrganizationalChart"/>
    <dgm:cxn modelId="{858924F6-8F90-443D-BBA5-0CC9D115BC3E}" type="presOf" srcId="{369E3110-E984-461E-9B59-69BC82097D5D}" destId="{CCB4E35B-5D3C-41A1-8BBF-F728BA74CC8E}" srcOrd="0" destOrd="0" presId="urn:microsoft.com/office/officeart/2008/layout/NameandTitleOrganizationalChart"/>
    <dgm:cxn modelId="{80B6CA2F-407E-4AB5-BAB2-FC0B2F38B99F}" type="presOf" srcId="{855ADD6A-E72A-4B16-A6F4-FC46CD7C9548}" destId="{C55A8ED6-C54F-4689-989D-8836E370FB50}" srcOrd="0" destOrd="0" presId="urn:microsoft.com/office/officeart/2008/layout/NameandTitleOrganizationalChart"/>
    <dgm:cxn modelId="{10B42C28-D026-497E-B32B-D128BC6EEEA2}" type="presOf" srcId="{C7020DB0-3E58-4BB0-A6B0-D55DE11797E3}" destId="{F2116CA4-C8F0-4BE0-AEF1-5049201FC5C9}" srcOrd="0" destOrd="0" presId="urn:microsoft.com/office/officeart/2008/layout/NameandTitleOrganizationalChart"/>
    <dgm:cxn modelId="{E42E3841-7A83-41A7-9C4A-CD72A591C652}" type="presOf" srcId="{E3ABC07E-902C-4AAF-B157-1590ABB69226}" destId="{5772B4CF-F3C4-44D6-A35F-09173D59F06B}" srcOrd="0" destOrd="0" presId="urn:microsoft.com/office/officeart/2008/layout/NameandTitleOrganizationalChart"/>
    <dgm:cxn modelId="{FE0C0693-F120-4AEC-AE3E-399068B16530}" srcId="{7926A48C-1E11-45D1-8BD1-D6931A9803C3}" destId="{C7020DB0-3E58-4BB0-A6B0-D55DE11797E3}" srcOrd="2" destOrd="0" parTransId="{E3ABC07E-902C-4AAF-B157-1590ABB69226}" sibTransId="{49A05B46-11C2-4769-8B8D-5F97492BC6B1}"/>
    <dgm:cxn modelId="{B30F9643-55C4-4C96-964F-739DB17E7976}" type="presOf" srcId="{F2B6FA18-B817-49F9-90F0-4677777A6A4E}" destId="{2F7A7DA2-9EA5-4F00-9A12-528130516C9B}" srcOrd="0" destOrd="0" presId="urn:microsoft.com/office/officeart/2008/layout/NameandTitleOrganizationalChart"/>
    <dgm:cxn modelId="{ADB6070C-D391-4B46-90C0-B649AE13466E}" type="presOf" srcId="{4A991C48-C1C4-408D-8021-A2035AFC106F}" destId="{7951E30D-1979-4B9D-98FC-FB564A23BC30}" srcOrd="0" destOrd="0" presId="urn:microsoft.com/office/officeart/2008/layout/NameandTitleOrganizationalChart"/>
    <dgm:cxn modelId="{B459A83E-A392-46C8-A5DD-3BC26D92D1A6}" type="presOf" srcId="{9D0AFEEB-8512-4CE7-A4E3-097CAD43344B}" destId="{5114FBB3-7487-4FB3-9A15-8ED5E6867E68}" srcOrd="0" destOrd="0" presId="urn:microsoft.com/office/officeart/2008/layout/NameandTitleOrganizationalChart"/>
    <dgm:cxn modelId="{3453F17F-56F0-4D03-984B-7D4704D9E9F4}" type="presOf" srcId="{AD7BC823-98EB-4A5C-93D1-8210BB00ACF0}" destId="{285F0B51-F48C-4ADE-BDF9-3E16107F8433}" srcOrd="0" destOrd="0" presId="urn:microsoft.com/office/officeart/2008/layout/NameandTitleOrganizationalChart"/>
    <dgm:cxn modelId="{18E01A39-5E75-44FC-A699-A648DB73E213}" type="presOf" srcId="{0A5FF3F3-D24C-40CB-8FDF-2AC9ECA78DB6}" destId="{4088E215-6DD2-41C0-81CC-D1B123C1D367}" srcOrd="0" destOrd="0" presId="urn:microsoft.com/office/officeart/2008/layout/NameandTitleOrganizationalChart"/>
    <dgm:cxn modelId="{17AE7233-613D-4E75-80B7-76C5872E0DF7}" type="presParOf" srcId="{C55A8ED6-C54F-4689-989D-8836E370FB50}" destId="{5895C5DC-0D6C-4B44-99B9-879BC2FB73D4}" srcOrd="0" destOrd="0" presId="urn:microsoft.com/office/officeart/2008/layout/NameandTitleOrganizationalChart"/>
    <dgm:cxn modelId="{A47BBCC6-0AC1-4224-A741-ADA943FF2545}" type="presParOf" srcId="{5895C5DC-0D6C-4B44-99B9-879BC2FB73D4}" destId="{A1D8AFB0-DEB6-4FBB-971C-11E04365EBB6}" srcOrd="0" destOrd="0" presId="urn:microsoft.com/office/officeart/2008/layout/NameandTitleOrganizationalChart"/>
    <dgm:cxn modelId="{67796FBD-7924-4255-9117-2E6B6BA79563}" type="presParOf" srcId="{A1D8AFB0-DEB6-4FBB-971C-11E04365EBB6}" destId="{0A456BCE-93B5-456A-922D-A9CD632F797B}" srcOrd="0" destOrd="0" presId="urn:microsoft.com/office/officeart/2008/layout/NameandTitleOrganizationalChart"/>
    <dgm:cxn modelId="{316E3ACE-5933-4C4E-A91F-32BF193F0522}" type="presParOf" srcId="{A1D8AFB0-DEB6-4FBB-971C-11E04365EBB6}" destId="{39567F6F-90B8-40B1-802E-1BFB5CAB2AAA}" srcOrd="1" destOrd="0" presId="urn:microsoft.com/office/officeart/2008/layout/NameandTitleOrganizationalChart"/>
    <dgm:cxn modelId="{40E7D5A5-6048-4F93-B925-819DDDEE9906}" type="presParOf" srcId="{A1D8AFB0-DEB6-4FBB-971C-11E04365EBB6}" destId="{FA6508F6-0F81-4214-A749-2D11FB4F3E81}" srcOrd="2" destOrd="0" presId="urn:microsoft.com/office/officeart/2008/layout/NameandTitleOrganizationalChart"/>
    <dgm:cxn modelId="{C51C6DA6-F0A4-4A61-B5FD-B8B78C872325}" type="presParOf" srcId="{5895C5DC-0D6C-4B44-99B9-879BC2FB73D4}" destId="{B7EE269A-9923-4806-8147-0E85C3C1D03C}" srcOrd="1" destOrd="0" presId="urn:microsoft.com/office/officeart/2008/layout/NameandTitleOrganizationalChart"/>
    <dgm:cxn modelId="{B85D5B29-03A8-4553-AA01-23A942C61580}" type="presParOf" srcId="{B7EE269A-9923-4806-8147-0E85C3C1D03C}" destId="{4088E215-6DD2-41C0-81CC-D1B123C1D367}" srcOrd="0" destOrd="0" presId="urn:microsoft.com/office/officeart/2008/layout/NameandTitleOrganizationalChart"/>
    <dgm:cxn modelId="{EA926E35-D848-41B8-BD4B-FEF2F345191C}" type="presParOf" srcId="{B7EE269A-9923-4806-8147-0E85C3C1D03C}" destId="{A22A5E01-CDDB-4008-B679-7366FDA467E9}" srcOrd="1" destOrd="0" presId="urn:microsoft.com/office/officeart/2008/layout/NameandTitleOrganizationalChart"/>
    <dgm:cxn modelId="{9F478697-C1F9-4218-955A-5271170061FF}" type="presParOf" srcId="{A22A5E01-CDDB-4008-B679-7366FDA467E9}" destId="{E76F0C48-CB73-4A63-BC0B-9D5AD9B0C14A}" srcOrd="0" destOrd="0" presId="urn:microsoft.com/office/officeart/2008/layout/NameandTitleOrganizationalChart"/>
    <dgm:cxn modelId="{3213F252-3A51-4150-B841-39190052CE42}" type="presParOf" srcId="{E76F0C48-CB73-4A63-BC0B-9D5AD9B0C14A}" destId="{9DCFAB8C-4B3E-4B65-85F3-9D02B1F370EA}" srcOrd="0" destOrd="0" presId="urn:microsoft.com/office/officeart/2008/layout/NameandTitleOrganizationalChart"/>
    <dgm:cxn modelId="{08031CBD-44A6-4482-A52B-A7A70D8AA271}" type="presParOf" srcId="{E76F0C48-CB73-4A63-BC0B-9D5AD9B0C14A}" destId="{7951E30D-1979-4B9D-98FC-FB564A23BC30}" srcOrd="1" destOrd="0" presId="urn:microsoft.com/office/officeart/2008/layout/NameandTitleOrganizationalChart"/>
    <dgm:cxn modelId="{28F82423-0693-40B8-957B-9241E495B20D}" type="presParOf" srcId="{E76F0C48-CB73-4A63-BC0B-9D5AD9B0C14A}" destId="{3C9D0C11-BAB0-4C44-A2A2-C544C6FF3BEE}" srcOrd="2" destOrd="0" presId="urn:microsoft.com/office/officeart/2008/layout/NameandTitleOrganizationalChart"/>
    <dgm:cxn modelId="{69DA97CB-604D-4060-98BC-2F49682F2121}" type="presParOf" srcId="{A22A5E01-CDDB-4008-B679-7366FDA467E9}" destId="{60E6BB7B-85AB-4CDD-932A-F213CBCEC84B}" srcOrd="1" destOrd="0" presId="urn:microsoft.com/office/officeart/2008/layout/NameandTitleOrganizationalChart"/>
    <dgm:cxn modelId="{77F3D55C-6407-42DC-ABB2-D869F08025CC}" type="presParOf" srcId="{A22A5E01-CDDB-4008-B679-7366FDA467E9}" destId="{04F21EFC-0C10-4C18-B3B1-E5286CECEC69}" srcOrd="2" destOrd="0" presId="urn:microsoft.com/office/officeart/2008/layout/NameandTitleOrganizationalChart"/>
    <dgm:cxn modelId="{CC27412E-1A01-4C4F-97F3-00FFAFDDCD90}" type="presParOf" srcId="{04F21EFC-0C10-4C18-B3B1-E5286CECEC69}" destId="{CECC8A0F-7210-435B-BC19-2AE7D4CDD5A2}" srcOrd="0" destOrd="0" presId="urn:microsoft.com/office/officeart/2008/layout/NameandTitleOrganizationalChart"/>
    <dgm:cxn modelId="{FAB70C6B-F3E3-4DC9-A657-E01A15A0D92D}" type="presParOf" srcId="{04F21EFC-0C10-4C18-B3B1-E5286CECEC69}" destId="{79A56F07-D462-4D4C-9BC4-07D87052028A}" srcOrd="1" destOrd="0" presId="urn:microsoft.com/office/officeart/2008/layout/NameandTitleOrganizationalChart"/>
    <dgm:cxn modelId="{8E37D3CB-FF56-43D9-BDD5-2438682F965A}" type="presParOf" srcId="{79A56F07-D462-4D4C-9BC4-07D87052028A}" destId="{0414A2C7-F861-4DA0-8961-95078D161400}" srcOrd="0" destOrd="0" presId="urn:microsoft.com/office/officeart/2008/layout/NameandTitleOrganizationalChart"/>
    <dgm:cxn modelId="{D5D0237D-7677-4462-AD0E-735BAA5B4970}" type="presParOf" srcId="{0414A2C7-F861-4DA0-8961-95078D161400}" destId="{69A6110C-5264-4816-932E-20EF9E1396D9}" srcOrd="0" destOrd="0" presId="urn:microsoft.com/office/officeart/2008/layout/NameandTitleOrganizationalChart"/>
    <dgm:cxn modelId="{85BBB064-021D-4DA6-8A16-84B2BBB3E99C}" type="presParOf" srcId="{0414A2C7-F861-4DA0-8961-95078D161400}" destId="{EA742858-EA5F-407A-9172-FF6C2402898E}" srcOrd="1" destOrd="0" presId="urn:microsoft.com/office/officeart/2008/layout/NameandTitleOrganizationalChart"/>
    <dgm:cxn modelId="{BA7CDA50-59A9-410D-BBDA-9E06361B43B2}" type="presParOf" srcId="{0414A2C7-F861-4DA0-8961-95078D161400}" destId="{FFC6A66B-B33C-46EF-BFAA-048FC5F0D277}" srcOrd="2" destOrd="0" presId="urn:microsoft.com/office/officeart/2008/layout/NameandTitleOrganizationalChart"/>
    <dgm:cxn modelId="{DB63C28D-06ED-4B0A-99D6-7732D34584C1}" type="presParOf" srcId="{79A56F07-D462-4D4C-9BC4-07D87052028A}" destId="{280F63E7-DF9D-435E-8520-E2DEE846E5E9}" srcOrd="1" destOrd="0" presId="urn:microsoft.com/office/officeart/2008/layout/NameandTitleOrganizationalChart"/>
    <dgm:cxn modelId="{604852D9-C7BA-4235-A6FB-FC70A2C3238F}" type="presParOf" srcId="{79A56F07-D462-4D4C-9BC4-07D87052028A}" destId="{BD65846F-6BDF-4839-9F78-738692E87F64}" srcOrd="2" destOrd="0" presId="urn:microsoft.com/office/officeart/2008/layout/NameandTitleOrganizationalChart"/>
    <dgm:cxn modelId="{C148077C-50C2-4164-B313-6D500BFD000A}" type="presParOf" srcId="{B7EE269A-9923-4806-8147-0E85C3C1D03C}" destId="{0543853A-9594-4674-AC64-0D3476C2B720}" srcOrd="2" destOrd="0" presId="urn:microsoft.com/office/officeart/2008/layout/NameandTitleOrganizationalChart"/>
    <dgm:cxn modelId="{DCAF8C15-1516-403B-BBC1-9427AA98F6E8}" type="presParOf" srcId="{B7EE269A-9923-4806-8147-0E85C3C1D03C}" destId="{ECACB7A7-19A3-4010-9F11-E848BAAF7564}" srcOrd="3" destOrd="0" presId="urn:microsoft.com/office/officeart/2008/layout/NameandTitleOrganizationalChart"/>
    <dgm:cxn modelId="{D88358DB-AE41-409D-B79E-6B4BBDE8CAE9}" type="presParOf" srcId="{ECACB7A7-19A3-4010-9F11-E848BAAF7564}" destId="{72DD5779-C157-47B4-AE25-578C4F734C28}" srcOrd="0" destOrd="0" presId="urn:microsoft.com/office/officeart/2008/layout/NameandTitleOrganizationalChart"/>
    <dgm:cxn modelId="{FD80C009-4E06-4C8E-89FB-103B74161200}" type="presParOf" srcId="{72DD5779-C157-47B4-AE25-578C4F734C28}" destId="{9918FF45-1A9B-455B-8A6B-6932E3FDD4F2}" srcOrd="0" destOrd="0" presId="urn:microsoft.com/office/officeart/2008/layout/NameandTitleOrganizationalChart"/>
    <dgm:cxn modelId="{A693299A-A054-466B-BFCE-DFFF37BE170C}" type="presParOf" srcId="{72DD5779-C157-47B4-AE25-578C4F734C28}" destId="{EEF168BE-E320-4583-BD8E-61FA6EA5FBCF}" srcOrd="1" destOrd="0" presId="urn:microsoft.com/office/officeart/2008/layout/NameandTitleOrganizationalChart"/>
    <dgm:cxn modelId="{1B691D4C-F3D2-4135-BC26-1630423260DA}" type="presParOf" srcId="{72DD5779-C157-47B4-AE25-578C4F734C28}" destId="{B58AD5A0-2358-4B26-B223-A5159BE2D66A}" srcOrd="2" destOrd="0" presId="urn:microsoft.com/office/officeart/2008/layout/NameandTitleOrganizationalChart"/>
    <dgm:cxn modelId="{4BA9E85C-44F6-4378-B69F-8C71B8028999}" type="presParOf" srcId="{ECACB7A7-19A3-4010-9F11-E848BAAF7564}" destId="{52571B33-B621-482D-83B2-8B2E43E38749}" srcOrd="1" destOrd="0" presId="urn:microsoft.com/office/officeart/2008/layout/NameandTitleOrganizationalChart"/>
    <dgm:cxn modelId="{5E0AFFA2-EE6F-4CDB-8D52-980BE5E2865C}" type="presParOf" srcId="{ECACB7A7-19A3-4010-9F11-E848BAAF7564}" destId="{33FAB989-73D3-46E7-A64A-4AC43FE02F87}" srcOrd="2" destOrd="0" presId="urn:microsoft.com/office/officeart/2008/layout/NameandTitleOrganizationalChart"/>
    <dgm:cxn modelId="{A8145AB4-2B45-4C3B-84EF-69CE9362B6A6}" type="presParOf" srcId="{33FAB989-73D3-46E7-A64A-4AC43FE02F87}" destId="{CCB4E35B-5D3C-41A1-8BBF-F728BA74CC8E}" srcOrd="0" destOrd="0" presId="urn:microsoft.com/office/officeart/2008/layout/NameandTitleOrganizationalChart"/>
    <dgm:cxn modelId="{CCF9BD35-C5E7-4C9B-9A07-01CAB62516E8}" type="presParOf" srcId="{33FAB989-73D3-46E7-A64A-4AC43FE02F87}" destId="{D3397876-073A-48E3-A151-54AFE5EDFFB6}" srcOrd="1" destOrd="0" presId="urn:microsoft.com/office/officeart/2008/layout/NameandTitleOrganizationalChart"/>
    <dgm:cxn modelId="{B888C32D-F758-403E-A0DF-2B2F0CE28344}" type="presParOf" srcId="{D3397876-073A-48E3-A151-54AFE5EDFFB6}" destId="{B416C5B7-C304-4DB7-92CA-E69DB12143CB}" srcOrd="0" destOrd="0" presId="urn:microsoft.com/office/officeart/2008/layout/NameandTitleOrganizationalChart"/>
    <dgm:cxn modelId="{BF00F872-2CE1-4308-8E1A-41DB284EF857}" type="presParOf" srcId="{B416C5B7-C304-4DB7-92CA-E69DB12143CB}" destId="{06D1F989-B9B2-49BE-9764-18B7E2D76D5D}" srcOrd="0" destOrd="0" presId="urn:microsoft.com/office/officeart/2008/layout/NameandTitleOrganizationalChart"/>
    <dgm:cxn modelId="{4987B3BF-33D9-465E-BFF5-C0D8B7B54A75}" type="presParOf" srcId="{B416C5B7-C304-4DB7-92CA-E69DB12143CB}" destId="{2F7A7DA2-9EA5-4F00-9A12-528130516C9B}" srcOrd="1" destOrd="0" presId="urn:microsoft.com/office/officeart/2008/layout/NameandTitleOrganizationalChart"/>
    <dgm:cxn modelId="{6B107950-2E55-4CEC-88DE-ABB904ECAC40}" type="presParOf" srcId="{B416C5B7-C304-4DB7-92CA-E69DB12143CB}" destId="{D0756ED9-D4A0-4CCA-9639-13C3B3A8E67E}" srcOrd="2" destOrd="0" presId="urn:microsoft.com/office/officeart/2008/layout/NameandTitleOrganizationalChart"/>
    <dgm:cxn modelId="{04501932-F297-4A02-8346-6B98D081ED8A}" type="presParOf" srcId="{D3397876-073A-48E3-A151-54AFE5EDFFB6}" destId="{2A53BF53-6EA6-49E0-A78D-1D47413E833A}" srcOrd="1" destOrd="0" presId="urn:microsoft.com/office/officeart/2008/layout/NameandTitleOrganizationalChart"/>
    <dgm:cxn modelId="{2121D876-A9D4-41AF-809F-5E02DB7AACF8}" type="presParOf" srcId="{D3397876-073A-48E3-A151-54AFE5EDFFB6}" destId="{2C348F2B-AB2C-49BB-AEDE-EDF327B88E66}" srcOrd="2" destOrd="0" presId="urn:microsoft.com/office/officeart/2008/layout/NameandTitleOrganizationalChart"/>
    <dgm:cxn modelId="{A18EE877-4179-4957-A0D5-0306F6B457A0}" type="presParOf" srcId="{B7EE269A-9923-4806-8147-0E85C3C1D03C}" destId="{5772B4CF-F3C4-44D6-A35F-09173D59F06B}" srcOrd="4" destOrd="0" presId="urn:microsoft.com/office/officeart/2008/layout/NameandTitleOrganizationalChart"/>
    <dgm:cxn modelId="{5C6F630A-9473-411B-96DE-661E35E8B49D}" type="presParOf" srcId="{B7EE269A-9923-4806-8147-0E85C3C1D03C}" destId="{04A704D3-3911-45AA-9F9F-DDEF95594522}" srcOrd="5" destOrd="0" presId="urn:microsoft.com/office/officeart/2008/layout/NameandTitleOrganizationalChart"/>
    <dgm:cxn modelId="{839754A9-FA5F-4B30-9444-55D9B5B2CC20}" type="presParOf" srcId="{04A704D3-3911-45AA-9F9F-DDEF95594522}" destId="{BB83565B-F98B-4A10-87A3-EDE3B9019CE5}" srcOrd="0" destOrd="0" presId="urn:microsoft.com/office/officeart/2008/layout/NameandTitleOrganizationalChart"/>
    <dgm:cxn modelId="{330ED159-59FE-42E5-A7FD-502A40903860}" type="presParOf" srcId="{BB83565B-F98B-4A10-87A3-EDE3B9019CE5}" destId="{F2116CA4-C8F0-4BE0-AEF1-5049201FC5C9}" srcOrd="0" destOrd="0" presId="urn:microsoft.com/office/officeart/2008/layout/NameandTitleOrganizationalChart"/>
    <dgm:cxn modelId="{3C2A0677-AA43-4EC6-83D0-A9D08DADC925}" type="presParOf" srcId="{BB83565B-F98B-4A10-87A3-EDE3B9019CE5}" destId="{DAAE2D5C-8E6E-44E5-802E-D75CF6C31798}" srcOrd="1" destOrd="0" presId="urn:microsoft.com/office/officeart/2008/layout/NameandTitleOrganizationalChart"/>
    <dgm:cxn modelId="{7407AABB-187C-4533-BDC0-D42B7956646D}" type="presParOf" srcId="{BB83565B-F98B-4A10-87A3-EDE3B9019CE5}" destId="{455A0E1A-5B89-43D3-B1C5-C7B2D7BF284E}" srcOrd="2" destOrd="0" presId="urn:microsoft.com/office/officeart/2008/layout/NameandTitleOrganizationalChart"/>
    <dgm:cxn modelId="{C659EAFC-C4B7-4FCF-8E79-5DB05AD926CB}" type="presParOf" srcId="{04A704D3-3911-45AA-9F9F-DDEF95594522}" destId="{F4408EA8-CB59-420E-9A0F-144635179C41}" srcOrd="1" destOrd="0" presId="urn:microsoft.com/office/officeart/2008/layout/NameandTitleOrganizationalChart"/>
    <dgm:cxn modelId="{20CC124A-94EB-405F-A071-F2FDC6FF87D5}" type="presParOf" srcId="{04A704D3-3911-45AA-9F9F-DDEF95594522}" destId="{2129D8E5-8636-44E3-A167-65B09E2B46AD}" srcOrd="2" destOrd="0" presId="urn:microsoft.com/office/officeart/2008/layout/NameandTitleOrganizationalChart"/>
    <dgm:cxn modelId="{B586B4BF-4FAB-4B9E-934B-DFE2F52AAF88}" type="presParOf" srcId="{2129D8E5-8636-44E3-A167-65B09E2B46AD}" destId="{5114FBB3-7487-4FB3-9A15-8ED5E6867E68}" srcOrd="0" destOrd="0" presId="urn:microsoft.com/office/officeart/2008/layout/NameandTitleOrganizationalChart"/>
    <dgm:cxn modelId="{52B9953A-D871-4F92-A5B6-F449E77247B2}" type="presParOf" srcId="{2129D8E5-8636-44E3-A167-65B09E2B46AD}" destId="{CB688C67-C975-41D1-B826-4A0A942F1B26}" srcOrd="1" destOrd="0" presId="urn:microsoft.com/office/officeart/2008/layout/NameandTitleOrganizationalChart"/>
    <dgm:cxn modelId="{F00ED699-765E-48C4-A8E0-E621FBF174AA}" type="presParOf" srcId="{CB688C67-C975-41D1-B826-4A0A942F1B26}" destId="{1312E327-BE1F-4B82-A942-3D9F756ACD62}" srcOrd="0" destOrd="0" presId="urn:microsoft.com/office/officeart/2008/layout/NameandTitleOrganizationalChart"/>
    <dgm:cxn modelId="{D5849876-F426-455D-89CB-78FAF84F36AA}" type="presParOf" srcId="{1312E327-BE1F-4B82-A942-3D9F756ACD62}" destId="{285F0B51-F48C-4ADE-BDF9-3E16107F8433}" srcOrd="0" destOrd="0" presId="urn:microsoft.com/office/officeart/2008/layout/NameandTitleOrganizationalChart"/>
    <dgm:cxn modelId="{D95D0C0D-7F6A-44C6-B0F9-D5FA664FFBF2}" type="presParOf" srcId="{1312E327-BE1F-4B82-A942-3D9F756ACD62}" destId="{308BC837-A227-40FA-B708-5B6F216B4838}" srcOrd="1" destOrd="0" presId="urn:microsoft.com/office/officeart/2008/layout/NameandTitleOrganizationalChart"/>
    <dgm:cxn modelId="{65E5E426-458C-45F7-BB36-29DB2C69CDFF}" type="presParOf" srcId="{1312E327-BE1F-4B82-A942-3D9F756ACD62}" destId="{76F68259-119C-4EFF-80FD-AC62A052F397}" srcOrd="2" destOrd="0" presId="urn:microsoft.com/office/officeart/2008/layout/NameandTitleOrganizationalChart"/>
    <dgm:cxn modelId="{2993ECF9-559F-4D42-BAAC-986758ADE641}" type="presParOf" srcId="{CB688C67-C975-41D1-B826-4A0A942F1B26}" destId="{DF58B8B0-F433-4027-AE5D-60BF3AD86B9D}" srcOrd="1" destOrd="0" presId="urn:microsoft.com/office/officeart/2008/layout/NameandTitleOrganizationalChart"/>
    <dgm:cxn modelId="{41EE0B2D-973B-4E04-9642-3B2F363692C4}" type="presParOf" srcId="{CB688C67-C975-41D1-B826-4A0A942F1B26}" destId="{0659A9B3-D616-47B4-A2E7-853848DC9172}" srcOrd="2" destOrd="0" presId="urn:microsoft.com/office/officeart/2008/layout/NameandTitleOrganizationalChart"/>
    <dgm:cxn modelId="{0CC44ABF-F125-4410-A56A-3EFAB53FF9BD}" type="presParOf" srcId="{5895C5DC-0D6C-4B44-99B9-879BC2FB73D4}" destId="{A1CBC782-B5CA-4CB5-A386-1A12BD91F598}" srcOrd="2" destOrd="0" presId="urn:microsoft.com/office/officeart/2008/layout/NameandTitleOrganizationalChart"/>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E9F3234A-CF6D-4A9F-814B-CA777DDC3393}" type="doc">
      <dgm:prSet loTypeId="urn:microsoft.com/office/officeart/2005/8/layout/vList6" loCatId="list" qsTypeId="urn:microsoft.com/office/officeart/2005/8/quickstyle/simple5" qsCatId="simple" csTypeId="urn:microsoft.com/office/officeart/2005/8/colors/accent0_1" csCatId="mainScheme" phldr="1"/>
      <dgm:spPr/>
      <dgm:t>
        <a:bodyPr/>
        <a:lstStyle/>
        <a:p>
          <a:endParaRPr lang="ru-RU"/>
        </a:p>
      </dgm:t>
    </dgm:pt>
    <dgm:pt modelId="{66A928FE-E41B-4B31-852C-E8FAD732B0D7}">
      <dgm:prSet phldrT="[Текст]" custT="1"/>
      <dgm:spPr/>
      <dgm:t>
        <a:bodyPr/>
        <a:lstStyle/>
        <a:p>
          <a:r>
            <a:rPr lang="uk-UA" sz="1200" i="1">
              <a:latin typeface="Times New Roman" panose="02020603050405020304" pitchFamily="18" charset="0"/>
              <a:cs typeface="Times New Roman" panose="02020603050405020304" pitchFamily="18" charset="0"/>
            </a:rPr>
            <a:t>Внутренняя координация институтов ЕС</a:t>
          </a:r>
          <a:endParaRPr lang="ru-RU" sz="1200" i="1">
            <a:latin typeface="Times New Roman" panose="02020603050405020304" pitchFamily="18" charset="0"/>
            <a:cs typeface="Times New Roman" panose="02020603050405020304" pitchFamily="18" charset="0"/>
          </a:endParaRPr>
        </a:p>
      </dgm:t>
    </dgm:pt>
    <dgm:pt modelId="{D01DD607-8A1D-4BE9-B974-3A4CB80092D2}" type="parTrans" cxnId="{B600EBBB-9247-4ABA-895F-97EADAFF6A15}">
      <dgm:prSet/>
      <dgm:spPr/>
      <dgm:t>
        <a:bodyPr/>
        <a:lstStyle/>
        <a:p>
          <a:endParaRPr lang="ru-RU" sz="1200">
            <a:latin typeface="Times New Roman" panose="02020603050405020304" pitchFamily="18" charset="0"/>
            <a:cs typeface="Times New Roman" panose="02020603050405020304" pitchFamily="18" charset="0"/>
          </a:endParaRPr>
        </a:p>
      </dgm:t>
    </dgm:pt>
    <dgm:pt modelId="{CCDDA8D8-BE25-491E-8002-EEE334C9D239}" type="sibTrans" cxnId="{B600EBBB-9247-4ABA-895F-97EADAFF6A15}">
      <dgm:prSet/>
      <dgm:spPr/>
      <dgm:t>
        <a:bodyPr/>
        <a:lstStyle/>
        <a:p>
          <a:endParaRPr lang="ru-RU" sz="1200">
            <a:latin typeface="Times New Roman" panose="02020603050405020304" pitchFamily="18" charset="0"/>
            <a:cs typeface="Times New Roman" panose="02020603050405020304" pitchFamily="18" charset="0"/>
          </a:endParaRPr>
        </a:p>
      </dgm:t>
    </dgm:pt>
    <dgm:pt modelId="{86C1A386-33CE-4EA6-92E4-40EDAB2D3E7E}">
      <dgm:prSet phldrT="[Текст]" custT="1"/>
      <dgm:spPr/>
      <dgm:t>
        <a:bodyPr/>
        <a:lstStyle/>
        <a:p>
          <a:r>
            <a:rPr lang="ru-RU" sz="1200" i="1">
              <a:latin typeface="Times New Roman" panose="02020603050405020304" pitchFamily="18" charset="0"/>
              <a:cs typeface="Times New Roman" panose="02020603050405020304" pitchFamily="18" charset="0"/>
            </a:rPr>
            <a:t>Сотрудничество с государствами-членами</a:t>
          </a:r>
        </a:p>
      </dgm:t>
    </dgm:pt>
    <dgm:pt modelId="{9F5E102F-11E2-47AA-8ABE-789E7FAA167B}" type="parTrans" cxnId="{A4546D7A-9F81-4D80-88C8-5588A867C846}">
      <dgm:prSet/>
      <dgm:spPr/>
      <dgm:t>
        <a:bodyPr/>
        <a:lstStyle/>
        <a:p>
          <a:endParaRPr lang="ru-RU" sz="1200">
            <a:latin typeface="Times New Roman" panose="02020603050405020304" pitchFamily="18" charset="0"/>
            <a:cs typeface="Times New Roman" panose="02020603050405020304" pitchFamily="18" charset="0"/>
          </a:endParaRPr>
        </a:p>
      </dgm:t>
    </dgm:pt>
    <dgm:pt modelId="{5ECCA269-6922-4B76-88DB-6304A7CEF949}" type="sibTrans" cxnId="{A4546D7A-9F81-4D80-88C8-5588A867C846}">
      <dgm:prSet/>
      <dgm:spPr/>
      <dgm:t>
        <a:bodyPr/>
        <a:lstStyle/>
        <a:p>
          <a:endParaRPr lang="ru-RU" sz="1200">
            <a:latin typeface="Times New Roman" panose="02020603050405020304" pitchFamily="18" charset="0"/>
            <a:cs typeface="Times New Roman" panose="02020603050405020304" pitchFamily="18" charset="0"/>
          </a:endParaRPr>
        </a:p>
      </dgm:t>
    </dgm:pt>
    <dgm:pt modelId="{6A9D12C6-0696-45E0-9E46-0A2AD0DFAAB0}">
      <dgm:prSet phldrT="[Текст]" custT="1"/>
      <dgm:spPr/>
      <dgm:t>
        <a:bodyPr/>
        <a:lstStyle/>
        <a:p>
          <a:r>
            <a:rPr lang="uk-UA" sz="1200">
              <a:latin typeface="Times New Roman" panose="02020603050405020304" pitchFamily="18" charset="0"/>
              <a:cs typeface="Times New Roman" panose="02020603050405020304" pitchFamily="18" charset="0"/>
            </a:rPr>
            <a:t>Межинституциональные группы, годовые отчёты по правам человека, совместные стратегии</a:t>
          </a:r>
          <a:endParaRPr lang="ru-RU" sz="1200">
            <a:latin typeface="Times New Roman" panose="02020603050405020304" pitchFamily="18" charset="0"/>
            <a:cs typeface="Times New Roman" panose="02020603050405020304" pitchFamily="18" charset="0"/>
          </a:endParaRPr>
        </a:p>
      </dgm:t>
    </dgm:pt>
    <dgm:pt modelId="{59A40263-5284-4F8F-A45C-209BEEA9390B}" type="parTrans" cxnId="{5E45A954-A36E-4454-9ED2-FA770F341443}">
      <dgm:prSet/>
      <dgm:spPr/>
      <dgm:t>
        <a:bodyPr/>
        <a:lstStyle/>
        <a:p>
          <a:endParaRPr lang="ru-RU" sz="1200">
            <a:latin typeface="Times New Roman" panose="02020603050405020304" pitchFamily="18" charset="0"/>
            <a:cs typeface="Times New Roman" panose="02020603050405020304" pitchFamily="18" charset="0"/>
          </a:endParaRPr>
        </a:p>
      </dgm:t>
    </dgm:pt>
    <dgm:pt modelId="{CC02BF7D-178A-474E-82AB-6798EE650841}" type="sibTrans" cxnId="{5E45A954-A36E-4454-9ED2-FA770F341443}">
      <dgm:prSet/>
      <dgm:spPr/>
      <dgm:t>
        <a:bodyPr/>
        <a:lstStyle/>
        <a:p>
          <a:endParaRPr lang="ru-RU" sz="1200">
            <a:latin typeface="Times New Roman" panose="02020603050405020304" pitchFamily="18" charset="0"/>
            <a:cs typeface="Times New Roman" panose="02020603050405020304" pitchFamily="18" charset="0"/>
          </a:endParaRPr>
        </a:p>
      </dgm:t>
    </dgm:pt>
    <dgm:pt modelId="{D927BFE3-07F9-4524-9BD0-D1C690C41525}">
      <dgm:prSet custT="1"/>
      <dgm:spPr/>
      <dgm:t>
        <a:bodyPr/>
        <a:lstStyle/>
        <a:p>
          <a:r>
            <a:rPr lang="ru-RU" sz="1200" i="1">
              <a:latin typeface="Times New Roman" panose="02020603050405020304" pitchFamily="18" charset="0"/>
              <a:cs typeface="Times New Roman" panose="02020603050405020304" pitchFamily="18" charset="0"/>
            </a:rPr>
            <a:t>Региональная и национальная адаптация</a:t>
          </a:r>
        </a:p>
      </dgm:t>
    </dgm:pt>
    <dgm:pt modelId="{01F49FCB-D67D-4968-A2B1-828F2179230C}" type="parTrans" cxnId="{7225494F-E3BB-4F63-A80A-5B3917CAAE88}">
      <dgm:prSet/>
      <dgm:spPr/>
      <dgm:t>
        <a:bodyPr/>
        <a:lstStyle/>
        <a:p>
          <a:endParaRPr lang="ru-RU" sz="1200">
            <a:latin typeface="Times New Roman" panose="02020603050405020304" pitchFamily="18" charset="0"/>
            <a:cs typeface="Times New Roman" panose="02020603050405020304" pitchFamily="18" charset="0"/>
          </a:endParaRPr>
        </a:p>
      </dgm:t>
    </dgm:pt>
    <dgm:pt modelId="{2735C5A5-4DEF-450F-AD70-193C9E1B1F8D}" type="sibTrans" cxnId="{7225494F-E3BB-4F63-A80A-5B3917CAAE88}">
      <dgm:prSet/>
      <dgm:spPr/>
      <dgm:t>
        <a:bodyPr/>
        <a:lstStyle/>
        <a:p>
          <a:endParaRPr lang="ru-RU" sz="1200">
            <a:latin typeface="Times New Roman" panose="02020603050405020304" pitchFamily="18" charset="0"/>
            <a:cs typeface="Times New Roman" panose="02020603050405020304" pitchFamily="18" charset="0"/>
          </a:endParaRPr>
        </a:p>
      </dgm:t>
    </dgm:pt>
    <dgm:pt modelId="{81CF2522-01E8-476A-A92C-C5A73D9C4A27}">
      <dgm:prSet custT="1"/>
      <dgm:spPr/>
      <dgm:t>
        <a:bodyPr/>
        <a:lstStyle/>
        <a:p>
          <a:r>
            <a:rPr lang="ru-RU" sz="1200" i="1">
              <a:latin typeface="Times New Roman" panose="02020603050405020304" pitchFamily="18" charset="0"/>
              <a:cs typeface="Times New Roman" panose="02020603050405020304" pitchFamily="18" charset="0"/>
            </a:rPr>
            <a:t>Международные партнёрства</a:t>
          </a:r>
        </a:p>
      </dgm:t>
    </dgm:pt>
    <dgm:pt modelId="{CF3FB19A-8793-40E9-A6BE-ED1F4D9DDC29}" type="parTrans" cxnId="{E7F03E58-29EF-49A7-8017-1CD5DA168F36}">
      <dgm:prSet/>
      <dgm:spPr/>
      <dgm:t>
        <a:bodyPr/>
        <a:lstStyle/>
        <a:p>
          <a:endParaRPr lang="ru-RU" sz="1200">
            <a:latin typeface="Times New Roman" panose="02020603050405020304" pitchFamily="18" charset="0"/>
            <a:cs typeface="Times New Roman" panose="02020603050405020304" pitchFamily="18" charset="0"/>
          </a:endParaRPr>
        </a:p>
      </dgm:t>
    </dgm:pt>
    <dgm:pt modelId="{65239E1D-72D1-4349-9D70-DD500086FB32}" type="sibTrans" cxnId="{E7F03E58-29EF-49A7-8017-1CD5DA168F36}">
      <dgm:prSet/>
      <dgm:spPr/>
      <dgm:t>
        <a:bodyPr/>
        <a:lstStyle/>
        <a:p>
          <a:endParaRPr lang="ru-RU" sz="1200">
            <a:latin typeface="Times New Roman" panose="02020603050405020304" pitchFamily="18" charset="0"/>
            <a:cs typeface="Times New Roman" panose="02020603050405020304" pitchFamily="18" charset="0"/>
          </a:endParaRPr>
        </a:p>
      </dgm:t>
    </dgm:pt>
    <dgm:pt modelId="{66491654-3C08-4FA0-ABDF-54F08D1B2A11}">
      <dgm:prSet custT="1"/>
      <dgm:spPr/>
      <dgm:t>
        <a:bodyPr/>
        <a:lstStyle/>
        <a:p>
          <a:r>
            <a:rPr lang="ru-RU" sz="1200" i="1">
              <a:latin typeface="Times New Roman" panose="02020603050405020304" pitchFamily="18" charset="0"/>
              <a:cs typeface="Times New Roman" panose="02020603050405020304" pitchFamily="18" charset="0"/>
            </a:rPr>
            <a:t>Роль гражданского общества и частного сектора</a:t>
          </a:r>
        </a:p>
      </dgm:t>
    </dgm:pt>
    <dgm:pt modelId="{A01AF3A9-BC19-442A-BC4C-5C8192BF5F9F}" type="parTrans" cxnId="{AB055592-E4DB-4B2A-B90A-0B9CA24D7F59}">
      <dgm:prSet/>
      <dgm:spPr/>
      <dgm:t>
        <a:bodyPr/>
        <a:lstStyle/>
        <a:p>
          <a:endParaRPr lang="ru-RU" sz="1200">
            <a:latin typeface="Times New Roman" panose="02020603050405020304" pitchFamily="18" charset="0"/>
            <a:cs typeface="Times New Roman" panose="02020603050405020304" pitchFamily="18" charset="0"/>
          </a:endParaRPr>
        </a:p>
      </dgm:t>
    </dgm:pt>
    <dgm:pt modelId="{442DE2E7-877B-4B91-9F62-507A30A9566D}" type="sibTrans" cxnId="{AB055592-E4DB-4B2A-B90A-0B9CA24D7F59}">
      <dgm:prSet/>
      <dgm:spPr/>
      <dgm:t>
        <a:bodyPr/>
        <a:lstStyle/>
        <a:p>
          <a:endParaRPr lang="ru-RU" sz="1200">
            <a:latin typeface="Times New Roman" panose="02020603050405020304" pitchFamily="18" charset="0"/>
            <a:cs typeface="Times New Roman" panose="02020603050405020304" pitchFamily="18" charset="0"/>
          </a:endParaRPr>
        </a:p>
      </dgm:t>
    </dgm:pt>
    <dgm:pt modelId="{6B7D6AEE-19CF-4899-951A-1E85FC474C4B}">
      <dgm:prSet phldrT="[Текст]" custT="1"/>
      <dgm:spPr/>
      <dgm:t>
        <a:bodyPr/>
        <a:lstStyle/>
        <a:p>
          <a:r>
            <a:rPr lang="ru-RU" sz="1200">
              <a:latin typeface="Times New Roman" panose="02020603050405020304" pitchFamily="18" charset="0"/>
              <a:cs typeface="Times New Roman" panose="02020603050405020304" pitchFamily="18" charset="0"/>
            </a:rPr>
            <a:t>Регулярные консультации, общие дипломатические инициативы</a:t>
          </a:r>
        </a:p>
      </dgm:t>
    </dgm:pt>
    <dgm:pt modelId="{452643B7-25F1-4798-AF0C-9CA0F2E7BC50}" type="parTrans" cxnId="{8255A4D8-14C3-4087-BE6F-451A0D5AB786}">
      <dgm:prSet/>
      <dgm:spPr/>
      <dgm:t>
        <a:bodyPr/>
        <a:lstStyle/>
        <a:p>
          <a:endParaRPr lang="ru-RU" sz="1200">
            <a:latin typeface="Times New Roman" panose="02020603050405020304" pitchFamily="18" charset="0"/>
            <a:cs typeface="Times New Roman" panose="02020603050405020304" pitchFamily="18" charset="0"/>
          </a:endParaRPr>
        </a:p>
      </dgm:t>
    </dgm:pt>
    <dgm:pt modelId="{58E89C1E-5E65-4FBF-AEEA-273F32A43F36}" type="sibTrans" cxnId="{8255A4D8-14C3-4087-BE6F-451A0D5AB786}">
      <dgm:prSet/>
      <dgm:spPr/>
      <dgm:t>
        <a:bodyPr/>
        <a:lstStyle/>
        <a:p>
          <a:endParaRPr lang="ru-RU" sz="1200">
            <a:latin typeface="Times New Roman" panose="02020603050405020304" pitchFamily="18" charset="0"/>
            <a:cs typeface="Times New Roman" panose="02020603050405020304" pitchFamily="18" charset="0"/>
          </a:endParaRPr>
        </a:p>
      </dgm:t>
    </dgm:pt>
    <dgm:pt modelId="{9F10E2D8-1DE3-438A-AE22-1BFA0839B182}">
      <dgm:prSet custT="1"/>
      <dgm:spPr/>
      <dgm:t>
        <a:bodyPr/>
        <a:lstStyle/>
        <a:p>
          <a:r>
            <a:rPr lang="ru-RU" sz="1200">
              <a:latin typeface="Times New Roman" panose="02020603050405020304" pitchFamily="18" charset="0"/>
              <a:cs typeface="Times New Roman" panose="02020603050405020304" pitchFamily="18" charset="0"/>
            </a:rPr>
            <a:t>Совместные резолюции ООН, программы Совета Европы, участие в миссиях ОБСЕ</a:t>
          </a:r>
        </a:p>
      </dgm:t>
    </dgm:pt>
    <dgm:pt modelId="{02128D2A-6B48-4CB5-B3E6-78B424D68747}" type="parTrans" cxnId="{70F89EEC-3159-4EFE-9689-37F206D13DFC}">
      <dgm:prSet/>
      <dgm:spPr/>
      <dgm:t>
        <a:bodyPr/>
        <a:lstStyle/>
        <a:p>
          <a:endParaRPr lang="ru-RU" sz="1200">
            <a:latin typeface="Times New Roman" panose="02020603050405020304" pitchFamily="18" charset="0"/>
            <a:cs typeface="Times New Roman" panose="02020603050405020304" pitchFamily="18" charset="0"/>
          </a:endParaRPr>
        </a:p>
      </dgm:t>
    </dgm:pt>
    <dgm:pt modelId="{DF18E0B6-034E-4147-A8A2-98D55E20FB64}" type="sibTrans" cxnId="{70F89EEC-3159-4EFE-9689-37F206D13DFC}">
      <dgm:prSet/>
      <dgm:spPr/>
      <dgm:t>
        <a:bodyPr/>
        <a:lstStyle/>
        <a:p>
          <a:endParaRPr lang="ru-RU" sz="1200">
            <a:latin typeface="Times New Roman" panose="02020603050405020304" pitchFamily="18" charset="0"/>
            <a:cs typeface="Times New Roman" panose="02020603050405020304" pitchFamily="18" charset="0"/>
          </a:endParaRPr>
        </a:p>
      </dgm:t>
    </dgm:pt>
    <dgm:pt modelId="{56C6CBCF-6349-4A6B-B84D-BE35FA828A82}">
      <dgm:prSet custT="1"/>
      <dgm:spPr/>
      <dgm:t>
        <a:bodyPr/>
        <a:lstStyle/>
        <a:p>
          <a:r>
            <a:rPr lang="ru-RU" sz="1200">
              <a:latin typeface="Times New Roman" panose="02020603050405020304" pitchFamily="18" charset="0"/>
              <a:cs typeface="Times New Roman" panose="02020603050405020304" pitchFamily="18" charset="0"/>
            </a:rPr>
            <a:t>Дорожные карты, региональные стратегии, меморандумы о взаимопонимании</a:t>
          </a:r>
        </a:p>
      </dgm:t>
    </dgm:pt>
    <dgm:pt modelId="{9681C83D-4545-45ED-81E1-E8780D7032F9}" type="parTrans" cxnId="{BA2313FE-86C1-4F3D-AAEE-A58D47D41294}">
      <dgm:prSet/>
      <dgm:spPr/>
      <dgm:t>
        <a:bodyPr/>
        <a:lstStyle/>
        <a:p>
          <a:endParaRPr lang="ru-RU" sz="1200">
            <a:latin typeface="Times New Roman" panose="02020603050405020304" pitchFamily="18" charset="0"/>
            <a:cs typeface="Times New Roman" panose="02020603050405020304" pitchFamily="18" charset="0"/>
          </a:endParaRPr>
        </a:p>
      </dgm:t>
    </dgm:pt>
    <dgm:pt modelId="{70708567-698C-4F46-94B8-B666DC34F965}" type="sibTrans" cxnId="{BA2313FE-86C1-4F3D-AAEE-A58D47D41294}">
      <dgm:prSet/>
      <dgm:spPr/>
      <dgm:t>
        <a:bodyPr/>
        <a:lstStyle/>
        <a:p>
          <a:endParaRPr lang="ru-RU" sz="1200">
            <a:latin typeface="Times New Roman" panose="02020603050405020304" pitchFamily="18" charset="0"/>
            <a:cs typeface="Times New Roman" panose="02020603050405020304" pitchFamily="18" charset="0"/>
          </a:endParaRPr>
        </a:p>
      </dgm:t>
    </dgm:pt>
    <dgm:pt modelId="{1A2B4CE3-5702-4C32-BE15-7A85CCD796FF}">
      <dgm:prSet custT="1"/>
      <dgm:spPr/>
      <dgm:t>
        <a:bodyPr/>
        <a:lstStyle/>
        <a:p>
          <a:r>
            <a:rPr lang="ru-RU" sz="1200">
              <a:latin typeface="Times New Roman" panose="02020603050405020304" pitchFamily="18" charset="0"/>
              <a:cs typeface="Times New Roman" panose="02020603050405020304" pitchFamily="18" charset="0"/>
            </a:rPr>
            <a:t>Грантовые программы, платформы для НПО, инициативы по ответственным цепочкам поставок</a:t>
          </a:r>
        </a:p>
      </dgm:t>
    </dgm:pt>
    <dgm:pt modelId="{5D30E523-EF1D-47A8-8DF4-56C8C3D690B5}" type="parTrans" cxnId="{F2CF05C1-94B9-4206-A9CF-2136FED98705}">
      <dgm:prSet/>
      <dgm:spPr/>
      <dgm:t>
        <a:bodyPr/>
        <a:lstStyle/>
        <a:p>
          <a:endParaRPr lang="ru-RU" sz="1200">
            <a:latin typeface="Times New Roman" panose="02020603050405020304" pitchFamily="18" charset="0"/>
            <a:cs typeface="Times New Roman" panose="02020603050405020304" pitchFamily="18" charset="0"/>
          </a:endParaRPr>
        </a:p>
      </dgm:t>
    </dgm:pt>
    <dgm:pt modelId="{C50B115F-AE05-43E3-8544-5FE554A6D7B0}" type="sibTrans" cxnId="{F2CF05C1-94B9-4206-A9CF-2136FED98705}">
      <dgm:prSet/>
      <dgm:spPr/>
      <dgm:t>
        <a:bodyPr/>
        <a:lstStyle/>
        <a:p>
          <a:endParaRPr lang="ru-RU" sz="1200">
            <a:latin typeface="Times New Roman" panose="02020603050405020304" pitchFamily="18" charset="0"/>
            <a:cs typeface="Times New Roman" panose="02020603050405020304" pitchFamily="18" charset="0"/>
          </a:endParaRPr>
        </a:p>
      </dgm:t>
    </dgm:pt>
    <dgm:pt modelId="{EC6781AD-A63A-409B-BE15-B064698BAF59}" type="pres">
      <dgm:prSet presAssocID="{E9F3234A-CF6D-4A9F-814B-CA777DDC3393}" presName="Name0" presStyleCnt="0">
        <dgm:presLayoutVars>
          <dgm:dir/>
          <dgm:animLvl val="lvl"/>
          <dgm:resizeHandles/>
        </dgm:presLayoutVars>
      </dgm:prSet>
      <dgm:spPr/>
      <dgm:t>
        <a:bodyPr/>
        <a:lstStyle/>
        <a:p>
          <a:endParaRPr lang="ru-RU"/>
        </a:p>
      </dgm:t>
    </dgm:pt>
    <dgm:pt modelId="{2816BC56-3E44-4CA2-8AEF-1AAE758E7296}" type="pres">
      <dgm:prSet presAssocID="{66A928FE-E41B-4B31-852C-E8FAD732B0D7}" presName="linNode" presStyleCnt="0"/>
      <dgm:spPr/>
    </dgm:pt>
    <dgm:pt modelId="{BB42FFEA-5CAB-4615-9E28-0A69A96F31CC}" type="pres">
      <dgm:prSet presAssocID="{66A928FE-E41B-4B31-852C-E8FAD732B0D7}" presName="parentShp" presStyleLbl="node1" presStyleIdx="0" presStyleCnt="5">
        <dgm:presLayoutVars>
          <dgm:bulletEnabled val="1"/>
        </dgm:presLayoutVars>
      </dgm:prSet>
      <dgm:spPr/>
      <dgm:t>
        <a:bodyPr/>
        <a:lstStyle/>
        <a:p>
          <a:endParaRPr lang="ru-RU"/>
        </a:p>
      </dgm:t>
    </dgm:pt>
    <dgm:pt modelId="{F8D246BA-7617-4252-AF64-3A2C4AE05693}" type="pres">
      <dgm:prSet presAssocID="{66A928FE-E41B-4B31-852C-E8FAD732B0D7}" presName="childShp" presStyleLbl="bgAccFollowNode1" presStyleIdx="0" presStyleCnt="5">
        <dgm:presLayoutVars>
          <dgm:bulletEnabled val="1"/>
        </dgm:presLayoutVars>
      </dgm:prSet>
      <dgm:spPr/>
      <dgm:t>
        <a:bodyPr/>
        <a:lstStyle/>
        <a:p>
          <a:endParaRPr lang="ru-RU"/>
        </a:p>
      </dgm:t>
    </dgm:pt>
    <dgm:pt modelId="{81A7CCD6-CBAA-4147-B7B5-62DC363F5C44}" type="pres">
      <dgm:prSet presAssocID="{CCDDA8D8-BE25-491E-8002-EEE334C9D239}" presName="spacing" presStyleCnt="0"/>
      <dgm:spPr/>
    </dgm:pt>
    <dgm:pt modelId="{7C15F680-4CBB-462B-88CE-74C768B43264}" type="pres">
      <dgm:prSet presAssocID="{86C1A386-33CE-4EA6-92E4-40EDAB2D3E7E}" presName="linNode" presStyleCnt="0"/>
      <dgm:spPr/>
    </dgm:pt>
    <dgm:pt modelId="{589F411E-3227-442E-8FC9-5718632E69B0}" type="pres">
      <dgm:prSet presAssocID="{86C1A386-33CE-4EA6-92E4-40EDAB2D3E7E}" presName="parentShp" presStyleLbl="node1" presStyleIdx="1" presStyleCnt="5">
        <dgm:presLayoutVars>
          <dgm:bulletEnabled val="1"/>
        </dgm:presLayoutVars>
      </dgm:prSet>
      <dgm:spPr/>
      <dgm:t>
        <a:bodyPr/>
        <a:lstStyle/>
        <a:p>
          <a:endParaRPr lang="ru-RU"/>
        </a:p>
      </dgm:t>
    </dgm:pt>
    <dgm:pt modelId="{F1242295-8F3B-468D-8988-80B3E07CDBC9}" type="pres">
      <dgm:prSet presAssocID="{86C1A386-33CE-4EA6-92E4-40EDAB2D3E7E}" presName="childShp" presStyleLbl="bgAccFollowNode1" presStyleIdx="1" presStyleCnt="5">
        <dgm:presLayoutVars>
          <dgm:bulletEnabled val="1"/>
        </dgm:presLayoutVars>
      </dgm:prSet>
      <dgm:spPr/>
      <dgm:t>
        <a:bodyPr/>
        <a:lstStyle/>
        <a:p>
          <a:endParaRPr lang="ru-RU"/>
        </a:p>
      </dgm:t>
    </dgm:pt>
    <dgm:pt modelId="{C890D1DE-376C-44AD-863D-CAC6D8A192F3}" type="pres">
      <dgm:prSet presAssocID="{5ECCA269-6922-4B76-88DB-6304A7CEF949}" presName="spacing" presStyleCnt="0"/>
      <dgm:spPr/>
    </dgm:pt>
    <dgm:pt modelId="{F36DC9AE-C41A-4D2F-B9FD-17B45CE0A3DA}" type="pres">
      <dgm:prSet presAssocID="{81CF2522-01E8-476A-A92C-C5A73D9C4A27}" presName="linNode" presStyleCnt="0"/>
      <dgm:spPr/>
    </dgm:pt>
    <dgm:pt modelId="{FC3D2DD4-B605-4596-BE86-C28DA0618FA0}" type="pres">
      <dgm:prSet presAssocID="{81CF2522-01E8-476A-A92C-C5A73D9C4A27}" presName="parentShp" presStyleLbl="node1" presStyleIdx="2" presStyleCnt="5">
        <dgm:presLayoutVars>
          <dgm:bulletEnabled val="1"/>
        </dgm:presLayoutVars>
      </dgm:prSet>
      <dgm:spPr/>
      <dgm:t>
        <a:bodyPr/>
        <a:lstStyle/>
        <a:p>
          <a:endParaRPr lang="ru-RU"/>
        </a:p>
      </dgm:t>
    </dgm:pt>
    <dgm:pt modelId="{44D087D9-8F7B-4568-A9DD-FB94C3B77F0C}" type="pres">
      <dgm:prSet presAssocID="{81CF2522-01E8-476A-A92C-C5A73D9C4A27}" presName="childShp" presStyleLbl="bgAccFollowNode1" presStyleIdx="2" presStyleCnt="5">
        <dgm:presLayoutVars>
          <dgm:bulletEnabled val="1"/>
        </dgm:presLayoutVars>
      </dgm:prSet>
      <dgm:spPr/>
      <dgm:t>
        <a:bodyPr/>
        <a:lstStyle/>
        <a:p>
          <a:endParaRPr lang="ru-RU"/>
        </a:p>
      </dgm:t>
    </dgm:pt>
    <dgm:pt modelId="{6FFFBC41-C24A-4BAF-86FE-1F7704F62FB4}" type="pres">
      <dgm:prSet presAssocID="{65239E1D-72D1-4349-9D70-DD500086FB32}" presName="spacing" presStyleCnt="0"/>
      <dgm:spPr/>
    </dgm:pt>
    <dgm:pt modelId="{3806331C-F2A2-4E54-B477-90F19AF9CBF8}" type="pres">
      <dgm:prSet presAssocID="{D927BFE3-07F9-4524-9BD0-D1C690C41525}" presName="linNode" presStyleCnt="0"/>
      <dgm:spPr/>
    </dgm:pt>
    <dgm:pt modelId="{4692F2EF-F817-4DDA-8B8C-C91EF708276C}" type="pres">
      <dgm:prSet presAssocID="{D927BFE3-07F9-4524-9BD0-D1C690C41525}" presName="parentShp" presStyleLbl="node1" presStyleIdx="3" presStyleCnt="5">
        <dgm:presLayoutVars>
          <dgm:bulletEnabled val="1"/>
        </dgm:presLayoutVars>
      </dgm:prSet>
      <dgm:spPr/>
      <dgm:t>
        <a:bodyPr/>
        <a:lstStyle/>
        <a:p>
          <a:endParaRPr lang="ru-RU"/>
        </a:p>
      </dgm:t>
    </dgm:pt>
    <dgm:pt modelId="{E128DCDA-B4CE-4A62-9013-CD914EECA34F}" type="pres">
      <dgm:prSet presAssocID="{D927BFE3-07F9-4524-9BD0-D1C690C41525}" presName="childShp" presStyleLbl="bgAccFollowNode1" presStyleIdx="3" presStyleCnt="5">
        <dgm:presLayoutVars>
          <dgm:bulletEnabled val="1"/>
        </dgm:presLayoutVars>
      </dgm:prSet>
      <dgm:spPr/>
      <dgm:t>
        <a:bodyPr/>
        <a:lstStyle/>
        <a:p>
          <a:endParaRPr lang="ru-RU"/>
        </a:p>
      </dgm:t>
    </dgm:pt>
    <dgm:pt modelId="{E96ABA1A-B7B7-4425-8968-C12061155185}" type="pres">
      <dgm:prSet presAssocID="{2735C5A5-4DEF-450F-AD70-193C9E1B1F8D}" presName="spacing" presStyleCnt="0"/>
      <dgm:spPr/>
    </dgm:pt>
    <dgm:pt modelId="{5AD7CBFB-30F4-4B2C-A3A5-D7EEAAA8019F}" type="pres">
      <dgm:prSet presAssocID="{66491654-3C08-4FA0-ABDF-54F08D1B2A11}" presName="linNode" presStyleCnt="0"/>
      <dgm:spPr/>
    </dgm:pt>
    <dgm:pt modelId="{B61CF557-B531-4E83-AE00-AF16741494A0}" type="pres">
      <dgm:prSet presAssocID="{66491654-3C08-4FA0-ABDF-54F08D1B2A11}" presName="parentShp" presStyleLbl="node1" presStyleIdx="4" presStyleCnt="5">
        <dgm:presLayoutVars>
          <dgm:bulletEnabled val="1"/>
        </dgm:presLayoutVars>
      </dgm:prSet>
      <dgm:spPr/>
      <dgm:t>
        <a:bodyPr/>
        <a:lstStyle/>
        <a:p>
          <a:endParaRPr lang="ru-RU"/>
        </a:p>
      </dgm:t>
    </dgm:pt>
    <dgm:pt modelId="{64442D72-0003-4860-8F97-A65FF56DF7AA}" type="pres">
      <dgm:prSet presAssocID="{66491654-3C08-4FA0-ABDF-54F08D1B2A11}" presName="childShp" presStyleLbl="bgAccFollowNode1" presStyleIdx="4" presStyleCnt="5">
        <dgm:presLayoutVars>
          <dgm:bulletEnabled val="1"/>
        </dgm:presLayoutVars>
      </dgm:prSet>
      <dgm:spPr/>
      <dgm:t>
        <a:bodyPr/>
        <a:lstStyle/>
        <a:p>
          <a:endParaRPr lang="ru-RU"/>
        </a:p>
      </dgm:t>
    </dgm:pt>
  </dgm:ptLst>
  <dgm:cxnLst>
    <dgm:cxn modelId="{3001E642-9627-46C7-A9D8-061CEDF2B4C8}" type="presOf" srcId="{9F10E2D8-1DE3-438A-AE22-1BFA0839B182}" destId="{44D087D9-8F7B-4568-A9DD-FB94C3B77F0C}" srcOrd="0" destOrd="0" presId="urn:microsoft.com/office/officeart/2005/8/layout/vList6"/>
    <dgm:cxn modelId="{5E45A954-A36E-4454-9ED2-FA770F341443}" srcId="{66A928FE-E41B-4B31-852C-E8FAD732B0D7}" destId="{6A9D12C6-0696-45E0-9E46-0A2AD0DFAAB0}" srcOrd="0" destOrd="0" parTransId="{59A40263-5284-4F8F-A45C-209BEEA9390B}" sibTransId="{CC02BF7D-178A-474E-82AB-6798EE650841}"/>
    <dgm:cxn modelId="{E5B9E127-AA15-48E0-88D3-FC0BC20CB108}" type="presOf" srcId="{81CF2522-01E8-476A-A92C-C5A73D9C4A27}" destId="{FC3D2DD4-B605-4596-BE86-C28DA0618FA0}" srcOrd="0" destOrd="0" presId="urn:microsoft.com/office/officeart/2005/8/layout/vList6"/>
    <dgm:cxn modelId="{A4546D7A-9F81-4D80-88C8-5588A867C846}" srcId="{E9F3234A-CF6D-4A9F-814B-CA777DDC3393}" destId="{86C1A386-33CE-4EA6-92E4-40EDAB2D3E7E}" srcOrd="1" destOrd="0" parTransId="{9F5E102F-11E2-47AA-8ABE-789E7FAA167B}" sibTransId="{5ECCA269-6922-4B76-88DB-6304A7CEF949}"/>
    <dgm:cxn modelId="{AB055592-E4DB-4B2A-B90A-0B9CA24D7F59}" srcId="{E9F3234A-CF6D-4A9F-814B-CA777DDC3393}" destId="{66491654-3C08-4FA0-ABDF-54F08D1B2A11}" srcOrd="4" destOrd="0" parTransId="{A01AF3A9-BC19-442A-BC4C-5C8192BF5F9F}" sibTransId="{442DE2E7-877B-4B91-9F62-507A30A9566D}"/>
    <dgm:cxn modelId="{8255A4D8-14C3-4087-BE6F-451A0D5AB786}" srcId="{86C1A386-33CE-4EA6-92E4-40EDAB2D3E7E}" destId="{6B7D6AEE-19CF-4899-951A-1E85FC474C4B}" srcOrd="0" destOrd="0" parTransId="{452643B7-25F1-4798-AF0C-9CA0F2E7BC50}" sibTransId="{58E89C1E-5E65-4FBF-AEEA-273F32A43F36}"/>
    <dgm:cxn modelId="{63CFA1CE-F688-4D11-93F2-90DD2EE9FD4B}" type="presOf" srcId="{66A928FE-E41B-4B31-852C-E8FAD732B0D7}" destId="{BB42FFEA-5CAB-4615-9E28-0A69A96F31CC}" srcOrd="0" destOrd="0" presId="urn:microsoft.com/office/officeart/2005/8/layout/vList6"/>
    <dgm:cxn modelId="{33A82B01-EB55-4C12-AC74-AD9BB56122D9}" type="presOf" srcId="{6B7D6AEE-19CF-4899-951A-1E85FC474C4B}" destId="{F1242295-8F3B-468D-8988-80B3E07CDBC9}" srcOrd="0" destOrd="0" presId="urn:microsoft.com/office/officeart/2005/8/layout/vList6"/>
    <dgm:cxn modelId="{DFFF4082-86EE-4074-9DE2-50A2367AFB3C}" type="presOf" srcId="{86C1A386-33CE-4EA6-92E4-40EDAB2D3E7E}" destId="{589F411E-3227-442E-8FC9-5718632E69B0}" srcOrd="0" destOrd="0" presId="urn:microsoft.com/office/officeart/2005/8/layout/vList6"/>
    <dgm:cxn modelId="{F6F5741C-6E3D-429A-8495-60335D930E06}" type="presOf" srcId="{56C6CBCF-6349-4A6B-B84D-BE35FA828A82}" destId="{E128DCDA-B4CE-4A62-9013-CD914EECA34F}" srcOrd="0" destOrd="0" presId="urn:microsoft.com/office/officeart/2005/8/layout/vList6"/>
    <dgm:cxn modelId="{8B8F0585-B9E4-4832-810D-D8314DD7D70C}" type="presOf" srcId="{1A2B4CE3-5702-4C32-BE15-7A85CCD796FF}" destId="{64442D72-0003-4860-8F97-A65FF56DF7AA}" srcOrd="0" destOrd="0" presId="urn:microsoft.com/office/officeart/2005/8/layout/vList6"/>
    <dgm:cxn modelId="{748727DD-FAB0-448B-9017-EAD6AE535480}" type="presOf" srcId="{66491654-3C08-4FA0-ABDF-54F08D1B2A11}" destId="{B61CF557-B531-4E83-AE00-AF16741494A0}" srcOrd="0" destOrd="0" presId="urn:microsoft.com/office/officeart/2005/8/layout/vList6"/>
    <dgm:cxn modelId="{70F89EEC-3159-4EFE-9689-37F206D13DFC}" srcId="{81CF2522-01E8-476A-A92C-C5A73D9C4A27}" destId="{9F10E2D8-1DE3-438A-AE22-1BFA0839B182}" srcOrd="0" destOrd="0" parTransId="{02128D2A-6B48-4CB5-B3E6-78B424D68747}" sibTransId="{DF18E0B6-034E-4147-A8A2-98D55E20FB64}"/>
    <dgm:cxn modelId="{F2CF05C1-94B9-4206-A9CF-2136FED98705}" srcId="{66491654-3C08-4FA0-ABDF-54F08D1B2A11}" destId="{1A2B4CE3-5702-4C32-BE15-7A85CCD796FF}" srcOrd="0" destOrd="0" parTransId="{5D30E523-EF1D-47A8-8DF4-56C8C3D690B5}" sibTransId="{C50B115F-AE05-43E3-8544-5FE554A6D7B0}"/>
    <dgm:cxn modelId="{E7F03E58-29EF-49A7-8017-1CD5DA168F36}" srcId="{E9F3234A-CF6D-4A9F-814B-CA777DDC3393}" destId="{81CF2522-01E8-476A-A92C-C5A73D9C4A27}" srcOrd="2" destOrd="0" parTransId="{CF3FB19A-8793-40E9-A6BE-ED1F4D9DDC29}" sibTransId="{65239E1D-72D1-4349-9D70-DD500086FB32}"/>
    <dgm:cxn modelId="{B600EBBB-9247-4ABA-895F-97EADAFF6A15}" srcId="{E9F3234A-CF6D-4A9F-814B-CA777DDC3393}" destId="{66A928FE-E41B-4B31-852C-E8FAD732B0D7}" srcOrd="0" destOrd="0" parTransId="{D01DD607-8A1D-4BE9-B974-3A4CB80092D2}" sibTransId="{CCDDA8D8-BE25-491E-8002-EEE334C9D239}"/>
    <dgm:cxn modelId="{126427BF-0341-4E50-AA34-B48F0CD0F732}" type="presOf" srcId="{E9F3234A-CF6D-4A9F-814B-CA777DDC3393}" destId="{EC6781AD-A63A-409B-BE15-B064698BAF59}" srcOrd="0" destOrd="0" presId="urn:microsoft.com/office/officeart/2005/8/layout/vList6"/>
    <dgm:cxn modelId="{E546F280-6255-44D7-9932-367DC6729EC0}" type="presOf" srcId="{D927BFE3-07F9-4524-9BD0-D1C690C41525}" destId="{4692F2EF-F817-4DDA-8B8C-C91EF708276C}" srcOrd="0" destOrd="0" presId="urn:microsoft.com/office/officeart/2005/8/layout/vList6"/>
    <dgm:cxn modelId="{7225494F-E3BB-4F63-A80A-5B3917CAAE88}" srcId="{E9F3234A-CF6D-4A9F-814B-CA777DDC3393}" destId="{D927BFE3-07F9-4524-9BD0-D1C690C41525}" srcOrd="3" destOrd="0" parTransId="{01F49FCB-D67D-4968-A2B1-828F2179230C}" sibTransId="{2735C5A5-4DEF-450F-AD70-193C9E1B1F8D}"/>
    <dgm:cxn modelId="{BA2313FE-86C1-4F3D-AAEE-A58D47D41294}" srcId="{D927BFE3-07F9-4524-9BD0-D1C690C41525}" destId="{56C6CBCF-6349-4A6B-B84D-BE35FA828A82}" srcOrd="0" destOrd="0" parTransId="{9681C83D-4545-45ED-81E1-E8780D7032F9}" sibTransId="{70708567-698C-4F46-94B8-B666DC34F965}"/>
    <dgm:cxn modelId="{8F49A0D7-5F02-4F2B-9A49-6A2B3CEBC0F2}" type="presOf" srcId="{6A9D12C6-0696-45E0-9E46-0A2AD0DFAAB0}" destId="{F8D246BA-7617-4252-AF64-3A2C4AE05693}" srcOrd="0" destOrd="0" presId="urn:microsoft.com/office/officeart/2005/8/layout/vList6"/>
    <dgm:cxn modelId="{4A6ED80A-2366-44CE-9EC8-693E1CF07863}" type="presParOf" srcId="{EC6781AD-A63A-409B-BE15-B064698BAF59}" destId="{2816BC56-3E44-4CA2-8AEF-1AAE758E7296}" srcOrd="0" destOrd="0" presId="urn:microsoft.com/office/officeart/2005/8/layout/vList6"/>
    <dgm:cxn modelId="{404B5794-9BF0-41C9-AF15-2D9310E1E43C}" type="presParOf" srcId="{2816BC56-3E44-4CA2-8AEF-1AAE758E7296}" destId="{BB42FFEA-5CAB-4615-9E28-0A69A96F31CC}" srcOrd="0" destOrd="0" presId="urn:microsoft.com/office/officeart/2005/8/layout/vList6"/>
    <dgm:cxn modelId="{C05EDE70-D91F-41D5-A7E3-8B4D4FCF21B2}" type="presParOf" srcId="{2816BC56-3E44-4CA2-8AEF-1AAE758E7296}" destId="{F8D246BA-7617-4252-AF64-3A2C4AE05693}" srcOrd="1" destOrd="0" presId="urn:microsoft.com/office/officeart/2005/8/layout/vList6"/>
    <dgm:cxn modelId="{40F087AF-6E28-4A0C-9B27-96FAC350EC9D}" type="presParOf" srcId="{EC6781AD-A63A-409B-BE15-B064698BAF59}" destId="{81A7CCD6-CBAA-4147-B7B5-62DC363F5C44}" srcOrd="1" destOrd="0" presId="urn:microsoft.com/office/officeart/2005/8/layout/vList6"/>
    <dgm:cxn modelId="{D8F08899-2E4E-406A-958F-04EE64851B7E}" type="presParOf" srcId="{EC6781AD-A63A-409B-BE15-B064698BAF59}" destId="{7C15F680-4CBB-462B-88CE-74C768B43264}" srcOrd="2" destOrd="0" presId="urn:microsoft.com/office/officeart/2005/8/layout/vList6"/>
    <dgm:cxn modelId="{CEF484B3-9B9F-449A-A8AF-ACD7A10274F1}" type="presParOf" srcId="{7C15F680-4CBB-462B-88CE-74C768B43264}" destId="{589F411E-3227-442E-8FC9-5718632E69B0}" srcOrd="0" destOrd="0" presId="urn:microsoft.com/office/officeart/2005/8/layout/vList6"/>
    <dgm:cxn modelId="{32074B65-9943-45E5-9816-07FC651F483C}" type="presParOf" srcId="{7C15F680-4CBB-462B-88CE-74C768B43264}" destId="{F1242295-8F3B-468D-8988-80B3E07CDBC9}" srcOrd="1" destOrd="0" presId="urn:microsoft.com/office/officeart/2005/8/layout/vList6"/>
    <dgm:cxn modelId="{C79DB277-F1B8-4D1E-A79E-BFB2345EB67E}" type="presParOf" srcId="{EC6781AD-A63A-409B-BE15-B064698BAF59}" destId="{C890D1DE-376C-44AD-863D-CAC6D8A192F3}" srcOrd="3" destOrd="0" presId="urn:microsoft.com/office/officeart/2005/8/layout/vList6"/>
    <dgm:cxn modelId="{D2AF4FB4-7B31-4938-BE11-6A23A0987A78}" type="presParOf" srcId="{EC6781AD-A63A-409B-BE15-B064698BAF59}" destId="{F36DC9AE-C41A-4D2F-B9FD-17B45CE0A3DA}" srcOrd="4" destOrd="0" presId="urn:microsoft.com/office/officeart/2005/8/layout/vList6"/>
    <dgm:cxn modelId="{C06893FC-61D6-42CB-B9EB-423A1445366C}" type="presParOf" srcId="{F36DC9AE-C41A-4D2F-B9FD-17B45CE0A3DA}" destId="{FC3D2DD4-B605-4596-BE86-C28DA0618FA0}" srcOrd="0" destOrd="0" presId="urn:microsoft.com/office/officeart/2005/8/layout/vList6"/>
    <dgm:cxn modelId="{952976DC-9E5E-4AE5-BBAE-F215DEE7D21B}" type="presParOf" srcId="{F36DC9AE-C41A-4D2F-B9FD-17B45CE0A3DA}" destId="{44D087D9-8F7B-4568-A9DD-FB94C3B77F0C}" srcOrd="1" destOrd="0" presId="urn:microsoft.com/office/officeart/2005/8/layout/vList6"/>
    <dgm:cxn modelId="{060C3747-5B96-4646-A865-A7E8376E3C5C}" type="presParOf" srcId="{EC6781AD-A63A-409B-BE15-B064698BAF59}" destId="{6FFFBC41-C24A-4BAF-86FE-1F7704F62FB4}" srcOrd="5" destOrd="0" presId="urn:microsoft.com/office/officeart/2005/8/layout/vList6"/>
    <dgm:cxn modelId="{E5F5F301-7D3A-4659-A56E-911CF8895E03}" type="presParOf" srcId="{EC6781AD-A63A-409B-BE15-B064698BAF59}" destId="{3806331C-F2A2-4E54-B477-90F19AF9CBF8}" srcOrd="6" destOrd="0" presId="urn:microsoft.com/office/officeart/2005/8/layout/vList6"/>
    <dgm:cxn modelId="{0E2F6E1A-2A30-4A99-AB7C-62F3A42FFBF8}" type="presParOf" srcId="{3806331C-F2A2-4E54-B477-90F19AF9CBF8}" destId="{4692F2EF-F817-4DDA-8B8C-C91EF708276C}" srcOrd="0" destOrd="0" presId="urn:microsoft.com/office/officeart/2005/8/layout/vList6"/>
    <dgm:cxn modelId="{49DAA0F9-7D4B-4092-BEBE-86459C9B4802}" type="presParOf" srcId="{3806331C-F2A2-4E54-B477-90F19AF9CBF8}" destId="{E128DCDA-B4CE-4A62-9013-CD914EECA34F}" srcOrd="1" destOrd="0" presId="urn:microsoft.com/office/officeart/2005/8/layout/vList6"/>
    <dgm:cxn modelId="{D12ABF74-D03F-4B0D-AAA4-E4B7C2B6C747}" type="presParOf" srcId="{EC6781AD-A63A-409B-BE15-B064698BAF59}" destId="{E96ABA1A-B7B7-4425-8968-C12061155185}" srcOrd="7" destOrd="0" presId="urn:microsoft.com/office/officeart/2005/8/layout/vList6"/>
    <dgm:cxn modelId="{7BF28931-6415-49C2-AC84-FF7E88FBFD09}" type="presParOf" srcId="{EC6781AD-A63A-409B-BE15-B064698BAF59}" destId="{5AD7CBFB-30F4-4B2C-A3A5-D7EEAAA8019F}" srcOrd="8" destOrd="0" presId="urn:microsoft.com/office/officeart/2005/8/layout/vList6"/>
    <dgm:cxn modelId="{ECA6EDD2-972A-46D1-840A-B931742D303F}" type="presParOf" srcId="{5AD7CBFB-30F4-4B2C-A3A5-D7EEAAA8019F}" destId="{B61CF557-B531-4E83-AE00-AF16741494A0}" srcOrd="0" destOrd="0" presId="urn:microsoft.com/office/officeart/2005/8/layout/vList6"/>
    <dgm:cxn modelId="{6BA4DFD5-EAA3-491F-B03D-BAFD37DB3251}" type="presParOf" srcId="{5AD7CBFB-30F4-4B2C-A3A5-D7EEAAA8019F}" destId="{64442D72-0003-4860-8F97-A65FF56DF7AA}" srcOrd="1" destOrd="0" presId="urn:microsoft.com/office/officeart/2005/8/layout/vList6"/>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54B6D2B6-24E1-473F-81CB-492C824C0AAE}"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lang="ru-RU"/>
        </a:p>
      </dgm:t>
    </dgm:pt>
    <dgm:pt modelId="{2B6FFECA-F16C-48F7-BA98-AF08DF5796C1}">
      <dgm:prSet phldrT="[Текст]" custT="1"/>
      <dgm:spPr/>
      <dgm:t>
        <a:bodyPr/>
        <a:lstStyle/>
        <a:p>
          <a:r>
            <a:rPr lang="ru-RU" sz="1100" b="1">
              <a:latin typeface="Times New Roman" panose="02020603050405020304" pitchFamily="18" charset="0"/>
              <a:cs typeface="Times New Roman" panose="02020603050405020304" pitchFamily="18" charset="0"/>
            </a:rPr>
            <a:t>ОСИ ОЦЕНКИ</a:t>
          </a:r>
        </a:p>
      </dgm:t>
    </dgm:pt>
    <dgm:pt modelId="{B8656D67-52A8-4509-9FB6-C1CA83645CAA}" type="parTrans" cxnId="{FBAA3DBD-3567-4C94-8A4A-B93AEEDA40C2}">
      <dgm:prSet/>
      <dgm:spPr/>
      <dgm:t>
        <a:bodyPr/>
        <a:lstStyle/>
        <a:p>
          <a:endParaRPr lang="ru-RU" sz="1100">
            <a:latin typeface="Times New Roman" panose="02020603050405020304" pitchFamily="18" charset="0"/>
            <a:cs typeface="Times New Roman" panose="02020603050405020304" pitchFamily="18" charset="0"/>
          </a:endParaRPr>
        </a:p>
      </dgm:t>
    </dgm:pt>
    <dgm:pt modelId="{19285889-D8F3-4EB4-94F5-45E8643D3829}" type="sibTrans" cxnId="{FBAA3DBD-3567-4C94-8A4A-B93AEEDA40C2}">
      <dgm:prSet/>
      <dgm:spPr/>
      <dgm:t>
        <a:bodyPr/>
        <a:lstStyle/>
        <a:p>
          <a:endParaRPr lang="ru-RU" sz="1100">
            <a:latin typeface="Times New Roman" panose="02020603050405020304" pitchFamily="18" charset="0"/>
            <a:cs typeface="Times New Roman" panose="02020603050405020304" pitchFamily="18" charset="0"/>
          </a:endParaRPr>
        </a:p>
      </dgm:t>
    </dgm:pt>
    <dgm:pt modelId="{03EC4852-8083-4A58-BC16-3DEF31A64A01}">
      <dgm:prSet phldrT="[Текст]" custT="1"/>
      <dgm:spPr/>
      <dgm:t>
        <a:bodyPr/>
        <a:lstStyle/>
        <a:p>
          <a:r>
            <a:rPr lang="ru-RU" sz="1100" i="1">
              <a:latin typeface="Times New Roman" panose="02020603050405020304" pitchFamily="18" charset="0"/>
              <a:cs typeface="Times New Roman" panose="02020603050405020304" pitchFamily="18" charset="0"/>
            </a:rPr>
            <a:t>Уровень вовлечённости гражданского общества</a:t>
          </a:r>
        </a:p>
      </dgm:t>
    </dgm:pt>
    <dgm:pt modelId="{9ABC9E2B-87D5-41C9-89D8-53FDEE635287}" type="parTrans" cxnId="{2F69BD83-D290-416A-981A-671BDF804B7E}">
      <dgm:prSet/>
      <dgm:spPr/>
      <dgm:t>
        <a:bodyPr/>
        <a:lstStyle/>
        <a:p>
          <a:endParaRPr lang="ru-RU" sz="1100">
            <a:latin typeface="Times New Roman" panose="02020603050405020304" pitchFamily="18" charset="0"/>
            <a:cs typeface="Times New Roman" panose="02020603050405020304" pitchFamily="18" charset="0"/>
          </a:endParaRPr>
        </a:p>
      </dgm:t>
    </dgm:pt>
    <dgm:pt modelId="{002E71A5-D7D7-4035-9612-03F2D657A3E4}" type="sibTrans" cxnId="{2F69BD83-D290-416A-981A-671BDF804B7E}">
      <dgm:prSet/>
      <dgm:spPr/>
      <dgm:t>
        <a:bodyPr/>
        <a:lstStyle/>
        <a:p>
          <a:endParaRPr lang="ru-RU" sz="1100">
            <a:latin typeface="Times New Roman" panose="02020603050405020304" pitchFamily="18" charset="0"/>
            <a:cs typeface="Times New Roman" panose="02020603050405020304" pitchFamily="18" charset="0"/>
          </a:endParaRPr>
        </a:p>
      </dgm:t>
    </dgm:pt>
    <dgm:pt modelId="{AB7ADE33-5797-4935-8A48-F157975610B9}">
      <dgm:prSet phldrT="[Текст]" custT="1"/>
      <dgm:spPr/>
      <dgm:t>
        <a:bodyPr/>
        <a:lstStyle/>
        <a:p>
          <a:r>
            <a:rPr lang="ru-RU" sz="1100" i="1">
              <a:latin typeface="Times New Roman" panose="02020603050405020304" pitchFamily="18" charset="0"/>
              <a:cs typeface="Times New Roman" panose="02020603050405020304" pitchFamily="18" charset="0"/>
            </a:rPr>
            <a:t>Реакция государственных институтов</a:t>
          </a:r>
        </a:p>
      </dgm:t>
    </dgm:pt>
    <dgm:pt modelId="{A059DCDC-2020-46A8-AD1C-3BC1895AB1E3}" type="parTrans" cxnId="{463B8639-9F29-41A6-959A-B4EC74AC8EB2}">
      <dgm:prSet/>
      <dgm:spPr/>
      <dgm:t>
        <a:bodyPr/>
        <a:lstStyle/>
        <a:p>
          <a:endParaRPr lang="ru-RU" sz="1100">
            <a:latin typeface="Times New Roman" panose="02020603050405020304" pitchFamily="18" charset="0"/>
            <a:cs typeface="Times New Roman" panose="02020603050405020304" pitchFamily="18" charset="0"/>
          </a:endParaRPr>
        </a:p>
      </dgm:t>
    </dgm:pt>
    <dgm:pt modelId="{9C41D404-4FB1-44C7-87E3-5C8557B98FF3}" type="sibTrans" cxnId="{463B8639-9F29-41A6-959A-B4EC74AC8EB2}">
      <dgm:prSet/>
      <dgm:spPr/>
      <dgm:t>
        <a:bodyPr/>
        <a:lstStyle/>
        <a:p>
          <a:endParaRPr lang="ru-RU" sz="1100">
            <a:latin typeface="Times New Roman" panose="02020603050405020304" pitchFamily="18" charset="0"/>
            <a:cs typeface="Times New Roman" panose="02020603050405020304" pitchFamily="18" charset="0"/>
          </a:endParaRPr>
        </a:p>
      </dgm:t>
    </dgm:pt>
    <dgm:pt modelId="{DE4D3194-DC29-4D29-AB41-538A6A7F1177}">
      <dgm:prSet phldrT="[Текст]" custT="1"/>
      <dgm:spPr/>
      <dgm:t>
        <a:bodyPr/>
        <a:lstStyle/>
        <a:p>
          <a:r>
            <a:rPr lang="ru-RU" sz="1100" i="1">
              <a:latin typeface="Times New Roman" panose="02020603050405020304" pitchFamily="18" charset="0"/>
              <a:cs typeface="Times New Roman" panose="02020603050405020304" pitchFamily="18" charset="0"/>
            </a:rPr>
            <a:t>Эффективность программной и финансовой поддержки</a:t>
          </a:r>
        </a:p>
      </dgm:t>
    </dgm:pt>
    <dgm:pt modelId="{C4B3D08B-8280-4C80-BE72-25562A5DE673}" type="parTrans" cxnId="{03BA1E0C-DB14-4000-B9DE-AA14F03D90CA}">
      <dgm:prSet/>
      <dgm:spPr/>
      <dgm:t>
        <a:bodyPr/>
        <a:lstStyle/>
        <a:p>
          <a:endParaRPr lang="ru-RU" sz="1100">
            <a:latin typeface="Times New Roman" panose="02020603050405020304" pitchFamily="18" charset="0"/>
            <a:cs typeface="Times New Roman" panose="02020603050405020304" pitchFamily="18" charset="0"/>
          </a:endParaRPr>
        </a:p>
      </dgm:t>
    </dgm:pt>
    <dgm:pt modelId="{4BA27A14-DDAD-4C41-8DC7-B1F6C4D64D73}" type="sibTrans" cxnId="{03BA1E0C-DB14-4000-B9DE-AA14F03D90CA}">
      <dgm:prSet/>
      <dgm:spPr/>
      <dgm:t>
        <a:bodyPr/>
        <a:lstStyle/>
        <a:p>
          <a:endParaRPr lang="ru-RU" sz="1100">
            <a:latin typeface="Times New Roman" panose="02020603050405020304" pitchFamily="18" charset="0"/>
            <a:cs typeface="Times New Roman" panose="02020603050405020304" pitchFamily="18" charset="0"/>
          </a:endParaRPr>
        </a:p>
      </dgm:t>
    </dgm:pt>
    <dgm:pt modelId="{747B64FB-8CFC-4F23-BD95-59CE040AB989}">
      <dgm:prSet custT="1"/>
      <dgm:spPr/>
      <dgm:t>
        <a:bodyPr/>
        <a:lstStyle/>
        <a:p>
          <a:r>
            <a:rPr lang="ru-RU" sz="1100">
              <a:latin typeface="Times New Roman" panose="02020603050405020304" pitchFamily="18" charset="0"/>
              <a:cs typeface="Times New Roman" panose="02020603050405020304" pitchFamily="18" charset="0"/>
            </a:rPr>
            <a:t>число привлечённых неправительственных организаций</a:t>
          </a:r>
        </a:p>
      </dgm:t>
    </dgm:pt>
    <dgm:pt modelId="{C72AF601-9A30-4F83-BD3D-FF5B4F027A4F}" type="parTrans" cxnId="{B5B1AE03-65DA-4B6D-91DA-67E0520E68FF}">
      <dgm:prSet/>
      <dgm:spPr/>
      <dgm:t>
        <a:bodyPr/>
        <a:lstStyle/>
        <a:p>
          <a:endParaRPr lang="ru-RU" sz="1100">
            <a:latin typeface="Times New Roman" panose="02020603050405020304" pitchFamily="18" charset="0"/>
            <a:cs typeface="Times New Roman" panose="02020603050405020304" pitchFamily="18" charset="0"/>
          </a:endParaRPr>
        </a:p>
      </dgm:t>
    </dgm:pt>
    <dgm:pt modelId="{EDF71E37-5162-491C-8FC5-B77B5F0C0AF1}" type="sibTrans" cxnId="{B5B1AE03-65DA-4B6D-91DA-67E0520E68FF}">
      <dgm:prSet/>
      <dgm:spPr/>
      <dgm:t>
        <a:bodyPr/>
        <a:lstStyle/>
        <a:p>
          <a:endParaRPr lang="ru-RU" sz="1100">
            <a:latin typeface="Times New Roman" panose="02020603050405020304" pitchFamily="18" charset="0"/>
            <a:cs typeface="Times New Roman" panose="02020603050405020304" pitchFamily="18" charset="0"/>
          </a:endParaRPr>
        </a:p>
      </dgm:t>
    </dgm:pt>
    <dgm:pt modelId="{935B7AD1-62A5-4292-9C2D-CB1116143D0B}">
      <dgm:prSet custT="1"/>
      <dgm:spPr/>
      <dgm:t>
        <a:bodyPr/>
        <a:lstStyle/>
        <a:p>
          <a:r>
            <a:rPr lang="ru-RU" sz="1100">
              <a:latin typeface="Times New Roman" panose="02020603050405020304" pitchFamily="18" charset="0"/>
              <a:cs typeface="Times New Roman" panose="02020603050405020304" pitchFamily="18" charset="0"/>
            </a:rPr>
            <a:t>степень влияния гражданского сектора на содержание реформ</a:t>
          </a:r>
        </a:p>
      </dgm:t>
    </dgm:pt>
    <dgm:pt modelId="{54230FE9-A475-4242-A546-EB847C2F332C}" type="parTrans" cxnId="{B724686B-E660-4F6A-BAD1-ECBB1D174EA3}">
      <dgm:prSet/>
      <dgm:spPr/>
      <dgm:t>
        <a:bodyPr/>
        <a:lstStyle/>
        <a:p>
          <a:endParaRPr lang="ru-RU" sz="1100">
            <a:latin typeface="Times New Roman" panose="02020603050405020304" pitchFamily="18" charset="0"/>
            <a:cs typeface="Times New Roman" panose="02020603050405020304" pitchFamily="18" charset="0"/>
          </a:endParaRPr>
        </a:p>
      </dgm:t>
    </dgm:pt>
    <dgm:pt modelId="{499B08F3-8E47-43F5-9EE0-A3AB18711DE6}" type="sibTrans" cxnId="{B724686B-E660-4F6A-BAD1-ECBB1D174EA3}">
      <dgm:prSet/>
      <dgm:spPr/>
      <dgm:t>
        <a:bodyPr/>
        <a:lstStyle/>
        <a:p>
          <a:endParaRPr lang="ru-RU" sz="1100">
            <a:latin typeface="Times New Roman" panose="02020603050405020304" pitchFamily="18" charset="0"/>
            <a:cs typeface="Times New Roman" panose="02020603050405020304" pitchFamily="18" charset="0"/>
          </a:endParaRPr>
        </a:p>
      </dgm:t>
    </dgm:pt>
    <dgm:pt modelId="{CF1CD1C8-826E-4D55-8410-42740274E5F8}">
      <dgm:prSet custT="1"/>
      <dgm:spPr/>
      <dgm:t>
        <a:bodyPr/>
        <a:lstStyle/>
        <a:p>
          <a:r>
            <a:rPr lang="ru-RU" sz="1100">
              <a:latin typeface="Times New Roman" panose="02020603050405020304" pitchFamily="18" charset="0"/>
              <a:cs typeface="Times New Roman" panose="02020603050405020304" pitchFamily="18" charset="0"/>
            </a:rPr>
            <a:t>фактическое исполнение обязательств по Соглашению о расширенном партнёрстве и сотрудничестве</a:t>
          </a:r>
        </a:p>
      </dgm:t>
    </dgm:pt>
    <dgm:pt modelId="{EC0D08DF-638A-449D-AD36-5A3C5485D0DF}" type="parTrans" cxnId="{4DECD318-9DDA-47DC-8118-307BF510DC9F}">
      <dgm:prSet/>
      <dgm:spPr/>
      <dgm:t>
        <a:bodyPr/>
        <a:lstStyle/>
        <a:p>
          <a:endParaRPr lang="ru-RU" sz="1100">
            <a:latin typeface="Times New Roman" panose="02020603050405020304" pitchFamily="18" charset="0"/>
            <a:cs typeface="Times New Roman" panose="02020603050405020304" pitchFamily="18" charset="0"/>
          </a:endParaRPr>
        </a:p>
      </dgm:t>
    </dgm:pt>
    <dgm:pt modelId="{E7FBFBB5-A1AA-4BBC-892D-6BE5176067BA}" type="sibTrans" cxnId="{4DECD318-9DDA-47DC-8118-307BF510DC9F}">
      <dgm:prSet/>
      <dgm:spPr/>
      <dgm:t>
        <a:bodyPr/>
        <a:lstStyle/>
        <a:p>
          <a:endParaRPr lang="ru-RU" sz="1100">
            <a:latin typeface="Times New Roman" panose="02020603050405020304" pitchFamily="18" charset="0"/>
            <a:cs typeface="Times New Roman" panose="02020603050405020304" pitchFamily="18" charset="0"/>
          </a:endParaRPr>
        </a:p>
      </dgm:t>
    </dgm:pt>
    <dgm:pt modelId="{67A2E871-1D09-4333-BF6C-D025B9B5FF44}">
      <dgm:prSet custT="1"/>
      <dgm:spPr/>
      <dgm:t>
        <a:bodyPr/>
        <a:lstStyle/>
        <a:p>
          <a:r>
            <a:rPr lang="ru-RU" sz="1100">
              <a:latin typeface="Times New Roman" panose="02020603050405020304" pitchFamily="18" charset="0"/>
              <a:cs typeface="Times New Roman" panose="02020603050405020304" pitchFamily="18" charset="0"/>
            </a:rPr>
            <a:t>прозрачность отчётности и готовность к институциональному взаимодействию с внешними структурами</a:t>
          </a:r>
        </a:p>
      </dgm:t>
    </dgm:pt>
    <dgm:pt modelId="{E30601EF-0CB3-419A-A8B0-2AF23C83A030}" type="parTrans" cxnId="{726FD928-AF51-4936-AF79-E4EB4E75D5AF}">
      <dgm:prSet/>
      <dgm:spPr/>
      <dgm:t>
        <a:bodyPr/>
        <a:lstStyle/>
        <a:p>
          <a:endParaRPr lang="ru-RU" sz="1100">
            <a:latin typeface="Times New Roman" panose="02020603050405020304" pitchFamily="18" charset="0"/>
            <a:cs typeface="Times New Roman" panose="02020603050405020304" pitchFamily="18" charset="0"/>
          </a:endParaRPr>
        </a:p>
      </dgm:t>
    </dgm:pt>
    <dgm:pt modelId="{FB2B9A9A-EAA6-4549-A01E-EA0E32204F47}" type="sibTrans" cxnId="{726FD928-AF51-4936-AF79-E4EB4E75D5AF}">
      <dgm:prSet/>
      <dgm:spPr/>
      <dgm:t>
        <a:bodyPr/>
        <a:lstStyle/>
        <a:p>
          <a:endParaRPr lang="ru-RU" sz="1100">
            <a:latin typeface="Times New Roman" panose="02020603050405020304" pitchFamily="18" charset="0"/>
            <a:cs typeface="Times New Roman" panose="02020603050405020304" pitchFamily="18" charset="0"/>
          </a:endParaRPr>
        </a:p>
      </dgm:t>
    </dgm:pt>
    <dgm:pt modelId="{D6E6B2BF-FAB0-486D-AF2F-FDC04535735F}">
      <dgm:prSet custT="1"/>
      <dgm:spPr/>
      <dgm:t>
        <a:bodyPr/>
        <a:lstStyle/>
        <a:p>
          <a:r>
            <a:rPr lang="ru-RU" sz="1100">
              <a:latin typeface="Times New Roman" panose="02020603050405020304" pitchFamily="18" charset="0"/>
              <a:cs typeface="Times New Roman" panose="02020603050405020304" pitchFamily="18" charset="0"/>
            </a:rPr>
            <a:t>широта географического и социального охвата</a:t>
          </a:r>
        </a:p>
      </dgm:t>
    </dgm:pt>
    <dgm:pt modelId="{E907174E-A96B-4CBD-AF7C-3410C704E292}" type="parTrans" cxnId="{80D02862-C00E-4F75-8A03-237F81D1E81B}">
      <dgm:prSet/>
      <dgm:spPr/>
      <dgm:t>
        <a:bodyPr/>
        <a:lstStyle/>
        <a:p>
          <a:endParaRPr lang="ru-RU" sz="1100">
            <a:latin typeface="Times New Roman" panose="02020603050405020304" pitchFamily="18" charset="0"/>
            <a:cs typeface="Times New Roman" panose="02020603050405020304" pitchFamily="18" charset="0"/>
          </a:endParaRPr>
        </a:p>
      </dgm:t>
    </dgm:pt>
    <dgm:pt modelId="{A830660E-0D6A-435C-ADC5-7DBE1E7967E7}" type="sibTrans" cxnId="{80D02862-C00E-4F75-8A03-237F81D1E81B}">
      <dgm:prSet/>
      <dgm:spPr/>
      <dgm:t>
        <a:bodyPr/>
        <a:lstStyle/>
        <a:p>
          <a:endParaRPr lang="ru-RU" sz="1100">
            <a:latin typeface="Times New Roman" panose="02020603050405020304" pitchFamily="18" charset="0"/>
            <a:cs typeface="Times New Roman" panose="02020603050405020304" pitchFamily="18" charset="0"/>
          </a:endParaRPr>
        </a:p>
      </dgm:t>
    </dgm:pt>
    <dgm:pt modelId="{B665DD79-1E80-43FC-BFA9-33D63038F2AC}">
      <dgm:prSet custT="1"/>
      <dgm:spPr/>
      <dgm:t>
        <a:bodyPr/>
        <a:lstStyle/>
        <a:p>
          <a:r>
            <a:rPr lang="ru-RU" sz="1100">
              <a:latin typeface="Times New Roman" panose="02020603050405020304" pitchFamily="18" charset="0"/>
              <a:cs typeface="Times New Roman" panose="02020603050405020304" pitchFamily="18" charset="0"/>
            </a:rPr>
            <a:t>устойчивость результатов после завершения внешнего финансирования</a:t>
          </a:r>
        </a:p>
      </dgm:t>
    </dgm:pt>
    <dgm:pt modelId="{2A58C75E-3644-4335-BFE9-6988FAC42EEA}" type="parTrans" cxnId="{87128F8F-6817-47A8-9B1F-67800AB4A971}">
      <dgm:prSet/>
      <dgm:spPr/>
      <dgm:t>
        <a:bodyPr/>
        <a:lstStyle/>
        <a:p>
          <a:endParaRPr lang="ru-RU" sz="1100">
            <a:latin typeface="Times New Roman" panose="02020603050405020304" pitchFamily="18" charset="0"/>
            <a:cs typeface="Times New Roman" panose="02020603050405020304" pitchFamily="18" charset="0"/>
          </a:endParaRPr>
        </a:p>
      </dgm:t>
    </dgm:pt>
    <dgm:pt modelId="{410708F4-A773-4326-9D8A-F614B8EA53C9}" type="sibTrans" cxnId="{87128F8F-6817-47A8-9B1F-67800AB4A971}">
      <dgm:prSet/>
      <dgm:spPr/>
      <dgm:t>
        <a:bodyPr/>
        <a:lstStyle/>
        <a:p>
          <a:endParaRPr lang="ru-RU" sz="1100">
            <a:latin typeface="Times New Roman" panose="02020603050405020304" pitchFamily="18" charset="0"/>
            <a:cs typeface="Times New Roman" panose="02020603050405020304" pitchFamily="18" charset="0"/>
          </a:endParaRPr>
        </a:p>
      </dgm:t>
    </dgm:pt>
    <dgm:pt modelId="{43661BD1-53A0-4556-AFB3-C368F832AED4}">
      <dgm:prSet custT="1"/>
      <dgm:spPr/>
      <dgm:t>
        <a:bodyPr/>
        <a:lstStyle/>
        <a:p>
          <a:r>
            <a:rPr lang="ru-RU" sz="1100">
              <a:latin typeface="Times New Roman" panose="02020603050405020304" pitchFamily="18" charset="0"/>
              <a:cs typeface="Times New Roman" panose="02020603050405020304" pitchFamily="18" charset="0"/>
            </a:rPr>
            <a:t>соответствие профинансированных инициатив стратегическим целям Плана действий</a:t>
          </a:r>
        </a:p>
      </dgm:t>
    </dgm:pt>
    <dgm:pt modelId="{84C46CF7-D628-479F-BDFA-6AF66E0008C1}" type="parTrans" cxnId="{6C571963-17A8-4100-92D7-806FD2ACD1EA}">
      <dgm:prSet/>
      <dgm:spPr/>
      <dgm:t>
        <a:bodyPr/>
        <a:lstStyle/>
        <a:p>
          <a:endParaRPr lang="ru-RU" sz="1100">
            <a:latin typeface="Times New Roman" panose="02020603050405020304" pitchFamily="18" charset="0"/>
            <a:cs typeface="Times New Roman" panose="02020603050405020304" pitchFamily="18" charset="0"/>
          </a:endParaRPr>
        </a:p>
      </dgm:t>
    </dgm:pt>
    <dgm:pt modelId="{462EF872-8D47-4C63-9883-8FADFE3541D5}" type="sibTrans" cxnId="{6C571963-17A8-4100-92D7-806FD2ACD1EA}">
      <dgm:prSet/>
      <dgm:spPr/>
      <dgm:t>
        <a:bodyPr/>
        <a:lstStyle/>
        <a:p>
          <a:endParaRPr lang="ru-RU" sz="1100">
            <a:latin typeface="Times New Roman" panose="02020603050405020304" pitchFamily="18" charset="0"/>
            <a:cs typeface="Times New Roman" panose="02020603050405020304" pitchFamily="18" charset="0"/>
          </a:endParaRPr>
        </a:p>
      </dgm:t>
    </dgm:pt>
    <dgm:pt modelId="{07A57F85-CBC0-46AB-9677-5B386313F52F}">
      <dgm:prSet custT="1"/>
      <dgm:spPr/>
      <dgm:t>
        <a:bodyPr/>
        <a:lstStyle/>
        <a:p>
          <a:r>
            <a:rPr lang="ru-RU" sz="1100">
              <a:latin typeface="Times New Roman" panose="02020603050405020304" pitchFamily="18" charset="0"/>
              <a:cs typeface="Times New Roman" panose="02020603050405020304" pitchFamily="18" charset="0"/>
            </a:rPr>
            <a:t>наличие формализованных механизмов взаимодействия (дорожные карты, платформы)</a:t>
          </a:r>
        </a:p>
      </dgm:t>
    </dgm:pt>
    <dgm:pt modelId="{EA95A646-7A2A-42C2-AE70-C04173DD3CD0}" type="parTrans" cxnId="{04FD23BE-CA75-4A48-95B3-5CE7125382DB}">
      <dgm:prSet/>
      <dgm:spPr/>
      <dgm:t>
        <a:bodyPr/>
        <a:lstStyle/>
        <a:p>
          <a:endParaRPr lang="ru-RU" sz="1100">
            <a:latin typeface="Times New Roman" panose="02020603050405020304" pitchFamily="18" charset="0"/>
            <a:cs typeface="Times New Roman" panose="02020603050405020304" pitchFamily="18" charset="0"/>
          </a:endParaRPr>
        </a:p>
      </dgm:t>
    </dgm:pt>
    <dgm:pt modelId="{6954CF27-F215-4B43-83C2-E8C7E97F3F48}" type="sibTrans" cxnId="{04FD23BE-CA75-4A48-95B3-5CE7125382DB}">
      <dgm:prSet/>
      <dgm:spPr/>
      <dgm:t>
        <a:bodyPr/>
        <a:lstStyle/>
        <a:p>
          <a:endParaRPr lang="ru-RU" sz="1100">
            <a:latin typeface="Times New Roman" panose="02020603050405020304" pitchFamily="18" charset="0"/>
            <a:cs typeface="Times New Roman" panose="02020603050405020304" pitchFamily="18" charset="0"/>
          </a:endParaRPr>
        </a:p>
      </dgm:t>
    </dgm:pt>
    <dgm:pt modelId="{240D383C-B915-45EE-B08C-1DF3D1B3F6A0}">
      <dgm:prSet custT="1"/>
      <dgm:spPr/>
      <dgm:t>
        <a:bodyPr/>
        <a:lstStyle/>
        <a:p>
          <a:r>
            <a:rPr lang="ru-RU" sz="1100">
              <a:latin typeface="Times New Roman" panose="02020603050405020304" pitchFamily="18" charset="0"/>
              <a:cs typeface="Times New Roman" panose="02020603050405020304" pitchFamily="18" charset="0"/>
            </a:rPr>
            <a:t>уровень имплементации рекомендаций международных механизмов (</a:t>
          </a:r>
          <a:r>
            <a:rPr lang="en-US" sz="1100">
              <a:latin typeface="Times New Roman" panose="02020603050405020304" pitchFamily="18" charset="0"/>
              <a:cs typeface="Times New Roman" panose="02020603050405020304" pitchFamily="18" charset="0"/>
            </a:rPr>
            <a:t>UPR – </a:t>
          </a:r>
          <a:r>
            <a:rPr lang="ru-RU" sz="1100">
              <a:latin typeface="Times New Roman" panose="02020603050405020304" pitchFamily="18" charset="0"/>
              <a:cs typeface="Times New Roman" panose="02020603050405020304" pitchFamily="18" charset="0"/>
            </a:rPr>
            <a:t>Универсальный периодический обзор, ООН; ЕСПЧ – Европейский суд по правам человека)</a:t>
          </a:r>
        </a:p>
      </dgm:t>
    </dgm:pt>
    <dgm:pt modelId="{332274FC-E4D1-4B70-B707-00BECF2B3170}" type="parTrans" cxnId="{5024425E-CC38-4966-A30D-0C7041170C4B}">
      <dgm:prSet/>
      <dgm:spPr/>
      <dgm:t>
        <a:bodyPr/>
        <a:lstStyle/>
        <a:p>
          <a:endParaRPr lang="ru-RU" sz="1100">
            <a:latin typeface="Times New Roman" panose="02020603050405020304" pitchFamily="18" charset="0"/>
            <a:cs typeface="Times New Roman" panose="02020603050405020304" pitchFamily="18" charset="0"/>
          </a:endParaRPr>
        </a:p>
      </dgm:t>
    </dgm:pt>
    <dgm:pt modelId="{59CAE0B4-BA09-4DFB-AC95-36A64F9242C3}" type="sibTrans" cxnId="{5024425E-CC38-4966-A30D-0C7041170C4B}">
      <dgm:prSet/>
      <dgm:spPr/>
      <dgm:t>
        <a:bodyPr/>
        <a:lstStyle/>
        <a:p>
          <a:endParaRPr lang="ru-RU" sz="1100">
            <a:latin typeface="Times New Roman" panose="02020603050405020304" pitchFamily="18" charset="0"/>
            <a:cs typeface="Times New Roman" panose="02020603050405020304" pitchFamily="18" charset="0"/>
          </a:endParaRPr>
        </a:p>
      </dgm:t>
    </dgm:pt>
    <dgm:pt modelId="{E0C13D9F-C6B1-470A-B50F-6FD740B18652}" type="pres">
      <dgm:prSet presAssocID="{54B6D2B6-24E1-473F-81CB-492C824C0AAE}" presName="hierChild1" presStyleCnt="0">
        <dgm:presLayoutVars>
          <dgm:orgChart val="1"/>
          <dgm:chPref val="1"/>
          <dgm:dir/>
          <dgm:animOne val="branch"/>
          <dgm:animLvl val="lvl"/>
          <dgm:resizeHandles/>
        </dgm:presLayoutVars>
      </dgm:prSet>
      <dgm:spPr/>
      <dgm:t>
        <a:bodyPr/>
        <a:lstStyle/>
        <a:p>
          <a:endParaRPr lang="ru-RU"/>
        </a:p>
      </dgm:t>
    </dgm:pt>
    <dgm:pt modelId="{C10E3D11-AF9D-4A69-9278-B32F859C33CD}" type="pres">
      <dgm:prSet presAssocID="{2B6FFECA-F16C-48F7-BA98-AF08DF5796C1}" presName="hierRoot1" presStyleCnt="0">
        <dgm:presLayoutVars>
          <dgm:hierBranch val="init"/>
        </dgm:presLayoutVars>
      </dgm:prSet>
      <dgm:spPr/>
    </dgm:pt>
    <dgm:pt modelId="{428D8DA2-EC0F-4AB8-9F2F-7B8737F3326E}" type="pres">
      <dgm:prSet presAssocID="{2B6FFECA-F16C-48F7-BA98-AF08DF5796C1}" presName="rootComposite1" presStyleCnt="0"/>
      <dgm:spPr/>
    </dgm:pt>
    <dgm:pt modelId="{EBF83DF7-DDA3-4CCD-B135-DC967D89EBAA}" type="pres">
      <dgm:prSet presAssocID="{2B6FFECA-F16C-48F7-BA98-AF08DF5796C1}" presName="rootText1" presStyleLbl="node0" presStyleIdx="0" presStyleCnt="1" custScaleX="67749" custLinFactNeighborX="-31196" custLinFactNeighborY="-4003">
        <dgm:presLayoutVars>
          <dgm:chPref val="3"/>
        </dgm:presLayoutVars>
      </dgm:prSet>
      <dgm:spPr/>
      <dgm:t>
        <a:bodyPr/>
        <a:lstStyle/>
        <a:p>
          <a:endParaRPr lang="ru-RU"/>
        </a:p>
      </dgm:t>
    </dgm:pt>
    <dgm:pt modelId="{36EA8E1C-992F-4368-A2B8-9C56682C4D5B}" type="pres">
      <dgm:prSet presAssocID="{2B6FFECA-F16C-48F7-BA98-AF08DF5796C1}" presName="rootConnector1" presStyleLbl="node1" presStyleIdx="0" presStyleCnt="0"/>
      <dgm:spPr/>
      <dgm:t>
        <a:bodyPr/>
        <a:lstStyle/>
        <a:p>
          <a:endParaRPr lang="ru-RU"/>
        </a:p>
      </dgm:t>
    </dgm:pt>
    <dgm:pt modelId="{AE515FE2-F6FC-49A4-BF49-FC54100737DD}" type="pres">
      <dgm:prSet presAssocID="{2B6FFECA-F16C-48F7-BA98-AF08DF5796C1}" presName="hierChild2" presStyleCnt="0"/>
      <dgm:spPr/>
    </dgm:pt>
    <dgm:pt modelId="{FFD138D2-71CC-43B5-8AC1-00DBD5CC4087}" type="pres">
      <dgm:prSet presAssocID="{9ABC9E2B-87D5-41C9-89D8-53FDEE635287}" presName="Name64" presStyleLbl="parChTrans1D2" presStyleIdx="0" presStyleCnt="3"/>
      <dgm:spPr/>
      <dgm:t>
        <a:bodyPr/>
        <a:lstStyle/>
        <a:p>
          <a:endParaRPr lang="ru-RU"/>
        </a:p>
      </dgm:t>
    </dgm:pt>
    <dgm:pt modelId="{D3B56F99-ADB3-40C5-9C80-501AAAEE71AA}" type="pres">
      <dgm:prSet presAssocID="{03EC4852-8083-4A58-BC16-3DEF31A64A01}" presName="hierRoot2" presStyleCnt="0">
        <dgm:presLayoutVars>
          <dgm:hierBranch val="init"/>
        </dgm:presLayoutVars>
      </dgm:prSet>
      <dgm:spPr/>
    </dgm:pt>
    <dgm:pt modelId="{6A484D57-09B3-421E-BEB5-903310C78F92}" type="pres">
      <dgm:prSet presAssocID="{03EC4852-8083-4A58-BC16-3DEF31A64A01}" presName="rootComposite" presStyleCnt="0"/>
      <dgm:spPr/>
    </dgm:pt>
    <dgm:pt modelId="{81086E3E-9B69-4A79-A62D-6FE3D299F81B}" type="pres">
      <dgm:prSet presAssocID="{03EC4852-8083-4A58-BC16-3DEF31A64A01}" presName="rootText" presStyleLbl="node2" presStyleIdx="0" presStyleCnt="3" custScaleX="114619" custScaleY="201011" custLinFactNeighborX="-41676" custLinFactNeighborY="-87427">
        <dgm:presLayoutVars>
          <dgm:chPref val="3"/>
        </dgm:presLayoutVars>
      </dgm:prSet>
      <dgm:spPr/>
      <dgm:t>
        <a:bodyPr/>
        <a:lstStyle/>
        <a:p>
          <a:endParaRPr lang="ru-RU"/>
        </a:p>
      </dgm:t>
    </dgm:pt>
    <dgm:pt modelId="{E4DB42FE-B06D-4A99-B468-AA786900C816}" type="pres">
      <dgm:prSet presAssocID="{03EC4852-8083-4A58-BC16-3DEF31A64A01}" presName="rootConnector" presStyleLbl="node2" presStyleIdx="0" presStyleCnt="3"/>
      <dgm:spPr/>
      <dgm:t>
        <a:bodyPr/>
        <a:lstStyle/>
        <a:p>
          <a:endParaRPr lang="ru-RU"/>
        </a:p>
      </dgm:t>
    </dgm:pt>
    <dgm:pt modelId="{D80224AA-F656-4739-91DD-1D1E7612BB3D}" type="pres">
      <dgm:prSet presAssocID="{03EC4852-8083-4A58-BC16-3DEF31A64A01}" presName="hierChild4" presStyleCnt="0"/>
      <dgm:spPr/>
    </dgm:pt>
    <dgm:pt modelId="{0DBBA437-B1EA-432F-8DEE-334255B8A763}" type="pres">
      <dgm:prSet presAssocID="{C72AF601-9A30-4F83-BD3D-FF5B4F027A4F}" presName="Name64" presStyleLbl="parChTrans1D3" presStyleIdx="0" presStyleCnt="9"/>
      <dgm:spPr/>
      <dgm:t>
        <a:bodyPr/>
        <a:lstStyle/>
        <a:p>
          <a:endParaRPr lang="ru-RU"/>
        </a:p>
      </dgm:t>
    </dgm:pt>
    <dgm:pt modelId="{76B8AE0F-BD63-43FB-BE86-0DB66092C09A}" type="pres">
      <dgm:prSet presAssocID="{747B64FB-8CFC-4F23-BD95-59CE040AB989}" presName="hierRoot2" presStyleCnt="0">
        <dgm:presLayoutVars>
          <dgm:hierBranch val="init"/>
        </dgm:presLayoutVars>
      </dgm:prSet>
      <dgm:spPr/>
    </dgm:pt>
    <dgm:pt modelId="{C4C599C6-0BEE-493F-A05C-BAD14092FAA1}" type="pres">
      <dgm:prSet presAssocID="{747B64FB-8CFC-4F23-BD95-59CE040AB989}" presName="rootComposite" presStyleCnt="0"/>
      <dgm:spPr/>
    </dgm:pt>
    <dgm:pt modelId="{8EC55A1D-D1E7-490F-BB78-36C69800C150}" type="pres">
      <dgm:prSet presAssocID="{747B64FB-8CFC-4F23-BD95-59CE040AB989}" presName="rootText" presStyleLbl="node3" presStyleIdx="0" presStyleCnt="9" custScaleX="269681">
        <dgm:presLayoutVars>
          <dgm:chPref val="3"/>
        </dgm:presLayoutVars>
      </dgm:prSet>
      <dgm:spPr/>
      <dgm:t>
        <a:bodyPr/>
        <a:lstStyle/>
        <a:p>
          <a:endParaRPr lang="ru-RU"/>
        </a:p>
      </dgm:t>
    </dgm:pt>
    <dgm:pt modelId="{7EC41601-1BDC-4C4D-93DD-819409B2A29E}" type="pres">
      <dgm:prSet presAssocID="{747B64FB-8CFC-4F23-BD95-59CE040AB989}" presName="rootConnector" presStyleLbl="node3" presStyleIdx="0" presStyleCnt="9"/>
      <dgm:spPr/>
      <dgm:t>
        <a:bodyPr/>
        <a:lstStyle/>
        <a:p>
          <a:endParaRPr lang="ru-RU"/>
        </a:p>
      </dgm:t>
    </dgm:pt>
    <dgm:pt modelId="{2A793221-5E2E-41F1-AC3F-1677D33D22CF}" type="pres">
      <dgm:prSet presAssocID="{747B64FB-8CFC-4F23-BD95-59CE040AB989}" presName="hierChild4" presStyleCnt="0"/>
      <dgm:spPr/>
    </dgm:pt>
    <dgm:pt modelId="{D9192009-6495-4F06-90E6-10712B81A8C5}" type="pres">
      <dgm:prSet presAssocID="{747B64FB-8CFC-4F23-BD95-59CE040AB989}" presName="hierChild5" presStyleCnt="0"/>
      <dgm:spPr/>
    </dgm:pt>
    <dgm:pt modelId="{27AA4A49-5A86-4D22-9869-6D0A02AC0DC6}" type="pres">
      <dgm:prSet presAssocID="{EA95A646-7A2A-42C2-AE70-C04173DD3CD0}" presName="Name64" presStyleLbl="parChTrans1D3" presStyleIdx="1" presStyleCnt="9"/>
      <dgm:spPr/>
      <dgm:t>
        <a:bodyPr/>
        <a:lstStyle/>
        <a:p>
          <a:endParaRPr lang="ru-RU"/>
        </a:p>
      </dgm:t>
    </dgm:pt>
    <dgm:pt modelId="{95AA659E-D6C8-49B9-96DF-DC4D943579E0}" type="pres">
      <dgm:prSet presAssocID="{07A57F85-CBC0-46AB-9677-5B386313F52F}" presName="hierRoot2" presStyleCnt="0">
        <dgm:presLayoutVars>
          <dgm:hierBranch val="init"/>
        </dgm:presLayoutVars>
      </dgm:prSet>
      <dgm:spPr/>
    </dgm:pt>
    <dgm:pt modelId="{C1187B14-1938-4366-952A-FF7D40850D80}" type="pres">
      <dgm:prSet presAssocID="{07A57F85-CBC0-46AB-9677-5B386313F52F}" presName="rootComposite" presStyleCnt="0"/>
      <dgm:spPr/>
    </dgm:pt>
    <dgm:pt modelId="{1063F7C5-7107-4733-97E3-CFFBB9B8FDA0}" type="pres">
      <dgm:prSet presAssocID="{07A57F85-CBC0-46AB-9677-5B386313F52F}" presName="rootText" presStyleLbl="node3" presStyleIdx="1" presStyleCnt="9" custScaleX="277562" custScaleY="128901">
        <dgm:presLayoutVars>
          <dgm:chPref val="3"/>
        </dgm:presLayoutVars>
      </dgm:prSet>
      <dgm:spPr/>
      <dgm:t>
        <a:bodyPr/>
        <a:lstStyle/>
        <a:p>
          <a:endParaRPr lang="ru-RU"/>
        </a:p>
      </dgm:t>
    </dgm:pt>
    <dgm:pt modelId="{64D6CE7F-2CB5-42F2-A759-F6DB0262DB7B}" type="pres">
      <dgm:prSet presAssocID="{07A57F85-CBC0-46AB-9677-5B386313F52F}" presName="rootConnector" presStyleLbl="node3" presStyleIdx="1" presStyleCnt="9"/>
      <dgm:spPr/>
      <dgm:t>
        <a:bodyPr/>
        <a:lstStyle/>
        <a:p>
          <a:endParaRPr lang="ru-RU"/>
        </a:p>
      </dgm:t>
    </dgm:pt>
    <dgm:pt modelId="{DB179692-ED41-46DB-841C-C87502501FF1}" type="pres">
      <dgm:prSet presAssocID="{07A57F85-CBC0-46AB-9677-5B386313F52F}" presName="hierChild4" presStyleCnt="0"/>
      <dgm:spPr/>
    </dgm:pt>
    <dgm:pt modelId="{16CC9AC4-4ED7-42F6-8BD3-3FB5E678BCE6}" type="pres">
      <dgm:prSet presAssocID="{07A57F85-CBC0-46AB-9677-5B386313F52F}" presName="hierChild5" presStyleCnt="0"/>
      <dgm:spPr/>
    </dgm:pt>
    <dgm:pt modelId="{09E0CBCD-3A79-4D87-9D91-69A15CE7AD65}" type="pres">
      <dgm:prSet presAssocID="{54230FE9-A475-4242-A546-EB847C2F332C}" presName="Name64" presStyleLbl="parChTrans1D3" presStyleIdx="2" presStyleCnt="9"/>
      <dgm:spPr/>
      <dgm:t>
        <a:bodyPr/>
        <a:lstStyle/>
        <a:p>
          <a:endParaRPr lang="ru-RU"/>
        </a:p>
      </dgm:t>
    </dgm:pt>
    <dgm:pt modelId="{61E2474C-3B81-479C-AA9D-A9A34DAE7DC7}" type="pres">
      <dgm:prSet presAssocID="{935B7AD1-62A5-4292-9C2D-CB1116143D0B}" presName="hierRoot2" presStyleCnt="0">
        <dgm:presLayoutVars>
          <dgm:hierBranch val="init"/>
        </dgm:presLayoutVars>
      </dgm:prSet>
      <dgm:spPr/>
    </dgm:pt>
    <dgm:pt modelId="{60601589-34D3-4488-8534-2F4DAE8EC08F}" type="pres">
      <dgm:prSet presAssocID="{935B7AD1-62A5-4292-9C2D-CB1116143D0B}" presName="rootComposite" presStyleCnt="0"/>
      <dgm:spPr/>
    </dgm:pt>
    <dgm:pt modelId="{387AD806-A3D7-4EFA-A2BC-3983400269D5}" type="pres">
      <dgm:prSet presAssocID="{935B7AD1-62A5-4292-9C2D-CB1116143D0B}" presName="rootText" presStyleLbl="node3" presStyleIdx="2" presStyleCnt="9" custScaleX="272343" custScaleY="127149">
        <dgm:presLayoutVars>
          <dgm:chPref val="3"/>
        </dgm:presLayoutVars>
      </dgm:prSet>
      <dgm:spPr/>
      <dgm:t>
        <a:bodyPr/>
        <a:lstStyle/>
        <a:p>
          <a:endParaRPr lang="ru-RU"/>
        </a:p>
      </dgm:t>
    </dgm:pt>
    <dgm:pt modelId="{B570E5F5-6445-49D9-A381-AED3C739C587}" type="pres">
      <dgm:prSet presAssocID="{935B7AD1-62A5-4292-9C2D-CB1116143D0B}" presName="rootConnector" presStyleLbl="node3" presStyleIdx="2" presStyleCnt="9"/>
      <dgm:spPr/>
      <dgm:t>
        <a:bodyPr/>
        <a:lstStyle/>
        <a:p>
          <a:endParaRPr lang="ru-RU"/>
        </a:p>
      </dgm:t>
    </dgm:pt>
    <dgm:pt modelId="{20DC8866-9539-4B3B-9049-5FE0F56D0A22}" type="pres">
      <dgm:prSet presAssocID="{935B7AD1-62A5-4292-9C2D-CB1116143D0B}" presName="hierChild4" presStyleCnt="0"/>
      <dgm:spPr/>
    </dgm:pt>
    <dgm:pt modelId="{8B704097-6830-4D69-B7E0-90C392AAEC3D}" type="pres">
      <dgm:prSet presAssocID="{935B7AD1-62A5-4292-9C2D-CB1116143D0B}" presName="hierChild5" presStyleCnt="0"/>
      <dgm:spPr/>
    </dgm:pt>
    <dgm:pt modelId="{ED697593-5508-417C-B151-FEC2FF065B6E}" type="pres">
      <dgm:prSet presAssocID="{03EC4852-8083-4A58-BC16-3DEF31A64A01}" presName="hierChild5" presStyleCnt="0"/>
      <dgm:spPr/>
    </dgm:pt>
    <dgm:pt modelId="{B7418D3A-2DF4-410D-ACC6-9AAD8CE32B3B}" type="pres">
      <dgm:prSet presAssocID="{A059DCDC-2020-46A8-AD1C-3BC1895AB1E3}" presName="Name64" presStyleLbl="parChTrans1D2" presStyleIdx="1" presStyleCnt="3"/>
      <dgm:spPr/>
      <dgm:t>
        <a:bodyPr/>
        <a:lstStyle/>
        <a:p>
          <a:endParaRPr lang="ru-RU"/>
        </a:p>
      </dgm:t>
    </dgm:pt>
    <dgm:pt modelId="{99A61497-3108-4365-AD86-C89BD229C7B0}" type="pres">
      <dgm:prSet presAssocID="{AB7ADE33-5797-4935-8A48-F157975610B9}" presName="hierRoot2" presStyleCnt="0">
        <dgm:presLayoutVars>
          <dgm:hierBranch val="init"/>
        </dgm:presLayoutVars>
      </dgm:prSet>
      <dgm:spPr/>
    </dgm:pt>
    <dgm:pt modelId="{5555C06F-9D74-4D1D-9E65-D0B70472CC1A}" type="pres">
      <dgm:prSet presAssocID="{AB7ADE33-5797-4935-8A48-F157975610B9}" presName="rootComposite" presStyleCnt="0"/>
      <dgm:spPr/>
    </dgm:pt>
    <dgm:pt modelId="{418CA644-EA3E-4A06-82F1-D923F347946A}" type="pres">
      <dgm:prSet presAssocID="{AB7ADE33-5797-4935-8A48-F157975610B9}" presName="rootText" presStyleLbl="node2" presStyleIdx="1" presStyleCnt="3" custScaleX="132356" custScaleY="157180" custLinFactNeighborX="-22503" custLinFactNeighborY="-20803">
        <dgm:presLayoutVars>
          <dgm:chPref val="3"/>
        </dgm:presLayoutVars>
      </dgm:prSet>
      <dgm:spPr/>
      <dgm:t>
        <a:bodyPr/>
        <a:lstStyle/>
        <a:p>
          <a:endParaRPr lang="ru-RU"/>
        </a:p>
      </dgm:t>
    </dgm:pt>
    <dgm:pt modelId="{CCE57A0C-D1CD-4A5A-9D3E-1B83E81A4D9E}" type="pres">
      <dgm:prSet presAssocID="{AB7ADE33-5797-4935-8A48-F157975610B9}" presName="rootConnector" presStyleLbl="node2" presStyleIdx="1" presStyleCnt="3"/>
      <dgm:spPr/>
      <dgm:t>
        <a:bodyPr/>
        <a:lstStyle/>
        <a:p>
          <a:endParaRPr lang="ru-RU"/>
        </a:p>
      </dgm:t>
    </dgm:pt>
    <dgm:pt modelId="{84986CED-2417-43EF-94FD-FB10497F47F2}" type="pres">
      <dgm:prSet presAssocID="{AB7ADE33-5797-4935-8A48-F157975610B9}" presName="hierChild4" presStyleCnt="0"/>
      <dgm:spPr/>
    </dgm:pt>
    <dgm:pt modelId="{BE6D8809-17C3-4AA0-AEA4-E5BDAC9FC01F}" type="pres">
      <dgm:prSet presAssocID="{EC0D08DF-638A-449D-AD36-5A3C5485D0DF}" presName="Name64" presStyleLbl="parChTrans1D3" presStyleIdx="3" presStyleCnt="9"/>
      <dgm:spPr/>
      <dgm:t>
        <a:bodyPr/>
        <a:lstStyle/>
        <a:p>
          <a:endParaRPr lang="ru-RU"/>
        </a:p>
      </dgm:t>
    </dgm:pt>
    <dgm:pt modelId="{9414F7C8-18F8-423D-B161-DF9BA0704F8A}" type="pres">
      <dgm:prSet presAssocID="{CF1CD1C8-826E-4D55-8410-42740274E5F8}" presName="hierRoot2" presStyleCnt="0">
        <dgm:presLayoutVars>
          <dgm:hierBranch val="init"/>
        </dgm:presLayoutVars>
      </dgm:prSet>
      <dgm:spPr/>
    </dgm:pt>
    <dgm:pt modelId="{FC48C7BE-578E-47C4-A353-39F50D2B6570}" type="pres">
      <dgm:prSet presAssocID="{CF1CD1C8-826E-4D55-8410-42740274E5F8}" presName="rootComposite" presStyleCnt="0"/>
      <dgm:spPr/>
    </dgm:pt>
    <dgm:pt modelId="{934FA03B-0276-43FF-9954-F1269CB640BC}" type="pres">
      <dgm:prSet presAssocID="{CF1CD1C8-826E-4D55-8410-42740274E5F8}" presName="rootText" presStyleLbl="node3" presStyleIdx="3" presStyleCnt="9" custScaleX="286055" custScaleY="140779" custLinFactNeighborX="-13053" custLinFactNeighborY="1033">
        <dgm:presLayoutVars>
          <dgm:chPref val="3"/>
        </dgm:presLayoutVars>
      </dgm:prSet>
      <dgm:spPr/>
      <dgm:t>
        <a:bodyPr/>
        <a:lstStyle/>
        <a:p>
          <a:endParaRPr lang="ru-RU"/>
        </a:p>
      </dgm:t>
    </dgm:pt>
    <dgm:pt modelId="{3B17D959-B0FC-4CAE-88DF-CDAF5BCDD5F1}" type="pres">
      <dgm:prSet presAssocID="{CF1CD1C8-826E-4D55-8410-42740274E5F8}" presName="rootConnector" presStyleLbl="node3" presStyleIdx="3" presStyleCnt="9"/>
      <dgm:spPr/>
      <dgm:t>
        <a:bodyPr/>
        <a:lstStyle/>
        <a:p>
          <a:endParaRPr lang="ru-RU"/>
        </a:p>
      </dgm:t>
    </dgm:pt>
    <dgm:pt modelId="{2490739F-C8E0-4754-94FC-2CAA8851E9C4}" type="pres">
      <dgm:prSet presAssocID="{CF1CD1C8-826E-4D55-8410-42740274E5F8}" presName="hierChild4" presStyleCnt="0"/>
      <dgm:spPr/>
    </dgm:pt>
    <dgm:pt modelId="{DE614144-A961-4288-A4A0-E291CF5B805E}" type="pres">
      <dgm:prSet presAssocID="{CF1CD1C8-826E-4D55-8410-42740274E5F8}" presName="hierChild5" presStyleCnt="0"/>
      <dgm:spPr/>
    </dgm:pt>
    <dgm:pt modelId="{51D1784E-4DB9-48A5-B647-1191A015B1CD}" type="pres">
      <dgm:prSet presAssocID="{332274FC-E4D1-4B70-B707-00BECF2B3170}" presName="Name64" presStyleLbl="parChTrans1D3" presStyleIdx="4" presStyleCnt="9"/>
      <dgm:spPr/>
      <dgm:t>
        <a:bodyPr/>
        <a:lstStyle/>
        <a:p>
          <a:endParaRPr lang="ru-RU"/>
        </a:p>
      </dgm:t>
    </dgm:pt>
    <dgm:pt modelId="{73A0A581-0DFD-4C79-83C6-97CC8CBF9C04}" type="pres">
      <dgm:prSet presAssocID="{240D383C-B915-45EE-B08C-1DF3D1B3F6A0}" presName="hierRoot2" presStyleCnt="0">
        <dgm:presLayoutVars>
          <dgm:hierBranch val="init"/>
        </dgm:presLayoutVars>
      </dgm:prSet>
      <dgm:spPr/>
    </dgm:pt>
    <dgm:pt modelId="{ECC044B3-33AF-4C94-9E60-434DF5079DDD}" type="pres">
      <dgm:prSet presAssocID="{240D383C-B915-45EE-B08C-1DF3D1B3F6A0}" presName="rootComposite" presStyleCnt="0"/>
      <dgm:spPr/>
    </dgm:pt>
    <dgm:pt modelId="{07D02B6D-4C86-4786-BB73-4B6D35F97D4F}" type="pres">
      <dgm:prSet presAssocID="{240D383C-B915-45EE-B08C-1DF3D1B3F6A0}" presName="rootText" presStyleLbl="node3" presStyleIdx="4" presStyleCnt="9" custScaleX="291836" custScaleY="196631" custLinFactNeighborX="-10198" custLinFactNeighborY="-14270">
        <dgm:presLayoutVars>
          <dgm:chPref val="3"/>
        </dgm:presLayoutVars>
      </dgm:prSet>
      <dgm:spPr/>
      <dgm:t>
        <a:bodyPr/>
        <a:lstStyle/>
        <a:p>
          <a:endParaRPr lang="ru-RU"/>
        </a:p>
      </dgm:t>
    </dgm:pt>
    <dgm:pt modelId="{4402F822-76EE-496E-85EA-FF1E834E3E0E}" type="pres">
      <dgm:prSet presAssocID="{240D383C-B915-45EE-B08C-1DF3D1B3F6A0}" presName="rootConnector" presStyleLbl="node3" presStyleIdx="4" presStyleCnt="9"/>
      <dgm:spPr/>
      <dgm:t>
        <a:bodyPr/>
        <a:lstStyle/>
        <a:p>
          <a:endParaRPr lang="ru-RU"/>
        </a:p>
      </dgm:t>
    </dgm:pt>
    <dgm:pt modelId="{E9FEE0BC-4781-4245-B72F-8C5C5DAA487E}" type="pres">
      <dgm:prSet presAssocID="{240D383C-B915-45EE-B08C-1DF3D1B3F6A0}" presName="hierChild4" presStyleCnt="0"/>
      <dgm:spPr/>
    </dgm:pt>
    <dgm:pt modelId="{AE878EF7-39E8-417A-83E2-A749C5505955}" type="pres">
      <dgm:prSet presAssocID="{240D383C-B915-45EE-B08C-1DF3D1B3F6A0}" presName="hierChild5" presStyleCnt="0"/>
      <dgm:spPr/>
    </dgm:pt>
    <dgm:pt modelId="{F141847D-5A07-452F-9E11-1ACF4DE13530}" type="pres">
      <dgm:prSet presAssocID="{E30601EF-0CB3-419A-A8B0-2AF23C83A030}" presName="Name64" presStyleLbl="parChTrans1D3" presStyleIdx="5" presStyleCnt="9"/>
      <dgm:spPr/>
      <dgm:t>
        <a:bodyPr/>
        <a:lstStyle/>
        <a:p>
          <a:endParaRPr lang="ru-RU"/>
        </a:p>
      </dgm:t>
    </dgm:pt>
    <dgm:pt modelId="{05DE4C50-6D51-49F6-A783-D1855FB9CA41}" type="pres">
      <dgm:prSet presAssocID="{67A2E871-1D09-4333-BF6C-D025B9B5FF44}" presName="hierRoot2" presStyleCnt="0">
        <dgm:presLayoutVars>
          <dgm:hierBranch val="init"/>
        </dgm:presLayoutVars>
      </dgm:prSet>
      <dgm:spPr/>
    </dgm:pt>
    <dgm:pt modelId="{80893E0B-D615-406E-A658-35CD9DA3AB97}" type="pres">
      <dgm:prSet presAssocID="{67A2E871-1D09-4333-BF6C-D025B9B5FF44}" presName="rootComposite" presStyleCnt="0"/>
      <dgm:spPr/>
    </dgm:pt>
    <dgm:pt modelId="{2585843E-0C8D-4099-9D4F-D994BC6E5787}" type="pres">
      <dgm:prSet presAssocID="{67A2E871-1D09-4333-BF6C-D025B9B5FF44}" presName="rootText" presStyleLbl="node3" presStyleIdx="5" presStyleCnt="9" custScaleX="296156" custScaleY="154644" custLinFactNeighborX="-13492" custLinFactNeighborY="-9174">
        <dgm:presLayoutVars>
          <dgm:chPref val="3"/>
        </dgm:presLayoutVars>
      </dgm:prSet>
      <dgm:spPr/>
      <dgm:t>
        <a:bodyPr/>
        <a:lstStyle/>
        <a:p>
          <a:endParaRPr lang="ru-RU"/>
        </a:p>
      </dgm:t>
    </dgm:pt>
    <dgm:pt modelId="{4BCE9109-F231-4601-BC38-FF62D757C2B5}" type="pres">
      <dgm:prSet presAssocID="{67A2E871-1D09-4333-BF6C-D025B9B5FF44}" presName="rootConnector" presStyleLbl="node3" presStyleIdx="5" presStyleCnt="9"/>
      <dgm:spPr/>
      <dgm:t>
        <a:bodyPr/>
        <a:lstStyle/>
        <a:p>
          <a:endParaRPr lang="ru-RU"/>
        </a:p>
      </dgm:t>
    </dgm:pt>
    <dgm:pt modelId="{F9AA5B9A-EC3B-41BF-A962-30C32A460CC6}" type="pres">
      <dgm:prSet presAssocID="{67A2E871-1D09-4333-BF6C-D025B9B5FF44}" presName="hierChild4" presStyleCnt="0"/>
      <dgm:spPr/>
    </dgm:pt>
    <dgm:pt modelId="{A6CF6C71-9410-4DC1-9363-E69CAF46464C}" type="pres">
      <dgm:prSet presAssocID="{67A2E871-1D09-4333-BF6C-D025B9B5FF44}" presName="hierChild5" presStyleCnt="0"/>
      <dgm:spPr/>
    </dgm:pt>
    <dgm:pt modelId="{929EDA20-CD97-4045-9608-16492AC319CB}" type="pres">
      <dgm:prSet presAssocID="{AB7ADE33-5797-4935-8A48-F157975610B9}" presName="hierChild5" presStyleCnt="0"/>
      <dgm:spPr/>
    </dgm:pt>
    <dgm:pt modelId="{E50CABE5-9B38-471C-8992-3A891103FC44}" type="pres">
      <dgm:prSet presAssocID="{C4B3D08B-8280-4C80-BE72-25562A5DE673}" presName="Name64" presStyleLbl="parChTrans1D2" presStyleIdx="2" presStyleCnt="3"/>
      <dgm:spPr/>
      <dgm:t>
        <a:bodyPr/>
        <a:lstStyle/>
        <a:p>
          <a:endParaRPr lang="ru-RU"/>
        </a:p>
      </dgm:t>
    </dgm:pt>
    <dgm:pt modelId="{F72B02AA-E531-4F97-97C1-D981FF3FA88F}" type="pres">
      <dgm:prSet presAssocID="{DE4D3194-DC29-4D29-AB41-538A6A7F1177}" presName="hierRoot2" presStyleCnt="0">
        <dgm:presLayoutVars>
          <dgm:hierBranch val="init"/>
        </dgm:presLayoutVars>
      </dgm:prSet>
      <dgm:spPr/>
    </dgm:pt>
    <dgm:pt modelId="{DCF36E57-099A-4189-8593-5EF427097528}" type="pres">
      <dgm:prSet presAssocID="{DE4D3194-DC29-4D29-AB41-538A6A7F1177}" presName="rootComposite" presStyleCnt="0"/>
      <dgm:spPr/>
    </dgm:pt>
    <dgm:pt modelId="{E3B68AB0-BB78-4DBF-89B3-BB6229F6D27E}" type="pres">
      <dgm:prSet presAssocID="{DE4D3194-DC29-4D29-AB41-538A6A7F1177}" presName="rootText" presStyleLbl="node2" presStyleIdx="2" presStyleCnt="3" custScaleX="120585" custScaleY="192988" custLinFactNeighborX="-35518" custLinFactNeighborY="-2986">
        <dgm:presLayoutVars>
          <dgm:chPref val="3"/>
        </dgm:presLayoutVars>
      </dgm:prSet>
      <dgm:spPr/>
      <dgm:t>
        <a:bodyPr/>
        <a:lstStyle/>
        <a:p>
          <a:endParaRPr lang="ru-RU"/>
        </a:p>
      </dgm:t>
    </dgm:pt>
    <dgm:pt modelId="{4DCACC76-BC1B-4B7B-A4B7-BCCBE1F6A4C2}" type="pres">
      <dgm:prSet presAssocID="{DE4D3194-DC29-4D29-AB41-538A6A7F1177}" presName="rootConnector" presStyleLbl="node2" presStyleIdx="2" presStyleCnt="3"/>
      <dgm:spPr/>
      <dgm:t>
        <a:bodyPr/>
        <a:lstStyle/>
        <a:p>
          <a:endParaRPr lang="ru-RU"/>
        </a:p>
      </dgm:t>
    </dgm:pt>
    <dgm:pt modelId="{D8AAF7FD-272F-410F-9324-5E1E7BCBD26E}" type="pres">
      <dgm:prSet presAssocID="{DE4D3194-DC29-4D29-AB41-538A6A7F1177}" presName="hierChild4" presStyleCnt="0"/>
      <dgm:spPr/>
    </dgm:pt>
    <dgm:pt modelId="{7A30BE2C-A983-4213-B0FB-663502723BE8}" type="pres">
      <dgm:prSet presAssocID="{E907174E-A96B-4CBD-AF7C-3410C704E292}" presName="Name64" presStyleLbl="parChTrans1D3" presStyleIdx="6" presStyleCnt="9"/>
      <dgm:spPr/>
      <dgm:t>
        <a:bodyPr/>
        <a:lstStyle/>
        <a:p>
          <a:endParaRPr lang="ru-RU"/>
        </a:p>
      </dgm:t>
    </dgm:pt>
    <dgm:pt modelId="{1A184F00-01E7-4959-8CB9-EC6384BA8BA9}" type="pres">
      <dgm:prSet presAssocID="{D6E6B2BF-FAB0-486D-AF2F-FDC04535735F}" presName="hierRoot2" presStyleCnt="0">
        <dgm:presLayoutVars>
          <dgm:hierBranch val="init"/>
        </dgm:presLayoutVars>
      </dgm:prSet>
      <dgm:spPr/>
    </dgm:pt>
    <dgm:pt modelId="{2F15FF4F-9BD4-43A6-A7CC-02EF09214B40}" type="pres">
      <dgm:prSet presAssocID="{D6E6B2BF-FAB0-486D-AF2F-FDC04535735F}" presName="rootComposite" presStyleCnt="0"/>
      <dgm:spPr/>
    </dgm:pt>
    <dgm:pt modelId="{A1D9E9B8-717F-4BF2-9823-4EB1CDD10B8D}" type="pres">
      <dgm:prSet presAssocID="{D6E6B2BF-FAB0-486D-AF2F-FDC04535735F}" presName="rootText" presStyleLbl="node3" presStyleIdx="6" presStyleCnt="9" custScaleX="288503" custLinFactNeighborX="5390" custLinFactNeighborY="-9926">
        <dgm:presLayoutVars>
          <dgm:chPref val="3"/>
        </dgm:presLayoutVars>
      </dgm:prSet>
      <dgm:spPr/>
      <dgm:t>
        <a:bodyPr/>
        <a:lstStyle/>
        <a:p>
          <a:endParaRPr lang="ru-RU"/>
        </a:p>
      </dgm:t>
    </dgm:pt>
    <dgm:pt modelId="{4883FE4E-3861-4175-9216-53AF24F8131A}" type="pres">
      <dgm:prSet presAssocID="{D6E6B2BF-FAB0-486D-AF2F-FDC04535735F}" presName="rootConnector" presStyleLbl="node3" presStyleIdx="6" presStyleCnt="9"/>
      <dgm:spPr/>
      <dgm:t>
        <a:bodyPr/>
        <a:lstStyle/>
        <a:p>
          <a:endParaRPr lang="ru-RU"/>
        </a:p>
      </dgm:t>
    </dgm:pt>
    <dgm:pt modelId="{0FA10FF8-343E-4F14-B0F1-B3AC185FC223}" type="pres">
      <dgm:prSet presAssocID="{D6E6B2BF-FAB0-486D-AF2F-FDC04535735F}" presName="hierChild4" presStyleCnt="0"/>
      <dgm:spPr/>
    </dgm:pt>
    <dgm:pt modelId="{AE9102A2-FAF1-455C-8F4E-3CBA01A90906}" type="pres">
      <dgm:prSet presAssocID="{D6E6B2BF-FAB0-486D-AF2F-FDC04535735F}" presName="hierChild5" presStyleCnt="0"/>
      <dgm:spPr/>
    </dgm:pt>
    <dgm:pt modelId="{CC1CD8D8-56CA-4D74-A21D-FEFF3ACE76CF}" type="pres">
      <dgm:prSet presAssocID="{84C46CF7-D628-479F-BDFA-6AF66E0008C1}" presName="Name64" presStyleLbl="parChTrans1D3" presStyleIdx="7" presStyleCnt="9"/>
      <dgm:spPr/>
      <dgm:t>
        <a:bodyPr/>
        <a:lstStyle/>
        <a:p>
          <a:endParaRPr lang="ru-RU"/>
        </a:p>
      </dgm:t>
    </dgm:pt>
    <dgm:pt modelId="{CB912DA6-06B5-4545-9AB2-38798BEE98B1}" type="pres">
      <dgm:prSet presAssocID="{43661BD1-53A0-4556-AFB3-C368F832AED4}" presName="hierRoot2" presStyleCnt="0">
        <dgm:presLayoutVars>
          <dgm:hierBranch val="init"/>
        </dgm:presLayoutVars>
      </dgm:prSet>
      <dgm:spPr/>
    </dgm:pt>
    <dgm:pt modelId="{6F8E4EEC-E961-4ADF-96F6-9EDD49573D50}" type="pres">
      <dgm:prSet presAssocID="{43661BD1-53A0-4556-AFB3-C368F832AED4}" presName="rootComposite" presStyleCnt="0"/>
      <dgm:spPr/>
    </dgm:pt>
    <dgm:pt modelId="{BF935140-3510-47CF-9B05-C1CC1813F2F8}" type="pres">
      <dgm:prSet presAssocID="{43661BD1-53A0-4556-AFB3-C368F832AED4}" presName="rootText" presStyleLbl="node3" presStyleIdx="7" presStyleCnt="9" custScaleX="284841" custLinFactNeighborX="6864" custLinFactNeighborY="-12544">
        <dgm:presLayoutVars>
          <dgm:chPref val="3"/>
        </dgm:presLayoutVars>
      </dgm:prSet>
      <dgm:spPr/>
      <dgm:t>
        <a:bodyPr/>
        <a:lstStyle/>
        <a:p>
          <a:endParaRPr lang="ru-RU"/>
        </a:p>
      </dgm:t>
    </dgm:pt>
    <dgm:pt modelId="{17B8C64A-05B6-4728-9960-71AA155C994C}" type="pres">
      <dgm:prSet presAssocID="{43661BD1-53A0-4556-AFB3-C368F832AED4}" presName="rootConnector" presStyleLbl="node3" presStyleIdx="7" presStyleCnt="9"/>
      <dgm:spPr/>
      <dgm:t>
        <a:bodyPr/>
        <a:lstStyle/>
        <a:p>
          <a:endParaRPr lang="ru-RU"/>
        </a:p>
      </dgm:t>
    </dgm:pt>
    <dgm:pt modelId="{7F71738B-66C1-4E57-A6EB-5367AD68CEB6}" type="pres">
      <dgm:prSet presAssocID="{43661BD1-53A0-4556-AFB3-C368F832AED4}" presName="hierChild4" presStyleCnt="0"/>
      <dgm:spPr/>
    </dgm:pt>
    <dgm:pt modelId="{553C5AB6-FD08-4267-8296-BE7E3C8090C7}" type="pres">
      <dgm:prSet presAssocID="{43661BD1-53A0-4556-AFB3-C368F832AED4}" presName="hierChild5" presStyleCnt="0"/>
      <dgm:spPr/>
    </dgm:pt>
    <dgm:pt modelId="{3622CC9F-EB58-4C0B-82C6-3F4C67A8671D}" type="pres">
      <dgm:prSet presAssocID="{2A58C75E-3644-4335-BFE9-6988FAC42EEA}" presName="Name64" presStyleLbl="parChTrans1D3" presStyleIdx="8" presStyleCnt="9"/>
      <dgm:spPr/>
      <dgm:t>
        <a:bodyPr/>
        <a:lstStyle/>
        <a:p>
          <a:endParaRPr lang="ru-RU"/>
        </a:p>
      </dgm:t>
    </dgm:pt>
    <dgm:pt modelId="{EF199CE7-8579-4AD6-84BC-B97409BFEE24}" type="pres">
      <dgm:prSet presAssocID="{B665DD79-1E80-43FC-BFA9-33D63038F2AC}" presName="hierRoot2" presStyleCnt="0">
        <dgm:presLayoutVars>
          <dgm:hierBranch val="init"/>
        </dgm:presLayoutVars>
      </dgm:prSet>
      <dgm:spPr/>
    </dgm:pt>
    <dgm:pt modelId="{EA0B4BEB-164F-4605-92C7-AC50C460C054}" type="pres">
      <dgm:prSet presAssocID="{B665DD79-1E80-43FC-BFA9-33D63038F2AC}" presName="rootComposite" presStyleCnt="0"/>
      <dgm:spPr/>
    </dgm:pt>
    <dgm:pt modelId="{40B9ACF7-2C10-4D89-BBC7-3283DE0BC1B9}" type="pres">
      <dgm:prSet presAssocID="{B665DD79-1E80-43FC-BFA9-33D63038F2AC}" presName="rootText" presStyleLbl="node3" presStyleIdx="8" presStyleCnt="9" custScaleX="276642" custLinFactNeighborX="6132" custLinFactNeighborY="-6795">
        <dgm:presLayoutVars>
          <dgm:chPref val="3"/>
        </dgm:presLayoutVars>
      </dgm:prSet>
      <dgm:spPr/>
      <dgm:t>
        <a:bodyPr/>
        <a:lstStyle/>
        <a:p>
          <a:endParaRPr lang="ru-RU"/>
        </a:p>
      </dgm:t>
    </dgm:pt>
    <dgm:pt modelId="{2114445B-2817-43C2-9279-48588A65CD94}" type="pres">
      <dgm:prSet presAssocID="{B665DD79-1E80-43FC-BFA9-33D63038F2AC}" presName="rootConnector" presStyleLbl="node3" presStyleIdx="8" presStyleCnt="9"/>
      <dgm:spPr/>
      <dgm:t>
        <a:bodyPr/>
        <a:lstStyle/>
        <a:p>
          <a:endParaRPr lang="ru-RU"/>
        </a:p>
      </dgm:t>
    </dgm:pt>
    <dgm:pt modelId="{EBD4F28D-88DC-49D0-A937-B6D38FA86463}" type="pres">
      <dgm:prSet presAssocID="{B665DD79-1E80-43FC-BFA9-33D63038F2AC}" presName="hierChild4" presStyleCnt="0"/>
      <dgm:spPr/>
    </dgm:pt>
    <dgm:pt modelId="{E5EE5641-FC6F-48B3-8962-09425331E941}" type="pres">
      <dgm:prSet presAssocID="{B665DD79-1E80-43FC-BFA9-33D63038F2AC}" presName="hierChild5" presStyleCnt="0"/>
      <dgm:spPr/>
    </dgm:pt>
    <dgm:pt modelId="{2ED9FF45-33F4-4FE4-83B9-58C2D247B72A}" type="pres">
      <dgm:prSet presAssocID="{DE4D3194-DC29-4D29-AB41-538A6A7F1177}" presName="hierChild5" presStyleCnt="0"/>
      <dgm:spPr/>
    </dgm:pt>
    <dgm:pt modelId="{06033048-D274-4920-BE44-3399C7A5FF72}" type="pres">
      <dgm:prSet presAssocID="{2B6FFECA-F16C-48F7-BA98-AF08DF5796C1}" presName="hierChild3" presStyleCnt="0"/>
      <dgm:spPr/>
    </dgm:pt>
  </dgm:ptLst>
  <dgm:cxnLst>
    <dgm:cxn modelId="{3A3091EE-BA2B-495A-AE6E-E0982CCF7D54}" type="presOf" srcId="{2B6FFECA-F16C-48F7-BA98-AF08DF5796C1}" destId="{36EA8E1C-992F-4368-A2B8-9C56682C4D5B}" srcOrd="1" destOrd="0" presId="urn:microsoft.com/office/officeart/2009/3/layout/HorizontalOrganizationChart"/>
    <dgm:cxn modelId="{1EF1E68F-C2A5-4483-93AB-EE142391BF7F}" type="presOf" srcId="{84C46CF7-D628-479F-BDFA-6AF66E0008C1}" destId="{CC1CD8D8-56CA-4D74-A21D-FEFF3ACE76CF}" srcOrd="0" destOrd="0" presId="urn:microsoft.com/office/officeart/2009/3/layout/HorizontalOrganizationChart"/>
    <dgm:cxn modelId="{E0B4C6A5-5B67-4C71-84EC-6AE6E908BD7F}" type="presOf" srcId="{CF1CD1C8-826E-4D55-8410-42740274E5F8}" destId="{3B17D959-B0FC-4CAE-88DF-CDAF5BCDD5F1}" srcOrd="1" destOrd="0" presId="urn:microsoft.com/office/officeart/2009/3/layout/HorizontalOrganizationChart"/>
    <dgm:cxn modelId="{2055952B-CDF6-4A3F-B436-FDD4F06526AF}" type="presOf" srcId="{07A57F85-CBC0-46AB-9677-5B386313F52F}" destId="{64D6CE7F-2CB5-42F2-A759-F6DB0262DB7B}" srcOrd="1" destOrd="0" presId="urn:microsoft.com/office/officeart/2009/3/layout/HorizontalOrganizationChart"/>
    <dgm:cxn modelId="{7B1A0820-9DD5-4522-96C3-0FD637B36A57}" type="presOf" srcId="{240D383C-B915-45EE-B08C-1DF3D1B3F6A0}" destId="{4402F822-76EE-496E-85EA-FF1E834E3E0E}" srcOrd="1" destOrd="0" presId="urn:microsoft.com/office/officeart/2009/3/layout/HorizontalOrganizationChart"/>
    <dgm:cxn modelId="{7B9FCC23-169C-4EAC-A286-D0B4602B1767}" type="presOf" srcId="{03EC4852-8083-4A58-BC16-3DEF31A64A01}" destId="{81086E3E-9B69-4A79-A62D-6FE3D299F81B}" srcOrd="0" destOrd="0" presId="urn:microsoft.com/office/officeart/2009/3/layout/HorizontalOrganizationChart"/>
    <dgm:cxn modelId="{2EDAEDB3-AA77-4439-85CC-A69A80C90A9D}" type="presOf" srcId="{D6E6B2BF-FAB0-486D-AF2F-FDC04535735F}" destId="{4883FE4E-3861-4175-9216-53AF24F8131A}" srcOrd="1" destOrd="0" presId="urn:microsoft.com/office/officeart/2009/3/layout/HorizontalOrganizationChart"/>
    <dgm:cxn modelId="{2F69BD83-D290-416A-981A-671BDF804B7E}" srcId="{2B6FFECA-F16C-48F7-BA98-AF08DF5796C1}" destId="{03EC4852-8083-4A58-BC16-3DEF31A64A01}" srcOrd="0" destOrd="0" parTransId="{9ABC9E2B-87D5-41C9-89D8-53FDEE635287}" sibTransId="{002E71A5-D7D7-4035-9612-03F2D657A3E4}"/>
    <dgm:cxn modelId="{726FD928-AF51-4936-AF79-E4EB4E75D5AF}" srcId="{AB7ADE33-5797-4935-8A48-F157975610B9}" destId="{67A2E871-1D09-4333-BF6C-D025B9B5FF44}" srcOrd="2" destOrd="0" parTransId="{E30601EF-0CB3-419A-A8B0-2AF23C83A030}" sibTransId="{FB2B9A9A-EAA6-4549-A01E-EA0E32204F47}"/>
    <dgm:cxn modelId="{7DEF3009-FBC8-4DB1-9D21-0ECABAEA103A}" type="presOf" srcId="{03EC4852-8083-4A58-BC16-3DEF31A64A01}" destId="{E4DB42FE-B06D-4A99-B468-AA786900C816}" srcOrd="1" destOrd="0" presId="urn:microsoft.com/office/officeart/2009/3/layout/HorizontalOrganizationChart"/>
    <dgm:cxn modelId="{439B056F-D1A1-4183-AC22-4668E7AD4151}" type="presOf" srcId="{A059DCDC-2020-46A8-AD1C-3BC1895AB1E3}" destId="{B7418D3A-2DF4-410D-ACC6-9AAD8CE32B3B}" srcOrd="0" destOrd="0" presId="urn:microsoft.com/office/officeart/2009/3/layout/HorizontalOrganizationChart"/>
    <dgm:cxn modelId="{B724686B-E660-4F6A-BAD1-ECBB1D174EA3}" srcId="{03EC4852-8083-4A58-BC16-3DEF31A64A01}" destId="{935B7AD1-62A5-4292-9C2D-CB1116143D0B}" srcOrd="2" destOrd="0" parTransId="{54230FE9-A475-4242-A546-EB847C2F332C}" sibTransId="{499B08F3-8E47-43F5-9EE0-A3AB18711DE6}"/>
    <dgm:cxn modelId="{4DECD318-9DDA-47DC-8118-307BF510DC9F}" srcId="{AB7ADE33-5797-4935-8A48-F157975610B9}" destId="{CF1CD1C8-826E-4D55-8410-42740274E5F8}" srcOrd="0" destOrd="0" parTransId="{EC0D08DF-638A-449D-AD36-5A3C5485D0DF}" sibTransId="{E7FBFBB5-A1AA-4BBC-892D-6BE5176067BA}"/>
    <dgm:cxn modelId="{60EAD4D7-2880-436D-A4A3-65F478556006}" type="presOf" srcId="{935B7AD1-62A5-4292-9C2D-CB1116143D0B}" destId="{B570E5F5-6445-49D9-A381-AED3C739C587}" srcOrd="1" destOrd="0" presId="urn:microsoft.com/office/officeart/2009/3/layout/HorizontalOrganizationChart"/>
    <dgm:cxn modelId="{6C571963-17A8-4100-92D7-806FD2ACD1EA}" srcId="{DE4D3194-DC29-4D29-AB41-538A6A7F1177}" destId="{43661BD1-53A0-4556-AFB3-C368F832AED4}" srcOrd="1" destOrd="0" parTransId="{84C46CF7-D628-479F-BDFA-6AF66E0008C1}" sibTransId="{462EF872-8D47-4C63-9883-8FADFE3541D5}"/>
    <dgm:cxn modelId="{37B6004A-E34D-4885-BEE1-9198F56BBE46}" type="presOf" srcId="{54230FE9-A475-4242-A546-EB847C2F332C}" destId="{09E0CBCD-3A79-4D87-9D91-69A15CE7AD65}" srcOrd="0" destOrd="0" presId="urn:microsoft.com/office/officeart/2009/3/layout/HorizontalOrganizationChart"/>
    <dgm:cxn modelId="{B89A93D9-5F59-4165-8014-686592D0BD7B}" type="presOf" srcId="{43661BD1-53A0-4556-AFB3-C368F832AED4}" destId="{BF935140-3510-47CF-9B05-C1CC1813F2F8}" srcOrd="0" destOrd="0" presId="urn:microsoft.com/office/officeart/2009/3/layout/HorizontalOrganizationChart"/>
    <dgm:cxn modelId="{FBAA3DBD-3567-4C94-8A4A-B93AEEDA40C2}" srcId="{54B6D2B6-24E1-473F-81CB-492C824C0AAE}" destId="{2B6FFECA-F16C-48F7-BA98-AF08DF5796C1}" srcOrd="0" destOrd="0" parTransId="{B8656D67-52A8-4509-9FB6-C1CA83645CAA}" sibTransId="{19285889-D8F3-4EB4-94F5-45E8643D3829}"/>
    <dgm:cxn modelId="{04FD23BE-CA75-4A48-95B3-5CE7125382DB}" srcId="{03EC4852-8083-4A58-BC16-3DEF31A64A01}" destId="{07A57F85-CBC0-46AB-9677-5B386313F52F}" srcOrd="1" destOrd="0" parTransId="{EA95A646-7A2A-42C2-AE70-C04173DD3CD0}" sibTransId="{6954CF27-F215-4B43-83C2-E8C7E97F3F48}"/>
    <dgm:cxn modelId="{80D02862-C00E-4F75-8A03-237F81D1E81B}" srcId="{DE4D3194-DC29-4D29-AB41-538A6A7F1177}" destId="{D6E6B2BF-FAB0-486D-AF2F-FDC04535735F}" srcOrd="0" destOrd="0" parTransId="{E907174E-A96B-4CBD-AF7C-3410C704E292}" sibTransId="{A830660E-0D6A-435C-ADC5-7DBE1E7967E7}"/>
    <dgm:cxn modelId="{190C932D-6E4F-42F5-9C47-0A8D3E352879}" type="presOf" srcId="{DE4D3194-DC29-4D29-AB41-538A6A7F1177}" destId="{4DCACC76-BC1B-4B7B-A4B7-BCCBE1F6A4C2}" srcOrd="1" destOrd="0" presId="urn:microsoft.com/office/officeart/2009/3/layout/HorizontalOrganizationChart"/>
    <dgm:cxn modelId="{CE89910E-EA21-404E-9A5F-8627ACABD161}" type="presOf" srcId="{935B7AD1-62A5-4292-9C2D-CB1116143D0B}" destId="{387AD806-A3D7-4EFA-A2BC-3983400269D5}" srcOrd="0" destOrd="0" presId="urn:microsoft.com/office/officeart/2009/3/layout/HorizontalOrganizationChart"/>
    <dgm:cxn modelId="{69D3075A-2C3E-41AF-852C-09C0525DC51A}" type="presOf" srcId="{9ABC9E2B-87D5-41C9-89D8-53FDEE635287}" destId="{FFD138D2-71CC-43B5-8AC1-00DBD5CC4087}" srcOrd="0" destOrd="0" presId="urn:microsoft.com/office/officeart/2009/3/layout/HorizontalOrganizationChart"/>
    <dgm:cxn modelId="{33D82EB3-2F0E-41E8-A9E0-A73D1E9AD907}" type="presOf" srcId="{2B6FFECA-F16C-48F7-BA98-AF08DF5796C1}" destId="{EBF83DF7-DDA3-4CCD-B135-DC967D89EBAA}" srcOrd="0" destOrd="0" presId="urn:microsoft.com/office/officeart/2009/3/layout/HorizontalOrganizationChart"/>
    <dgm:cxn modelId="{0A8C8468-E0DF-4589-B891-A32A17FE8313}" type="presOf" srcId="{2A58C75E-3644-4335-BFE9-6988FAC42EEA}" destId="{3622CC9F-EB58-4C0B-82C6-3F4C67A8671D}" srcOrd="0" destOrd="0" presId="urn:microsoft.com/office/officeart/2009/3/layout/HorizontalOrganizationChart"/>
    <dgm:cxn modelId="{ACB4CBE4-3B7F-45C9-90E3-15D18F40ABD3}" type="presOf" srcId="{AB7ADE33-5797-4935-8A48-F157975610B9}" destId="{CCE57A0C-D1CD-4A5A-9D3E-1B83E81A4D9E}" srcOrd="1" destOrd="0" presId="urn:microsoft.com/office/officeart/2009/3/layout/HorizontalOrganizationChart"/>
    <dgm:cxn modelId="{4D79A576-AE70-4B78-8850-5486AD1D96F8}" type="presOf" srcId="{747B64FB-8CFC-4F23-BD95-59CE040AB989}" destId="{8EC55A1D-D1E7-490F-BB78-36C69800C150}" srcOrd="0" destOrd="0" presId="urn:microsoft.com/office/officeart/2009/3/layout/HorizontalOrganizationChart"/>
    <dgm:cxn modelId="{9E43DEE1-0E0B-4FEB-8677-446D6BC1312B}" type="presOf" srcId="{240D383C-B915-45EE-B08C-1DF3D1B3F6A0}" destId="{07D02B6D-4C86-4786-BB73-4B6D35F97D4F}" srcOrd="0" destOrd="0" presId="urn:microsoft.com/office/officeart/2009/3/layout/HorizontalOrganizationChart"/>
    <dgm:cxn modelId="{35309016-CE90-4D7A-8DFB-0B73F504FF39}" type="presOf" srcId="{747B64FB-8CFC-4F23-BD95-59CE040AB989}" destId="{7EC41601-1BDC-4C4D-93DD-819409B2A29E}" srcOrd="1" destOrd="0" presId="urn:microsoft.com/office/officeart/2009/3/layout/HorizontalOrganizationChart"/>
    <dgm:cxn modelId="{A8FFD3AF-F47D-42D0-8E98-FE9D9C774369}" type="presOf" srcId="{43661BD1-53A0-4556-AFB3-C368F832AED4}" destId="{17B8C64A-05B6-4728-9960-71AA155C994C}" srcOrd="1" destOrd="0" presId="urn:microsoft.com/office/officeart/2009/3/layout/HorizontalOrganizationChart"/>
    <dgm:cxn modelId="{528BEF92-F086-46D0-B381-4546EC6EB8E6}" type="presOf" srcId="{07A57F85-CBC0-46AB-9677-5B386313F52F}" destId="{1063F7C5-7107-4733-97E3-CFFBB9B8FDA0}" srcOrd="0" destOrd="0" presId="urn:microsoft.com/office/officeart/2009/3/layout/HorizontalOrganizationChart"/>
    <dgm:cxn modelId="{5DEF1F6F-34C6-41FA-A75E-20C03F4E75E4}" type="presOf" srcId="{C72AF601-9A30-4F83-BD3D-FF5B4F027A4F}" destId="{0DBBA437-B1EA-432F-8DEE-334255B8A763}" srcOrd="0" destOrd="0" presId="urn:microsoft.com/office/officeart/2009/3/layout/HorizontalOrganizationChart"/>
    <dgm:cxn modelId="{C34894C8-464D-468B-8512-C1FE0D879320}" type="presOf" srcId="{54B6D2B6-24E1-473F-81CB-492C824C0AAE}" destId="{E0C13D9F-C6B1-470A-B50F-6FD740B18652}" srcOrd="0" destOrd="0" presId="urn:microsoft.com/office/officeart/2009/3/layout/HorizontalOrganizationChart"/>
    <dgm:cxn modelId="{03BA1E0C-DB14-4000-B9DE-AA14F03D90CA}" srcId="{2B6FFECA-F16C-48F7-BA98-AF08DF5796C1}" destId="{DE4D3194-DC29-4D29-AB41-538A6A7F1177}" srcOrd="2" destOrd="0" parTransId="{C4B3D08B-8280-4C80-BE72-25562A5DE673}" sibTransId="{4BA27A14-DDAD-4C41-8DC7-B1F6C4D64D73}"/>
    <dgm:cxn modelId="{4F57D09F-A0D2-4F5B-BA5B-8022702E1454}" type="presOf" srcId="{CF1CD1C8-826E-4D55-8410-42740274E5F8}" destId="{934FA03B-0276-43FF-9954-F1269CB640BC}" srcOrd="0" destOrd="0" presId="urn:microsoft.com/office/officeart/2009/3/layout/HorizontalOrganizationChart"/>
    <dgm:cxn modelId="{202DCC00-7354-4FD4-82FD-7B3B2EC37213}" type="presOf" srcId="{D6E6B2BF-FAB0-486D-AF2F-FDC04535735F}" destId="{A1D9E9B8-717F-4BF2-9823-4EB1CDD10B8D}" srcOrd="0" destOrd="0" presId="urn:microsoft.com/office/officeart/2009/3/layout/HorizontalOrganizationChart"/>
    <dgm:cxn modelId="{7E26C142-795B-47D5-B114-EE474EE318BB}" type="presOf" srcId="{EC0D08DF-638A-449D-AD36-5A3C5485D0DF}" destId="{BE6D8809-17C3-4AA0-AEA4-E5BDAC9FC01F}" srcOrd="0" destOrd="0" presId="urn:microsoft.com/office/officeart/2009/3/layout/HorizontalOrganizationChart"/>
    <dgm:cxn modelId="{50F2DAB7-11B7-4D74-B462-979164BD172B}" type="presOf" srcId="{EA95A646-7A2A-42C2-AE70-C04173DD3CD0}" destId="{27AA4A49-5A86-4D22-9869-6D0A02AC0DC6}" srcOrd="0" destOrd="0" presId="urn:microsoft.com/office/officeart/2009/3/layout/HorizontalOrganizationChart"/>
    <dgm:cxn modelId="{463B8639-9F29-41A6-959A-B4EC74AC8EB2}" srcId="{2B6FFECA-F16C-48F7-BA98-AF08DF5796C1}" destId="{AB7ADE33-5797-4935-8A48-F157975610B9}" srcOrd="1" destOrd="0" parTransId="{A059DCDC-2020-46A8-AD1C-3BC1895AB1E3}" sibTransId="{9C41D404-4FB1-44C7-87E3-5C8557B98FF3}"/>
    <dgm:cxn modelId="{87128F8F-6817-47A8-9B1F-67800AB4A971}" srcId="{DE4D3194-DC29-4D29-AB41-538A6A7F1177}" destId="{B665DD79-1E80-43FC-BFA9-33D63038F2AC}" srcOrd="2" destOrd="0" parTransId="{2A58C75E-3644-4335-BFE9-6988FAC42EEA}" sibTransId="{410708F4-A773-4326-9D8A-F614B8EA53C9}"/>
    <dgm:cxn modelId="{A53839EF-A4CD-4EFE-8101-BB70251F6CB0}" type="presOf" srcId="{E30601EF-0CB3-419A-A8B0-2AF23C83A030}" destId="{F141847D-5A07-452F-9E11-1ACF4DE13530}" srcOrd="0" destOrd="0" presId="urn:microsoft.com/office/officeart/2009/3/layout/HorizontalOrganizationChart"/>
    <dgm:cxn modelId="{9C963D7D-3AA5-4B3F-AC20-07BC778DF291}" type="presOf" srcId="{DE4D3194-DC29-4D29-AB41-538A6A7F1177}" destId="{E3B68AB0-BB78-4DBF-89B3-BB6229F6D27E}" srcOrd="0" destOrd="0" presId="urn:microsoft.com/office/officeart/2009/3/layout/HorizontalOrganizationChart"/>
    <dgm:cxn modelId="{B5B1AE03-65DA-4B6D-91DA-67E0520E68FF}" srcId="{03EC4852-8083-4A58-BC16-3DEF31A64A01}" destId="{747B64FB-8CFC-4F23-BD95-59CE040AB989}" srcOrd="0" destOrd="0" parTransId="{C72AF601-9A30-4F83-BD3D-FF5B4F027A4F}" sibTransId="{EDF71E37-5162-491C-8FC5-B77B5F0C0AF1}"/>
    <dgm:cxn modelId="{3BE53A0E-E696-4F14-912E-661B058CDD62}" type="presOf" srcId="{AB7ADE33-5797-4935-8A48-F157975610B9}" destId="{418CA644-EA3E-4A06-82F1-D923F347946A}" srcOrd="0" destOrd="0" presId="urn:microsoft.com/office/officeart/2009/3/layout/HorizontalOrganizationChart"/>
    <dgm:cxn modelId="{5024425E-CC38-4966-A30D-0C7041170C4B}" srcId="{AB7ADE33-5797-4935-8A48-F157975610B9}" destId="{240D383C-B915-45EE-B08C-1DF3D1B3F6A0}" srcOrd="1" destOrd="0" parTransId="{332274FC-E4D1-4B70-B707-00BECF2B3170}" sibTransId="{59CAE0B4-BA09-4DFB-AC95-36A64F9242C3}"/>
    <dgm:cxn modelId="{2C2D720E-D1BF-49D4-877C-0DF9D005C9B6}" type="presOf" srcId="{C4B3D08B-8280-4C80-BE72-25562A5DE673}" destId="{E50CABE5-9B38-471C-8992-3A891103FC44}" srcOrd="0" destOrd="0" presId="urn:microsoft.com/office/officeart/2009/3/layout/HorizontalOrganizationChart"/>
    <dgm:cxn modelId="{F103E6F4-5A5D-4E40-BB41-B1338332604B}" type="presOf" srcId="{332274FC-E4D1-4B70-B707-00BECF2B3170}" destId="{51D1784E-4DB9-48A5-B647-1191A015B1CD}" srcOrd="0" destOrd="0" presId="urn:microsoft.com/office/officeart/2009/3/layout/HorizontalOrganizationChart"/>
    <dgm:cxn modelId="{7D17CF27-CBE4-4553-A57B-542994F156E5}" type="presOf" srcId="{67A2E871-1D09-4333-BF6C-D025B9B5FF44}" destId="{2585843E-0C8D-4099-9D4F-D994BC6E5787}" srcOrd="0" destOrd="0" presId="urn:microsoft.com/office/officeart/2009/3/layout/HorizontalOrganizationChart"/>
    <dgm:cxn modelId="{5AFF5AEF-D613-45B4-9C39-C7BC6FD3FBC1}" type="presOf" srcId="{B665DD79-1E80-43FC-BFA9-33D63038F2AC}" destId="{40B9ACF7-2C10-4D89-BBC7-3283DE0BC1B9}" srcOrd="0" destOrd="0" presId="urn:microsoft.com/office/officeart/2009/3/layout/HorizontalOrganizationChart"/>
    <dgm:cxn modelId="{819F4C87-517F-4A71-877D-9A08FCECE441}" type="presOf" srcId="{B665DD79-1E80-43FC-BFA9-33D63038F2AC}" destId="{2114445B-2817-43C2-9279-48588A65CD94}" srcOrd="1" destOrd="0" presId="urn:microsoft.com/office/officeart/2009/3/layout/HorizontalOrganizationChart"/>
    <dgm:cxn modelId="{72023D63-0764-41B2-8E26-CE2F47136628}" type="presOf" srcId="{67A2E871-1D09-4333-BF6C-D025B9B5FF44}" destId="{4BCE9109-F231-4601-BC38-FF62D757C2B5}" srcOrd="1" destOrd="0" presId="urn:microsoft.com/office/officeart/2009/3/layout/HorizontalOrganizationChart"/>
    <dgm:cxn modelId="{24B9F2BC-D213-4D68-A338-AA8245F168E5}" type="presOf" srcId="{E907174E-A96B-4CBD-AF7C-3410C704E292}" destId="{7A30BE2C-A983-4213-B0FB-663502723BE8}" srcOrd="0" destOrd="0" presId="urn:microsoft.com/office/officeart/2009/3/layout/HorizontalOrganizationChart"/>
    <dgm:cxn modelId="{DE0C2391-746A-4D27-8CA8-8BB0E5D7427A}" type="presParOf" srcId="{E0C13D9F-C6B1-470A-B50F-6FD740B18652}" destId="{C10E3D11-AF9D-4A69-9278-B32F859C33CD}" srcOrd="0" destOrd="0" presId="urn:microsoft.com/office/officeart/2009/3/layout/HorizontalOrganizationChart"/>
    <dgm:cxn modelId="{7C95E21A-CBAD-4438-8827-322877059EAC}" type="presParOf" srcId="{C10E3D11-AF9D-4A69-9278-B32F859C33CD}" destId="{428D8DA2-EC0F-4AB8-9F2F-7B8737F3326E}" srcOrd="0" destOrd="0" presId="urn:microsoft.com/office/officeart/2009/3/layout/HorizontalOrganizationChart"/>
    <dgm:cxn modelId="{E11C313E-D687-47DA-BF76-C2AA0B4962B2}" type="presParOf" srcId="{428D8DA2-EC0F-4AB8-9F2F-7B8737F3326E}" destId="{EBF83DF7-DDA3-4CCD-B135-DC967D89EBAA}" srcOrd="0" destOrd="0" presId="urn:microsoft.com/office/officeart/2009/3/layout/HorizontalOrganizationChart"/>
    <dgm:cxn modelId="{BE35871E-7939-4A35-9DA4-A4C2BBF062A4}" type="presParOf" srcId="{428D8DA2-EC0F-4AB8-9F2F-7B8737F3326E}" destId="{36EA8E1C-992F-4368-A2B8-9C56682C4D5B}" srcOrd="1" destOrd="0" presId="urn:microsoft.com/office/officeart/2009/3/layout/HorizontalOrganizationChart"/>
    <dgm:cxn modelId="{E865DEAD-F42F-4F35-8D51-17E7545CC3CB}" type="presParOf" srcId="{C10E3D11-AF9D-4A69-9278-B32F859C33CD}" destId="{AE515FE2-F6FC-49A4-BF49-FC54100737DD}" srcOrd="1" destOrd="0" presId="urn:microsoft.com/office/officeart/2009/3/layout/HorizontalOrganizationChart"/>
    <dgm:cxn modelId="{EAEE10AE-9304-48D2-8F44-AC1EFECD0AA3}" type="presParOf" srcId="{AE515FE2-F6FC-49A4-BF49-FC54100737DD}" destId="{FFD138D2-71CC-43B5-8AC1-00DBD5CC4087}" srcOrd="0" destOrd="0" presId="urn:microsoft.com/office/officeart/2009/3/layout/HorizontalOrganizationChart"/>
    <dgm:cxn modelId="{AAFCF4D6-E956-478F-BACE-1693BBFB4EA7}" type="presParOf" srcId="{AE515FE2-F6FC-49A4-BF49-FC54100737DD}" destId="{D3B56F99-ADB3-40C5-9C80-501AAAEE71AA}" srcOrd="1" destOrd="0" presId="urn:microsoft.com/office/officeart/2009/3/layout/HorizontalOrganizationChart"/>
    <dgm:cxn modelId="{2B5FF3FB-24BA-4692-9240-3BCF1E32E884}" type="presParOf" srcId="{D3B56F99-ADB3-40C5-9C80-501AAAEE71AA}" destId="{6A484D57-09B3-421E-BEB5-903310C78F92}" srcOrd="0" destOrd="0" presId="urn:microsoft.com/office/officeart/2009/3/layout/HorizontalOrganizationChart"/>
    <dgm:cxn modelId="{7DD42F87-068E-4B55-9C2B-368A5426A95E}" type="presParOf" srcId="{6A484D57-09B3-421E-BEB5-903310C78F92}" destId="{81086E3E-9B69-4A79-A62D-6FE3D299F81B}" srcOrd="0" destOrd="0" presId="urn:microsoft.com/office/officeart/2009/3/layout/HorizontalOrganizationChart"/>
    <dgm:cxn modelId="{AE0442E2-8806-47BC-9298-E90D204408DC}" type="presParOf" srcId="{6A484D57-09B3-421E-BEB5-903310C78F92}" destId="{E4DB42FE-B06D-4A99-B468-AA786900C816}" srcOrd="1" destOrd="0" presId="urn:microsoft.com/office/officeart/2009/3/layout/HorizontalOrganizationChart"/>
    <dgm:cxn modelId="{53F1614D-AAE4-45C9-B547-A762825E3D31}" type="presParOf" srcId="{D3B56F99-ADB3-40C5-9C80-501AAAEE71AA}" destId="{D80224AA-F656-4739-91DD-1D1E7612BB3D}" srcOrd="1" destOrd="0" presId="urn:microsoft.com/office/officeart/2009/3/layout/HorizontalOrganizationChart"/>
    <dgm:cxn modelId="{C798455D-B86A-4F24-B3BC-0818100A0507}" type="presParOf" srcId="{D80224AA-F656-4739-91DD-1D1E7612BB3D}" destId="{0DBBA437-B1EA-432F-8DEE-334255B8A763}" srcOrd="0" destOrd="0" presId="urn:microsoft.com/office/officeart/2009/3/layout/HorizontalOrganizationChart"/>
    <dgm:cxn modelId="{2A1505C8-A2EA-454F-B5CC-F73779E4336A}" type="presParOf" srcId="{D80224AA-F656-4739-91DD-1D1E7612BB3D}" destId="{76B8AE0F-BD63-43FB-BE86-0DB66092C09A}" srcOrd="1" destOrd="0" presId="urn:microsoft.com/office/officeart/2009/3/layout/HorizontalOrganizationChart"/>
    <dgm:cxn modelId="{DCE0B522-D795-4139-A367-5F9E5E48B74A}" type="presParOf" srcId="{76B8AE0F-BD63-43FB-BE86-0DB66092C09A}" destId="{C4C599C6-0BEE-493F-A05C-BAD14092FAA1}" srcOrd="0" destOrd="0" presId="urn:microsoft.com/office/officeart/2009/3/layout/HorizontalOrganizationChart"/>
    <dgm:cxn modelId="{FCDBC98C-8D20-4F2E-9584-5B48AA346DD4}" type="presParOf" srcId="{C4C599C6-0BEE-493F-A05C-BAD14092FAA1}" destId="{8EC55A1D-D1E7-490F-BB78-36C69800C150}" srcOrd="0" destOrd="0" presId="urn:microsoft.com/office/officeart/2009/3/layout/HorizontalOrganizationChart"/>
    <dgm:cxn modelId="{1A98DADF-BE5B-46B5-B727-3A1E9092C7AD}" type="presParOf" srcId="{C4C599C6-0BEE-493F-A05C-BAD14092FAA1}" destId="{7EC41601-1BDC-4C4D-93DD-819409B2A29E}" srcOrd="1" destOrd="0" presId="urn:microsoft.com/office/officeart/2009/3/layout/HorizontalOrganizationChart"/>
    <dgm:cxn modelId="{CB56A3FF-4FE6-487F-B8AE-57FB453EB887}" type="presParOf" srcId="{76B8AE0F-BD63-43FB-BE86-0DB66092C09A}" destId="{2A793221-5E2E-41F1-AC3F-1677D33D22CF}" srcOrd="1" destOrd="0" presId="urn:microsoft.com/office/officeart/2009/3/layout/HorizontalOrganizationChart"/>
    <dgm:cxn modelId="{F735EAD9-006F-445C-9367-C65C511E5428}" type="presParOf" srcId="{76B8AE0F-BD63-43FB-BE86-0DB66092C09A}" destId="{D9192009-6495-4F06-90E6-10712B81A8C5}" srcOrd="2" destOrd="0" presId="urn:microsoft.com/office/officeart/2009/3/layout/HorizontalOrganizationChart"/>
    <dgm:cxn modelId="{85E347B9-1DEB-47FC-837D-1FC65F5F0401}" type="presParOf" srcId="{D80224AA-F656-4739-91DD-1D1E7612BB3D}" destId="{27AA4A49-5A86-4D22-9869-6D0A02AC0DC6}" srcOrd="2" destOrd="0" presId="urn:microsoft.com/office/officeart/2009/3/layout/HorizontalOrganizationChart"/>
    <dgm:cxn modelId="{DC4A63B4-04B0-4CF0-9623-25013CCDE7CB}" type="presParOf" srcId="{D80224AA-F656-4739-91DD-1D1E7612BB3D}" destId="{95AA659E-D6C8-49B9-96DF-DC4D943579E0}" srcOrd="3" destOrd="0" presId="urn:microsoft.com/office/officeart/2009/3/layout/HorizontalOrganizationChart"/>
    <dgm:cxn modelId="{048A4C93-1156-4D37-8F67-510DEE4A408A}" type="presParOf" srcId="{95AA659E-D6C8-49B9-96DF-DC4D943579E0}" destId="{C1187B14-1938-4366-952A-FF7D40850D80}" srcOrd="0" destOrd="0" presId="urn:microsoft.com/office/officeart/2009/3/layout/HorizontalOrganizationChart"/>
    <dgm:cxn modelId="{756BC87D-3CEC-4F4F-89D5-71CB36AEC81A}" type="presParOf" srcId="{C1187B14-1938-4366-952A-FF7D40850D80}" destId="{1063F7C5-7107-4733-97E3-CFFBB9B8FDA0}" srcOrd="0" destOrd="0" presId="urn:microsoft.com/office/officeart/2009/3/layout/HorizontalOrganizationChart"/>
    <dgm:cxn modelId="{B51F7547-C565-4BEB-9C50-02E81E8C48E3}" type="presParOf" srcId="{C1187B14-1938-4366-952A-FF7D40850D80}" destId="{64D6CE7F-2CB5-42F2-A759-F6DB0262DB7B}" srcOrd="1" destOrd="0" presId="urn:microsoft.com/office/officeart/2009/3/layout/HorizontalOrganizationChart"/>
    <dgm:cxn modelId="{7891ED81-9BF4-4519-8574-BFF000880389}" type="presParOf" srcId="{95AA659E-D6C8-49B9-96DF-DC4D943579E0}" destId="{DB179692-ED41-46DB-841C-C87502501FF1}" srcOrd="1" destOrd="0" presId="urn:microsoft.com/office/officeart/2009/3/layout/HorizontalOrganizationChart"/>
    <dgm:cxn modelId="{A431B970-6668-4F6D-8337-91F3FCF7A9B8}" type="presParOf" srcId="{95AA659E-D6C8-49B9-96DF-DC4D943579E0}" destId="{16CC9AC4-4ED7-42F6-8BD3-3FB5E678BCE6}" srcOrd="2" destOrd="0" presId="urn:microsoft.com/office/officeart/2009/3/layout/HorizontalOrganizationChart"/>
    <dgm:cxn modelId="{F393869C-F39B-4F71-8D88-AEB75EF2DFFB}" type="presParOf" srcId="{D80224AA-F656-4739-91DD-1D1E7612BB3D}" destId="{09E0CBCD-3A79-4D87-9D91-69A15CE7AD65}" srcOrd="4" destOrd="0" presId="urn:microsoft.com/office/officeart/2009/3/layout/HorizontalOrganizationChart"/>
    <dgm:cxn modelId="{B8F9B825-0FC0-4529-A554-CA43EBEED6CB}" type="presParOf" srcId="{D80224AA-F656-4739-91DD-1D1E7612BB3D}" destId="{61E2474C-3B81-479C-AA9D-A9A34DAE7DC7}" srcOrd="5" destOrd="0" presId="urn:microsoft.com/office/officeart/2009/3/layout/HorizontalOrganizationChart"/>
    <dgm:cxn modelId="{D5BD6C65-52A0-4BF1-980F-4DAA06BC5985}" type="presParOf" srcId="{61E2474C-3B81-479C-AA9D-A9A34DAE7DC7}" destId="{60601589-34D3-4488-8534-2F4DAE8EC08F}" srcOrd="0" destOrd="0" presId="urn:microsoft.com/office/officeart/2009/3/layout/HorizontalOrganizationChart"/>
    <dgm:cxn modelId="{7C869D56-3BCF-4673-9536-D15B6B1EEE30}" type="presParOf" srcId="{60601589-34D3-4488-8534-2F4DAE8EC08F}" destId="{387AD806-A3D7-4EFA-A2BC-3983400269D5}" srcOrd="0" destOrd="0" presId="urn:microsoft.com/office/officeart/2009/3/layout/HorizontalOrganizationChart"/>
    <dgm:cxn modelId="{9BBB0752-4FE8-40D2-B6E9-C4539F2C1D8F}" type="presParOf" srcId="{60601589-34D3-4488-8534-2F4DAE8EC08F}" destId="{B570E5F5-6445-49D9-A381-AED3C739C587}" srcOrd="1" destOrd="0" presId="urn:microsoft.com/office/officeart/2009/3/layout/HorizontalOrganizationChart"/>
    <dgm:cxn modelId="{84A118B4-4B94-4C09-8D35-E56ED9C03A27}" type="presParOf" srcId="{61E2474C-3B81-479C-AA9D-A9A34DAE7DC7}" destId="{20DC8866-9539-4B3B-9049-5FE0F56D0A22}" srcOrd="1" destOrd="0" presId="urn:microsoft.com/office/officeart/2009/3/layout/HorizontalOrganizationChart"/>
    <dgm:cxn modelId="{AFB3DD72-3632-40A5-9118-27AFFB47B1C2}" type="presParOf" srcId="{61E2474C-3B81-479C-AA9D-A9A34DAE7DC7}" destId="{8B704097-6830-4D69-B7E0-90C392AAEC3D}" srcOrd="2" destOrd="0" presId="urn:microsoft.com/office/officeart/2009/3/layout/HorizontalOrganizationChart"/>
    <dgm:cxn modelId="{5C3F539E-02C0-40A9-9D1C-AE0E18E10FF7}" type="presParOf" srcId="{D3B56F99-ADB3-40C5-9C80-501AAAEE71AA}" destId="{ED697593-5508-417C-B151-FEC2FF065B6E}" srcOrd="2" destOrd="0" presId="urn:microsoft.com/office/officeart/2009/3/layout/HorizontalOrganizationChart"/>
    <dgm:cxn modelId="{F303C5A8-B528-468C-8763-56374736DC90}" type="presParOf" srcId="{AE515FE2-F6FC-49A4-BF49-FC54100737DD}" destId="{B7418D3A-2DF4-410D-ACC6-9AAD8CE32B3B}" srcOrd="2" destOrd="0" presId="urn:microsoft.com/office/officeart/2009/3/layout/HorizontalOrganizationChart"/>
    <dgm:cxn modelId="{4540F121-E71D-4F23-8D17-261C96497C91}" type="presParOf" srcId="{AE515FE2-F6FC-49A4-BF49-FC54100737DD}" destId="{99A61497-3108-4365-AD86-C89BD229C7B0}" srcOrd="3" destOrd="0" presId="urn:microsoft.com/office/officeart/2009/3/layout/HorizontalOrganizationChart"/>
    <dgm:cxn modelId="{EA32A6F3-014D-46BF-9E56-024EE33039A0}" type="presParOf" srcId="{99A61497-3108-4365-AD86-C89BD229C7B0}" destId="{5555C06F-9D74-4D1D-9E65-D0B70472CC1A}" srcOrd="0" destOrd="0" presId="urn:microsoft.com/office/officeart/2009/3/layout/HorizontalOrganizationChart"/>
    <dgm:cxn modelId="{F2DC1DF7-CE83-4A8C-AE63-C439AA39E4CE}" type="presParOf" srcId="{5555C06F-9D74-4D1D-9E65-D0B70472CC1A}" destId="{418CA644-EA3E-4A06-82F1-D923F347946A}" srcOrd="0" destOrd="0" presId="urn:microsoft.com/office/officeart/2009/3/layout/HorizontalOrganizationChart"/>
    <dgm:cxn modelId="{8992F5B2-7989-4E36-B38C-603948F58287}" type="presParOf" srcId="{5555C06F-9D74-4D1D-9E65-D0B70472CC1A}" destId="{CCE57A0C-D1CD-4A5A-9D3E-1B83E81A4D9E}" srcOrd="1" destOrd="0" presId="urn:microsoft.com/office/officeart/2009/3/layout/HorizontalOrganizationChart"/>
    <dgm:cxn modelId="{0E7AF97B-8B07-41FB-9B06-288B73F7AFDA}" type="presParOf" srcId="{99A61497-3108-4365-AD86-C89BD229C7B0}" destId="{84986CED-2417-43EF-94FD-FB10497F47F2}" srcOrd="1" destOrd="0" presId="urn:microsoft.com/office/officeart/2009/3/layout/HorizontalOrganizationChart"/>
    <dgm:cxn modelId="{37212E46-E984-4233-9EE5-E1E294D41EFE}" type="presParOf" srcId="{84986CED-2417-43EF-94FD-FB10497F47F2}" destId="{BE6D8809-17C3-4AA0-AEA4-E5BDAC9FC01F}" srcOrd="0" destOrd="0" presId="urn:microsoft.com/office/officeart/2009/3/layout/HorizontalOrganizationChart"/>
    <dgm:cxn modelId="{D85BE50D-4AA2-424C-97CD-4467F93CD1E8}" type="presParOf" srcId="{84986CED-2417-43EF-94FD-FB10497F47F2}" destId="{9414F7C8-18F8-423D-B161-DF9BA0704F8A}" srcOrd="1" destOrd="0" presId="urn:microsoft.com/office/officeart/2009/3/layout/HorizontalOrganizationChart"/>
    <dgm:cxn modelId="{C6EB20EC-3DDA-4E22-B81B-9623873A0F3C}" type="presParOf" srcId="{9414F7C8-18F8-423D-B161-DF9BA0704F8A}" destId="{FC48C7BE-578E-47C4-A353-39F50D2B6570}" srcOrd="0" destOrd="0" presId="urn:microsoft.com/office/officeart/2009/3/layout/HorizontalOrganizationChart"/>
    <dgm:cxn modelId="{616B4451-3D51-4D6C-A1C0-3816EFA499B2}" type="presParOf" srcId="{FC48C7BE-578E-47C4-A353-39F50D2B6570}" destId="{934FA03B-0276-43FF-9954-F1269CB640BC}" srcOrd="0" destOrd="0" presId="urn:microsoft.com/office/officeart/2009/3/layout/HorizontalOrganizationChart"/>
    <dgm:cxn modelId="{67BA38F2-566C-4B7C-B0D8-39AF66C7A8E1}" type="presParOf" srcId="{FC48C7BE-578E-47C4-A353-39F50D2B6570}" destId="{3B17D959-B0FC-4CAE-88DF-CDAF5BCDD5F1}" srcOrd="1" destOrd="0" presId="urn:microsoft.com/office/officeart/2009/3/layout/HorizontalOrganizationChart"/>
    <dgm:cxn modelId="{A6866BDA-5353-4FC8-96B3-E0C13F90DF93}" type="presParOf" srcId="{9414F7C8-18F8-423D-B161-DF9BA0704F8A}" destId="{2490739F-C8E0-4754-94FC-2CAA8851E9C4}" srcOrd="1" destOrd="0" presId="urn:microsoft.com/office/officeart/2009/3/layout/HorizontalOrganizationChart"/>
    <dgm:cxn modelId="{344A74B8-C387-4A20-8B29-A66D7C7E7FD6}" type="presParOf" srcId="{9414F7C8-18F8-423D-B161-DF9BA0704F8A}" destId="{DE614144-A961-4288-A4A0-E291CF5B805E}" srcOrd="2" destOrd="0" presId="urn:microsoft.com/office/officeart/2009/3/layout/HorizontalOrganizationChart"/>
    <dgm:cxn modelId="{6EED14FC-3737-4380-A97C-B663B3723CB1}" type="presParOf" srcId="{84986CED-2417-43EF-94FD-FB10497F47F2}" destId="{51D1784E-4DB9-48A5-B647-1191A015B1CD}" srcOrd="2" destOrd="0" presId="urn:microsoft.com/office/officeart/2009/3/layout/HorizontalOrganizationChart"/>
    <dgm:cxn modelId="{371ED79E-7CD0-4891-9CB5-DA7671AE3B7A}" type="presParOf" srcId="{84986CED-2417-43EF-94FD-FB10497F47F2}" destId="{73A0A581-0DFD-4C79-83C6-97CC8CBF9C04}" srcOrd="3" destOrd="0" presId="urn:microsoft.com/office/officeart/2009/3/layout/HorizontalOrganizationChart"/>
    <dgm:cxn modelId="{79E29694-287E-4492-A626-8C6A8B6A2CF0}" type="presParOf" srcId="{73A0A581-0DFD-4C79-83C6-97CC8CBF9C04}" destId="{ECC044B3-33AF-4C94-9E60-434DF5079DDD}" srcOrd="0" destOrd="0" presId="urn:microsoft.com/office/officeart/2009/3/layout/HorizontalOrganizationChart"/>
    <dgm:cxn modelId="{6C2BC704-FDC2-4275-BBFD-755F0B6625FB}" type="presParOf" srcId="{ECC044B3-33AF-4C94-9E60-434DF5079DDD}" destId="{07D02B6D-4C86-4786-BB73-4B6D35F97D4F}" srcOrd="0" destOrd="0" presId="urn:microsoft.com/office/officeart/2009/3/layout/HorizontalOrganizationChart"/>
    <dgm:cxn modelId="{4EFC2029-27AB-490D-A626-A28D67732BD7}" type="presParOf" srcId="{ECC044B3-33AF-4C94-9E60-434DF5079DDD}" destId="{4402F822-76EE-496E-85EA-FF1E834E3E0E}" srcOrd="1" destOrd="0" presId="urn:microsoft.com/office/officeart/2009/3/layout/HorizontalOrganizationChart"/>
    <dgm:cxn modelId="{74DA5394-837E-4558-BADD-A2D91D6A623B}" type="presParOf" srcId="{73A0A581-0DFD-4C79-83C6-97CC8CBF9C04}" destId="{E9FEE0BC-4781-4245-B72F-8C5C5DAA487E}" srcOrd="1" destOrd="0" presId="urn:microsoft.com/office/officeart/2009/3/layout/HorizontalOrganizationChart"/>
    <dgm:cxn modelId="{5BCA12F4-6FD1-452F-BF95-5B1E6AE52C4D}" type="presParOf" srcId="{73A0A581-0DFD-4C79-83C6-97CC8CBF9C04}" destId="{AE878EF7-39E8-417A-83E2-A749C5505955}" srcOrd="2" destOrd="0" presId="urn:microsoft.com/office/officeart/2009/3/layout/HorizontalOrganizationChart"/>
    <dgm:cxn modelId="{850866BD-E2DE-4578-A8C5-F67A2D1C7BB6}" type="presParOf" srcId="{84986CED-2417-43EF-94FD-FB10497F47F2}" destId="{F141847D-5A07-452F-9E11-1ACF4DE13530}" srcOrd="4" destOrd="0" presId="urn:microsoft.com/office/officeart/2009/3/layout/HorizontalOrganizationChart"/>
    <dgm:cxn modelId="{01FF2CC4-45E1-42A6-A3A0-6818D1BFC79C}" type="presParOf" srcId="{84986CED-2417-43EF-94FD-FB10497F47F2}" destId="{05DE4C50-6D51-49F6-A783-D1855FB9CA41}" srcOrd="5" destOrd="0" presId="urn:microsoft.com/office/officeart/2009/3/layout/HorizontalOrganizationChart"/>
    <dgm:cxn modelId="{92F64287-9DA2-4457-B3AA-FBC204908EA4}" type="presParOf" srcId="{05DE4C50-6D51-49F6-A783-D1855FB9CA41}" destId="{80893E0B-D615-406E-A658-35CD9DA3AB97}" srcOrd="0" destOrd="0" presId="urn:microsoft.com/office/officeart/2009/3/layout/HorizontalOrganizationChart"/>
    <dgm:cxn modelId="{9EBD5465-E706-4766-8361-A59EE93A3037}" type="presParOf" srcId="{80893E0B-D615-406E-A658-35CD9DA3AB97}" destId="{2585843E-0C8D-4099-9D4F-D994BC6E5787}" srcOrd="0" destOrd="0" presId="urn:microsoft.com/office/officeart/2009/3/layout/HorizontalOrganizationChart"/>
    <dgm:cxn modelId="{7B4FDFA7-8A10-41A1-A737-68A2F646C5B4}" type="presParOf" srcId="{80893E0B-D615-406E-A658-35CD9DA3AB97}" destId="{4BCE9109-F231-4601-BC38-FF62D757C2B5}" srcOrd="1" destOrd="0" presId="urn:microsoft.com/office/officeart/2009/3/layout/HorizontalOrganizationChart"/>
    <dgm:cxn modelId="{8462E62D-003C-4618-BA69-5EE2431DEF7D}" type="presParOf" srcId="{05DE4C50-6D51-49F6-A783-D1855FB9CA41}" destId="{F9AA5B9A-EC3B-41BF-A962-30C32A460CC6}" srcOrd="1" destOrd="0" presId="urn:microsoft.com/office/officeart/2009/3/layout/HorizontalOrganizationChart"/>
    <dgm:cxn modelId="{2E34A982-B6D7-43B4-AFF0-9466016793EF}" type="presParOf" srcId="{05DE4C50-6D51-49F6-A783-D1855FB9CA41}" destId="{A6CF6C71-9410-4DC1-9363-E69CAF46464C}" srcOrd="2" destOrd="0" presId="urn:microsoft.com/office/officeart/2009/3/layout/HorizontalOrganizationChart"/>
    <dgm:cxn modelId="{72E8E059-897A-4A9C-9BB9-4759268D32A4}" type="presParOf" srcId="{99A61497-3108-4365-AD86-C89BD229C7B0}" destId="{929EDA20-CD97-4045-9608-16492AC319CB}" srcOrd="2" destOrd="0" presId="urn:microsoft.com/office/officeart/2009/3/layout/HorizontalOrganizationChart"/>
    <dgm:cxn modelId="{6BFED2A0-8CF9-4114-A1D5-97960818FB75}" type="presParOf" srcId="{AE515FE2-F6FC-49A4-BF49-FC54100737DD}" destId="{E50CABE5-9B38-471C-8992-3A891103FC44}" srcOrd="4" destOrd="0" presId="urn:microsoft.com/office/officeart/2009/3/layout/HorizontalOrganizationChart"/>
    <dgm:cxn modelId="{0A097A57-DD9F-4B97-8061-B86E9EC26378}" type="presParOf" srcId="{AE515FE2-F6FC-49A4-BF49-FC54100737DD}" destId="{F72B02AA-E531-4F97-97C1-D981FF3FA88F}" srcOrd="5" destOrd="0" presId="urn:microsoft.com/office/officeart/2009/3/layout/HorizontalOrganizationChart"/>
    <dgm:cxn modelId="{A28DE317-AD57-44DC-9254-093BDFBEEFE4}" type="presParOf" srcId="{F72B02AA-E531-4F97-97C1-D981FF3FA88F}" destId="{DCF36E57-099A-4189-8593-5EF427097528}" srcOrd="0" destOrd="0" presId="urn:microsoft.com/office/officeart/2009/3/layout/HorizontalOrganizationChart"/>
    <dgm:cxn modelId="{87A1F4E0-5425-450D-BFEB-DBA40A8EC312}" type="presParOf" srcId="{DCF36E57-099A-4189-8593-5EF427097528}" destId="{E3B68AB0-BB78-4DBF-89B3-BB6229F6D27E}" srcOrd="0" destOrd="0" presId="urn:microsoft.com/office/officeart/2009/3/layout/HorizontalOrganizationChart"/>
    <dgm:cxn modelId="{0DE676D1-CCCB-49C5-871E-C178D7B37EE1}" type="presParOf" srcId="{DCF36E57-099A-4189-8593-5EF427097528}" destId="{4DCACC76-BC1B-4B7B-A4B7-BCCBE1F6A4C2}" srcOrd="1" destOrd="0" presId="urn:microsoft.com/office/officeart/2009/3/layout/HorizontalOrganizationChart"/>
    <dgm:cxn modelId="{A4057291-D31D-4D3D-AE7C-E72F39E0ACDB}" type="presParOf" srcId="{F72B02AA-E531-4F97-97C1-D981FF3FA88F}" destId="{D8AAF7FD-272F-410F-9324-5E1E7BCBD26E}" srcOrd="1" destOrd="0" presId="urn:microsoft.com/office/officeart/2009/3/layout/HorizontalOrganizationChart"/>
    <dgm:cxn modelId="{CFA98CDD-E5AB-488A-854E-7D81AEEE3872}" type="presParOf" srcId="{D8AAF7FD-272F-410F-9324-5E1E7BCBD26E}" destId="{7A30BE2C-A983-4213-B0FB-663502723BE8}" srcOrd="0" destOrd="0" presId="urn:microsoft.com/office/officeart/2009/3/layout/HorizontalOrganizationChart"/>
    <dgm:cxn modelId="{9DAB2B8D-B960-43E6-BA9C-1B1B08BAF5D3}" type="presParOf" srcId="{D8AAF7FD-272F-410F-9324-5E1E7BCBD26E}" destId="{1A184F00-01E7-4959-8CB9-EC6384BA8BA9}" srcOrd="1" destOrd="0" presId="urn:microsoft.com/office/officeart/2009/3/layout/HorizontalOrganizationChart"/>
    <dgm:cxn modelId="{BAA8A050-3CDB-4FFE-BDD6-08853D3BF28E}" type="presParOf" srcId="{1A184F00-01E7-4959-8CB9-EC6384BA8BA9}" destId="{2F15FF4F-9BD4-43A6-A7CC-02EF09214B40}" srcOrd="0" destOrd="0" presId="urn:microsoft.com/office/officeart/2009/3/layout/HorizontalOrganizationChart"/>
    <dgm:cxn modelId="{FB28BBF1-0951-4337-BDAB-40103B5176D3}" type="presParOf" srcId="{2F15FF4F-9BD4-43A6-A7CC-02EF09214B40}" destId="{A1D9E9B8-717F-4BF2-9823-4EB1CDD10B8D}" srcOrd="0" destOrd="0" presId="urn:microsoft.com/office/officeart/2009/3/layout/HorizontalOrganizationChart"/>
    <dgm:cxn modelId="{3DD582A6-A784-4B7E-BB50-4E629FE7849F}" type="presParOf" srcId="{2F15FF4F-9BD4-43A6-A7CC-02EF09214B40}" destId="{4883FE4E-3861-4175-9216-53AF24F8131A}" srcOrd="1" destOrd="0" presId="urn:microsoft.com/office/officeart/2009/3/layout/HorizontalOrganizationChart"/>
    <dgm:cxn modelId="{F2ACE2D1-401C-4D66-8ECC-223C4643C286}" type="presParOf" srcId="{1A184F00-01E7-4959-8CB9-EC6384BA8BA9}" destId="{0FA10FF8-343E-4F14-B0F1-B3AC185FC223}" srcOrd="1" destOrd="0" presId="urn:microsoft.com/office/officeart/2009/3/layout/HorizontalOrganizationChart"/>
    <dgm:cxn modelId="{6811DC95-C587-42DD-AA4F-836354043D92}" type="presParOf" srcId="{1A184F00-01E7-4959-8CB9-EC6384BA8BA9}" destId="{AE9102A2-FAF1-455C-8F4E-3CBA01A90906}" srcOrd="2" destOrd="0" presId="urn:microsoft.com/office/officeart/2009/3/layout/HorizontalOrganizationChart"/>
    <dgm:cxn modelId="{D2644306-537F-4A60-83F5-7D93B119514B}" type="presParOf" srcId="{D8AAF7FD-272F-410F-9324-5E1E7BCBD26E}" destId="{CC1CD8D8-56CA-4D74-A21D-FEFF3ACE76CF}" srcOrd="2" destOrd="0" presId="urn:microsoft.com/office/officeart/2009/3/layout/HorizontalOrganizationChart"/>
    <dgm:cxn modelId="{0D2BE297-C4BF-47F3-AAC1-C8FD8C4098DB}" type="presParOf" srcId="{D8AAF7FD-272F-410F-9324-5E1E7BCBD26E}" destId="{CB912DA6-06B5-4545-9AB2-38798BEE98B1}" srcOrd="3" destOrd="0" presId="urn:microsoft.com/office/officeart/2009/3/layout/HorizontalOrganizationChart"/>
    <dgm:cxn modelId="{FC9FDBDF-877E-47A5-BDB1-757DB144A24F}" type="presParOf" srcId="{CB912DA6-06B5-4545-9AB2-38798BEE98B1}" destId="{6F8E4EEC-E961-4ADF-96F6-9EDD49573D50}" srcOrd="0" destOrd="0" presId="urn:microsoft.com/office/officeart/2009/3/layout/HorizontalOrganizationChart"/>
    <dgm:cxn modelId="{26E570A3-05A1-415D-A4BD-C6D494E9DA43}" type="presParOf" srcId="{6F8E4EEC-E961-4ADF-96F6-9EDD49573D50}" destId="{BF935140-3510-47CF-9B05-C1CC1813F2F8}" srcOrd="0" destOrd="0" presId="urn:microsoft.com/office/officeart/2009/3/layout/HorizontalOrganizationChart"/>
    <dgm:cxn modelId="{F0D98225-556D-42A5-9BF1-40167E80D496}" type="presParOf" srcId="{6F8E4EEC-E961-4ADF-96F6-9EDD49573D50}" destId="{17B8C64A-05B6-4728-9960-71AA155C994C}" srcOrd="1" destOrd="0" presId="urn:microsoft.com/office/officeart/2009/3/layout/HorizontalOrganizationChart"/>
    <dgm:cxn modelId="{9C8530B2-092F-45B9-BCB4-8E4AF435EA37}" type="presParOf" srcId="{CB912DA6-06B5-4545-9AB2-38798BEE98B1}" destId="{7F71738B-66C1-4E57-A6EB-5367AD68CEB6}" srcOrd="1" destOrd="0" presId="urn:microsoft.com/office/officeart/2009/3/layout/HorizontalOrganizationChart"/>
    <dgm:cxn modelId="{D90F1738-F65B-4D3E-91FF-93853C3ED018}" type="presParOf" srcId="{CB912DA6-06B5-4545-9AB2-38798BEE98B1}" destId="{553C5AB6-FD08-4267-8296-BE7E3C8090C7}" srcOrd="2" destOrd="0" presId="urn:microsoft.com/office/officeart/2009/3/layout/HorizontalOrganizationChart"/>
    <dgm:cxn modelId="{DDCCF8CF-77AD-4CA0-A89A-37F4841C19F7}" type="presParOf" srcId="{D8AAF7FD-272F-410F-9324-5E1E7BCBD26E}" destId="{3622CC9F-EB58-4C0B-82C6-3F4C67A8671D}" srcOrd="4" destOrd="0" presId="urn:microsoft.com/office/officeart/2009/3/layout/HorizontalOrganizationChart"/>
    <dgm:cxn modelId="{0ECE8074-71BA-48A6-8A38-A5C59CA76F9A}" type="presParOf" srcId="{D8AAF7FD-272F-410F-9324-5E1E7BCBD26E}" destId="{EF199CE7-8579-4AD6-84BC-B97409BFEE24}" srcOrd="5" destOrd="0" presId="urn:microsoft.com/office/officeart/2009/3/layout/HorizontalOrganizationChart"/>
    <dgm:cxn modelId="{7EAEBC0D-627D-4DD1-A33F-55845E52CF6D}" type="presParOf" srcId="{EF199CE7-8579-4AD6-84BC-B97409BFEE24}" destId="{EA0B4BEB-164F-4605-92C7-AC50C460C054}" srcOrd="0" destOrd="0" presId="urn:microsoft.com/office/officeart/2009/3/layout/HorizontalOrganizationChart"/>
    <dgm:cxn modelId="{02706484-C348-4C2C-8AD1-4231FC3D6691}" type="presParOf" srcId="{EA0B4BEB-164F-4605-92C7-AC50C460C054}" destId="{40B9ACF7-2C10-4D89-BBC7-3283DE0BC1B9}" srcOrd="0" destOrd="0" presId="urn:microsoft.com/office/officeart/2009/3/layout/HorizontalOrganizationChart"/>
    <dgm:cxn modelId="{A95C7FE2-A7F0-4709-8470-F98483C254E4}" type="presParOf" srcId="{EA0B4BEB-164F-4605-92C7-AC50C460C054}" destId="{2114445B-2817-43C2-9279-48588A65CD94}" srcOrd="1" destOrd="0" presId="urn:microsoft.com/office/officeart/2009/3/layout/HorizontalOrganizationChart"/>
    <dgm:cxn modelId="{3FFE97D1-3E0E-4C3F-8DC2-59765775F99A}" type="presParOf" srcId="{EF199CE7-8579-4AD6-84BC-B97409BFEE24}" destId="{EBD4F28D-88DC-49D0-A937-B6D38FA86463}" srcOrd="1" destOrd="0" presId="urn:microsoft.com/office/officeart/2009/3/layout/HorizontalOrganizationChart"/>
    <dgm:cxn modelId="{F79B58CB-49D4-4C6E-9A66-24556594CE40}" type="presParOf" srcId="{EF199CE7-8579-4AD6-84BC-B97409BFEE24}" destId="{E5EE5641-FC6F-48B3-8962-09425331E941}" srcOrd="2" destOrd="0" presId="urn:microsoft.com/office/officeart/2009/3/layout/HorizontalOrganizationChart"/>
    <dgm:cxn modelId="{08D13D84-C7D0-4D3C-8618-07AE9FA6A067}" type="presParOf" srcId="{F72B02AA-E531-4F97-97C1-D981FF3FA88F}" destId="{2ED9FF45-33F4-4FE4-83B9-58C2D247B72A}" srcOrd="2" destOrd="0" presId="urn:microsoft.com/office/officeart/2009/3/layout/HorizontalOrganizationChart"/>
    <dgm:cxn modelId="{E12C972F-8863-48AE-A976-4C7F428E5BD6}" type="presParOf" srcId="{C10E3D11-AF9D-4A69-9278-B32F859C33CD}" destId="{06033048-D274-4920-BE44-3399C7A5FF72}" srcOrd="2" destOrd="0" presId="urn:microsoft.com/office/officeart/2009/3/layout/HorizontalOrganizationChart"/>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716C384B-D27B-4953-9AE1-2FFBED314048}" type="doc">
      <dgm:prSet loTypeId="urn:microsoft.com/office/officeart/2005/8/layout/hierarchy1" loCatId="hierarchy" qsTypeId="urn:microsoft.com/office/officeart/2005/8/quickstyle/simple1" qsCatId="simple" csTypeId="urn:microsoft.com/office/officeart/2005/8/colors/accent3_5" csCatId="accent3" phldr="1"/>
      <dgm:spPr/>
      <dgm:t>
        <a:bodyPr/>
        <a:lstStyle/>
        <a:p>
          <a:endParaRPr lang="ru-RU"/>
        </a:p>
      </dgm:t>
    </dgm:pt>
    <dgm:pt modelId="{13FB18CD-53D1-453D-87D0-7C634E5D73BB}">
      <dgm:prSet phldrT="[Текст]" custT="1"/>
      <dgm:spPr/>
      <dgm:t>
        <a:bodyPr/>
        <a:lstStyle/>
        <a:p>
          <a:r>
            <a:rPr lang="en-US" sz="1100" b="0" i="1">
              <a:latin typeface="Times New Roman" panose="02020603050405020304" pitchFamily="18" charset="0"/>
              <a:cs typeface="Times New Roman" panose="02020603050405020304" pitchFamily="18" charset="0"/>
            </a:rPr>
            <a:t>NDICI – Глобальная Европа</a:t>
          </a:r>
          <a:endParaRPr lang="ru-RU" sz="1100" b="0" i="1">
            <a:latin typeface="Times New Roman" panose="02020603050405020304" pitchFamily="18" charset="0"/>
            <a:cs typeface="Times New Roman" panose="02020603050405020304" pitchFamily="18" charset="0"/>
          </a:endParaRPr>
        </a:p>
      </dgm:t>
    </dgm:pt>
    <dgm:pt modelId="{AC39BF1C-1DFC-42AC-B8CF-3B688A3F7EFF}" type="parTrans" cxnId="{2B78FDB5-7600-470D-BDEC-94C12A33B8A7}">
      <dgm:prSet/>
      <dgm:spPr/>
      <dgm:t>
        <a:bodyPr/>
        <a:lstStyle/>
        <a:p>
          <a:endParaRPr lang="ru-RU" sz="1100">
            <a:latin typeface="Times New Roman" panose="02020603050405020304" pitchFamily="18" charset="0"/>
            <a:cs typeface="Times New Roman" panose="02020603050405020304" pitchFamily="18" charset="0"/>
          </a:endParaRPr>
        </a:p>
      </dgm:t>
    </dgm:pt>
    <dgm:pt modelId="{83DC1149-A59A-479E-B413-F8F74DE3C72E}" type="sibTrans" cxnId="{2B78FDB5-7600-470D-BDEC-94C12A33B8A7}">
      <dgm:prSet/>
      <dgm:spPr/>
      <dgm:t>
        <a:bodyPr/>
        <a:lstStyle/>
        <a:p>
          <a:endParaRPr lang="ru-RU" sz="1100">
            <a:latin typeface="Times New Roman" panose="02020603050405020304" pitchFamily="18" charset="0"/>
            <a:cs typeface="Times New Roman" panose="02020603050405020304" pitchFamily="18" charset="0"/>
          </a:endParaRPr>
        </a:p>
      </dgm:t>
    </dgm:pt>
    <dgm:pt modelId="{C9F04161-2BD8-45EF-9B7B-E55007236BEC}">
      <dgm:prSet phldrT="[Текст]" custT="1"/>
      <dgm:spPr/>
      <dgm:t>
        <a:bodyPr/>
        <a:lstStyle/>
        <a:p>
          <a:pPr algn="ctr"/>
          <a:r>
            <a:rPr lang="ru-RU" sz="1100">
              <a:latin typeface="Times New Roman" panose="02020603050405020304" pitchFamily="18" charset="0"/>
              <a:cs typeface="Times New Roman" panose="02020603050405020304" pitchFamily="18" charset="0"/>
            </a:rPr>
            <a:t>Развитие человеческого капитала ≈ 20%</a:t>
          </a:r>
        </a:p>
        <a:p>
          <a:pPr algn="ctr"/>
          <a:r>
            <a:rPr lang="ru-RU" sz="1100" i="1">
              <a:latin typeface="Times New Roman" panose="02020603050405020304" pitchFamily="18" charset="0"/>
              <a:cs typeface="Times New Roman" panose="02020603050405020304" pitchFamily="18" charset="0"/>
            </a:rPr>
            <a:t>Образование, здравоохранение, социальная защита</a:t>
          </a:r>
        </a:p>
      </dgm:t>
    </dgm:pt>
    <dgm:pt modelId="{E2B35FBB-EE6E-4995-A73E-B4F2342886D8}" type="parTrans" cxnId="{23F4907C-8DDC-4A4A-92CD-6E55C85CFD26}">
      <dgm:prSet/>
      <dgm:spPr/>
      <dgm:t>
        <a:bodyPr/>
        <a:lstStyle/>
        <a:p>
          <a:endParaRPr lang="ru-RU" sz="1100">
            <a:latin typeface="Times New Roman" panose="02020603050405020304" pitchFamily="18" charset="0"/>
            <a:cs typeface="Times New Roman" panose="02020603050405020304" pitchFamily="18" charset="0"/>
          </a:endParaRPr>
        </a:p>
      </dgm:t>
    </dgm:pt>
    <dgm:pt modelId="{0A66FE2F-D95C-44F8-9143-59A724C47CB0}" type="sibTrans" cxnId="{23F4907C-8DDC-4A4A-92CD-6E55C85CFD26}">
      <dgm:prSet/>
      <dgm:spPr/>
      <dgm:t>
        <a:bodyPr/>
        <a:lstStyle/>
        <a:p>
          <a:endParaRPr lang="ru-RU" sz="1100">
            <a:latin typeface="Times New Roman" panose="02020603050405020304" pitchFamily="18" charset="0"/>
            <a:cs typeface="Times New Roman" panose="02020603050405020304" pitchFamily="18" charset="0"/>
          </a:endParaRPr>
        </a:p>
      </dgm:t>
    </dgm:pt>
    <dgm:pt modelId="{DC82506F-41D3-4131-8352-56110A5A42DE}">
      <dgm:prSet phldrT="[Текст]" custT="1"/>
      <dgm:spPr/>
      <dgm:t>
        <a:bodyPr/>
        <a:lstStyle/>
        <a:p>
          <a:r>
            <a:rPr lang="ru-RU" sz="1100">
              <a:latin typeface="Times New Roman" panose="02020603050405020304" pitchFamily="18" charset="0"/>
              <a:cs typeface="Times New Roman" panose="02020603050405020304" pitchFamily="18" charset="0"/>
            </a:rPr>
            <a:t>Климатическая устойчивость более 30%	              </a:t>
          </a:r>
        </a:p>
        <a:p>
          <a:r>
            <a:rPr lang="ru-RU" sz="1100" b="0" i="1">
              <a:latin typeface="Times New Roman" panose="02020603050405020304" pitchFamily="18" charset="0"/>
              <a:cs typeface="Times New Roman" panose="02020603050405020304" pitchFamily="18" charset="0"/>
            </a:rPr>
            <a:t>Поддержка «зелёного курса», инвестиции в климатические проекты</a:t>
          </a:r>
        </a:p>
      </dgm:t>
    </dgm:pt>
    <dgm:pt modelId="{C7F2A4D6-AC11-4C51-A853-730E77F3736D}" type="parTrans" cxnId="{5773A7E7-83B1-41BE-8113-AB522916159D}">
      <dgm:prSet/>
      <dgm:spPr/>
      <dgm:t>
        <a:bodyPr/>
        <a:lstStyle/>
        <a:p>
          <a:endParaRPr lang="ru-RU" sz="1100">
            <a:latin typeface="Times New Roman" panose="02020603050405020304" pitchFamily="18" charset="0"/>
            <a:cs typeface="Times New Roman" panose="02020603050405020304" pitchFamily="18" charset="0"/>
          </a:endParaRPr>
        </a:p>
      </dgm:t>
    </dgm:pt>
    <dgm:pt modelId="{5A7E13C3-F702-4C09-9779-63FFDD04C645}" type="sibTrans" cxnId="{5773A7E7-83B1-41BE-8113-AB522916159D}">
      <dgm:prSet/>
      <dgm:spPr/>
      <dgm:t>
        <a:bodyPr/>
        <a:lstStyle/>
        <a:p>
          <a:endParaRPr lang="ru-RU" sz="1100">
            <a:latin typeface="Times New Roman" panose="02020603050405020304" pitchFamily="18" charset="0"/>
            <a:cs typeface="Times New Roman" panose="02020603050405020304" pitchFamily="18" charset="0"/>
          </a:endParaRPr>
        </a:p>
      </dgm:t>
    </dgm:pt>
    <dgm:pt modelId="{ECDD05CA-24DB-4168-A85A-AE14EA176726}">
      <dgm:prSet phldrT="[Текст]" custT="1"/>
      <dgm:spPr/>
      <dgm:t>
        <a:bodyPr/>
        <a:lstStyle/>
        <a:p>
          <a:r>
            <a:rPr lang="ru-RU" sz="1100">
              <a:latin typeface="Times New Roman" panose="02020603050405020304" pitchFamily="18" charset="0"/>
              <a:cs typeface="Times New Roman" panose="02020603050405020304" pitchFamily="18" charset="0"/>
            </a:rPr>
            <a:t>Официальная помощь развитию до 93% общего бюджета	</a:t>
          </a:r>
        </a:p>
        <a:p>
          <a:r>
            <a:rPr lang="ru-RU" sz="1100" i="1">
              <a:latin typeface="Times New Roman" panose="02020603050405020304" pitchFamily="18" charset="0"/>
              <a:cs typeface="Times New Roman" panose="02020603050405020304" pitchFamily="18" charset="0"/>
            </a:rPr>
            <a:t>Соответствие критериям ОЭСР: транспарентность, подотчётность, устойчивые партнёрства</a:t>
          </a:r>
        </a:p>
      </dgm:t>
    </dgm:pt>
    <dgm:pt modelId="{34FB9C6F-03D7-466C-94E0-396E577F21DD}" type="parTrans" cxnId="{8F53F41C-C05C-47EB-8C60-D9C7E4452D44}">
      <dgm:prSet/>
      <dgm:spPr/>
      <dgm:t>
        <a:bodyPr/>
        <a:lstStyle/>
        <a:p>
          <a:endParaRPr lang="ru-RU" sz="1100">
            <a:latin typeface="Times New Roman" panose="02020603050405020304" pitchFamily="18" charset="0"/>
            <a:cs typeface="Times New Roman" panose="02020603050405020304" pitchFamily="18" charset="0"/>
          </a:endParaRPr>
        </a:p>
      </dgm:t>
    </dgm:pt>
    <dgm:pt modelId="{F12A39DB-33E9-4706-AF31-84B7A713B45D}" type="sibTrans" cxnId="{8F53F41C-C05C-47EB-8C60-D9C7E4452D44}">
      <dgm:prSet/>
      <dgm:spPr/>
      <dgm:t>
        <a:bodyPr/>
        <a:lstStyle/>
        <a:p>
          <a:endParaRPr lang="ru-RU" sz="1100">
            <a:latin typeface="Times New Roman" panose="02020603050405020304" pitchFamily="18" charset="0"/>
            <a:cs typeface="Times New Roman" panose="02020603050405020304" pitchFamily="18" charset="0"/>
          </a:endParaRPr>
        </a:p>
      </dgm:t>
    </dgm:pt>
    <dgm:pt modelId="{8D60A518-EEA3-4C4E-B4C3-5B92A8C66701}">
      <dgm:prSet custT="1"/>
      <dgm:spPr/>
      <dgm:t>
        <a:bodyPr/>
        <a:lstStyle/>
        <a:p>
          <a:r>
            <a:rPr lang="ru-RU" sz="1100">
              <a:latin typeface="Times New Roman" panose="02020603050405020304" pitchFamily="18" charset="0"/>
              <a:cs typeface="Times New Roman" panose="02020603050405020304" pitchFamily="18" charset="0"/>
            </a:rPr>
            <a:t>Миграционная политика	не менее 10%	</a:t>
          </a:r>
        </a:p>
        <a:p>
          <a:r>
            <a:rPr lang="ru-RU" sz="1100" i="1">
              <a:latin typeface="Times New Roman" panose="02020603050405020304" pitchFamily="18" charset="0"/>
              <a:cs typeface="Times New Roman" panose="02020603050405020304" pitchFamily="18" charset="0"/>
            </a:rPr>
            <a:t>Управление мобильностью, миграционным реформам</a:t>
          </a:r>
        </a:p>
      </dgm:t>
    </dgm:pt>
    <dgm:pt modelId="{369FCB3D-1599-4B8A-B7FE-667368453D3F}" type="parTrans" cxnId="{6D7F49AD-1E29-4634-9A2A-77D35F671B4D}">
      <dgm:prSet/>
      <dgm:spPr/>
      <dgm:t>
        <a:bodyPr/>
        <a:lstStyle/>
        <a:p>
          <a:endParaRPr lang="ru-RU" sz="1100">
            <a:latin typeface="Times New Roman" panose="02020603050405020304" pitchFamily="18" charset="0"/>
            <a:cs typeface="Times New Roman" panose="02020603050405020304" pitchFamily="18" charset="0"/>
          </a:endParaRPr>
        </a:p>
      </dgm:t>
    </dgm:pt>
    <dgm:pt modelId="{235F4D0A-6524-4B35-9D89-4D3398BE22B1}" type="sibTrans" cxnId="{6D7F49AD-1E29-4634-9A2A-77D35F671B4D}">
      <dgm:prSet/>
      <dgm:spPr/>
      <dgm:t>
        <a:bodyPr/>
        <a:lstStyle/>
        <a:p>
          <a:endParaRPr lang="ru-RU" sz="1100">
            <a:latin typeface="Times New Roman" panose="02020603050405020304" pitchFamily="18" charset="0"/>
            <a:cs typeface="Times New Roman" panose="02020603050405020304" pitchFamily="18" charset="0"/>
          </a:endParaRPr>
        </a:p>
      </dgm:t>
    </dgm:pt>
    <dgm:pt modelId="{F6A1A3AA-4D20-4960-90CF-7950CD3B5F93}">
      <dgm:prSet custT="1"/>
      <dgm:spPr/>
      <dgm:t>
        <a:bodyPr/>
        <a:lstStyle/>
        <a:p>
          <a:r>
            <a:rPr lang="ru-RU" sz="1100">
              <a:latin typeface="Times New Roman" panose="02020603050405020304" pitchFamily="18" charset="0"/>
              <a:cs typeface="Times New Roman" panose="02020603050405020304" pitchFamily="18" charset="0"/>
            </a:rPr>
            <a:t>Гендерная сбалансированность	</a:t>
          </a:r>
        </a:p>
        <a:p>
          <a:r>
            <a:rPr lang="ru-RU" sz="1100">
              <a:latin typeface="Times New Roman" panose="02020603050405020304" pitchFamily="18" charset="0"/>
              <a:cs typeface="Times New Roman" panose="02020603050405020304" pitchFamily="18" charset="0"/>
            </a:rPr>
            <a:t>≈ 85% всех проектов</a:t>
          </a:r>
        </a:p>
        <a:p>
          <a:r>
            <a:rPr lang="ru-RU" sz="1100" i="1">
              <a:latin typeface="Times New Roman" panose="02020603050405020304" pitchFamily="18" charset="0"/>
              <a:cs typeface="Times New Roman" panose="02020603050405020304" pitchFamily="18" charset="0"/>
            </a:rPr>
            <a:t>Интеграция принципов гендерного равенства в разработку и реализацию программ</a:t>
          </a:r>
        </a:p>
      </dgm:t>
    </dgm:pt>
    <dgm:pt modelId="{01EF290E-D3BE-4990-AAC8-468BA050F20F}" type="parTrans" cxnId="{2D6D6B93-F950-4188-AB82-3B376C1228E2}">
      <dgm:prSet/>
      <dgm:spPr/>
      <dgm:t>
        <a:bodyPr/>
        <a:lstStyle/>
        <a:p>
          <a:endParaRPr lang="ru-RU" sz="1100">
            <a:latin typeface="Times New Roman" panose="02020603050405020304" pitchFamily="18" charset="0"/>
            <a:cs typeface="Times New Roman" panose="02020603050405020304" pitchFamily="18" charset="0"/>
          </a:endParaRPr>
        </a:p>
      </dgm:t>
    </dgm:pt>
    <dgm:pt modelId="{F63B7096-743F-4204-B98C-812F7942BD12}" type="sibTrans" cxnId="{2D6D6B93-F950-4188-AB82-3B376C1228E2}">
      <dgm:prSet/>
      <dgm:spPr/>
      <dgm:t>
        <a:bodyPr/>
        <a:lstStyle/>
        <a:p>
          <a:endParaRPr lang="ru-RU" sz="1100">
            <a:latin typeface="Times New Roman" panose="02020603050405020304" pitchFamily="18" charset="0"/>
            <a:cs typeface="Times New Roman" panose="02020603050405020304" pitchFamily="18" charset="0"/>
          </a:endParaRPr>
        </a:p>
      </dgm:t>
    </dgm:pt>
    <dgm:pt modelId="{050315BA-6FE2-4307-9D1C-E78C61EC49A5}" type="pres">
      <dgm:prSet presAssocID="{716C384B-D27B-4953-9AE1-2FFBED314048}" presName="hierChild1" presStyleCnt="0">
        <dgm:presLayoutVars>
          <dgm:chPref val="1"/>
          <dgm:dir/>
          <dgm:animOne val="branch"/>
          <dgm:animLvl val="lvl"/>
          <dgm:resizeHandles/>
        </dgm:presLayoutVars>
      </dgm:prSet>
      <dgm:spPr/>
      <dgm:t>
        <a:bodyPr/>
        <a:lstStyle/>
        <a:p>
          <a:endParaRPr lang="ru-RU"/>
        </a:p>
      </dgm:t>
    </dgm:pt>
    <dgm:pt modelId="{62F0773B-9538-4489-96B4-146D9D4FDA73}" type="pres">
      <dgm:prSet presAssocID="{13FB18CD-53D1-453D-87D0-7C634E5D73BB}" presName="hierRoot1" presStyleCnt="0"/>
      <dgm:spPr/>
    </dgm:pt>
    <dgm:pt modelId="{FDA9A8E4-635A-4E49-A78E-CA9299854570}" type="pres">
      <dgm:prSet presAssocID="{13FB18CD-53D1-453D-87D0-7C634E5D73BB}" presName="composite" presStyleCnt="0"/>
      <dgm:spPr/>
    </dgm:pt>
    <dgm:pt modelId="{FE8288A7-666E-4F55-A27A-D536929B545E}" type="pres">
      <dgm:prSet presAssocID="{13FB18CD-53D1-453D-87D0-7C634E5D73BB}" presName="background" presStyleLbl="node0" presStyleIdx="0" presStyleCnt="1"/>
      <dgm:spPr/>
    </dgm:pt>
    <dgm:pt modelId="{377B4411-CAD7-4BFD-A92D-B404521974AD}" type="pres">
      <dgm:prSet presAssocID="{13FB18CD-53D1-453D-87D0-7C634E5D73BB}" presName="text" presStyleLbl="fgAcc0" presStyleIdx="0" presStyleCnt="1" custScaleX="275919" custScaleY="163907" custLinFactNeighborX="-16792" custLinFactNeighborY="-63291">
        <dgm:presLayoutVars>
          <dgm:chPref val="3"/>
        </dgm:presLayoutVars>
      </dgm:prSet>
      <dgm:spPr/>
      <dgm:t>
        <a:bodyPr/>
        <a:lstStyle/>
        <a:p>
          <a:endParaRPr lang="ru-RU"/>
        </a:p>
      </dgm:t>
    </dgm:pt>
    <dgm:pt modelId="{4C83B49D-5337-40E2-8E2F-6E377DF24B09}" type="pres">
      <dgm:prSet presAssocID="{13FB18CD-53D1-453D-87D0-7C634E5D73BB}" presName="hierChild2" presStyleCnt="0"/>
      <dgm:spPr/>
    </dgm:pt>
    <dgm:pt modelId="{71261AAC-F851-4A33-9BA9-C7C9C646CE26}" type="pres">
      <dgm:prSet presAssocID="{E2B35FBB-EE6E-4995-A73E-B4F2342886D8}" presName="Name10" presStyleLbl="parChTrans1D2" presStyleIdx="0" presStyleCnt="3"/>
      <dgm:spPr/>
      <dgm:t>
        <a:bodyPr/>
        <a:lstStyle/>
        <a:p>
          <a:endParaRPr lang="ru-RU"/>
        </a:p>
      </dgm:t>
    </dgm:pt>
    <dgm:pt modelId="{19BD6632-4F60-4DA4-AC08-CAE818805166}" type="pres">
      <dgm:prSet presAssocID="{C9F04161-2BD8-45EF-9B7B-E55007236BEC}" presName="hierRoot2" presStyleCnt="0"/>
      <dgm:spPr/>
    </dgm:pt>
    <dgm:pt modelId="{94EA8C82-2D75-4D4C-91A1-6AF6549B2ED2}" type="pres">
      <dgm:prSet presAssocID="{C9F04161-2BD8-45EF-9B7B-E55007236BEC}" presName="composite2" presStyleCnt="0"/>
      <dgm:spPr/>
    </dgm:pt>
    <dgm:pt modelId="{1279335D-6809-4544-84EC-BDEC91CF4BB8}" type="pres">
      <dgm:prSet presAssocID="{C9F04161-2BD8-45EF-9B7B-E55007236BEC}" presName="background2" presStyleLbl="node2" presStyleIdx="0" presStyleCnt="3"/>
      <dgm:spPr/>
    </dgm:pt>
    <dgm:pt modelId="{2ABBFD8C-A390-4655-8E73-91846D4F35FC}" type="pres">
      <dgm:prSet presAssocID="{C9F04161-2BD8-45EF-9B7B-E55007236BEC}" presName="text2" presStyleLbl="fgAcc2" presStyleIdx="0" presStyleCnt="3" custScaleX="220279" custScaleY="201628" custLinFactNeighborX="-30871" custLinFactNeighborY="-972">
        <dgm:presLayoutVars>
          <dgm:chPref val="3"/>
        </dgm:presLayoutVars>
      </dgm:prSet>
      <dgm:spPr/>
      <dgm:t>
        <a:bodyPr/>
        <a:lstStyle/>
        <a:p>
          <a:endParaRPr lang="ru-RU"/>
        </a:p>
      </dgm:t>
    </dgm:pt>
    <dgm:pt modelId="{B47494CA-23F7-49AD-B214-DBA7AB86C54E}" type="pres">
      <dgm:prSet presAssocID="{C9F04161-2BD8-45EF-9B7B-E55007236BEC}" presName="hierChild3" presStyleCnt="0"/>
      <dgm:spPr/>
    </dgm:pt>
    <dgm:pt modelId="{8D9C4917-1928-41EA-AC01-A36C65585A44}" type="pres">
      <dgm:prSet presAssocID="{C7F2A4D6-AC11-4C51-A853-730E77F3736D}" presName="Name10" presStyleLbl="parChTrans1D2" presStyleIdx="1" presStyleCnt="3"/>
      <dgm:spPr/>
      <dgm:t>
        <a:bodyPr/>
        <a:lstStyle/>
        <a:p>
          <a:endParaRPr lang="ru-RU"/>
        </a:p>
      </dgm:t>
    </dgm:pt>
    <dgm:pt modelId="{CEE2281B-EB5F-41AC-B706-DBBC35D24A8A}" type="pres">
      <dgm:prSet presAssocID="{DC82506F-41D3-4131-8352-56110A5A42DE}" presName="hierRoot2" presStyleCnt="0"/>
      <dgm:spPr/>
    </dgm:pt>
    <dgm:pt modelId="{C5278EB0-2E8A-46EB-B03E-E9D08F08B998}" type="pres">
      <dgm:prSet presAssocID="{DC82506F-41D3-4131-8352-56110A5A42DE}" presName="composite2" presStyleCnt="0"/>
      <dgm:spPr/>
    </dgm:pt>
    <dgm:pt modelId="{1B875523-5D77-45AE-8BE3-4202549CEAFE}" type="pres">
      <dgm:prSet presAssocID="{DC82506F-41D3-4131-8352-56110A5A42DE}" presName="background2" presStyleLbl="node2" presStyleIdx="1" presStyleCnt="3"/>
      <dgm:spPr/>
    </dgm:pt>
    <dgm:pt modelId="{02ECE9A5-993F-4A08-BEDA-EB4F8489BD9C}" type="pres">
      <dgm:prSet presAssocID="{DC82506F-41D3-4131-8352-56110A5A42DE}" presName="text2" presStyleLbl="fgAcc2" presStyleIdx="1" presStyleCnt="3" custScaleX="320156" custScaleY="172737" custLinFactNeighborX="-2365" custLinFactNeighborY="12408">
        <dgm:presLayoutVars>
          <dgm:chPref val="3"/>
        </dgm:presLayoutVars>
      </dgm:prSet>
      <dgm:spPr/>
      <dgm:t>
        <a:bodyPr/>
        <a:lstStyle/>
        <a:p>
          <a:endParaRPr lang="ru-RU"/>
        </a:p>
      </dgm:t>
    </dgm:pt>
    <dgm:pt modelId="{692AB972-0088-4028-AB62-AAA92B987607}" type="pres">
      <dgm:prSet presAssocID="{DC82506F-41D3-4131-8352-56110A5A42DE}" presName="hierChild3" presStyleCnt="0"/>
      <dgm:spPr/>
    </dgm:pt>
    <dgm:pt modelId="{7A5802D8-BF2B-4920-B1BF-55A0E017221B}" type="pres">
      <dgm:prSet presAssocID="{01EF290E-D3BE-4990-AAC8-468BA050F20F}" presName="Name17" presStyleLbl="parChTrans1D3" presStyleIdx="0" presStyleCnt="2"/>
      <dgm:spPr/>
      <dgm:t>
        <a:bodyPr/>
        <a:lstStyle/>
        <a:p>
          <a:endParaRPr lang="ru-RU"/>
        </a:p>
      </dgm:t>
    </dgm:pt>
    <dgm:pt modelId="{97DFCEC6-DAA2-43C1-90B5-BA280148E4BD}" type="pres">
      <dgm:prSet presAssocID="{F6A1A3AA-4D20-4960-90CF-7950CD3B5F93}" presName="hierRoot3" presStyleCnt="0"/>
      <dgm:spPr/>
    </dgm:pt>
    <dgm:pt modelId="{371EA6F8-BB1F-4E37-8B76-F2DE724356A2}" type="pres">
      <dgm:prSet presAssocID="{F6A1A3AA-4D20-4960-90CF-7950CD3B5F93}" presName="composite3" presStyleCnt="0"/>
      <dgm:spPr/>
    </dgm:pt>
    <dgm:pt modelId="{3BBA5FB1-312A-45BD-A3FD-AB19A1318A46}" type="pres">
      <dgm:prSet presAssocID="{F6A1A3AA-4D20-4960-90CF-7950CD3B5F93}" presName="background3" presStyleLbl="node3" presStyleIdx="0" presStyleCnt="2"/>
      <dgm:spPr/>
    </dgm:pt>
    <dgm:pt modelId="{D95A034A-03D3-4A0F-BD8E-94EEA3169C39}" type="pres">
      <dgm:prSet presAssocID="{F6A1A3AA-4D20-4960-90CF-7950CD3B5F93}" presName="text3" presStyleLbl="fgAcc3" presStyleIdx="0" presStyleCnt="2" custScaleX="352075" custScaleY="243654" custLinFactNeighborX="11802" custLinFactNeighborY="57013">
        <dgm:presLayoutVars>
          <dgm:chPref val="3"/>
        </dgm:presLayoutVars>
      </dgm:prSet>
      <dgm:spPr/>
      <dgm:t>
        <a:bodyPr/>
        <a:lstStyle/>
        <a:p>
          <a:endParaRPr lang="ru-RU"/>
        </a:p>
      </dgm:t>
    </dgm:pt>
    <dgm:pt modelId="{91E222B1-B407-4832-8C9F-EC1D361B6A3D}" type="pres">
      <dgm:prSet presAssocID="{F6A1A3AA-4D20-4960-90CF-7950CD3B5F93}" presName="hierChild4" presStyleCnt="0"/>
      <dgm:spPr/>
    </dgm:pt>
    <dgm:pt modelId="{F99F6B65-6627-44ED-9C28-A6D3C0F287BE}" type="pres">
      <dgm:prSet presAssocID="{34FB9C6F-03D7-466C-94E0-396E577F21DD}" presName="Name17" presStyleLbl="parChTrans1D3" presStyleIdx="1" presStyleCnt="2"/>
      <dgm:spPr/>
      <dgm:t>
        <a:bodyPr/>
        <a:lstStyle/>
        <a:p>
          <a:endParaRPr lang="ru-RU"/>
        </a:p>
      </dgm:t>
    </dgm:pt>
    <dgm:pt modelId="{4796233F-EC99-423E-8D02-D16B46C85B42}" type="pres">
      <dgm:prSet presAssocID="{ECDD05CA-24DB-4168-A85A-AE14EA176726}" presName="hierRoot3" presStyleCnt="0"/>
      <dgm:spPr/>
    </dgm:pt>
    <dgm:pt modelId="{B5F81EA8-268F-4159-80AB-707455C0AA17}" type="pres">
      <dgm:prSet presAssocID="{ECDD05CA-24DB-4168-A85A-AE14EA176726}" presName="composite3" presStyleCnt="0"/>
      <dgm:spPr/>
    </dgm:pt>
    <dgm:pt modelId="{92D8463C-E66B-4BA3-B573-95D298BF241B}" type="pres">
      <dgm:prSet presAssocID="{ECDD05CA-24DB-4168-A85A-AE14EA176726}" presName="background3" presStyleLbl="node3" presStyleIdx="1" presStyleCnt="2"/>
      <dgm:spPr/>
    </dgm:pt>
    <dgm:pt modelId="{78F252AC-30C5-4E0C-9E89-FB626AF7847E}" type="pres">
      <dgm:prSet presAssocID="{ECDD05CA-24DB-4168-A85A-AE14EA176726}" presName="text3" presStyleLbl="fgAcc3" presStyleIdx="1" presStyleCnt="2" custScaleX="339275" custScaleY="228186" custLinFactNeighborX="72030" custLinFactNeighborY="58945">
        <dgm:presLayoutVars>
          <dgm:chPref val="3"/>
        </dgm:presLayoutVars>
      </dgm:prSet>
      <dgm:spPr/>
      <dgm:t>
        <a:bodyPr/>
        <a:lstStyle/>
        <a:p>
          <a:endParaRPr lang="ru-RU"/>
        </a:p>
      </dgm:t>
    </dgm:pt>
    <dgm:pt modelId="{E3A84A48-A4B7-4575-B863-8679C4B0828F}" type="pres">
      <dgm:prSet presAssocID="{ECDD05CA-24DB-4168-A85A-AE14EA176726}" presName="hierChild4" presStyleCnt="0"/>
      <dgm:spPr/>
    </dgm:pt>
    <dgm:pt modelId="{D22B8E00-E747-4841-AF5C-BADB2A6BDCB4}" type="pres">
      <dgm:prSet presAssocID="{369FCB3D-1599-4B8A-B7FE-667368453D3F}" presName="Name10" presStyleLbl="parChTrans1D2" presStyleIdx="2" presStyleCnt="3"/>
      <dgm:spPr/>
      <dgm:t>
        <a:bodyPr/>
        <a:lstStyle/>
        <a:p>
          <a:endParaRPr lang="ru-RU"/>
        </a:p>
      </dgm:t>
    </dgm:pt>
    <dgm:pt modelId="{D63D4F26-F9C6-45CF-9D11-32D587C4A08A}" type="pres">
      <dgm:prSet presAssocID="{8D60A518-EEA3-4C4E-B4C3-5B92A8C66701}" presName="hierRoot2" presStyleCnt="0"/>
      <dgm:spPr/>
    </dgm:pt>
    <dgm:pt modelId="{FE8DA7D9-3AD6-4E42-99FF-F344215E0D5C}" type="pres">
      <dgm:prSet presAssocID="{8D60A518-EEA3-4C4E-B4C3-5B92A8C66701}" presName="composite2" presStyleCnt="0"/>
      <dgm:spPr/>
    </dgm:pt>
    <dgm:pt modelId="{5C840EFD-82C6-460C-A31C-CA5870C0FB82}" type="pres">
      <dgm:prSet presAssocID="{8D60A518-EEA3-4C4E-B4C3-5B92A8C66701}" presName="background2" presStyleLbl="node2" presStyleIdx="2" presStyleCnt="3"/>
      <dgm:spPr/>
    </dgm:pt>
    <dgm:pt modelId="{DA20B197-9DA8-4759-9F68-29F8B9F17C78}" type="pres">
      <dgm:prSet presAssocID="{8D60A518-EEA3-4C4E-B4C3-5B92A8C66701}" presName="text2" presStyleLbl="fgAcc2" presStyleIdx="2" presStyleCnt="3" custScaleX="285030" custScaleY="192238">
        <dgm:presLayoutVars>
          <dgm:chPref val="3"/>
        </dgm:presLayoutVars>
      </dgm:prSet>
      <dgm:spPr/>
      <dgm:t>
        <a:bodyPr/>
        <a:lstStyle/>
        <a:p>
          <a:endParaRPr lang="ru-RU"/>
        </a:p>
      </dgm:t>
    </dgm:pt>
    <dgm:pt modelId="{A54E46E7-F3BF-4A73-AF7A-746ACB1F420E}" type="pres">
      <dgm:prSet presAssocID="{8D60A518-EEA3-4C4E-B4C3-5B92A8C66701}" presName="hierChild3" presStyleCnt="0"/>
      <dgm:spPr/>
    </dgm:pt>
  </dgm:ptLst>
  <dgm:cxnLst>
    <dgm:cxn modelId="{80639E6F-5637-4FA9-97B8-490700EC15FC}" type="presOf" srcId="{C9F04161-2BD8-45EF-9B7B-E55007236BEC}" destId="{2ABBFD8C-A390-4655-8E73-91846D4F35FC}" srcOrd="0" destOrd="0" presId="urn:microsoft.com/office/officeart/2005/8/layout/hierarchy1"/>
    <dgm:cxn modelId="{6D7F49AD-1E29-4634-9A2A-77D35F671B4D}" srcId="{13FB18CD-53D1-453D-87D0-7C634E5D73BB}" destId="{8D60A518-EEA3-4C4E-B4C3-5B92A8C66701}" srcOrd="2" destOrd="0" parTransId="{369FCB3D-1599-4B8A-B7FE-667368453D3F}" sibTransId="{235F4D0A-6524-4B35-9D89-4D3398BE22B1}"/>
    <dgm:cxn modelId="{CD6156FA-8571-44C2-979A-AECBC496C93B}" type="presOf" srcId="{DC82506F-41D3-4131-8352-56110A5A42DE}" destId="{02ECE9A5-993F-4A08-BEDA-EB4F8489BD9C}" srcOrd="0" destOrd="0" presId="urn:microsoft.com/office/officeart/2005/8/layout/hierarchy1"/>
    <dgm:cxn modelId="{99008B49-E645-4CDC-8966-FD81080C82C4}" type="presOf" srcId="{C7F2A4D6-AC11-4C51-A853-730E77F3736D}" destId="{8D9C4917-1928-41EA-AC01-A36C65585A44}" srcOrd="0" destOrd="0" presId="urn:microsoft.com/office/officeart/2005/8/layout/hierarchy1"/>
    <dgm:cxn modelId="{2D6D6B93-F950-4188-AB82-3B376C1228E2}" srcId="{DC82506F-41D3-4131-8352-56110A5A42DE}" destId="{F6A1A3AA-4D20-4960-90CF-7950CD3B5F93}" srcOrd="0" destOrd="0" parTransId="{01EF290E-D3BE-4990-AAC8-468BA050F20F}" sibTransId="{F63B7096-743F-4204-B98C-812F7942BD12}"/>
    <dgm:cxn modelId="{2CCA6CEF-F8EE-4DB7-BD07-76A59AC015CD}" type="presOf" srcId="{369FCB3D-1599-4B8A-B7FE-667368453D3F}" destId="{D22B8E00-E747-4841-AF5C-BADB2A6BDCB4}" srcOrd="0" destOrd="0" presId="urn:microsoft.com/office/officeart/2005/8/layout/hierarchy1"/>
    <dgm:cxn modelId="{F832DE99-BD38-4F7B-A69A-84EF9E951487}" type="presOf" srcId="{34FB9C6F-03D7-466C-94E0-396E577F21DD}" destId="{F99F6B65-6627-44ED-9C28-A6D3C0F287BE}" srcOrd="0" destOrd="0" presId="urn:microsoft.com/office/officeart/2005/8/layout/hierarchy1"/>
    <dgm:cxn modelId="{5773A7E7-83B1-41BE-8113-AB522916159D}" srcId="{13FB18CD-53D1-453D-87D0-7C634E5D73BB}" destId="{DC82506F-41D3-4131-8352-56110A5A42DE}" srcOrd="1" destOrd="0" parTransId="{C7F2A4D6-AC11-4C51-A853-730E77F3736D}" sibTransId="{5A7E13C3-F702-4C09-9779-63FFDD04C645}"/>
    <dgm:cxn modelId="{FAC1615D-2149-4DAD-9D35-E03394FF70EE}" type="presOf" srcId="{8D60A518-EEA3-4C4E-B4C3-5B92A8C66701}" destId="{DA20B197-9DA8-4759-9F68-29F8B9F17C78}" srcOrd="0" destOrd="0" presId="urn:microsoft.com/office/officeart/2005/8/layout/hierarchy1"/>
    <dgm:cxn modelId="{8FFA8E4E-E03B-45A1-AD57-DBC84A3FC4B7}" type="presOf" srcId="{716C384B-D27B-4953-9AE1-2FFBED314048}" destId="{050315BA-6FE2-4307-9D1C-E78C61EC49A5}" srcOrd="0" destOrd="0" presId="urn:microsoft.com/office/officeart/2005/8/layout/hierarchy1"/>
    <dgm:cxn modelId="{8F53F41C-C05C-47EB-8C60-D9C7E4452D44}" srcId="{DC82506F-41D3-4131-8352-56110A5A42DE}" destId="{ECDD05CA-24DB-4168-A85A-AE14EA176726}" srcOrd="1" destOrd="0" parTransId="{34FB9C6F-03D7-466C-94E0-396E577F21DD}" sibTransId="{F12A39DB-33E9-4706-AF31-84B7A713B45D}"/>
    <dgm:cxn modelId="{E0123FBD-D76E-4C1D-B349-CD7F601BA0E1}" type="presOf" srcId="{13FB18CD-53D1-453D-87D0-7C634E5D73BB}" destId="{377B4411-CAD7-4BFD-A92D-B404521974AD}" srcOrd="0" destOrd="0" presId="urn:microsoft.com/office/officeart/2005/8/layout/hierarchy1"/>
    <dgm:cxn modelId="{4CE8CDFB-B60E-48CC-A210-535F8B8087B4}" type="presOf" srcId="{E2B35FBB-EE6E-4995-A73E-B4F2342886D8}" destId="{71261AAC-F851-4A33-9BA9-C7C9C646CE26}" srcOrd="0" destOrd="0" presId="urn:microsoft.com/office/officeart/2005/8/layout/hierarchy1"/>
    <dgm:cxn modelId="{EA184412-8196-493F-8DE5-6BB044840099}" type="presOf" srcId="{ECDD05CA-24DB-4168-A85A-AE14EA176726}" destId="{78F252AC-30C5-4E0C-9E89-FB626AF7847E}" srcOrd="0" destOrd="0" presId="urn:microsoft.com/office/officeart/2005/8/layout/hierarchy1"/>
    <dgm:cxn modelId="{077E4664-7E5D-4669-A78A-B489C8207FB8}" type="presOf" srcId="{01EF290E-D3BE-4990-AAC8-468BA050F20F}" destId="{7A5802D8-BF2B-4920-B1BF-55A0E017221B}" srcOrd="0" destOrd="0" presId="urn:microsoft.com/office/officeart/2005/8/layout/hierarchy1"/>
    <dgm:cxn modelId="{23F4907C-8DDC-4A4A-92CD-6E55C85CFD26}" srcId="{13FB18CD-53D1-453D-87D0-7C634E5D73BB}" destId="{C9F04161-2BD8-45EF-9B7B-E55007236BEC}" srcOrd="0" destOrd="0" parTransId="{E2B35FBB-EE6E-4995-A73E-B4F2342886D8}" sibTransId="{0A66FE2F-D95C-44F8-9143-59A724C47CB0}"/>
    <dgm:cxn modelId="{9B48B2AB-F4E2-483C-A4B0-B9445B714339}" type="presOf" srcId="{F6A1A3AA-4D20-4960-90CF-7950CD3B5F93}" destId="{D95A034A-03D3-4A0F-BD8E-94EEA3169C39}" srcOrd="0" destOrd="0" presId="urn:microsoft.com/office/officeart/2005/8/layout/hierarchy1"/>
    <dgm:cxn modelId="{2B78FDB5-7600-470D-BDEC-94C12A33B8A7}" srcId="{716C384B-D27B-4953-9AE1-2FFBED314048}" destId="{13FB18CD-53D1-453D-87D0-7C634E5D73BB}" srcOrd="0" destOrd="0" parTransId="{AC39BF1C-1DFC-42AC-B8CF-3B688A3F7EFF}" sibTransId="{83DC1149-A59A-479E-B413-F8F74DE3C72E}"/>
    <dgm:cxn modelId="{72B0D0B3-B8A1-467C-84D8-E36C787ABCFD}" type="presParOf" srcId="{050315BA-6FE2-4307-9D1C-E78C61EC49A5}" destId="{62F0773B-9538-4489-96B4-146D9D4FDA73}" srcOrd="0" destOrd="0" presId="urn:microsoft.com/office/officeart/2005/8/layout/hierarchy1"/>
    <dgm:cxn modelId="{3F44321C-5441-4A22-AD58-369BBE3FDEE9}" type="presParOf" srcId="{62F0773B-9538-4489-96B4-146D9D4FDA73}" destId="{FDA9A8E4-635A-4E49-A78E-CA9299854570}" srcOrd="0" destOrd="0" presId="urn:microsoft.com/office/officeart/2005/8/layout/hierarchy1"/>
    <dgm:cxn modelId="{A6D29F5F-38EA-46C0-926E-13ACB79BA2B5}" type="presParOf" srcId="{FDA9A8E4-635A-4E49-A78E-CA9299854570}" destId="{FE8288A7-666E-4F55-A27A-D536929B545E}" srcOrd="0" destOrd="0" presId="urn:microsoft.com/office/officeart/2005/8/layout/hierarchy1"/>
    <dgm:cxn modelId="{70401357-F94B-465E-81FE-FD831C9C0832}" type="presParOf" srcId="{FDA9A8E4-635A-4E49-A78E-CA9299854570}" destId="{377B4411-CAD7-4BFD-A92D-B404521974AD}" srcOrd="1" destOrd="0" presId="urn:microsoft.com/office/officeart/2005/8/layout/hierarchy1"/>
    <dgm:cxn modelId="{92D46EB4-CD47-48A2-BA72-7238E37966C6}" type="presParOf" srcId="{62F0773B-9538-4489-96B4-146D9D4FDA73}" destId="{4C83B49D-5337-40E2-8E2F-6E377DF24B09}" srcOrd="1" destOrd="0" presId="urn:microsoft.com/office/officeart/2005/8/layout/hierarchy1"/>
    <dgm:cxn modelId="{3D302BA1-89E1-4F23-81E2-EA8C7FAA18B5}" type="presParOf" srcId="{4C83B49D-5337-40E2-8E2F-6E377DF24B09}" destId="{71261AAC-F851-4A33-9BA9-C7C9C646CE26}" srcOrd="0" destOrd="0" presId="urn:microsoft.com/office/officeart/2005/8/layout/hierarchy1"/>
    <dgm:cxn modelId="{373B8F50-2175-47D1-AB4F-BD6D0324F598}" type="presParOf" srcId="{4C83B49D-5337-40E2-8E2F-6E377DF24B09}" destId="{19BD6632-4F60-4DA4-AC08-CAE818805166}" srcOrd="1" destOrd="0" presId="urn:microsoft.com/office/officeart/2005/8/layout/hierarchy1"/>
    <dgm:cxn modelId="{07889F3F-787E-42FB-89F1-0BA8BC8DE74A}" type="presParOf" srcId="{19BD6632-4F60-4DA4-AC08-CAE818805166}" destId="{94EA8C82-2D75-4D4C-91A1-6AF6549B2ED2}" srcOrd="0" destOrd="0" presId="urn:microsoft.com/office/officeart/2005/8/layout/hierarchy1"/>
    <dgm:cxn modelId="{6C601CCD-B319-4A51-A405-0D4D74FD5704}" type="presParOf" srcId="{94EA8C82-2D75-4D4C-91A1-6AF6549B2ED2}" destId="{1279335D-6809-4544-84EC-BDEC91CF4BB8}" srcOrd="0" destOrd="0" presId="urn:microsoft.com/office/officeart/2005/8/layout/hierarchy1"/>
    <dgm:cxn modelId="{15D0D692-85FC-4031-9232-FE765F700A4D}" type="presParOf" srcId="{94EA8C82-2D75-4D4C-91A1-6AF6549B2ED2}" destId="{2ABBFD8C-A390-4655-8E73-91846D4F35FC}" srcOrd="1" destOrd="0" presId="urn:microsoft.com/office/officeart/2005/8/layout/hierarchy1"/>
    <dgm:cxn modelId="{245B8944-5469-47A3-B169-6B0A3A86D13E}" type="presParOf" srcId="{19BD6632-4F60-4DA4-AC08-CAE818805166}" destId="{B47494CA-23F7-49AD-B214-DBA7AB86C54E}" srcOrd="1" destOrd="0" presId="urn:microsoft.com/office/officeart/2005/8/layout/hierarchy1"/>
    <dgm:cxn modelId="{7344F976-B322-4314-A0E3-A5690CDDE6F5}" type="presParOf" srcId="{4C83B49D-5337-40E2-8E2F-6E377DF24B09}" destId="{8D9C4917-1928-41EA-AC01-A36C65585A44}" srcOrd="2" destOrd="0" presId="urn:microsoft.com/office/officeart/2005/8/layout/hierarchy1"/>
    <dgm:cxn modelId="{22347471-1566-4DC8-B58B-9F0F1482B461}" type="presParOf" srcId="{4C83B49D-5337-40E2-8E2F-6E377DF24B09}" destId="{CEE2281B-EB5F-41AC-B706-DBBC35D24A8A}" srcOrd="3" destOrd="0" presId="urn:microsoft.com/office/officeart/2005/8/layout/hierarchy1"/>
    <dgm:cxn modelId="{1F36A89E-E771-49AF-A82B-97E55294F8D0}" type="presParOf" srcId="{CEE2281B-EB5F-41AC-B706-DBBC35D24A8A}" destId="{C5278EB0-2E8A-46EB-B03E-E9D08F08B998}" srcOrd="0" destOrd="0" presId="urn:microsoft.com/office/officeart/2005/8/layout/hierarchy1"/>
    <dgm:cxn modelId="{55088123-4C05-47E7-B22E-FD3292373475}" type="presParOf" srcId="{C5278EB0-2E8A-46EB-B03E-E9D08F08B998}" destId="{1B875523-5D77-45AE-8BE3-4202549CEAFE}" srcOrd="0" destOrd="0" presId="urn:microsoft.com/office/officeart/2005/8/layout/hierarchy1"/>
    <dgm:cxn modelId="{28CDFD1F-55FD-430B-914C-4EC1B7160DEF}" type="presParOf" srcId="{C5278EB0-2E8A-46EB-B03E-E9D08F08B998}" destId="{02ECE9A5-993F-4A08-BEDA-EB4F8489BD9C}" srcOrd="1" destOrd="0" presId="urn:microsoft.com/office/officeart/2005/8/layout/hierarchy1"/>
    <dgm:cxn modelId="{F1BE2D95-657B-4F6F-890F-53D419F52857}" type="presParOf" srcId="{CEE2281B-EB5F-41AC-B706-DBBC35D24A8A}" destId="{692AB972-0088-4028-AB62-AAA92B987607}" srcOrd="1" destOrd="0" presId="urn:microsoft.com/office/officeart/2005/8/layout/hierarchy1"/>
    <dgm:cxn modelId="{66F19F61-7A39-473B-A02D-F5DBD4FFECC1}" type="presParOf" srcId="{692AB972-0088-4028-AB62-AAA92B987607}" destId="{7A5802D8-BF2B-4920-B1BF-55A0E017221B}" srcOrd="0" destOrd="0" presId="urn:microsoft.com/office/officeart/2005/8/layout/hierarchy1"/>
    <dgm:cxn modelId="{5B672EAF-8CD1-4AE2-B055-CD2111204DC5}" type="presParOf" srcId="{692AB972-0088-4028-AB62-AAA92B987607}" destId="{97DFCEC6-DAA2-43C1-90B5-BA280148E4BD}" srcOrd="1" destOrd="0" presId="urn:microsoft.com/office/officeart/2005/8/layout/hierarchy1"/>
    <dgm:cxn modelId="{84AFA16D-8BA9-4D83-8411-E461DE877D90}" type="presParOf" srcId="{97DFCEC6-DAA2-43C1-90B5-BA280148E4BD}" destId="{371EA6F8-BB1F-4E37-8B76-F2DE724356A2}" srcOrd="0" destOrd="0" presId="urn:microsoft.com/office/officeart/2005/8/layout/hierarchy1"/>
    <dgm:cxn modelId="{7DBCDE1E-0F15-4503-B449-482820DF3678}" type="presParOf" srcId="{371EA6F8-BB1F-4E37-8B76-F2DE724356A2}" destId="{3BBA5FB1-312A-45BD-A3FD-AB19A1318A46}" srcOrd="0" destOrd="0" presId="urn:microsoft.com/office/officeart/2005/8/layout/hierarchy1"/>
    <dgm:cxn modelId="{E027721B-98FD-4CD0-94D9-E3121454B7E3}" type="presParOf" srcId="{371EA6F8-BB1F-4E37-8B76-F2DE724356A2}" destId="{D95A034A-03D3-4A0F-BD8E-94EEA3169C39}" srcOrd="1" destOrd="0" presId="urn:microsoft.com/office/officeart/2005/8/layout/hierarchy1"/>
    <dgm:cxn modelId="{7C8A9964-2B79-4833-A6F0-67D93CE7270B}" type="presParOf" srcId="{97DFCEC6-DAA2-43C1-90B5-BA280148E4BD}" destId="{91E222B1-B407-4832-8C9F-EC1D361B6A3D}" srcOrd="1" destOrd="0" presId="urn:microsoft.com/office/officeart/2005/8/layout/hierarchy1"/>
    <dgm:cxn modelId="{BA7F50DA-86CB-4D0A-822E-46D93DBFCD02}" type="presParOf" srcId="{692AB972-0088-4028-AB62-AAA92B987607}" destId="{F99F6B65-6627-44ED-9C28-A6D3C0F287BE}" srcOrd="2" destOrd="0" presId="urn:microsoft.com/office/officeart/2005/8/layout/hierarchy1"/>
    <dgm:cxn modelId="{802B9302-2485-48DD-998C-2FD2D59FEA10}" type="presParOf" srcId="{692AB972-0088-4028-AB62-AAA92B987607}" destId="{4796233F-EC99-423E-8D02-D16B46C85B42}" srcOrd="3" destOrd="0" presId="urn:microsoft.com/office/officeart/2005/8/layout/hierarchy1"/>
    <dgm:cxn modelId="{F2DEC99F-5116-4D0A-AA87-D6A8A1154F20}" type="presParOf" srcId="{4796233F-EC99-423E-8D02-D16B46C85B42}" destId="{B5F81EA8-268F-4159-80AB-707455C0AA17}" srcOrd="0" destOrd="0" presId="urn:microsoft.com/office/officeart/2005/8/layout/hierarchy1"/>
    <dgm:cxn modelId="{FACF8A35-26C5-4F5F-BF27-33027D8FF5CE}" type="presParOf" srcId="{B5F81EA8-268F-4159-80AB-707455C0AA17}" destId="{92D8463C-E66B-4BA3-B573-95D298BF241B}" srcOrd="0" destOrd="0" presId="urn:microsoft.com/office/officeart/2005/8/layout/hierarchy1"/>
    <dgm:cxn modelId="{59BDC467-D759-4C44-9C0C-BAB7052D278B}" type="presParOf" srcId="{B5F81EA8-268F-4159-80AB-707455C0AA17}" destId="{78F252AC-30C5-4E0C-9E89-FB626AF7847E}" srcOrd="1" destOrd="0" presId="urn:microsoft.com/office/officeart/2005/8/layout/hierarchy1"/>
    <dgm:cxn modelId="{6D329F5F-DAB7-4296-B4FA-9AD7CFE36F27}" type="presParOf" srcId="{4796233F-EC99-423E-8D02-D16B46C85B42}" destId="{E3A84A48-A4B7-4575-B863-8679C4B0828F}" srcOrd="1" destOrd="0" presId="urn:microsoft.com/office/officeart/2005/8/layout/hierarchy1"/>
    <dgm:cxn modelId="{8B4BE963-4A01-4116-8E64-B86CFC2CB2E1}" type="presParOf" srcId="{4C83B49D-5337-40E2-8E2F-6E377DF24B09}" destId="{D22B8E00-E747-4841-AF5C-BADB2A6BDCB4}" srcOrd="4" destOrd="0" presId="urn:microsoft.com/office/officeart/2005/8/layout/hierarchy1"/>
    <dgm:cxn modelId="{CBA28F80-767D-47C2-9075-D77A1A0DAB23}" type="presParOf" srcId="{4C83B49D-5337-40E2-8E2F-6E377DF24B09}" destId="{D63D4F26-F9C6-45CF-9D11-32D587C4A08A}" srcOrd="5" destOrd="0" presId="urn:microsoft.com/office/officeart/2005/8/layout/hierarchy1"/>
    <dgm:cxn modelId="{079ED176-451D-4E05-9185-B96DF8554B7C}" type="presParOf" srcId="{D63D4F26-F9C6-45CF-9D11-32D587C4A08A}" destId="{FE8DA7D9-3AD6-4E42-99FF-F344215E0D5C}" srcOrd="0" destOrd="0" presId="urn:microsoft.com/office/officeart/2005/8/layout/hierarchy1"/>
    <dgm:cxn modelId="{DAB0EF21-0F35-4B6A-BFF6-60D8A351BE41}" type="presParOf" srcId="{FE8DA7D9-3AD6-4E42-99FF-F344215E0D5C}" destId="{5C840EFD-82C6-460C-A31C-CA5870C0FB82}" srcOrd="0" destOrd="0" presId="urn:microsoft.com/office/officeart/2005/8/layout/hierarchy1"/>
    <dgm:cxn modelId="{899F285D-343E-4A5F-8205-760971CC4B95}" type="presParOf" srcId="{FE8DA7D9-3AD6-4E42-99FF-F344215E0D5C}" destId="{DA20B197-9DA8-4759-9F68-29F8B9F17C78}" srcOrd="1" destOrd="0" presId="urn:microsoft.com/office/officeart/2005/8/layout/hierarchy1"/>
    <dgm:cxn modelId="{ED4D346F-93E9-4D65-A70C-64740732A7CE}" type="presParOf" srcId="{D63D4F26-F9C6-45CF-9D11-32D587C4A08A}" destId="{A54E46E7-F3BF-4A73-AF7A-746ACB1F420E}" srcOrd="1" destOrd="0" presId="urn:microsoft.com/office/officeart/2005/8/layout/hierarchy1"/>
  </dgm:cxnLst>
  <dgm:bg/>
  <dgm:whole/>
  <dgm:extLst>
    <a:ext uri="http://schemas.microsoft.com/office/drawing/2008/diagram">
      <dsp:dataModelExt xmlns:dsp="http://schemas.microsoft.com/office/drawing/2008/diagram" relId="rId10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E20E3E4-E637-440A-950F-0F109F59E4D0}" type="doc">
      <dgm:prSet loTypeId="urn:microsoft.com/office/officeart/2008/layout/NameandTitleOrganizationalChart" loCatId="hierarchy" qsTypeId="urn:microsoft.com/office/officeart/2005/8/quickstyle/simple1" qsCatId="simple" csTypeId="urn:microsoft.com/office/officeart/2005/8/colors/accent3_1" csCatId="accent3" phldr="1"/>
      <dgm:spPr/>
      <dgm:t>
        <a:bodyPr/>
        <a:lstStyle/>
        <a:p>
          <a:endParaRPr lang="ru-RU"/>
        </a:p>
      </dgm:t>
    </dgm:pt>
    <dgm:pt modelId="{A5421E4E-B5EF-4CB2-B1A6-77F1D73AB4D5}" type="asst">
      <dgm:prSet phldrT="[Текст]" custT="1"/>
      <dgm:spPr/>
      <dgm:t>
        <a:bodyPr/>
        <a:lstStyle/>
        <a:p>
          <a:r>
            <a:rPr lang="ru-RU" sz="1200" b="0" i="1">
              <a:latin typeface="Times New Roman" panose="02020603050405020304" pitchFamily="18" charset="0"/>
              <a:cs typeface="Times New Roman" panose="02020603050405020304" pitchFamily="18" charset="0"/>
            </a:rPr>
            <a:t>Системная проблема</a:t>
          </a:r>
        </a:p>
      </dgm:t>
    </dgm:pt>
    <dgm:pt modelId="{316B9334-08CE-41DD-B9CB-4AAD4DB7879E}" type="parTrans" cxnId="{0C0A13A1-F747-404F-ABBD-EE42F4104CB7}">
      <dgm:prSet/>
      <dgm:spPr/>
      <dgm:t>
        <a:bodyPr/>
        <a:lstStyle/>
        <a:p>
          <a:endParaRPr lang="ru-RU" sz="1200" b="0">
            <a:latin typeface="Times New Roman" panose="02020603050405020304" pitchFamily="18" charset="0"/>
            <a:cs typeface="Times New Roman" panose="02020603050405020304" pitchFamily="18" charset="0"/>
          </a:endParaRPr>
        </a:p>
      </dgm:t>
    </dgm:pt>
    <dgm:pt modelId="{D2F35AFB-20CD-4B37-8F77-684FDB36A8AF}" type="sibTrans" cxnId="{0C0A13A1-F747-404F-ABBD-EE42F4104CB7}">
      <dgm:prSet custT="1"/>
      <dgm:spPr/>
      <dgm:t>
        <a:bodyPr/>
        <a:lstStyle/>
        <a:p>
          <a:pPr algn="l"/>
          <a:r>
            <a:rPr lang="ru-RU" sz="1200" b="0">
              <a:latin typeface="Times New Roman" panose="02020603050405020304" pitchFamily="18" charset="0"/>
              <a:cs typeface="Times New Roman" panose="02020603050405020304" pitchFamily="18" charset="0"/>
            </a:rPr>
            <a:t>- юридическая неопре делённость критериев;</a:t>
          </a:r>
        </a:p>
        <a:p>
          <a:pPr algn="l"/>
          <a:r>
            <a:rPr lang="ru-RU" sz="1200" b="0">
              <a:latin typeface="Times New Roman" panose="02020603050405020304" pitchFamily="18" charset="0"/>
              <a:cs typeface="Times New Roman" panose="02020603050405020304" pitchFamily="18" charset="0"/>
            </a:rPr>
            <a:t>- политическая фрагмен тация, медленные процедуры;</a:t>
          </a:r>
        </a:p>
        <a:p>
          <a:pPr algn="l"/>
          <a:r>
            <a:rPr lang="ru-RU" sz="1200" b="0">
              <a:latin typeface="Times New Roman" panose="02020603050405020304" pitchFamily="18" charset="0"/>
              <a:cs typeface="Times New Roman" panose="02020603050405020304" pitchFamily="18" charset="0"/>
            </a:rPr>
            <a:t>- перекрёстие географи ческих и тематических санкций;</a:t>
          </a:r>
        </a:p>
        <a:p>
          <a:pPr algn="l"/>
          <a:r>
            <a:rPr lang="ru-RU" sz="1200" b="0">
              <a:latin typeface="Times New Roman" panose="02020603050405020304" pitchFamily="18" charset="0"/>
              <a:cs typeface="Times New Roman" panose="02020603050405020304" pitchFamily="18" charset="0"/>
            </a:rPr>
            <a:t>- разрозненность между народных санкционных подходов</a:t>
          </a:r>
        </a:p>
      </dgm:t>
    </dgm:pt>
    <dgm:pt modelId="{84607BBA-85F9-4A47-907F-E0ACED57473D}" type="asst">
      <dgm:prSet custT="1"/>
      <dgm:spPr/>
      <dgm:t>
        <a:bodyPr/>
        <a:lstStyle/>
        <a:p>
          <a:r>
            <a:rPr lang="ru-RU" sz="1200" b="0" i="1">
              <a:latin typeface="Times New Roman" panose="02020603050405020304" pitchFamily="18" charset="0"/>
              <a:cs typeface="Times New Roman" panose="02020603050405020304" pitchFamily="18" charset="0"/>
            </a:rPr>
            <a:t>Стратегическая цель</a:t>
          </a:r>
        </a:p>
      </dgm:t>
    </dgm:pt>
    <dgm:pt modelId="{1A11CF2F-065E-40A8-9B9B-CF2EBD5CDF88}" type="parTrans" cxnId="{C39B0735-8E1D-4D78-A256-47FA3F282553}">
      <dgm:prSet/>
      <dgm:spPr/>
      <dgm:t>
        <a:bodyPr/>
        <a:lstStyle/>
        <a:p>
          <a:endParaRPr lang="ru-RU" sz="1200" b="0">
            <a:latin typeface="Times New Roman" panose="02020603050405020304" pitchFamily="18" charset="0"/>
            <a:cs typeface="Times New Roman" panose="02020603050405020304" pitchFamily="18" charset="0"/>
          </a:endParaRPr>
        </a:p>
      </dgm:t>
    </dgm:pt>
    <dgm:pt modelId="{84978130-0168-46C6-AB0F-E28584FEDE4F}" type="sibTrans" cxnId="{C39B0735-8E1D-4D78-A256-47FA3F282553}">
      <dgm:prSet custT="1"/>
      <dgm:spPr/>
      <dgm:t>
        <a:bodyPr/>
        <a:lstStyle/>
        <a:p>
          <a:endParaRPr lang="ru-RU" sz="1200" b="0">
            <a:latin typeface="Times New Roman" panose="02020603050405020304" pitchFamily="18" charset="0"/>
            <a:cs typeface="Times New Roman" panose="02020603050405020304" pitchFamily="18" charset="0"/>
          </a:endParaRPr>
        </a:p>
        <a:p>
          <a:r>
            <a:rPr lang="ru-RU" sz="1200" b="0">
              <a:latin typeface="Times New Roman" panose="02020603050405020304" pitchFamily="18" charset="0"/>
              <a:cs typeface="Times New Roman" panose="02020603050405020304" pitchFamily="18" charset="0"/>
            </a:rPr>
            <a:t>- прозрачность и правовая предсказуемость;</a:t>
          </a:r>
        </a:p>
        <a:p>
          <a:r>
            <a:rPr lang="ru-RU" sz="1200" b="0">
              <a:latin typeface="Times New Roman" panose="02020603050405020304" pitchFamily="18" charset="0"/>
              <a:cs typeface="Times New Roman" panose="02020603050405020304" pitchFamily="18" charset="0"/>
            </a:rPr>
            <a:t>- оперативность и адаптивность;</a:t>
          </a:r>
        </a:p>
        <a:p>
          <a:r>
            <a:rPr lang="ru-RU" sz="1200" b="0">
              <a:latin typeface="Times New Roman" panose="02020603050405020304" pitchFamily="18" charset="0"/>
              <a:cs typeface="Times New Roman" panose="02020603050405020304" pitchFamily="18" charset="0"/>
            </a:rPr>
            <a:t>- системная координация;</a:t>
          </a:r>
        </a:p>
        <a:p>
          <a:r>
            <a:rPr lang="ru-RU" sz="1200" b="0">
              <a:latin typeface="Times New Roman" panose="02020603050405020304" pitchFamily="18" charset="0"/>
              <a:cs typeface="Times New Roman" panose="02020603050405020304" pitchFamily="18" charset="0"/>
            </a:rPr>
            <a:t>- международная консолидация</a:t>
          </a:r>
        </a:p>
        <a:p>
          <a:pPr algn="l"/>
          <a:endParaRPr lang="ru-RU" sz="1200" b="0">
            <a:latin typeface="Times New Roman" panose="02020603050405020304" pitchFamily="18" charset="0"/>
            <a:cs typeface="Times New Roman" panose="02020603050405020304" pitchFamily="18" charset="0"/>
          </a:endParaRPr>
        </a:p>
      </dgm:t>
    </dgm:pt>
    <dgm:pt modelId="{79F990B3-A988-426B-9A2C-771283A87EC4}" type="asst">
      <dgm:prSet custT="1"/>
      <dgm:spPr/>
      <dgm:t>
        <a:bodyPr/>
        <a:lstStyle/>
        <a:p>
          <a:r>
            <a:rPr lang="ru-RU" sz="1200" b="0" i="1">
              <a:latin typeface="Times New Roman" panose="02020603050405020304" pitchFamily="18" charset="0"/>
              <a:cs typeface="Times New Roman" panose="02020603050405020304" pitchFamily="18" charset="0"/>
            </a:rPr>
            <a:t>Вектор трансформации</a:t>
          </a:r>
        </a:p>
      </dgm:t>
    </dgm:pt>
    <dgm:pt modelId="{5F022F13-E2D9-47E6-83A0-690453DBC8B6}" type="parTrans" cxnId="{974AC938-93A2-467C-96C0-29B33BB1EF7F}">
      <dgm:prSet/>
      <dgm:spPr/>
      <dgm:t>
        <a:bodyPr/>
        <a:lstStyle/>
        <a:p>
          <a:endParaRPr lang="ru-RU" sz="1200" b="0">
            <a:latin typeface="Times New Roman" panose="02020603050405020304" pitchFamily="18" charset="0"/>
            <a:cs typeface="Times New Roman" panose="02020603050405020304" pitchFamily="18" charset="0"/>
          </a:endParaRPr>
        </a:p>
      </dgm:t>
    </dgm:pt>
    <dgm:pt modelId="{A623C1FF-5391-4B47-9412-881056BF9136}" type="sibTrans" cxnId="{974AC938-93A2-467C-96C0-29B33BB1EF7F}">
      <dgm:prSet custT="1"/>
      <dgm:spPr/>
      <dgm:t>
        <a:bodyPr/>
        <a:lstStyle/>
        <a:p>
          <a:pPr algn="l"/>
          <a:r>
            <a:rPr lang="ru-RU" sz="1200" b="0">
              <a:latin typeface="Times New Roman" panose="02020603050405020304" pitchFamily="18" charset="0"/>
              <a:cs typeface="Times New Roman" panose="02020603050405020304" pitchFamily="18" charset="0"/>
            </a:rPr>
            <a:t>- нормативная определённость;</a:t>
          </a:r>
        </a:p>
        <a:p>
          <a:pPr algn="l"/>
          <a:r>
            <a:rPr lang="ru-RU" sz="1200" b="0">
              <a:latin typeface="Times New Roman" panose="02020603050405020304" pitchFamily="18" charset="0"/>
              <a:cs typeface="Times New Roman" panose="02020603050405020304" pitchFamily="18" charset="0"/>
            </a:rPr>
            <a:t>- функциональная эффективность;</a:t>
          </a:r>
        </a:p>
        <a:p>
          <a:pPr algn="l"/>
          <a:r>
            <a:rPr lang="ru-RU" sz="1200" b="0">
              <a:latin typeface="Times New Roman" panose="02020603050405020304" pitchFamily="18" charset="0"/>
              <a:cs typeface="Times New Roman" panose="02020603050405020304" pitchFamily="18" charset="0"/>
            </a:rPr>
            <a:t>- институциональная согласованность;</a:t>
          </a:r>
        </a:p>
        <a:p>
          <a:pPr algn="l"/>
          <a:r>
            <a:rPr lang="ru-RU" sz="1200" b="0">
              <a:latin typeface="Times New Roman" panose="02020603050405020304" pitchFamily="18" charset="0"/>
              <a:cs typeface="Times New Roman" panose="02020603050405020304" pitchFamily="18" charset="0"/>
            </a:rPr>
            <a:t>- глобальная синергия</a:t>
          </a:r>
        </a:p>
      </dgm:t>
    </dgm:pt>
    <dgm:pt modelId="{F6862562-E4FB-4E20-A7F5-AC98D3068DB9}" type="asst">
      <dgm:prSet custT="1"/>
      <dgm:spPr/>
      <dgm:t>
        <a:bodyPr/>
        <a:lstStyle/>
        <a:p>
          <a:r>
            <a:rPr lang="ru-RU" sz="1200" b="0" i="1">
              <a:latin typeface="Times New Roman" panose="02020603050405020304" pitchFamily="18" charset="0"/>
              <a:cs typeface="Times New Roman" panose="02020603050405020304" pitchFamily="18" charset="0"/>
            </a:rPr>
            <a:t>Предлагаемый инструмент</a:t>
          </a:r>
        </a:p>
      </dgm:t>
    </dgm:pt>
    <dgm:pt modelId="{FA41CBCD-56D7-49D3-BE92-5373DF6B32F1}" type="parTrans" cxnId="{5B1662D3-0ACD-42C9-AF35-3B51AF5210D5}">
      <dgm:prSet/>
      <dgm:spPr/>
      <dgm:t>
        <a:bodyPr/>
        <a:lstStyle/>
        <a:p>
          <a:endParaRPr lang="ru-RU" sz="1200" b="0">
            <a:latin typeface="Times New Roman" panose="02020603050405020304" pitchFamily="18" charset="0"/>
            <a:cs typeface="Times New Roman" panose="02020603050405020304" pitchFamily="18" charset="0"/>
          </a:endParaRPr>
        </a:p>
      </dgm:t>
    </dgm:pt>
    <dgm:pt modelId="{A647C4EF-8EDC-4846-9F92-D0F49F471CE1}" type="sibTrans" cxnId="{5B1662D3-0ACD-42C9-AF35-3B51AF5210D5}">
      <dgm:prSet custT="1"/>
      <dgm:spPr/>
      <dgm:t>
        <a:bodyPr/>
        <a:lstStyle/>
        <a:p>
          <a:pPr algn="l"/>
          <a:r>
            <a:rPr lang="ru-RU" sz="1200" b="0">
              <a:latin typeface="Times New Roman" panose="02020603050405020304" pitchFamily="18" charset="0"/>
              <a:cs typeface="Times New Roman" panose="02020603050405020304" pitchFamily="18" charset="0"/>
            </a:rPr>
            <a:t>- типология нарушений, процедура апелляции, прецедентная практика;</a:t>
          </a:r>
        </a:p>
        <a:p>
          <a:pPr algn="l"/>
          <a:r>
            <a:rPr lang="ru-RU" sz="1200" b="0">
              <a:latin typeface="Times New Roman" panose="02020603050405020304" pitchFamily="18" charset="0"/>
              <a:cs typeface="Times New Roman" panose="02020603050405020304" pitchFamily="18" charset="0"/>
            </a:rPr>
            <a:t>- частичный отказ от единогласия, техниче ская делегация;</a:t>
          </a:r>
        </a:p>
        <a:p>
          <a:pPr algn="l"/>
          <a:r>
            <a:rPr lang="ru-RU" sz="1200" b="0">
              <a:latin typeface="Times New Roman" panose="02020603050405020304" pitchFamily="18" charset="0"/>
              <a:cs typeface="Times New Roman" panose="02020603050405020304" pitchFamily="18" charset="0"/>
            </a:rPr>
            <a:t>- разделение компетен ций, создание коорди национного механизма;</a:t>
          </a:r>
        </a:p>
        <a:p>
          <a:pPr algn="l"/>
          <a:r>
            <a:rPr lang="ru-RU" sz="1200" b="0">
              <a:latin typeface="Times New Roman" panose="02020603050405020304" pitchFamily="18" charset="0"/>
              <a:cs typeface="Times New Roman" panose="02020603050405020304" pitchFamily="18" charset="0"/>
            </a:rPr>
            <a:t>- альянс санкционной политики, гармонизация списков и критериев</a:t>
          </a:r>
        </a:p>
      </dgm:t>
    </dgm:pt>
    <dgm:pt modelId="{8B789E7B-5D21-4ED7-A93C-94ADDC56C699}">
      <dgm:prSet phldrT="[Текст]" custT="1"/>
      <dgm:spPr/>
      <dgm:t>
        <a:bodyPr/>
        <a:lstStyle/>
        <a:p>
          <a:r>
            <a:rPr lang="ru-RU" sz="1200" b="0" i="1">
              <a:latin typeface="Times New Roman" panose="02020603050405020304" pitchFamily="18" charset="0"/>
              <a:cs typeface="Times New Roman" panose="02020603050405020304" pitchFamily="18" charset="0"/>
            </a:rPr>
            <a:t>Проблемно-целевая модель </a:t>
          </a:r>
        </a:p>
      </dgm:t>
    </dgm:pt>
    <dgm:pt modelId="{376C747C-6D17-4EF9-B71C-8CAF5146DE97}" type="sibTrans" cxnId="{187C92A3-EDEF-4493-B5DC-0B86C5EE5332}">
      <dgm:prSet custT="1"/>
      <dgm:spPr/>
      <dgm:t>
        <a:bodyPr/>
        <a:lstStyle/>
        <a:p>
          <a:pPr algn="l"/>
          <a:endParaRPr lang="ru-RU" sz="1200" b="0">
            <a:latin typeface="Times New Roman" panose="02020603050405020304" pitchFamily="18" charset="0"/>
            <a:cs typeface="Times New Roman" panose="02020603050405020304" pitchFamily="18" charset="0"/>
          </a:endParaRPr>
        </a:p>
      </dgm:t>
    </dgm:pt>
    <dgm:pt modelId="{5EA6D4D7-FC70-45D9-8C03-7FD3B3F10117}" type="parTrans" cxnId="{187C92A3-EDEF-4493-B5DC-0B86C5EE5332}">
      <dgm:prSet/>
      <dgm:spPr/>
      <dgm:t>
        <a:bodyPr/>
        <a:lstStyle/>
        <a:p>
          <a:endParaRPr lang="ru-RU" sz="1200" b="0">
            <a:latin typeface="Times New Roman" panose="02020603050405020304" pitchFamily="18" charset="0"/>
            <a:cs typeface="Times New Roman" panose="02020603050405020304" pitchFamily="18" charset="0"/>
          </a:endParaRPr>
        </a:p>
      </dgm:t>
    </dgm:pt>
    <dgm:pt modelId="{2A4EC065-34B2-436F-96B1-08995D55BF93}" type="pres">
      <dgm:prSet presAssocID="{7E20E3E4-E637-440A-950F-0F109F59E4D0}" presName="hierChild1" presStyleCnt="0">
        <dgm:presLayoutVars>
          <dgm:orgChart val="1"/>
          <dgm:chPref val="1"/>
          <dgm:dir/>
          <dgm:animOne val="branch"/>
          <dgm:animLvl val="lvl"/>
          <dgm:resizeHandles/>
        </dgm:presLayoutVars>
      </dgm:prSet>
      <dgm:spPr/>
      <dgm:t>
        <a:bodyPr/>
        <a:lstStyle/>
        <a:p>
          <a:endParaRPr lang="ru-RU"/>
        </a:p>
      </dgm:t>
    </dgm:pt>
    <dgm:pt modelId="{E03109B0-A60F-4796-AD0E-0C74177EF875}" type="pres">
      <dgm:prSet presAssocID="{8B789E7B-5D21-4ED7-A93C-94ADDC56C699}" presName="hierRoot1" presStyleCnt="0">
        <dgm:presLayoutVars>
          <dgm:hierBranch val="init"/>
        </dgm:presLayoutVars>
      </dgm:prSet>
      <dgm:spPr/>
    </dgm:pt>
    <dgm:pt modelId="{BF8FA235-B891-442D-B28B-BB85791A0ED6}" type="pres">
      <dgm:prSet presAssocID="{8B789E7B-5D21-4ED7-A93C-94ADDC56C699}" presName="rootComposite1" presStyleCnt="0"/>
      <dgm:spPr/>
    </dgm:pt>
    <dgm:pt modelId="{EA90F129-55E1-496E-B938-652D35BA05D6}" type="pres">
      <dgm:prSet presAssocID="{8B789E7B-5D21-4ED7-A93C-94ADDC56C699}" presName="rootText1" presStyleLbl="node0" presStyleIdx="0" presStyleCnt="1" custScaleX="131812" custScaleY="76094" custLinFactNeighborX="1928" custLinFactNeighborY="-67028">
        <dgm:presLayoutVars>
          <dgm:chMax/>
          <dgm:chPref val="3"/>
        </dgm:presLayoutVars>
      </dgm:prSet>
      <dgm:spPr/>
      <dgm:t>
        <a:bodyPr/>
        <a:lstStyle/>
        <a:p>
          <a:endParaRPr lang="ru-RU"/>
        </a:p>
      </dgm:t>
    </dgm:pt>
    <dgm:pt modelId="{5F2CE551-7EC6-4DCA-AA22-26577047C110}" type="pres">
      <dgm:prSet presAssocID="{8B789E7B-5D21-4ED7-A93C-94ADDC56C699}" presName="titleText1" presStyleLbl="fgAcc0" presStyleIdx="0" presStyleCnt="1" custScaleX="127509" custScaleY="19004" custLinFactY="-92555" custLinFactNeighborX="-14308" custLinFactNeighborY="-100000">
        <dgm:presLayoutVars>
          <dgm:chMax val="0"/>
          <dgm:chPref val="0"/>
        </dgm:presLayoutVars>
      </dgm:prSet>
      <dgm:spPr/>
      <dgm:t>
        <a:bodyPr/>
        <a:lstStyle/>
        <a:p>
          <a:endParaRPr lang="ru-RU"/>
        </a:p>
      </dgm:t>
    </dgm:pt>
    <dgm:pt modelId="{5B6D4C5D-2777-44D4-B710-553E39B7A127}" type="pres">
      <dgm:prSet presAssocID="{8B789E7B-5D21-4ED7-A93C-94ADDC56C699}" presName="rootConnector1" presStyleLbl="node1" presStyleIdx="0" presStyleCnt="0"/>
      <dgm:spPr/>
      <dgm:t>
        <a:bodyPr/>
        <a:lstStyle/>
        <a:p>
          <a:endParaRPr lang="ru-RU"/>
        </a:p>
      </dgm:t>
    </dgm:pt>
    <dgm:pt modelId="{763E23BA-5D0F-4C9E-AC9B-A037B238214A}" type="pres">
      <dgm:prSet presAssocID="{8B789E7B-5D21-4ED7-A93C-94ADDC56C699}" presName="hierChild2" presStyleCnt="0"/>
      <dgm:spPr/>
    </dgm:pt>
    <dgm:pt modelId="{6755DE83-D17E-4883-BD7C-9189026EACA0}" type="pres">
      <dgm:prSet presAssocID="{8B789E7B-5D21-4ED7-A93C-94ADDC56C699}" presName="hierChild3" presStyleCnt="0"/>
      <dgm:spPr/>
    </dgm:pt>
    <dgm:pt modelId="{EA7FD27A-63D3-43DF-97D1-A6E9894A20A0}" type="pres">
      <dgm:prSet presAssocID="{316B9334-08CE-41DD-B9CB-4AAD4DB7879E}" presName="Name96" presStyleLbl="parChTrans1D2" presStyleIdx="0" presStyleCnt="2"/>
      <dgm:spPr/>
      <dgm:t>
        <a:bodyPr/>
        <a:lstStyle/>
        <a:p>
          <a:endParaRPr lang="ru-RU"/>
        </a:p>
      </dgm:t>
    </dgm:pt>
    <dgm:pt modelId="{86909638-3EA9-4B6B-BB7C-0780F345ED62}" type="pres">
      <dgm:prSet presAssocID="{A5421E4E-B5EF-4CB2-B1A6-77F1D73AB4D5}" presName="hierRoot3" presStyleCnt="0">
        <dgm:presLayoutVars>
          <dgm:hierBranch val="init"/>
        </dgm:presLayoutVars>
      </dgm:prSet>
      <dgm:spPr/>
    </dgm:pt>
    <dgm:pt modelId="{734C6416-4D4B-4151-B12A-11A9C202F72F}" type="pres">
      <dgm:prSet presAssocID="{A5421E4E-B5EF-4CB2-B1A6-77F1D73AB4D5}" presName="rootComposite3" presStyleCnt="0"/>
      <dgm:spPr/>
    </dgm:pt>
    <dgm:pt modelId="{854DF6AE-DB9E-4947-AD2E-0390F833BDE9}" type="pres">
      <dgm:prSet presAssocID="{A5421E4E-B5EF-4CB2-B1A6-77F1D73AB4D5}" presName="rootText3" presStyleLbl="asst1" presStyleIdx="0" presStyleCnt="4" custScaleX="113095" custScaleY="79392" custLinFactY="-2533" custLinFactNeighborX="6921" custLinFactNeighborY="-100000">
        <dgm:presLayoutVars>
          <dgm:chPref val="3"/>
        </dgm:presLayoutVars>
      </dgm:prSet>
      <dgm:spPr/>
      <dgm:t>
        <a:bodyPr/>
        <a:lstStyle/>
        <a:p>
          <a:endParaRPr lang="ru-RU"/>
        </a:p>
      </dgm:t>
    </dgm:pt>
    <dgm:pt modelId="{6DCB2129-3ED9-4A5B-86C3-BBA6A66FFA8C}" type="pres">
      <dgm:prSet presAssocID="{A5421E4E-B5EF-4CB2-B1A6-77F1D73AB4D5}" presName="titleText3" presStyleLbl="fgAcc2" presStyleIdx="0" presStyleCnt="4" custScaleX="172471" custScaleY="994069" custLinFactY="46726" custLinFactNeighborX="-5628" custLinFactNeighborY="100000">
        <dgm:presLayoutVars>
          <dgm:chMax val="0"/>
          <dgm:chPref val="0"/>
        </dgm:presLayoutVars>
      </dgm:prSet>
      <dgm:spPr/>
      <dgm:t>
        <a:bodyPr/>
        <a:lstStyle/>
        <a:p>
          <a:endParaRPr lang="ru-RU"/>
        </a:p>
      </dgm:t>
    </dgm:pt>
    <dgm:pt modelId="{E554945E-7387-489F-95D0-4B93C29685E7}" type="pres">
      <dgm:prSet presAssocID="{A5421E4E-B5EF-4CB2-B1A6-77F1D73AB4D5}" presName="rootConnector3" presStyleLbl="asst1" presStyleIdx="0" presStyleCnt="4"/>
      <dgm:spPr/>
      <dgm:t>
        <a:bodyPr/>
        <a:lstStyle/>
        <a:p>
          <a:endParaRPr lang="ru-RU"/>
        </a:p>
      </dgm:t>
    </dgm:pt>
    <dgm:pt modelId="{1357FD97-6361-4D61-94A2-BE7A1177C170}" type="pres">
      <dgm:prSet presAssocID="{A5421E4E-B5EF-4CB2-B1A6-77F1D73AB4D5}" presName="hierChild6" presStyleCnt="0"/>
      <dgm:spPr/>
    </dgm:pt>
    <dgm:pt modelId="{016320EA-37A9-49D5-A070-53E67F50F1A0}" type="pres">
      <dgm:prSet presAssocID="{A5421E4E-B5EF-4CB2-B1A6-77F1D73AB4D5}" presName="hierChild7" presStyleCnt="0"/>
      <dgm:spPr/>
    </dgm:pt>
    <dgm:pt modelId="{149F1E0A-BA48-4435-904C-37AC4475B44C}" type="pres">
      <dgm:prSet presAssocID="{1A11CF2F-065E-40A8-9B9B-CF2EBD5CDF88}" presName="Name96" presStyleLbl="parChTrans1D2" presStyleIdx="1" presStyleCnt="2"/>
      <dgm:spPr/>
      <dgm:t>
        <a:bodyPr/>
        <a:lstStyle/>
        <a:p>
          <a:endParaRPr lang="ru-RU"/>
        </a:p>
      </dgm:t>
    </dgm:pt>
    <dgm:pt modelId="{C9D18CAB-B856-4C6B-946E-84E2A39DE5DB}" type="pres">
      <dgm:prSet presAssocID="{84607BBA-85F9-4A47-907F-E0ACED57473D}" presName="hierRoot3" presStyleCnt="0">
        <dgm:presLayoutVars>
          <dgm:hierBranch val="init"/>
        </dgm:presLayoutVars>
      </dgm:prSet>
      <dgm:spPr/>
    </dgm:pt>
    <dgm:pt modelId="{A1BEBAC6-4C34-4BBE-AFC6-CBEB4F697A71}" type="pres">
      <dgm:prSet presAssocID="{84607BBA-85F9-4A47-907F-E0ACED57473D}" presName="rootComposite3" presStyleCnt="0"/>
      <dgm:spPr/>
    </dgm:pt>
    <dgm:pt modelId="{B132C433-8375-401E-B767-549A5F0CDE20}" type="pres">
      <dgm:prSet presAssocID="{84607BBA-85F9-4A47-907F-E0ACED57473D}" presName="rootText3" presStyleLbl="asst1" presStyleIdx="1" presStyleCnt="4" custScaleX="110385" custScaleY="65237" custLinFactY="-84830" custLinFactNeighborX="7553" custLinFactNeighborY="-100000">
        <dgm:presLayoutVars>
          <dgm:chPref val="3"/>
        </dgm:presLayoutVars>
      </dgm:prSet>
      <dgm:spPr/>
      <dgm:t>
        <a:bodyPr/>
        <a:lstStyle/>
        <a:p>
          <a:endParaRPr lang="ru-RU"/>
        </a:p>
      </dgm:t>
    </dgm:pt>
    <dgm:pt modelId="{B6DF8802-2E08-46AA-84D4-A90FE828A2ED}" type="pres">
      <dgm:prSet presAssocID="{84607BBA-85F9-4A47-907F-E0ACED57473D}" presName="titleText3" presStyleLbl="fgAcc2" presStyleIdx="1" presStyleCnt="4" custScaleX="137533" custScaleY="810357" custLinFactY="-100000" custLinFactNeighborX="-7086" custLinFactNeighborY="-104268">
        <dgm:presLayoutVars>
          <dgm:chMax val="0"/>
          <dgm:chPref val="0"/>
        </dgm:presLayoutVars>
      </dgm:prSet>
      <dgm:spPr/>
      <dgm:t>
        <a:bodyPr/>
        <a:lstStyle/>
        <a:p>
          <a:endParaRPr lang="ru-RU"/>
        </a:p>
      </dgm:t>
    </dgm:pt>
    <dgm:pt modelId="{22834498-3925-4C0B-BD8F-C22987984729}" type="pres">
      <dgm:prSet presAssocID="{84607BBA-85F9-4A47-907F-E0ACED57473D}" presName="rootConnector3" presStyleLbl="asst1" presStyleIdx="1" presStyleCnt="4"/>
      <dgm:spPr/>
      <dgm:t>
        <a:bodyPr/>
        <a:lstStyle/>
        <a:p>
          <a:endParaRPr lang="ru-RU"/>
        </a:p>
      </dgm:t>
    </dgm:pt>
    <dgm:pt modelId="{29556255-2DE1-45AF-90BE-26B0626371D4}" type="pres">
      <dgm:prSet presAssocID="{84607BBA-85F9-4A47-907F-E0ACED57473D}" presName="hierChild6" presStyleCnt="0"/>
      <dgm:spPr/>
    </dgm:pt>
    <dgm:pt modelId="{1A2EF5B9-B3FD-46F1-A865-B9888E04F95F}" type="pres">
      <dgm:prSet presAssocID="{84607BBA-85F9-4A47-907F-E0ACED57473D}" presName="hierChild7" presStyleCnt="0"/>
      <dgm:spPr/>
    </dgm:pt>
    <dgm:pt modelId="{2D318BEC-6D0D-4AE1-A0F6-A43C71F8512B}" type="pres">
      <dgm:prSet presAssocID="{5F022F13-E2D9-47E6-83A0-690453DBC8B6}" presName="Name96" presStyleLbl="parChTrans1D3" presStyleIdx="0" presStyleCnt="2"/>
      <dgm:spPr/>
      <dgm:t>
        <a:bodyPr/>
        <a:lstStyle/>
        <a:p>
          <a:endParaRPr lang="ru-RU"/>
        </a:p>
      </dgm:t>
    </dgm:pt>
    <dgm:pt modelId="{0FAB45D1-ACA1-43E2-8D18-3C3C5BFA9CC7}" type="pres">
      <dgm:prSet presAssocID="{79F990B3-A988-426B-9A2C-771283A87EC4}" presName="hierRoot3" presStyleCnt="0">
        <dgm:presLayoutVars>
          <dgm:hierBranch val="init"/>
        </dgm:presLayoutVars>
      </dgm:prSet>
      <dgm:spPr/>
    </dgm:pt>
    <dgm:pt modelId="{CBD667B5-FEC7-47A3-B83B-FFDC5334B713}" type="pres">
      <dgm:prSet presAssocID="{79F990B3-A988-426B-9A2C-771283A87EC4}" presName="rootComposite3" presStyleCnt="0"/>
      <dgm:spPr/>
    </dgm:pt>
    <dgm:pt modelId="{F6E6E210-0CB9-4C7C-AC1C-5BF33AFFD1D6}" type="pres">
      <dgm:prSet presAssocID="{79F990B3-A988-426B-9A2C-771283A87EC4}" presName="rootText3" presStyleLbl="asst1" presStyleIdx="2" presStyleCnt="4" custScaleX="108032" custScaleY="70092" custLinFactY="-41989" custLinFactNeighborX="-9623" custLinFactNeighborY="-100000">
        <dgm:presLayoutVars>
          <dgm:chPref val="3"/>
        </dgm:presLayoutVars>
      </dgm:prSet>
      <dgm:spPr/>
      <dgm:t>
        <a:bodyPr/>
        <a:lstStyle/>
        <a:p>
          <a:endParaRPr lang="ru-RU"/>
        </a:p>
      </dgm:t>
    </dgm:pt>
    <dgm:pt modelId="{15F3A0E7-3651-4841-A347-0B7E2553D9CA}" type="pres">
      <dgm:prSet presAssocID="{79F990B3-A988-426B-9A2C-771283A87EC4}" presName="titleText3" presStyleLbl="fgAcc2" presStyleIdx="2" presStyleCnt="4" custScaleX="142970" custScaleY="677723" custLinFactY="-25948" custLinFactNeighborX="-27073" custLinFactNeighborY="-100000">
        <dgm:presLayoutVars>
          <dgm:chMax val="0"/>
          <dgm:chPref val="0"/>
        </dgm:presLayoutVars>
      </dgm:prSet>
      <dgm:spPr/>
      <dgm:t>
        <a:bodyPr/>
        <a:lstStyle/>
        <a:p>
          <a:endParaRPr lang="ru-RU"/>
        </a:p>
      </dgm:t>
    </dgm:pt>
    <dgm:pt modelId="{A182C8BD-3C80-4913-9E55-B45D8DD52E6F}" type="pres">
      <dgm:prSet presAssocID="{79F990B3-A988-426B-9A2C-771283A87EC4}" presName="rootConnector3" presStyleLbl="asst1" presStyleIdx="2" presStyleCnt="4"/>
      <dgm:spPr/>
      <dgm:t>
        <a:bodyPr/>
        <a:lstStyle/>
        <a:p>
          <a:endParaRPr lang="ru-RU"/>
        </a:p>
      </dgm:t>
    </dgm:pt>
    <dgm:pt modelId="{C18D6A69-B506-467F-9B1E-65E43CCD9C51}" type="pres">
      <dgm:prSet presAssocID="{79F990B3-A988-426B-9A2C-771283A87EC4}" presName="hierChild6" presStyleCnt="0"/>
      <dgm:spPr/>
    </dgm:pt>
    <dgm:pt modelId="{23376937-A2ED-41DC-8C7F-C6F98A4B87E3}" type="pres">
      <dgm:prSet presAssocID="{79F990B3-A988-426B-9A2C-771283A87EC4}" presName="hierChild7" presStyleCnt="0"/>
      <dgm:spPr/>
    </dgm:pt>
    <dgm:pt modelId="{F547B19B-3B96-4444-BFCB-93E8518D3432}" type="pres">
      <dgm:prSet presAssocID="{FA41CBCD-56D7-49D3-BE92-5373DF6B32F1}" presName="Name96" presStyleLbl="parChTrans1D3" presStyleIdx="1" presStyleCnt="2"/>
      <dgm:spPr/>
      <dgm:t>
        <a:bodyPr/>
        <a:lstStyle/>
        <a:p>
          <a:endParaRPr lang="ru-RU"/>
        </a:p>
      </dgm:t>
    </dgm:pt>
    <dgm:pt modelId="{EC5DDC57-7F1F-41E3-94B0-013B2D86824E}" type="pres">
      <dgm:prSet presAssocID="{F6862562-E4FB-4E20-A7F5-AC98D3068DB9}" presName="hierRoot3" presStyleCnt="0">
        <dgm:presLayoutVars>
          <dgm:hierBranch val="init"/>
        </dgm:presLayoutVars>
      </dgm:prSet>
      <dgm:spPr/>
    </dgm:pt>
    <dgm:pt modelId="{39D87564-CB88-4AD9-80C7-057E805F6176}" type="pres">
      <dgm:prSet presAssocID="{F6862562-E4FB-4E20-A7F5-AC98D3068DB9}" presName="rootComposite3" presStyleCnt="0"/>
      <dgm:spPr/>
    </dgm:pt>
    <dgm:pt modelId="{A4865979-8E17-42B3-B13A-C99FB20D54B2}" type="pres">
      <dgm:prSet presAssocID="{F6862562-E4FB-4E20-A7F5-AC98D3068DB9}" presName="rootText3" presStyleLbl="asst1" presStyleIdx="3" presStyleCnt="4" custScaleX="124163" custScaleY="68937" custLinFactY="-95108" custLinFactNeighborX="18569" custLinFactNeighborY="-100000">
        <dgm:presLayoutVars>
          <dgm:chPref val="3"/>
        </dgm:presLayoutVars>
      </dgm:prSet>
      <dgm:spPr/>
      <dgm:t>
        <a:bodyPr/>
        <a:lstStyle/>
        <a:p>
          <a:endParaRPr lang="ru-RU"/>
        </a:p>
      </dgm:t>
    </dgm:pt>
    <dgm:pt modelId="{32A41CFC-837C-42D5-B7A7-0BCC13A1C9FB}" type="pres">
      <dgm:prSet presAssocID="{F6862562-E4FB-4E20-A7F5-AC98D3068DB9}" presName="titleText3" presStyleLbl="fgAcc2" presStyleIdx="3" presStyleCnt="4" custScaleX="154155" custScaleY="1109610" custLinFactNeighborX="-1394" custLinFactNeighborY="-90106">
        <dgm:presLayoutVars>
          <dgm:chMax val="0"/>
          <dgm:chPref val="0"/>
        </dgm:presLayoutVars>
      </dgm:prSet>
      <dgm:spPr/>
      <dgm:t>
        <a:bodyPr/>
        <a:lstStyle/>
        <a:p>
          <a:endParaRPr lang="ru-RU"/>
        </a:p>
      </dgm:t>
    </dgm:pt>
    <dgm:pt modelId="{7C02EB69-65A3-486E-9FEE-5C4031E801BE}" type="pres">
      <dgm:prSet presAssocID="{F6862562-E4FB-4E20-A7F5-AC98D3068DB9}" presName="rootConnector3" presStyleLbl="asst1" presStyleIdx="3" presStyleCnt="4"/>
      <dgm:spPr/>
      <dgm:t>
        <a:bodyPr/>
        <a:lstStyle/>
        <a:p>
          <a:endParaRPr lang="ru-RU"/>
        </a:p>
      </dgm:t>
    </dgm:pt>
    <dgm:pt modelId="{C766DA4D-F593-4D6E-BB4E-06E07D1B307D}" type="pres">
      <dgm:prSet presAssocID="{F6862562-E4FB-4E20-A7F5-AC98D3068DB9}" presName="hierChild6" presStyleCnt="0"/>
      <dgm:spPr/>
    </dgm:pt>
    <dgm:pt modelId="{B05A4059-1F3D-4C69-9742-48B9D65AC9A8}" type="pres">
      <dgm:prSet presAssocID="{F6862562-E4FB-4E20-A7F5-AC98D3068DB9}" presName="hierChild7" presStyleCnt="0"/>
      <dgm:spPr/>
    </dgm:pt>
  </dgm:ptLst>
  <dgm:cxnLst>
    <dgm:cxn modelId="{0C0A13A1-F747-404F-ABBD-EE42F4104CB7}" srcId="{8B789E7B-5D21-4ED7-A93C-94ADDC56C699}" destId="{A5421E4E-B5EF-4CB2-B1A6-77F1D73AB4D5}" srcOrd="0" destOrd="0" parTransId="{316B9334-08CE-41DD-B9CB-4AAD4DB7879E}" sibTransId="{D2F35AFB-20CD-4B37-8F77-684FDB36A8AF}"/>
    <dgm:cxn modelId="{E3167919-FF94-4CED-83F7-04E4DA4D65E4}" type="presOf" srcId="{F6862562-E4FB-4E20-A7F5-AC98D3068DB9}" destId="{7C02EB69-65A3-486E-9FEE-5C4031E801BE}" srcOrd="1" destOrd="0" presId="urn:microsoft.com/office/officeart/2008/layout/NameandTitleOrganizationalChart"/>
    <dgm:cxn modelId="{974AC938-93A2-467C-96C0-29B33BB1EF7F}" srcId="{84607BBA-85F9-4A47-907F-E0ACED57473D}" destId="{79F990B3-A988-426B-9A2C-771283A87EC4}" srcOrd="0" destOrd="0" parTransId="{5F022F13-E2D9-47E6-83A0-690453DBC8B6}" sibTransId="{A623C1FF-5391-4B47-9412-881056BF9136}"/>
    <dgm:cxn modelId="{AB1B5FC0-4A51-4B79-8BAB-90104451A209}" type="presOf" srcId="{7E20E3E4-E637-440A-950F-0F109F59E4D0}" destId="{2A4EC065-34B2-436F-96B1-08995D55BF93}" srcOrd="0" destOrd="0" presId="urn:microsoft.com/office/officeart/2008/layout/NameandTitleOrganizationalChart"/>
    <dgm:cxn modelId="{893AD888-9D2E-4BFE-A734-1FBF2D5DE26B}" type="presOf" srcId="{84607BBA-85F9-4A47-907F-E0ACED57473D}" destId="{B132C433-8375-401E-B767-549A5F0CDE20}" srcOrd="0" destOrd="0" presId="urn:microsoft.com/office/officeart/2008/layout/NameandTitleOrganizationalChart"/>
    <dgm:cxn modelId="{E6135398-DC75-4CC8-9372-7843EE4D69C2}" type="presOf" srcId="{376C747C-6D17-4EF9-B71C-8CAF5146DE97}" destId="{5F2CE551-7EC6-4DCA-AA22-26577047C110}" srcOrd="0" destOrd="0" presId="urn:microsoft.com/office/officeart/2008/layout/NameandTitleOrganizationalChart"/>
    <dgm:cxn modelId="{8461AFE9-BEE8-4BF2-A2FE-E960D587D143}" type="presOf" srcId="{FA41CBCD-56D7-49D3-BE92-5373DF6B32F1}" destId="{F547B19B-3B96-4444-BFCB-93E8518D3432}" srcOrd="0" destOrd="0" presId="urn:microsoft.com/office/officeart/2008/layout/NameandTitleOrganizationalChart"/>
    <dgm:cxn modelId="{1055F129-C038-4E22-B7A1-B40E7848F5A1}" type="presOf" srcId="{A623C1FF-5391-4B47-9412-881056BF9136}" destId="{15F3A0E7-3651-4841-A347-0B7E2553D9CA}" srcOrd="0" destOrd="0" presId="urn:microsoft.com/office/officeart/2008/layout/NameandTitleOrganizationalChart"/>
    <dgm:cxn modelId="{09509F0E-695D-4904-9DE7-20111BC38EFF}" type="presOf" srcId="{5F022F13-E2D9-47E6-83A0-690453DBC8B6}" destId="{2D318BEC-6D0D-4AE1-A0F6-A43C71F8512B}" srcOrd="0" destOrd="0" presId="urn:microsoft.com/office/officeart/2008/layout/NameandTitleOrganizationalChart"/>
    <dgm:cxn modelId="{66C7ECFF-B370-4969-ACF7-20134CAD6230}" type="presOf" srcId="{D2F35AFB-20CD-4B37-8F77-684FDB36A8AF}" destId="{6DCB2129-3ED9-4A5B-86C3-BBA6A66FFA8C}" srcOrd="0" destOrd="0" presId="urn:microsoft.com/office/officeart/2008/layout/NameandTitleOrganizationalChart"/>
    <dgm:cxn modelId="{159E74A1-7A1F-4BC3-83F1-F36CD936632B}" type="presOf" srcId="{84978130-0168-46C6-AB0F-E28584FEDE4F}" destId="{B6DF8802-2E08-46AA-84D4-A90FE828A2ED}" srcOrd="0" destOrd="0" presId="urn:microsoft.com/office/officeart/2008/layout/NameandTitleOrganizationalChart"/>
    <dgm:cxn modelId="{D6DC5D8B-C765-467A-9AAE-08C2039328CC}" type="presOf" srcId="{8B789E7B-5D21-4ED7-A93C-94ADDC56C699}" destId="{EA90F129-55E1-496E-B938-652D35BA05D6}" srcOrd="0" destOrd="0" presId="urn:microsoft.com/office/officeart/2008/layout/NameandTitleOrganizationalChart"/>
    <dgm:cxn modelId="{C4CDFC06-CF4E-45DC-945C-6540E25DE858}" type="presOf" srcId="{A647C4EF-8EDC-4846-9F92-D0F49F471CE1}" destId="{32A41CFC-837C-42D5-B7A7-0BCC13A1C9FB}" srcOrd="0" destOrd="0" presId="urn:microsoft.com/office/officeart/2008/layout/NameandTitleOrganizationalChart"/>
    <dgm:cxn modelId="{DBA34DDC-8128-4C10-AB98-F2F3206983EF}" type="presOf" srcId="{1A11CF2F-065E-40A8-9B9B-CF2EBD5CDF88}" destId="{149F1E0A-BA48-4435-904C-37AC4475B44C}" srcOrd="0" destOrd="0" presId="urn:microsoft.com/office/officeart/2008/layout/NameandTitleOrganizationalChart"/>
    <dgm:cxn modelId="{F0204942-CD29-428D-AD58-EC63B441097B}" type="presOf" srcId="{79F990B3-A988-426B-9A2C-771283A87EC4}" destId="{F6E6E210-0CB9-4C7C-AC1C-5BF33AFFD1D6}" srcOrd="0" destOrd="0" presId="urn:microsoft.com/office/officeart/2008/layout/NameandTitleOrganizationalChart"/>
    <dgm:cxn modelId="{187C92A3-EDEF-4493-B5DC-0B86C5EE5332}" srcId="{7E20E3E4-E637-440A-950F-0F109F59E4D0}" destId="{8B789E7B-5D21-4ED7-A93C-94ADDC56C699}" srcOrd="0" destOrd="0" parTransId="{5EA6D4D7-FC70-45D9-8C03-7FD3B3F10117}" sibTransId="{376C747C-6D17-4EF9-B71C-8CAF5146DE97}"/>
    <dgm:cxn modelId="{5B1662D3-0ACD-42C9-AF35-3B51AF5210D5}" srcId="{84607BBA-85F9-4A47-907F-E0ACED57473D}" destId="{F6862562-E4FB-4E20-A7F5-AC98D3068DB9}" srcOrd="1" destOrd="0" parTransId="{FA41CBCD-56D7-49D3-BE92-5373DF6B32F1}" sibTransId="{A647C4EF-8EDC-4846-9F92-D0F49F471CE1}"/>
    <dgm:cxn modelId="{3EDFB093-0F91-44EB-B80B-E5873FB99D9B}" type="presOf" srcId="{A5421E4E-B5EF-4CB2-B1A6-77F1D73AB4D5}" destId="{E554945E-7387-489F-95D0-4B93C29685E7}" srcOrd="1" destOrd="0" presId="urn:microsoft.com/office/officeart/2008/layout/NameandTitleOrganizationalChart"/>
    <dgm:cxn modelId="{ECEDD08C-3596-4E9F-92FB-1A6E9CDF90BA}" type="presOf" srcId="{A5421E4E-B5EF-4CB2-B1A6-77F1D73AB4D5}" destId="{854DF6AE-DB9E-4947-AD2E-0390F833BDE9}" srcOrd="0" destOrd="0" presId="urn:microsoft.com/office/officeart/2008/layout/NameandTitleOrganizationalChart"/>
    <dgm:cxn modelId="{93D5196C-7FDE-4E9C-A1D6-83CEFD18FC17}" type="presOf" srcId="{8B789E7B-5D21-4ED7-A93C-94ADDC56C699}" destId="{5B6D4C5D-2777-44D4-B710-553E39B7A127}" srcOrd="1" destOrd="0" presId="urn:microsoft.com/office/officeart/2008/layout/NameandTitleOrganizationalChart"/>
    <dgm:cxn modelId="{77E5BE3D-0E05-4F9E-B100-FECCBE3B98AB}" type="presOf" srcId="{316B9334-08CE-41DD-B9CB-4AAD4DB7879E}" destId="{EA7FD27A-63D3-43DF-97D1-A6E9894A20A0}" srcOrd="0" destOrd="0" presId="urn:microsoft.com/office/officeart/2008/layout/NameandTitleOrganizationalChart"/>
    <dgm:cxn modelId="{C39B0735-8E1D-4D78-A256-47FA3F282553}" srcId="{8B789E7B-5D21-4ED7-A93C-94ADDC56C699}" destId="{84607BBA-85F9-4A47-907F-E0ACED57473D}" srcOrd="1" destOrd="0" parTransId="{1A11CF2F-065E-40A8-9B9B-CF2EBD5CDF88}" sibTransId="{84978130-0168-46C6-AB0F-E28584FEDE4F}"/>
    <dgm:cxn modelId="{63A892F4-D54F-4EA3-AF2B-11C75526194F}" type="presOf" srcId="{79F990B3-A988-426B-9A2C-771283A87EC4}" destId="{A182C8BD-3C80-4913-9E55-B45D8DD52E6F}" srcOrd="1" destOrd="0" presId="urn:microsoft.com/office/officeart/2008/layout/NameandTitleOrganizationalChart"/>
    <dgm:cxn modelId="{2E7E1059-C08A-482E-9CBB-7D1A80D24193}" type="presOf" srcId="{F6862562-E4FB-4E20-A7F5-AC98D3068DB9}" destId="{A4865979-8E17-42B3-B13A-C99FB20D54B2}" srcOrd="0" destOrd="0" presId="urn:microsoft.com/office/officeart/2008/layout/NameandTitleOrganizationalChart"/>
    <dgm:cxn modelId="{B4A23807-0BE9-4E59-A67C-F2449F379C0B}" type="presOf" srcId="{84607BBA-85F9-4A47-907F-E0ACED57473D}" destId="{22834498-3925-4C0B-BD8F-C22987984729}" srcOrd="1" destOrd="0" presId="urn:microsoft.com/office/officeart/2008/layout/NameandTitleOrganizationalChart"/>
    <dgm:cxn modelId="{767E4D96-DB71-4702-A47D-5285265040EE}" type="presParOf" srcId="{2A4EC065-34B2-436F-96B1-08995D55BF93}" destId="{E03109B0-A60F-4796-AD0E-0C74177EF875}" srcOrd="0" destOrd="0" presId="urn:microsoft.com/office/officeart/2008/layout/NameandTitleOrganizationalChart"/>
    <dgm:cxn modelId="{F3D8831C-97DE-4106-A9C2-4CF68A8A894A}" type="presParOf" srcId="{E03109B0-A60F-4796-AD0E-0C74177EF875}" destId="{BF8FA235-B891-442D-B28B-BB85791A0ED6}" srcOrd="0" destOrd="0" presId="urn:microsoft.com/office/officeart/2008/layout/NameandTitleOrganizationalChart"/>
    <dgm:cxn modelId="{CC2CD867-003C-402F-816D-42EF040EBF8B}" type="presParOf" srcId="{BF8FA235-B891-442D-B28B-BB85791A0ED6}" destId="{EA90F129-55E1-496E-B938-652D35BA05D6}" srcOrd="0" destOrd="0" presId="urn:microsoft.com/office/officeart/2008/layout/NameandTitleOrganizationalChart"/>
    <dgm:cxn modelId="{0665C39E-A3EE-4CCF-82E9-44DBD5C458A5}" type="presParOf" srcId="{BF8FA235-B891-442D-B28B-BB85791A0ED6}" destId="{5F2CE551-7EC6-4DCA-AA22-26577047C110}" srcOrd="1" destOrd="0" presId="urn:microsoft.com/office/officeart/2008/layout/NameandTitleOrganizationalChart"/>
    <dgm:cxn modelId="{2665F53D-236C-4499-81AC-E4110125FB8B}" type="presParOf" srcId="{BF8FA235-B891-442D-B28B-BB85791A0ED6}" destId="{5B6D4C5D-2777-44D4-B710-553E39B7A127}" srcOrd="2" destOrd="0" presId="urn:microsoft.com/office/officeart/2008/layout/NameandTitleOrganizationalChart"/>
    <dgm:cxn modelId="{38183A18-6E3C-4328-95FF-247B7E3A125B}" type="presParOf" srcId="{E03109B0-A60F-4796-AD0E-0C74177EF875}" destId="{763E23BA-5D0F-4C9E-AC9B-A037B238214A}" srcOrd="1" destOrd="0" presId="urn:microsoft.com/office/officeart/2008/layout/NameandTitleOrganizationalChart"/>
    <dgm:cxn modelId="{7144B369-FC80-4C87-BF8F-ACE30FB88947}" type="presParOf" srcId="{E03109B0-A60F-4796-AD0E-0C74177EF875}" destId="{6755DE83-D17E-4883-BD7C-9189026EACA0}" srcOrd="2" destOrd="0" presId="urn:microsoft.com/office/officeart/2008/layout/NameandTitleOrganizationalChart"/>
    <dgm:cxn modelId="{187BEA7A-7A92-47E4-BA09-48E6EDF10AFE}" type="presParOf" srcId="{6755DE83-D17E-4883-BD7C-9189026EACA0}" destId="{EA7FD27A-63D3-43DF-97D1-A6E9894A20A0}" srcOrd="0" destOrd="0" presId="urn:microsoft.com/office/officeart/2008/layout/NameandTitleOrganizationalChart"/>
    <dgm:cxn modelId="{33E4CD73-435E-4EDE-9236-E9CEB00F68AE}" type="presParOf" srcId="{6755DE83-D17E-4883-BD7C-9189026EACA0}" destId="{86909638-3EA9-4B6B-BB7C-0780F345ED62}" srcOrd="1" destOrd="0" presId="urn:microsoft.com/office/officeart/2008/layout/NameandTitleOrganizationalChart"/>
    <dgm:cxn modelId="{CB96C3D0-A786-4BA0-B4E8-0B23A9C86CBD}" type="presParOf" srcId="{86909638-3EA9-4B6B-BB7C-0780F345ED62}" destId="{734C6416-4D4B-4151-B12A-11A9C202F72F}" srcOrd="0" destOrd="0" presId="urn:microsoft.com/office/officeart/2008/layout/NameandTitleOrganizationalChart"/>
    <dgm:cxn modelId="{710E0376-A75A-4F80-A96E-827408A8667D}" type="presParOf" srcId="{734C6416-4D4B-4151-B12A-11A9C202F72F}" destId="{854DF6AE-DB9E-4947-AD2E-0390F833BDE9}" srcOrd="0" destOrd="0" presId="urn:microsoft.com/office/officeart/2008/layout/NameandTitleOrganizationalChart"/>
    <dgm:cxn modelId="{6C77A472-3AE1-4CC7-8756-ABEB2A87FB60}" type="presParOf" srcId="{734C6416-4D4B-4151-B12A-11A9C202F72F}" destId="{6DCB2129-3ED9-4A5B-86C3-BBA6A66FFA8C}" srcOrd="1" destOrd="0" presId="urn:microsoft.com/office/officeart/2008/layout/NameandTitleOrganizationalChart"/>
    <dgm:cxn modelId="{52A7CC96-7AD9-4C58-8C5D-F9AD2E743016}" type="presParOf" srcId="{734C6416-4D4B-4151-B12A-11A9C202F72F}" destId="{E554945E-7387-489F-95D0-4B93C29685E7}" srcOrd="2" destOrd="0" presId="urn:microsoft.com/office/officeart/2008/layout/NameandTitleOrganizationalChart"/>
    <dgm:cxn modelId="{0B7D2C17-B963-4479-88CD-B4BDD2A2C1B0}" type="presParOf" srcId="{86909638-3EA9-4B6B-BB7C-0780F345ED62}" destId="{1357FD97-6361-4D61-94A2-BE7A1177C170}" srcOrd="1" destOrd="0" presId="urn:microsoft.com/office/officeart/2008/layout/NameandTitleOrganizationalChart"/>
    <dgm:cxn modelId="{FFF14232-8DFE-40E3-8A24-8FC24BB5B3EC}" type="presParOf" srcId="{86909638-3EA9-4B6B-BB7C-0780F345ED62}" destId="{016320EA-37A9-49D5-A070-53E67F50F1A0}" srcOrd="2" destOrd="0" presId="urn:microsoft.com/office/officeart/2008/layout/NameandTitleOrganizationalChart"/>
    <dgm:cxn modelId="{1CBF7A7E-7FA4-46B1-A99D-173C47145389}" type="presParOf" srcId="{6755DE83-D17E-4883-BD7C-9189026EACA0}" destId="{149F1E0A-BA48-4435-904C-37AC4475B44C}" srcOrd="2" destOrd="0" presId="urn:microsoft.com/office/officeart/2008/layout/NameandTitleOrganizationalChart"/>
    <dgm:cxn modelId="{56F47F6D-790D-4BF5-B570-669CAD198301}" type="presParOf" srcId="{6755DE83-D17E-4883-BD7C-9189026EACA0}" destId="{C9D18CAB-B856-4C6B-946E-84E2A39DE5DB}" srcOrd="3" destOrd="0" presId="urn:microsoft.com/office/officeart/2008/layout/NameandTitleOrganizationalChart"/>
    <dgm:cxn modelId="{5A98F48D-89BF-4F37-8982-EA18BF139275}" type="presParOf" srcId="{C9D18CAB-B856-4C6B-946E-84E2A39DE5DB}" destId="{A1BEBAC6-4C34-4BBE-AFC6-CBEB4F697A71}" srcOrd="0" destOrd="0" presId="urn:microsoft.com/office/officeart/2008/layout/NameandTitleOrganizationalChart"/>
    <dgm:cxn modelId="{76FEC846-643B-4AEA-A415-E018B32CFF38}" type="presParOf" srcId="{A1BEBAC6-4C34-4BBE-AFC6-CBEB4F697A71}" destId="{B132C433-8375-401E-B767-549A5F0CDE20}" srcOrd="0" destOrd="0" presId="urn:microsoft.com/office/officeart/2008/layout/NameandTitleOrganizationalChart"/>
    <dgm:cxn modelId="{A59B29C6-C289-4733-B28B-DDA35E1E2C1D}" type="presParOf" srcId="{A1BEBAC6-4C34-4BBE-AFC6-CBEB4F697A71}" destId="{B6DF8802-2E08-46AA-84D4-A90FE828A2ED}" srcOrd="1" destOrd="0" presId="urn:microsoft.com/office/officeart/2008/layout/NameandTitleOrganizationalChart"/>
    <dgm:cxn modelId="{5502E3D1-1ABA-4A88-B06A-A5C4074ACBFF}" type="presParOf" srcId="{A1BEBAC6-4C34-4BBE-AFC6-CBEB4F697A71}" destId="{22834498-3925-4C0B-BD8F-C22987984729}" srcOrd="2" destOrd="0" presId="urn:microsoft.com/office/officeart/2008/layout/NameandTitleOrganizationalChart"/>
    <dgm:cxn modelId="{6AF0FFD1-7DE0-466F-BCE5-B1283165EE22}" type="presParOf" srcId="{C9D18CAB-B856-4C6B-946E-84E2A39DE5DB}" destId="{29556255-2DE1-45AF-90BE-26B0626371D4}" srcOrd="1" destOrd="0" presId="urn:microsoft.com/office/officeart/2008/layout/NameandTitleOrganizationalChart"/>
    <dgm:cxn modelId="{E21DD141-E081-4914-8097-01A8BFD8C362}" type="presParOf" srcId="{C9D18CAB-B856-4C6B-946E-84E2A39DE5DB}" destId="{1A2EF5B9-B3FD-46F1-A865-B9888E04F95F}" srcOrd="2" destOrd="0" presId="urn:microsoft.com/office/officeart/2008/layout/NameandTitleOrganizationalChart"/>
    <dgm:cxn modelId="{351E9B84-4491-4D8F-9031-4B51B7F1926F}" type="presParOf" srcId="{1A2EF5B9-B3FD-46F1-A865-B9888E04F95F}" destId="{2D318BEC-6D0D-4AE1-A0F6-A43C71F8512B}" srcOrd="0" destOrd="0" presId="urn:microsoft.com/office/officeart/2008/layout/NameandTitleOrganizationalChart"/>
    <dgm:cxn modelId="{442C29D3-BCDD-4BF2-9F1F-5EDB09F5E103}" type="presParOf" srcId="{1A2EF5B9-B3FD-46F1-A865-B9888E04F95F}" destId="{0FAB45D1-ACA1-43E2-8D18-3C3C5BFA9CC7}" srcOrd="1" destOrd="0" presId="urn:microsoft.com/office/officeart/2008/layout/NameandTitleOrganizationalChart"/>
    <dgm:cxn modelId="{650D80EB-5C3F-4E16-BA03-F41124A111DA}" type="presParOf" srcId="{0FAB45D1-ACA1-43E2-8D18-3C3C5BFA9CC7}" destId="{CBD667B5-FEC7-47A3-B83B-FFDC5334B713}" srcOrd="0" destOrd="0" presId="urn:microsoft.com/office/officeart/2008/layout/NameandTitleOrganizationalChart"/>
    <dgm:cxn modelId="{607589B1-1AE3-4ABC-942B-2AC0BC41B4AA}" type="presParOf" srcId="{CBD667B5-FEC7-47A3-B83B-FFDC5334B713}" destId="{F6E6E210-0CB9-4C7C-AC1C-5BF33AFFD1D6}" srcOrd="0" destOrd="0" presId="urn:microsoft.com/office/officeart/2008/layout/NameandTitleOrganizationalChart"/>
    <dgm:cxn modelId="{9A4D0661-237C-40FB-B5B7-4CE75AF0427F}" type="presParOf" srcId="{CBD667B5-FEC7-47A3-B83B-FFDC5334B713}" destId="{15F3A0E7-3651-4841-A347-0B7E2553D9CA}" srcOrd="1" destOrd="0" presId="urn:microsoft.com/office/officeart/2008/layout/NameandTitleOrganizationalChart"/>
    <dgm:cxn modelId="{C7131127-3F90-4B40-B6EA-E1CF8F4A2F2B}" type="presParOf" srcId="{CBD667B5-FEC7-47A3-B83B-FFDC5334B713}" destId="{A182C8BD-3C80-4913-9E55-B45D8DD52E6F}" srcOrd="2" destOrd="0" presId="urn:microsoft.com/office/officeart/2008/layout/NameandTitleOrganizationalChart"/>
    <dgm:cxn modelId="{3C214AED-7C34-4FA0-8173-C94131ACD3A5}" type="presParOf" srcId="{0FAB45D1-ACA1-43E2-8D18-3C3C5BFA9CC7}" destId="{C18D6A69-B506-467F-9B1E-65E43CCD9C51}" srcOrd="1" destOrd="0" presId="urn:microsoft.com/office/officeart/2008/layout/NameandTitleOrganizationalChart"/>
    <dgm:cxn modelId="{A9EA85EF-BD5C-4A29-8B04-7E0ADDDDE7D6}" type="presParOf" srcId="{0FAB45D1-ACA1-43E2-8D18-3C3C5BFA9CC7}" destId="{23376937-A2ED-41DC-8C7F-C6F98A4B87E3}" srcOrd="2" destOrd="0" presId="urn:microsoft.com/office/officeart/2008/layout/NameandTitleOrganizationalChart"/>
    <dgm:cxn modelId="{DDCFA7C5-2CB5-4C72-B857-ED23AAC40661}" type="presParOf" srcId="{1A2EF5B9-B3FD-46F1-A865-B9888E04F95F}" destId="{F547B19B-3B96-4444-BFCB-93E8518D3432}" srcOrd="2" destOrd="0" presId="urn:microsoft.com/office/officeart/2008/layout/NameandTitleOrganizationalChart"/>
    <dgm:cxn modelId="{192F4546-75D3-4305-BD4C-F199E76D415D}" type="presParOf" srcId="{1A2EF5B9-B3FD-46F1-A865-B9888E04F95F}" destId="{EC5DDC57-7F1F-41E3-94B0-013B2D86824E}" srcOrd="3" destOrd="0" presId="urn:microsoft.com/office/officeart/2008/layout/NameandTitleOrganizationalChart"/>
    <dgm:cxn modelId="{67DF1D47-FA94-4F95-B593-5E412B74DD03}" type="presParOf" srcId="{EC5DDC57-7F1F-41E3-94B0-013B2D86824E}" destId="{39D87564-CB88-4AD9-80C7-057E805F6176}" srcOrd="0" destOrd="0" presId="urn:microsoft.com/office/officeart/2008/layout/NameandTitleOrganizationalChart"/>
    <dgm:cxn modelId="{E3B91763-A565-484E-9026-E82CE37FC743}" type="presParOf" srcId="{39D87564-CB88-4AD9-80C7-057E805F6176}" destId="{A4865979-8E17-42B3-B13A-C99FB20D54B2}" srcOrd="0" destOrd="0" presId="urn:microsoft.com/office/officeart/2008/layout/NameandTitleOrganizationalChart"/>
    <dgm:cxn modelId="{174E127B-8916-4C33-A619-4767B26106D1}" type="presParOf" srcId="{39D87564-CB88-4AD9-80C7-057E805F6176}" destId="{32A41CFC-837C-42D5-B7A7-0BCC13A1C9FB}" srcOrd="1" destOrd="0" presId="urn:microsoft.com/office/officeart/2008/layout/NameandTitleOrganizationalChart"/>
    <dgm:cxn modelId="{EF5483C5-8A96-4156-9BA6-535CE3C76C27}" type="presParOf" srcId="{39D87564-CB88-4AD9-80C7-057E805F6176}" destId="{7C02EB69-65A3-486E-9FEE-5C4031E801BE}" srcOrd="2" destOrd="0" presId="urn:microsoft.com/office/officeart/2008/layout/NameandTitleOrganizationalChart"/>
    <dgm:cxn modelId="{FFC92B66-994D-42F8-ADFD-2A812E14017E}" type="presParOf" srcId="{EC5DDC57-7F1F-41E3-94B0-013B2D86824E}" destId="{C766DA4D-F593-4D6E-BB4E-06E07D1B307D}" srcOrd="1" destOrd="0" presId="urn:microsoft.com/office/officeart/2008/layout/NameandTitleOrganizationalChart"/>
    <dgm:cxn modelId="{F7F095B5-118A-4460-9F6F-ABBDBDB18565}" type="presParOf" srcId="{EC5DDC57-7F1F-41E3-94B0-013B2D86824E}" destId="{B05A4059-1F3D-4C69-9742-48B9D65AC9A8}" srcOrd="2" destOrd="0" presId="urn:microsoft.com/office/officeart/2008/layout/NameandTitleOrganizationalChar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061A40D4-4129-4B52-A883-41B0ADC69D81}" type="doc">
      <dgm:prSet loTypeId="urn:microsoft.com/office/officeart/2005/8/layout/process4" loCatId="process" qsTypeId="urn:microsoft.com/office/officeart/2005/8/quickstyle/simple5" qsCatId="simple" csTypeId="urn:microsoft.com/office/officeart/2005/8/colors/accent0_1" csCatId="mainScheme" phldr="1"/>
      <dgm:spPr/>
      <dgm:t>
        <a:bodyPr/>
        <a:lstStyle/>
        <a:p>
          <a:endParaRPr lang="ru-RU"/>
        </a:p>
      </dgm:t>
    </dgm:pt>
    <dgm:pt modelId="{36B4F261-37C8-4C6A-98AE-D20BFE6C7FBB}">
      <dgm:prSet phldrT="[Текст]" custT="1"/>
      <dgm:spPr/>
      <dgm:t>
        <a:bodyPr/>
        <a:lstStyle/>
        <a:p>
          <a:r>
            <a:rPr lang="en-US" sz="1200" b="0" i="1">
              <a:latin typeface="Times New Roman" panose="02020603050405020304" pitchFamily="18" charset="0"/>
              <a:cs typeface="Times New Roman" panose="02020603050405020304" pitchFamily="18" charset="0"/>
            </a:rPr>
            <a:t>1. Европейский Союз: Институциональная модель</a:t>
          </a:r>
          <a:endParaRPr lang="ru-RU" sz="1200" b="0" i="1">
            <a:latin typeface="Times New Roman" panose="02020603050405020304" pitchFamily="18" charset="0"/>
            <a:cs typeface="Times New Roman" panose="02020603050405020304" pitchFamily="18" charset="0"/>
          </a:endParaRPr>
        </a:p>
      </dgm:t>
    </dgm:pt>
    <dgm:pt modelId="{96CFEB9E-0697-47EB-B972-C8EB1CEBBD81}" type="parTrans" cxnId="{C68EB334-4827-4894-ACB5-5583CF2C3E5E}">
      <dgm:prSet/>
      <dgm:spPr/>
      <dgm:t>
        <a:bodyPr/>
        <a:lstStyle/>
        <a:p>
          <a:endParaRPr lang="ru-RU" sz="1200">
            <a:latin typeface="Times New Roman" panose="02020603050405020304" pitchFamily="18" charset="0"/>
            <a:cs typeface="Times New Roman" panose="02020603050405020304" pitchFamily="18" charset="0"/>
          </a:endParaRPr>
        </a:p>
      </dgm:t>
    </dgm:pt>
    <dgm:pt modelId="{E9016091-1827-409E-B26A-3E8B10FA624F}" type="sibTrans" cxnId="{C68EB334-4827-4894-ACB5-5583CF2C3E5E}">
      <dgm:prSet/>
      <dgm:spPr/>
      <dgm:t>
        <a:bodyPr/>
        <a:lstStyle/>
        <a:p>
          <a:endParaRPr lang="ru-RU" sz="1200">
            <a:latin typeface="Times New Roman" panose="02020603050405020304" pitchFamily="18" charset="0"/>
            <a:cs typeface="Times New Roman" panose="02020603050405020304" pitchFamily="18" charset="0"/>
          </a:endParaRPr>
        </a:p>
      </dgm:t>
    </dgm:pt>
    <dgm:pt modelId="{5731485F-F8A5-4D8E-8B6F-EA1D40BAF14E}">
      <dgm:prSet phldrT="[Текст]" custT="1"/>
      <dgm:spPr/>
      <dgm:t>
        <a:bodyPr/>
        <a:lstStyle/>
        <a:p>
          <a:r>
            <a:rPr lang="en-US" sz="1200">
              <a:latin typeface="Times New Roman" panose="02020603050405020304" pitchFamily="18" charset="0"/>
              <a:cs typeface="Times New Roman" panose="02020603050405020304" pitchFamily="18" charset="0"/>
            </a:rPr>
            <a:t>Многоуровневая система: ЕСПЧ, национальные суды, омбудсмены, НПО, Универсальный периодический обзор, тематические диалоги.</a:t>
          </a:r>
          <a:endParaRPr lang="ru-RU" sz="1200" b="1">
            <a:latin typeface="Times New Roman" panose="02020603050405020304" pitchFamily="18" charset="0"/>
            <a:cs typeface="Times New Roman" panose="02020603050405020304" pitchFamily="18" charset="0"/>
          </a:endParaRPr>
        </a:p>
      </dgm:t>
    </dgm:pt>
    <dgm:pt modelId="{E09CB1A7-AD52-4B51-BBBD-244E9ABF2569}" type="parTrans" cxnId="{008DAB58-A08E-4127-8CD6-6CB144610899}">
      <dgm:prSet/>
      <dgm:spPr/>
      <dgm:t>
        <a:bodyPr/>
        <a:lstStyle/>
        <a:p>
          <a:endParaRPr lang="ru-RU" sz="1200">
            <a:latin typeface="Times New Roman" panose="02020603050405020304" pitchFamily="18" charset="0"/>
            <a:cs typeface="Times New Roman" panose="02020603050405020304" pitchFamily="18" charset="0"/>
          </a:endParaRPr>
        </a:p>
      </dgm:t>
    </dgm:pt>
    <dgm:pt modelId="{ADB972A3-CC49-4D54-ACBC-98105ED20C60}" type="sibTrans" cxnId="{008DAB58-A08E-4127-8CD6-6CB144610899}">
      <dgm:prSet/>
      <dgm:spPr/>
      <dgm:t>
        <a:bodyPr/>
        <a:lstStyle/>
        <a:p>
          <a:endParaRPr lang="ru-RU" sz="1200">
            <a:latin typeface="Times New Roman" panose="02020603050405020304" pitchFamily="18" charset="0"/>
            <a:cs typeface="Times New Roman" panose="02020603050405020304" pitchFamily="18" charset="0"/>
          </a:endParaRPr>
        </a:p>
      </dgm:t>
    </dgm:pt>
    <dgm:pt modelId="{E2405C28-F0F6-45EE-B41A-EA663D070DFB}">
      <dgm:prSet phldrT="[Текст]" custT="1"/>
      <dgm:spPr/>
      <dgm:t>
        <a:bodyPr/>
        <a:lstStyle/>
        <a:p>
          <a:r>
            <a:rPr lang="en-US" sz="1200" b="0" i="1">
              <a:latin typeface="Times New Roman" panose="02020603050405020304" pitchFamily="18" charset="0"/>
              <a:cs typeface="Times New Roman" panose="02020603050405020304" pitchFamily="18" charset="0"/>
            </a:rPr>
            <a:t>2. Соглашение о расширенном партнёрстве и сотрудничестве и План действий</a:t>
          </a:r>
          <a:endParaRPr lang="ru-RU" sz="1200" b="0" i="1">
            <a:latin typeface="Times New Roman" panose="02020603050405020304" pitchFamily="18" charset="0"/>
            <a:cs typeface="Times New Roman" panose="02020603050405020304" pitchFamily="18" charset="0"/>
          </a:endParaRPr>
        </a:p>
      </dgm:t>
    </dgm:pt>
    <dgm:pt modelId="{BB62FAA3-CFC0-4BD7-96C3-9BE8333E6C5F}" type="parTrans" cxnId="{A23388EA-8D9B-4182-BF9A-FE3C6837694B}">
      <dgm:prSet/>
      <dgm:spPr/>
      <dgm:t>
        <a:bodyPr/>
        <a:lstStyle/>
        <a:p>
          <a:endParaRPr lang="ru-RU" sz="1200">
            <a:latin typeface="Times New Roman" panose="02020603050405020304" pitchFamily="18" charset="0"/>
            <a:cs typeface="Times New Roman" panose="02020603050405020304" pitchFamily="18" charset="0"/>
          </a:endParaRPr>
        </a:p>
      </dgm:t>
    </dgm:pt>
    <dgm:pt modelId="{9E522C59-E40B-42B1-8EEB-A07C385AB916}" type="sibTrans" cxnId="{A23388EA-8D9B-4182-BF9A-FE3C6837694B}">
      <dgm:prSet/>
      <dgm:spPr/>
      <dgm:t>
        <a:bodyPr/>
        <a:lstStyle/>
        <a:p>
          <a:endParaRPr lang="ru-RU" sz="1200">
            <a:latin typeface="Times New Roman" panose="02020603050405020304" pitchFamily="18" charset="0"/>
            <a:cs typeface="Times New Roman" panose="02020603050405020304" pitchFamily="18" charset="0"/>
          </a:endParaRPr>
        </a:p>
      </dgm:t>
    </dgm:pt>
    <dgm:pt modelId="{368AD7FA-7816-4669-9B35-DEE602545041}">
      <dgm:prSet phldrT="[Текст]" custT="1"/>
      <dgm:spPr/>
      <dgm:t>
        <a:bodyPr/>
        <a:lstStyle/>
        <a:p>
          <a:r>
            <a:rPr lang="en-US" sz="1200">
              <a:latin typeface="Times New Roman" panose="02020603050405020304" pitchFamily="18" charset="0"/>
              <a:cs typeface="Times New Roman" panose="02020603050405020304" pitchFamily="18" charset="0"/>
            </a:rPr>
            <a:t>EPCA включает вопросы прав человека, устойчивого развития, верховенства права.</a:t>
          </a:r>
          <a:endParaRPr lang="ru-RU" sz="1200">
            <a:latin typeface="Times New Roman" panose="02020603050405020304" pitchFamily="18" charset="0"/>
            <a:cs typeface="Times New Roman" panose="02020603050405020304" pitchFamily="18" charset="0"/>
          </a:endParaRPr>
        </a:p>
      </dgm:t>
    </dgm:pt>
    <dgm:pt modelId="{4AD00D9C-7487-45EB-A53C-C8046D977E61}" type="parTrans" cxnId="{80FC3989-8436-49BB-B954-B989821D222C}">
      <dgm:prSet/>
      <dgm:spPr/>
      <dgm:t>
        <a:bodyPr/>
        <a:lstStyle/>
        <a:p>
          <a:endParaRPr lang="ru-RU" sz="1200">
            <a:latin typeface="Times New Roman" panose="02020603050405020304" pitchFamily="18" charset="0"/>
            <a:cs typeface="Times New Roman" panose="02020603050405020304" pitchFamily="18" charset="0"/>
          </a:endParaRPr>
        </a:p>
      </dgm:t>
    </dgm:pt>
    <dgm:pt modelId="{1EED9510-3EF5-4193-A726-4FB1A7AAD7FF}" type="sibTrans" cxnId="{80FC3989-8436-49BB-B954-B989821D222C}">
      <dgm:prSet/>
      <dgm:spPr/>
      <dgm:t>
        <a:bodyPr/>
        <a:lstStyle/>
        <a:p>
          <a:endParaRPr lang="ru-RU" sz="1200">
            <a:latin typeface="Times New Roman" panose="02020603050405020304" pitchFamily="18" charset="0"/>
            <a:cs typeface="Times New Roman" panose="02020603050405020304" pitchFamily="18" charset="0"/>
          </a:endParaRPr>
        </a:p>
      </dgm:t>
    </dgm:pt>
    <dgm:pt modelId="{67544E5F-EC27-42AD-8AE0-C2B307B50E6D}">
      <dgm:prSet phldrT="[Текст]" custT="1"/>
      <dgm:spPr/>
      <dgm:t>
        <a:bodyPr/>
        <a:lstStyle/>
        <a:p>
          <a:r>
            <a:rPr lang="en-US" sz="1200" b="0" i="1">
              <a:latin typeface="Times New Roman" panose="02020603050405020304" pitchFamily="18" charset="0"/>
              <a:cs typeface="Times New Roman" panose="02020603050405020304" pitchFamily="18" charset="0"/>
            </a:rPr>
            <a:t>3. Республика Казахстан: правозащитные реалии</a:t>
          </a:r>
          <a:endParaRPr lang="ru-RU" sz="1200" b="0" i="1">
            <a:latin typeface="Times New Roman" panose="02020603050405020304" pitchFamily="18" charset="0"/>
            <a:cs typeface="Times New Roman" panose="02020603050405020304" pitchFamily="18" charset="0"/>
          </a:endParaRPr>
        </a:p>
      </dgm:t>
    </dgm:pt>
    <dgm:pt modelId="{84F04D42-B64F-4F8F-B72B-DF3CFF8BE00F}" type="parTrans" cxnId="{35E2F2D7-A81F-49F4-A414-D0E156D4342E}">
      <dgm:prSet/>
      <dgm:spPr/>
      <dgm:t>
        <a:bodyPr/>
        <a:lstStyle/>
        <a:p>
          <a:endParaRPr lang="ru-RU" sz="1200">
            <a:latin typeface="Times New Roman" panose="02020603050405020304" pitchFamily="18" charset="0"/>
            <a:cs typeface="Times New Roman" panose="02020603050405020304" pitchFamily="18" charset="0"/>
          </a:endParaRPr>
        </a:p>
      </dgm:t>
    </dgm:pt>
    <dgm:pt modelId="{D057570E-1C6B-407A-8AEA-FAE9DCEE04A8}" type="sibTrans" cxnId="{35E2F2D7-A81F-49F4-A414-D0E156D4342E}">
      <dgm:prSet/>
      <dgm:spPr/>
      <dgm:t>
        <a:bodyPr/>
        <a:lstStyle/>
        <a:p>
          <a:endParaRPr lang="ru-RU" sz="1200">
            <a:latin typeface="Times New Roman" panose="02020603050405020304" pitchFamily="18" charset="0"/>
            <a:cs typeface="Times New Roman" panose="02020603050405020304" pitchFamily="18" charset="0"/>
          </a:endParaRPr>
        </a:p>
      </dgm:t>
    </dgm:pt>
    <dgm:pt modelId="{A0F40B80-1321-4A96-B0A4-E368C0034C08}">
      <dgm:prSet phldrT="[Текст]" custT="1"/>
      <dgm:spPr/>
      <dgm:t>
        <a:bodyPr/>
        <a:lstStyle/>
        <a:p>
          <a:r>
            <a:rPr lang="ru-RU" sz="1200" b="0" i="1">
              <a:latin typeface="Times New Roman" panose="02020603050405020304" pitchFamily="18" charset="0"/>
              <a:cs typeface="Times New Roman" panose="02020603050405020304" pitchFamily="18" charset="0"/>
            </a:rPr>
            <a:t>Предлагаемые механизмы адаптации</a:t>
          </a:r>
        </a:p>
      </dgm:t>
    </dgm:pt>
    <dgm:pt modelId="{7706C00D-DA49-4E13-BFEB-F8833748C99A}" type="parTrans" cxnId="{38A65B22-E032-4CBF-96FC-B862DB3EA5B7}">
      <dgm:prSet/>
      <dgm:spPr/>
      <dgm:t>
        <a:bodyPr/>
        <a:lstStyle/>
        <a:p>
          <a:endParaRPr lang="ru-RU" sz="1200">
            <a:latin typeface="Times New Roman" panose="02020603050405020304" pitchFamily="18" charset="0"/>
            <a:cs typeface="Times New Roman" panose="02020603050405020304" pitchFamily="18" charset="0"/>
          </a:endParaRPr>
        </a:p>
      </dgm:t>
    </dgm:pt>
    <dgm:pt modelId="{7DD36491-6ADC-433F-B054-08D5E9D6F65B}" type="sibTrans" cxnId="{38A65B22-E032-4CBF-96FC-B862DB3EA5B7}">
      <dgm:prSet/>
      <dgm:spPr/>
      <dgm:t>
        <a:bodyPr/>
        <a:lstStyle/>
        <a:p>
          <a:endParaRPr lang="ru-RU" sz="1200">
            <a:latin typeface="Times New Roman" panose="02020603050405020304" pitchFamily="18" charset="0"/>
            <a:cs typeface="Times New Roman" panose="02020603050405020304" pitchFamily="18" charset="0"/>
          </a:endParaRPr>
        </a:p>
      </dgm:t>
    </dgm:pt>
    <dgm:pt modelId="{CF943D9E-2294-4FE4-AB7D-E4D53C00E71F}">
      <dgm:prSet phldrT="[Текст]" custT="1"/>
      <dgm:spPr/>
      <dgm:t>
        <a:bodyPr/>
        <a:lstStyle/>
        <a:p>
          <a:r>
            <a:rPr lang="ru-RU" sz="1200" b="0" i="1">
              <a:latin typeface="Times New Roman" panose="02020603050405020304" pitchFamily="18" charset="0"/>
              <a:cs typeface="Times New Roman" panose="02020603050405020304" pitchFamily="18" charset="0"/>
            </a:rPr>
            <a:t>Расхождения между моделью ЕС и практикой в Казахстане</a:t>
          </a:r>
        </a:p>
      </dgm:t>
    </dgm:pt>
    <dgm:pt modelId="{6EA2B958-1C74-4DCA-801B-BDA2266D3DE4}" type="parTrans" cxnId="{511EA1CD-93FF-4EE4-9527-0BB634F57010}">
      <dgm:prSet/>
      <dgm:spPr/>
      <dgm:t>
        <a:bodyPr/>
        <a:lstStyle/>
        <a:p>
          <a:endParaRPr lang="ru-RU" sz="1200">
            <a:latin typeface="Times New Roman" panose="02020603050405020304" pitchFamily="18" charset="0"/>
            <a:cs typeface="Times New Roman" panose="02020603050405020304" pitchFamily="18" charset="0"/>
          </a:endParaRPr>
        </a:p>
      </dgm:t>
    </dgm:pt>
    <dgm:pt modelId="{4EA1AF3C-2F37-4B43-9F36-7B018A471541}" type="sibTrans" cxnId="{511EA1CD-93FF-4EE4-9527-0BB634F57010}">
      <dgm:prSet/>
      <dgm:spPr/>
      <dgm:t>
        <a:bodyPr/>
        <a:lstStyle/>
        <a:p>
          <a:endParaRPr lang="ru-RU" sz="1200">
            <a:latin typeface="Times New Roman" panose="02020603050405020304" pitchFamily="18" charset="0"/>
            <a:cs typeface="Times New Roman" panose="02020603050405020304" pitchFamily="18" charset="0"/>
          </a:endParaRPr>
        </a:p>
      </dgm:t>
    </dgm:pt>
    <dgm:pt modelId="{028F62AB-8EEA-40C3-818F-89DA05F2D42A}">
      <dgm:prSet custT="1"/>
      <dgm:spPr/>
      <dgm:t>
        <a:bodyPr/>
        <a:lstStyle/>
        <a:p>
          <a:r>
            <a:rPr lang="ru-RU" sz="1200">
              <a:latin typeface="Times New Roman" panose="02020603050405020304" pitchFamily="18" charset="0"/>
              <a:cs typeface="Times New Roman" panose="02020603050405020304" pitchFamily="18" charset="0"/>
            </a:rPr>
            <a:t> Формальное наличие институтов, но ограниченная независимость и подотчётность.</a:t>
          </a:r>
        </a:p>
      </dgm:t>
    </dgm:pt>
    <dgm:pt modelId="{74DBC4E0-BD93-44E6-9736-1C6E8D293CDD}" type="parTrans" cxnId="{454EF9A0-B390-4517-B7F7-819302FED169}">
      <dgm:prSet/>
      <dgm:spPr/>
      <dgm:t>
        <a:bodyPr/>
        <a:lstStyle/>
        <a:p>
          <a:endParaRPr lang="ru-RU" sz="1200">
            <a:latin typeface="Times New Roman" panose="02020603050405020304" pitchFamily="18" charset="0"/>
            <a:cs typeface="Times New Roman" panose="02020603050405020304" pitchFamily="18" charset="0"/>
          </a:endParaRPr>
        </a:p>
      </dgm:t>
    </dgm:pt>
    <dgm:pt modelId="{0DFB90A5-5094-4B11-A127-40652597E181}" type="sibTrans" cxnId="{454EF9A0-B390-4517-B7F7-819302FED169}">
      <dgm:prSet/>
      <dgm:spPr/>
      <dgm:t>
        <a:bodyPr/>
        <a:lstStyle/>
        <a:p>
          <a:endParaRPr lang="ru-RU" sz="1200">
            <a:latin typeface="Times New Roman" panose="02020603050405020304" pitchFamily="18" charset="0"/>
            <a:cs typeface="Times New Roman" panose="02020603050405020304" pitchFamily="18" charset="0"/>
          </a:endParaRPr>
        </a:p>
      </dgm:t>
    </dgm:pt>
    <dgm:pt modelId="{0A0444C9-D577-4961-81FB-E1D5116A3336}">
      <dgm:prSet custT="1"/>
      <dgm:spPr/>
      <dgm:t>
        <a:bodyPr/>
        <a:lstStyle/>
        <a:p>
          <a:r>
            <a:rPr lang="ru-RU" sz="1200">
              <a:latin typeface="Times New Roman" panose="02020603050405020304" pitchFamily="18" charset="0"/>
              <a:cs typeface="Times New Roman" panose="02020603050405020304" pitchFamily="18" charset="0"/>
            </a:rPr>
            <a:t>Противоречия между заявленными стандартами и реальной ситуацией.</a:t>
          </a:r>
        </a:p>
      </dgm:t>
    </dgm:pt>
    <dgm:pt modelId="{E89E2144-83F0-4C96-867B-77D0C60BD718}" type="parTrans" cxnId="{18B21C12-3629-42E4-AE2D-585A9DA9C282}">
      <dgm:prSet/>
      <dgm:spPr/>
      <dgm:t>
        <a:bodyPr/>
        <a:lstStyle/>
        <a:p>
          <a:endParaRPr lang="ru-RU" sz="1200">
            <a:latin typeface="Times New Roman" panose="02020603050405020304" pitchFamily="18" charset="0"/>
            <a:cs typeface="Times New Roman" panose="02020603050405020304" pitchFamily="18" charset="0"/>
          </a:endParaRPr>
        </a:p>
      </dgm:t>
    </dgm:pt>
    <dgm:pt modelId="{5D1B6AE4-1DED-495D-A306-AD44E3380BE7}" type="sibTrans" cxnId="{18B21C12-3629-42E4-AE2D-585A9DA9C282}">
      <dgm:prSet/>
      <dgm:spPr/>
      <dgm:t>
        <a:bodyPr/>
        <a:lstStyle/>
        <a:p>
          <a:endParaRPr lang="ru-RU" sz="1200">
            <a:latin typeface="Times New Roman" panose="02020603050405020304" pitchFamily="18" charset="0"/>
            <a:cs typeface="Times New Roman" panose="02020603050405020304" pitchFamily="18" charset="0"/>
          </a:endParaRPr>
        </a:p>
      </dgm:t>
    </dgm:pt>
    <dgm:pt modelId="{2DED2A57-B3FC-4FE2-9FC7-5CA1C25CBEFA}">
      <dgm:prSet custT="1"/>
      <dgm:spPr/>
      <dgm:t>
        <a:bodyPr/>
        <a:lstStyle/>
        <a:p>
          <a:r>
            <a:rPr lang="ru-RU" sz="1200" b="0" i="1">
              <a:latin typeface="Times New Roman" panose="02020603050405020304" pitchFamily="18" charset="0"/>
              <a:cs typeface="Times New Roman" panose="02020603050405020304" pitchFamily="18" charset="0"/>
            </a:rPr>
            <a:t>Консолидированная, измеримая и инклюзивная правозащитная политика ЕС в регионе</a:t>
          </a:r>
        </a:p>
      </dgm:t>
    </dgm:pt>
    <dgm:pt modelId="{272E4AD9-3485-4422-B52F-5C9D62943136}" type="parTrans" cxnId="{22AC14E4-17C3-49BD-9A0F-1B3A208EB4E1}">
      <dgm:prSet/>
      <dgm:spPr/>
      <dgm:t>
        <a:bodyPr/>
        <a:lstStyle/>
        <a:p>
          <a:endParaRPr lang="ru-RU" sz="1200">
            <a:latin typeface="Times New Roman" panose="02020603050405020304" pitchFamily="18" charset="0"/>
            <a:cs typeface="Times New Roman" panose="02020603050405020304" pitchFamily="18" charset="0"/>
          </a:endParaRPr>
        </a:p>
      </dgm:t>
    </dgm:pt>
    <dgm:pt modelId="{8342C6BC-9C37-460E-B3D9-21A6A759B3A2}" type="sibTrans" cxnId="{22AC14E4-17C3-49BD-9A0F-1B3A208EB4E1}">
      <dgm:prSet/>
      <dgm:spPr/>
      <dgm:t>
        <a:bodyPr/>
        <a:lstStyle/>
        <a:p>
          <a:endParaRPr lang="ru-RU" sz="1200">
            <a:latin typeface="Times New Roman" panose="02020603050405020304" pitchFamily="18" charset="0"/>
            <a:cs typeface="Times New Roman" panose="02020603050405020304" pitchFamily="18" charset="0"/>
          </a:endParaRPr>
        </a:p>
      </dgm:t>
    </dgm:pt>
    <dgm:pt modelId="{39FC6BAD-7126-4949-831D-EB0D34ECACA1}">
      <dgm:prSet custT="1"/>
      <dgm:spPr/>
      <dgm:t>
        <a:bodyPr/>
        <a:lstStyle/>
        <a:p>
          <a:pPr algn="ctr"/>
          <a:r>
            <a:rPr lang="ru-RU" sz="1200">
              <a:latin typeface="Times New Roman" panose="02020603050405020304" pitchFamily="18" charset="0"/>
              <a:cs typeface="Times New Roman" panose="02020603050405020304" pitchFamily="18" charset="0"/>
            </a:rPr>
            <a:t>Привязка  к</a:t>
          </a:r>
          <a:r>
            <a:rPr lang="en-US" sz="120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конкретным правозащитным реформам</a:t>
          </a:r>
        </a:p>
      </dgm:t>
    </dgm:pt>
    <dgm:pt modelId="{3DECC9B7-E43B-4F8D-9EC8-4C95EA7FFF09}" type="parTrans" cxnId="{8C3FAFBD-B585-4331-AE4C-668C9002356A}">
      <dgm:prSet/>
      <dgm:spPr/>
      <dgm:t>
        <a:bodyPr/>
        <a:lstStyle/>
        <a:p>
          <a:endParaRPr lang="ru-RU" sz="1200">
            <a:latin typeface="Times New Roman" panose="02020603050405020304" pitchFamily="18" charset="0"/>
            <a:cs typeface="Times New Roman" panose="02020603050405020304" pitchFamily="18" charset="0"/>
          </a:endParaRPr>
        </a:p>
      </dgm:t>
    </dgm:pt>
    <dgm:pt modelId="{62C01C11-EB37-4D74-BA48-86C8C0CCB072}" type="sibTrans" cxnId="{8C3FAFBD-B585-4331-AE4C-668C9002356A}">
      <dgm:prSet/>
      <dgm:spPr/>
      <dgm:t>
        <a:bodyPr/>
        <a:lstStyle/>
        <a:p>
          <a:endParaRPr lang="ru-RU" sz="1200">
            <a:latin typeface="Times New Roman" panose="02020603050405020304" pitchFamily="18" charset="0"/>
            <a:cs typeface="Times New Roman" panose="02020603050405020304" pitchFamily="18" charset="0"/>
          </a:endParaRPr>
        </a:p>
      </dgm:t>
    </dgm:pt>
    <dgm:pt modelId="{68F9DB08-727A-4136-8CA7-4FCB37677E10}">
      <dgm:prSet custT="1"/>
      <dgm:spPr/>
      <dgm:t>
        <a:bodyPr/>
        <a:lstStyle/>
        <a:p>
          <a:r>
            <a:rPr lang="ru-RU" sz="1200">
              <a:latin typeface="Times New Roman" panose="02020603050405020304" pitchFamily="18" charset="0"/>
              <a:cs typeface="Times New Roman" panose="02020603050405020304" pitchFamily="18" charset="0"/>
            </a:rPr>
            <a:t>Передача стандартов через экспертное сопровождение</a:t>
          </a:r>
        </a:p>
      </dgm:t>
    </dgm:pt>
    <dgm:pt modelId="{02A6B9AB-1D6F-4E07-ACF3-3656F69663E3}" type="parTrans" cxnId="{E7E1E76F-FEFA-47F5-9CCF-3C5777E430C5}">
      <dgm:prSet/>
      <dgm:spPr/>
      <dgm:t>
        <a:bodyPr/>
        <a:lstStyle/>
        <a:p>
          <a:endParaRPr lang="ru-RU" sz="1200">
            <a:latin typeface="Times New Roman" panose="02020603050405020304" pitchFamily="18" charset="0"/>
            <a:cs typeface="Times New Roman" panose="02020603050405020304" pitchFamily="18" charset="0"/>
          </a:endParaRPr>
        </a:p>
      </dgm:t>
    </dgm:pt>
    <dgm:pt modelId="{04163912-D105-44D0-A9DC-125E341F8A6F}" type="sibTrans" cxnId="{E7E1E76F-FEFA-47F5-9CCF-3C5777E430C5}">
      <dgm:prSet/>
      <dgm:spPr/>
      <dgm:t>
        <a:bodyPr/>
        <a:lstStyle/>
        <a:p>
          <a:endParaRPr lang="ru-RU" sz="1200">
            <a:latin typeface="Times New Roman" panose="02020603050405020304" pitchFamily="18" charset="0"/>
            <a:cs typeface="Times New Roman" panose="02020603050405020304" pitchFamily="18" charset="0"/>
          </a:endParaRPr>
        </a:p>
      </dgm:t>
    </dgm:pt>
    <dgm:pt modelId="{FD491032-31C4-421A-94AA-12B7A47C7049}">
      <dgm:prSet custT="1"/>
      <dgm:spPr/>
      <dgm:t>
        <a:bodyPr/>
        <a:lstStyle/>
        <a:p>
          <a:r>
            <a:rPr lang="ru-RU" sz="1200">
              <a:latin typeface="Times New Roman" panose="02020603050405020304" pitchFamily="18" charset="0"/>
              <a:cs typeface="Times New Roman" panose="02020603050405020304" pitchFamily="18" charset="0"/>
            </a:rPr>
            <a:t>   Внедрение правозащитных критериев в экономические проекты</a:t>
          </a:r>
        </a:p>
      </dgm:t>
    </dgm:pt>
    <dgm:pt modelId="{FC49DD92-C8C4-4582-B430-30CAA7ADB9DD}" type="parTrans" cxnId="{D9137555-353B-45DB-B6ED-BE675C79E2E0}">
      <dgm:prSet/>
      <dgm:spPr/>
      <dgm:t>
        <a:bodyPr/>
        <a:lstStyle/>
        <a:p>
          <a:endParaRPr lang="ru-RU" sz="1200">
            <a:latin typeface="Times New Roman" panose="02020603050405020304" pitchFamily="18" charset="0"/>
            <a:cs typeface="Times New Roman" panose="02020603050405020304" pitchFamily="18" charset="0"/>
          </a:endParaRPr>
        </a:p>
      </dgm:t>
    </dgm:pt>
    <dgm:pt modelId="{B616CB86-60FB-4B34-BA81-8E692063CB87}" type="sibTrans" cxnId="{D9137555-353B-45DB-B6ED-BE675C79E2E0}">
      <dgm:prSet/>
      <dgm:spPr/>
      <dgm:t>
        <a:bodyPr/>
        <a:lstStyle/>
        <a:p>
          <a:endParaRPr lang="ru-RU" sz="1200">
            <a:latin typeface="Times New Roman" panose="02020603050405020304" pitchFamily="18" charset="0"/>
            <a:cs typeface="Times New Roman" panose="02020603050405020304" pitchFamily="18" charset="0"/>
          </a:endParaRPr>
        </a:p>
      </dgm:t>
    </dgm:pt>
    <dgm:pt modelId="{86519351-D35F-46AD-AF2C-1BC7F74520DC}">
      <dgm:prSet custT="1"/>
      <dgm:spPr/>
      <dgm:t>
        <a:bodyPr/>
        <a:lstStyle/>
        <a:p>
          <a:r>
            <a:rPr lang="ru-RU" sz="1200">
              <a:latin typeface="Times New Roman" panose="02020603050405020304" pitchFamily="18" charset="0"/>
              <a:cs typeface="Times New Roman" panose="02020603050405020304" pitchFamily="18" charset="0"/>
            </a:rPr>
            <a:t>Создание</a:t>
          </a:r>
          <a:r>
            <a:rPr lang="en-US" sz="120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платформ с участием НПО</a:t>
          </a:r>
        </a:p>
      </dgm:t>
    </dgm:pt>
    <dgm:pt modelId="{5B1D5EAE-F788-4A5E-9105-46F692ACA610}" type="parTrans" cxnId="{D64528FC-3B04-49C7-ABEE-122E81FE771A}">
      <dgm:prSet/>
      <dgm:spPr/>
      <dgm:t>
        <a:bodyPr/>
        <a:lstStyle/>
        <a:p>
          <a:endParaRPr lang="ru-RU" sz="1200">
            <a:latin typeface="Times New Roman" panose="02020603050405020304" pitchFamily="18" charset="0"/>
            <a:cs typeface="Times New Roman" panose="02020603050405020304" pitchFamily="18" charset="0"/>
          </a:endParaRPr>
        </a:p>
      </dgm:t>
    </dgm:pt>
    <dgm:pt modelId="{B52B2B74-69F7-48B0-849F-3AF558ED6DD6}" type="sibTrans" cxnId="{D64528FC-3B04-49C7-ABEE-122E81FE771A}">
      <dgm:prSet/>
      <dgm:spPr/>
      <dgm:t>
        <a:bodyPr/>
        <a:lstStyle/>
        <a:p>
          <a:endParaRPr lang="ru-RU" sz="1200">
            <a:latin typeface="Times New Roman" panose="02020603050405020304" pitchFamily="18" charset="0"/>
            <a:cs typeface="Times New Roman" panose="02020603050405020304" pitchFamily="18" charset="0"/>
          </a:endParaRPr>
        </a:p>
      </dgm:t>
    </dgm:pt>
    <dgm:pt modelId="{AFA2E107-7701-4561-82E9-647FC66C4230}" type="pres">
      <dgm:prSet presAssocID="{061A40D4-4129-4B52-A883-41B0ADC69D81}" presName="Name0" presStyleCnt="0">
        <dgm:presLayoutVars>
          <dgm:dir/>
          <dgm:animLvl val="lvl"/>
          <dgm:resizeHandles val="exact"/>
        </dgm:presLayoutVars>
      </dgm:prSet>
      <dgm:spPr/>
      <dgm:t>
        <a:bodyPr/>
        <a:lstStyle/>
        <a:p>
          <a:endParaRPr lang="ru-RU"/>
        </a:p>
      </dgm:t>
    </dgm:pt>
    <dgm:pt modelId="{419D08A2-EFB2-43B2-9B43-0DD4D024A363}" type="pres">
      <dgm:prSet presAssocID="{2DED2A57-B3FC-4FE2-9FC7-5CA1C25CBEFA}" presName="boxAndChildren" presStyleCnt="0"/>
      <dgm:spPr/>
    </dgm:pt>
    <dgm:pt modelId="{F4DA9CDF-FBA6-4AC5-A735-CC2FD5708124}" type="pres">
      <dgm:prSet presAssocID="{2DED2A57-B3FC-4FE2-9FC7-5CA1C25CBEFA}" presName="parentTextBox" presStyleLbl="node1" presStyleIdx="0" presStyleCnt="6" custScaleY="61330"/>
      <dgm:spPr/>
      <dgm:t>
        <a:bodyPr/>
        <a:lstStyle/>
        <a:p>
          <a:endParaRPr lang="ru-RU"/>
        </a:p>
      </dgm:t>
    </dgm:pt>
    <dgm:pt modelId="{C766EE6A-1DBC-484F-AB1F-C3440CD57CF9}" type="pres">
      <dgm:prSet presAssocID="{7DD36491-6ADC-433F-B054-08D5E9D6F65B}" presName="sp" presStyleCnt="0"/>
      <dgm:spPr/>
    </dgm:pt>
    <dgm:pt modelId="{A8D626D6-00F6-4E6F-B0E6-64CB5A4F0C07}" type="pres">
      <dgm:prSet presAssocID="{A0F40B80-1321-4A96-B0A4-E368C0034C08}" presName="arrowAndChildren" presStyleCnt="0"/>
      <dgm:spPr/>
    </dgm:pt>
    <dgm:pt modelId="{32BEE8DD-826E-44D5-B087-3CE6F3FAB35B}" type="pres">
      <dgm:prSet presAssocID="{A0F40B80-1321-4A96-B0A4-E368C0034C08}" presName="parentTextArrow" presStyleLbl="node1" presStyleIdx="0" presStyleCnt="6"/>
      <dgm:spPr/>
      <dgm:t>
        <a:bodyPr/>
        <a:lstStyle/>
        <a:p>
          <a:endParaRPr lang="ru-RU"/>
        </a:p>
      </dgm:t>
    </dgm:pt>
    <dgm:pt modelId="{252A6332-C19F-4024-9252-E7E492707B92}" type="pres">
      <dgm:prSet presAssocID="{A0F40B80-1321-4A96-B0A4-E368C0034C08}" presName="arrow" presStyleLbl="node1" presStyleIdx="1" presStyleCnt="6" custScaleY="234686" custLinFactNeighborX="392" custLinFactNeighborY="-1827"/>
      <dgm:spPr/>
      <dgm:t>
        <a:bodyPr/>
        <a:lstStyle/>
        <a:p>
          <a:endParaRPr lang="ru-RU"/>
        </a:p>
      </dgm:t>
    </dgm:pt>
    <dgm:pt modelId="{9D68895C-15ED-45E7-AA8E-0778C64864E8}" type="pres">
      <dgm:prSet presAssocID="{A0F40B80-1321-4A96-B0A4-E368C0034C08}" presName="descendantArrow" presStyleCnt="0"/>
      <dgm:spPr/>
    </dgm:pt>
    <dgm:pt modelId="{62D33090-757D-4AF0-8205-10F5C09C3CD1}" type="pres">
      <dgm:prSet presAssocID="{39FC6BAD-7126-4949-831D-EB0D34ECACA1}" presName="childTextArrow" presStyleLbl="fgAccFollowNode1" presStyleIdx="0" presStyleCnt="8" custScaleX="95929" custScaleY="288486" custLinFactNeighborX="-171" custLinFactNeighborY="6366">
        <dgm:presLayoutVars>
          <dgm:bulletEnabled val="1"/>
        </dgm:presLayoutVars>
      </dgm:prSet>
      <dgm:spPr/>
      <dgm:t>
        <a:bodyPr/>
        <a:lstStyle/>
        <a:p>
          <a:endParaRPr lang="ru-RU"/>
        </a:p>
      </dgm:t>
    </dgm:pt>
    <dgm:pt modelId="{49E6B1F7-25DC-424B-90B6-A7FB6F8B7F43}" type="pres">
      <dgm:prSet presAssocID="{68F9DB08-727A-4136-8CA7-4FCB37677E10}" presName="childTextArrow" presStyleLbl="fgAccFollowNode1" presStyleIdx="1" presStyleCnt="8" custScaleX="91840" custScaleY="284822" custLinFactNeighborX="440" custLinFactNeighborY="4056">
        <dgm:presLayoutVars>
          <dgm:bulletEnabled val="1"/>
        </dgm:presLayoutVars>
      </dgm:prSet>
      <dgm:spPr/>
      <dgm:t>
        <a:bodyPr/>
        <a:lstStyle/>
        <a:p>
          <a:endParaRPr lang="ru-RU"/>
        </a:p>
      </dgm:t>
    </dgm:pt>
    <dgm:pt modelId="{47328BE2-D63D-4529-9294-6CB17A27A8C4}" type="pres">
      <dgm:prSet presAssocID="{FD491032-31C4-421A-94AA-12B7A47C7049}" presName="childTextArrow" presStyleLbl="fgAccFollowNode1" presStyleIdx="2" presStyleCnt="8" custScaleX="113153" custScaleY="284304" custLinFactNeighborX="-495" custLinFactNeighborY="3797">
        <dgm:presLayoutVars>
          <dgm:bulletEnabled val="1"/>
        </dgm:presLayoutVars>
      </dgm:prSet>
      <dgm:spPr/>
      <dgm:t>
        <a:bodyPr/>
        <a:lstStyle/>
        <a:p>
          <a:endParaRPr lang="ru-RU"/>
        </a:p>
      </dgm:t>
    </dgm:pt>
    <dgm:pt modelId="{D5D61038-711B-4319-A6A7-A6801862FCE1}" type="pres">
      <dgm:prSet presAssocID="{86519351-D35F-46AD-AF2C-1BC7F74520DC}" presName="childTextArrow" presStyleLbl="fgAccFollowNode1" presStyleIdx="3" presStyleCnt="8" custScaleX="77995" custScaleY="286703" custLinFactNeighborX="171" custLinFactNeighborY="4081">
        <dgm:presLayoutVars>
          <dgm:bulletEnabled val="1"/>
        </dgm:presLayoutVars>
      </dgm:prSet>
      <dgm:spPr/>
      <dgm:t>
        <a:bodyPr/>
        <a:lstStyle/>
        <a:p>
          <a:endParaRPr lang="ru-RU"/>
        </a:p>
      </dgm:t>
    </dgm:pt>
    <dgm:pt modelId="{98AF7218-C517-4D5C-9E0B-51D93B4388B6}" type="pres">
      <dgm:prSet presAssocID="{4EA1AF3C-2F37-4B43-9F36-7B018A471541}" presName="sp" presStyleCnt="0"/>
      <dgm:spPr/>
    </dgm:pt>
    <dgm:pt modelId="{4011A666-2EC7-4158-8BCF-7BFD491CCB25}" type="pres">
      <dgm:prSet presAssocID="{CF943D9E-2294-4FE4-AB7D-E4D53C00E71F}" presName="arrowAndChildren" presStyleCnt="0"/>
      <dgm:spPr/>
    </dgm:pt>
    <dgm:pt modelId="{67604A0F-6931-429D-AFC9-D3725C3CFCC3}" type="pres">
      <dgm:prSet presAssocID="{CF943D9E-2294-4FE4-AB7D-E4D53C00E71F}" presName="parentTextArrow" presStyleLbl="node1" presStyleIdx="1" presStyleCnt="6"/>
      <dgm:spPr/>
      <dgm:t>
        <a:bodyPr/>
        <a:lstStyle/>
        <a:p>
          <a:endParaRPr lang="ru-RU"/>
        </a:p>
      </dgm:t>
    </dgm:pt>
    <dgm:pt modelId="{161D504F-9B16-4C6E-A00B-633D6CEA1A85}" type="pres">
      <dgm:prSet presAssocID="{CF943D9E-2294-4FE4-AB7D-E4D53C00E71F}" presName="arrow" presStyleLbl="node1" presStyleIdx="2" presStyleCnt="6" custScaleY="113025"/>
      <dgm:spPr/>
      <dgm:t>
        <a:bodyPr/>
        <a:lstStyle/>
        <a:p>
          <a:endParaRPr lang="ru-RU"/>
        </a:p>
      </dgm:t>
    </dgm:pt>
    <dgm:pt modelId="{55C00539-7313-4D5D-AE0D-2100A63DDD4F}" type="pres">
      <dgm:prSet presAssocID="{CF943D9E-2294-4FE4-AB7D-E4D53C00E71F}" presName="descendantArrow" presStyleCnt="0"/>
      <dgm:spPr/>
    </dgm:pt>
    <dgm:pt modelId="{009A7E13-E540-4F22-8D2B-7D09705873BA}" type="pres">
      <dgm:prSet presAssocID="{0A0444C9-D577-4961-81FB-E1D5116A3336}" presName="childTextArrow" presStyleLbl="fgAccFollowNode1" presStyleIdx="4" presStyleCnt="8">
        <dgm:presLayoutVars>
          <dgm:bulletEnabled val="1"/>
        </dgm:presLayoutVars>
      </dgm:prSet>
      <dgm:spPr/>
      <dgm:t>
        <a:bodyPr/>
        <a:lstStyle/>
        <a:p>
          <a:endParaRPr lang="ru-RU"/>
        </a:p>
      </dgm:t>
    </dgm:pt>
    <dgm:pt modelId="{AE9243D1-8D07-4484-9931-C750642071F7}" type="pres">
      <dgm:prSet presAssocID="{D057570E-1C6B-407A-8AEA-FAE9DCEE04A8}" presName="sp" presStyleCnt="0"/>
      <dgm:spPr/>
    </dgm:pt>
    <dgm:pt modelId="{601027E0-8643-4875-868D-CAD01B1C7E20}" type="pres">
      <dgm:prSet presAssocID="{67544E5F-EC27-42AD-8AE0-C2B307B50E6D}" presName="arrowAndChildren" presStyleCnt="0"/>
      <dgm:spPr/>
    </dgm:pt>
    <dgm:pt modelId="{A25D783E-2548-479F-BE98-004C84BAE59A}" type="pres">
      <dgm:prSet presAssocID="{67544E5F-EC27-42AD-8AE0-C2B307B50E6D}" presName="parentTextArrow" presStyleLbl="node1" presStyleIdx="2" presStyleCnt="6"/>
      <dgm:spPr/>
      <dgm:t>
        <a:bodyPr/>
        <a:lstStyle/>
        <a:p>
          <a:endParaRPr lang="ru-RU"/>
        </a:p>
      </dgm:t>
    </dgm:pt>
    <dgm:pt modelId="{8BACB35D-8BB1-4D47-B975-4809EE36221B}" type="pres">
      <dgm:prSet presAssocID="{67544E5F-EC27-42AD-8AE0-C2B307B50E6D}" presName="arrow" presStyleLbl="node1" presStyleIdx="3" presStyleCnt="6"/>
      <dgm:spPr/>
      <dgm:t>
        <a:bodyPr/>
        <a:lstStyle/>
        <a:p>
          <a:endParaRPr lang="ru-RU"/>
        </a:p>
      </dgm:t>
    </dgm:pt>
    <dgm:pt modelId="{06F57814-D363-491D-89B0-D24741139739}" type="pres">
      <dgm:prSet presAssocID="{67544E5F-EC27-42AD-8AE0-C2B307B50E6D}" presName="descendantArrow" presStyleCnt="0"/>
      <dgm:spPr/>
    </dgm:pt>
    <dgm:pt modelId="{A019726E-1093-4809-96B2-A35EDA422D69}" type="pres">
      <dgm:prSet presAssocID="{028F62AB-8EEA-40C3-818F-89DA05F2D42A}" presName="childTextArrow" presStyleLbl="fgAccFollowNode1" presStyleIdx="5" presStyleCnt="8">
        <dgm:presLayoutVars>
          <dgm:bulletEnabled val="1"/>
        </dgm:presLayoutVars>
      </dgm:prSet>
      <dgm:spPr/>
      <dgm:t>
        <a:bodyPr/>
        <a:lstStyle/>
        <a:p>
          <a:endParaRPr lang="ru-RU"/>
        </a:p>
      </dgm:t>
    </dgm:pt>
    <dgm:pt modelId="{428C63F0-66EE-40D5-9DD0-9342CAFE7F5A}" type="pres">
      <dgm:prSet presAssocID="{9E522C59-E40B-42B1-8EEB-A07C385AB916}" presName="sp" presStyleCnt="0"/>
      <dgm:spPr/>
    </dgm:pt>
    <dgm:pt modelId="{4BD10281-DF3C-4A2E-BF7C-5FC8D77DE513}" type="pres">
      <dgm:prSet presAssocID="{E2405C28-F0F6-45EE-B41A-EA663D070DFB}" presName="arrowAndChildren" presStyleCnt="0"/>
      <dgm:spPr/>
    </dgm:pt>
    <dgm:pt modelId="{7F74D34F-38AD-4490-8647-7E57B67E6291}" type="pres">
      <dgm:prSet presAssocID="{E2405C28-F0F6-45EE-B41A-EA663D070DFB}" presName="parentTextArrow" presStyleLbl="node1" presStyleIdx="3" presStyleCnt="6"/>
      <dgm:spPr/>
      <dgm:t>
        <a:bodyPr/>
        <a:lstStyle/>
        <a:p>
          <a:endParaRPr lang="ru-RU"/>
        </a:p>
      </dgm:t>
    </dgm:pt>
    <dgm:pt modelId="{7CD32549-DA9B-4F40-9C93-817731DA2DB7}" type="pres">
      <dgm:prSet presAssocID="{E2405C28-F0F6-45EE-B41A-EA663D070DFB}" presName="arrow" presStyleLbl="node1" presStyleIdx="4" presStyleCnt="6" custLinFactNeighborX="752"/>
      <dgm:spPr/>
      <dgm:t>
        <a:bodyPr/>
        <a:lstStyle/>
        <a:p>
          <a:endParaRPr lang="ru-RU"/>
        </a:p>
      </dgm:t>
    </dgm:pt>
    <dgm:pt modelId="{A94CA8E6-B82C-4A27-A164-40A75FFD7592}" type="pres">
      <dgm:prSet presAssocID="{E2405C28-F0F6-45EE-B41A-EA663D070DFB}" presName="descendantArrow" presStyleCnt="0"/>
      <dgm:spPr/>
    </dgm:pt>
    <dgm:pt modelId="{8D10EC4A-230E-4EA1-87AD-45866CAA9228}" type="pres">
      <dgm:prSet presAssocID="{368AD7FA-7816-4669-9B35-DEE602545041}" presName="childTextArrow" presStyleLbl="fgAccFollowNode1" presStyleIdx="6" presStyleCnt="8">
        <dgm:presLayoutVars>
          <dgm:bulletEnabled val="1"/>
        </dgm:presLayoutVars>
      </dgm:prSet>
      <dgm:spPr/>
      <dgm:t>
        <a:bodyPr/>
        <a:lstStyle/>
        <a:p>
          <a:endParaRPr lang="ru-RU"/>
        </a:p>
      </dgm:t>
    </dgm:pt>
    <dgm:pt modelId="{B360BA16-A65C-4E8D-852B-8AC7EB696CB0}" type="pres">
      <dgm:prSet presAssocID="{E9016091-1827-409E-B26A-3E8B10FA624F}" presName="sp" presStyleCnt="0"/>
      <dgm:spPr/>
    </dgm:pt>
    <dgm:pt modelId="{FFAEFE12-23EA-43AA-B5DC-E1F197DAABAF}" type="pres">
      <dgm:prSet presAssocID="{36B4F261-37C8-4C6A-98AE-D20BFE6C7FBB}" presName="arrowAndChildren" presStyleCnt="0"/>
      <dgm:spPr/>
    </dgm:pt>
    <dgm:pt modelId="{B496843D-0B81-4104-A22C-62D5000DFC62}" type="pres">
      <dgm:prSet presAssocID="{36B4F261-37C8-4C6A-98AE-D20BFE6C7FBB}" presName="parentTextArrow" presStyleLbl="node1" presStyleIdx="4" presStyleCnt="6"/>
      <dgm:spPr/>
      <dgm:t>
        <a:bodyPr/>
        <a:lstStyle/>
        <a:p>
          <a:endParaRPr lang="ru-RU"/>
        </a:p>
      </dgm:t>
    </dgm:pt>
    <dgm:pt modelId="{C6F931F5-4ED8-4144-8995-DEE3CCEB11A3}" type="pres">
      <dgm:prSet presAssocID="{36B4F261-37C8-4C6A-98AE-D20BFE6C7FBB}" presName="arrow" presStyleLbl="node1" presStyleIdx="5" presStyleCnt="6"/>
      <dgm:spPr/>
      <dgm:t>
        <a:bodyPr/>
        <a:lstStyle/>
        <a:p>
          <a:endParaRPr lang="ru-RU"/>
        </a:p>
      </dgm:t>
    </dgm:pt>
    <dgm:pt modelId="{A5C410C7-82B1-4CE6-BAE5-AFA27148DD38}" type="pres">
      <dgm:prSet presAssocID="{36B4F261-37C8-4C6A-98AE-D20BFE6C7FBB}" presName="descendantArrow" presStyleCnt="0"/>
      <dgm:spPr/>
    </dgm:pt>
    <dgm:pt modelId="{0A152D12-FF36-4F09-83CC-66DE5F6EFBCD}" type="pres">
      <dgm:prSet presAssocID="{5731485F-F8A5-4D8E-8B6F-EA1D40BAF14E}" presName="childTextArrow" presStyleLbl="fgAccFollowNode1" presStyleIdx="7" presStyleCnt="8" custScaleY="122467">
        <dgm:presLayoutVars>
          <dgm:bulletEnabled val="1"/>
        </dgm:presLayoutVars>
      </dgm:prSet>
      <dgm:spPr/>
      <dgm:t>
        <a:bodyPr/>
        <a:lstStyle/>
        <a:p>
          <a:endParaRPr lang="ru-RU"/>
        </a:p>
      </dgm:t>
    </dgm:pt>
  </dgm:ptLst>
  <dgm:cxnLst>
    <dgm:cxn modelId="{511EA1CD-93FF-4EE4-9527-0BB634F57010}" srcId="{061A40D4-4129-4B52-A883-41B0ADC69D81}" destId="{CF943D9E-2294-4FE4-AB7D-E4D53C00E71F}" srcOrd="3" destOrd="0" parTransId="{6EA2B958-1C74-4DCA-801B-BDA2266D3DE4}" sibTransId="{4EA1AF3C-2F37-4B43-9F36-7B018A471541}"/>
    <dgm:cxn modelId="{E7E1E76F-FEFA-47F5-9CCF-3C5777E430C5}" srcId="{A0F40B80-1321-4A96-B0A4-E368C0034C08}" destId="{68F9DB08-727A-4136-8CA7-4FCB37677E10}" srcOrd="1" destOrd="0" parTransId="{02A6B9AB-1D6F-4E07-ACF3-3656F69663E3}" sibTransId="{04163912-D105-44D0-A9DC-125E341F8A6F}"/>
    <dgm:cxn modelId="{0AE731A0-F939-478E-87F3-840F846C4D9D}" type="presOf" srcId="{FD491032-31C4-421A-94AA-12B7A47C7049}" destId="{47328BE2-D63D-4529-9294-6CB17A27A8C4}" srcOrd="0" destOrd="0" presId="urn:microsoft.com/office/officeart/2005/8/layout/process4"/>
    <dgm:cxn modelId="{99E01C95-4723-4049-B31A-39AFCBDB736E}" type="presOf" srcId="{CF943D9E-2294-4FE4-AB7D-E4D53C00E71F}" destId="{67604A0F-6931-429D-AFC9-D3725C3CFCC3}" srcOrd="0" destOrd="0" presId="urn:microsoft.com/office/officeart/2005/8/layout/process4"/>
    <dgm:cxn modelId="{C0169DCA-944E-479F-8B09-EC3EBD7DB04E}" type="presOf" srcId="{368AD7FA-7816-4669-9B35-DEE602545041}" destId="{8D10EC4A-230E-4EA1-87AD-45866CAA9228}" srcOrd="0" destOrd="0" presId="urn:microsoft.com/office/officeart/2005/8/layout/process4"/>
    <dgm:cxn modelId="{D3A52761-81C8-4CCE-83D9-FEDC5D7D1D39}" type="presOf" srcId="{67544E5F-EC27-42AD-8AE0-C2B307B50E6D}" destId="{8BACB35D-8BB1-4D47-B975-4809EE36221B}" srcOrd="1" destOrd="0" presId="urn:microsoft.com/office/officeart/2005/8/layout/process4"/>
    <dgm:cxn modelId="{C68EB334-4827-4894-ACB5-5583CF2C3E5E}" srcId="{061A40D4-4129-4B52-A883-41B0ADC69D81}" destId="{36B4F261-37C8-4C6A-98AE-D20BFE6C7FBB}" srcOrd="0" destOrd="0" parTransId="{96CFEB9E-0697-47EB-B972-C8EB1CEBBD81}" sibTransId="{E9016091-1827-409E-B26A-3E8B10FA624F}"/>
    <dgm:cxn modelId="{D9137555-353B-45DB-B6ED-BE675C79E2E0}" srcId="{A0F40B80-1321-4A96-B0A4-E368C0034C08}" destId="{FD491032-31C4-421A-94AA-12B7A47C7049}" srcOrd="2" destOrd="0" parTransId="{FC49DD92-C8C4-4582-B430-30CAA7ADB9DD}" sibTransId="{B616CB86-60FB-4B34-BA81-8E692063CB87}"/>
    <dgm:cxn modelId="{8F9C0C5F-D259-4713-81B3-F08464AEE235}" type="presOf" srcId="{67544E5F-EC27-42AD-8AE0-C2B307B50E6D}" destId="{A25D783E-2548-479F-BE98-004C84BAE59A}" srcOrd="0" destOrd="0" presId="urn:microsoft.com/office/officeart/2005/8/layout/process4"/>
    <dgm:cxn modelId="{27BD6C6A-C2F7-4F1F-91F9-0633B475A8F1}" type="presOf" srcId="{2DED2A57-B3FC-4FE2-9FC7-5CA1C25CBEFA}" destId="{F4DA9CDF-FBA6-4AC5-A735-CC2FD5708124}" srcOrd="0" destOrd="0" presId="urn:microsoft.com/office/officeart/2005/8/layout/process4"/>
    <dgm:cxn modelId="{FB71F938-9D4B-4442-8F56-55862DFE8C66}" type="presOf" srcId="{E2405C28-F0F6-45EE-B41A-EA663D070DFB}" destId="{7CD32549-DA9B-4F40-9C93-817731DA2DB7}" srcOrd="1" destOrd="0" presId="urn:microsoft.com/office/officeart/2005/8/layout/process4"/>
    <dgm:cxn modelId="{A424C4A7-EBC9-4041-9A3D-63901167503C}" type="presOf" srcId="{86519351-D35F-46AD-AF2C-1BC7F74520DC}" destId="{D5D61038-711B-4319-A6A7-A6801862FCE1}" srcOrd="0" destOrd="0" presId="urn:microsoft.com/office/officeart/2005/8/layout/process4"/>
    <dgm:cxn modelId="{008DAB58-A08E-4127-8CD6-6CB144610899}" srcId="{36B4F261-37C8-4C6A-98AE-D20BFE6C7FBB}" destId="{5731485F-F8A5-4D8E-8B6F-EA1D40BAF14E}" srcOrd="0" destOrd="0" parTransId="{E09CB1A7-AD52-4B51-BBBD-244E9ABF2569}" sibTransId="{ADB972A3-CC49-4D54-ACBC-98105ED20C60}"/>
    <dgm:cxn modelId="{DF13DA69-BEAE-4E0E-8FDE-52B3E49F81F0}" type="presOf" srcId="{A0F40B80-1321-4A96-B0A4-E368C0034C08}" destId="{32BEE8DD-826E-44D5-B087-3CE6F3FAB35B}" srcOrd="0" destOrd="0" presId="urn:microsoft.com/office/officeart/2005/8/layout/process4"/>
    <dgm:cxn modelId="{8C681F84-164D-4500-BAC4-64F81ECD4F73}" type="presOf" srcId="{CF943D9E-2294-4FE4-AB7D-E4D53C00E71F}" destId="{161D504F-9B16-4C6E-A00B-633D6CEA1A85}" srcOrd="1" destOrd="0" presId="urn:microsoft.com/office/officeart/2005/8/layout/process4"/>
    <dgm:cxn modelId="{454EF9A0-B390-4517-B7F7-819302FED169}" srcId="{67544E5F-EC27-42AD-8AE0-C2B307B50E6D}" destId="{028F62AB-8EEA-40C3-818F-89DA05F2D42A}" srcOrd="0" destOrd="0" parTransId="{74DBC4E0-BD93-44E6-9736-1C6E8D293CDD}" sibTransId="{0DFB90A5-5094-4B11-A127-40652597E181}"/>
    <dgm:cxn modelId="{A700A21C-6696-427C-82AF-361DE4AC883B}" type="presOf" srcId="{028F62AB-8EEA-40C3-818F-89DA05F2D42A}" destId="{A019726E-1093-4809-96B2-A35EDA422D69}" srcOrd="0" destOrd="0" presId="urn:microsoft.com/office/officeart/2005/8/layout/process4"/>
    <dgm:cxn modelId="{18B21C12-3629-42E4-AE2D-585A9DA9C282}" srcId="{CF943D9E-2294-4FE4-AB7D-E4D53C00E71F}" destId="{0A0444C9-D577-4961-81FB-E1D5116A3336}" srcOrd="0" destOrd="0" parTransId="{E89E2144-83F0-4C96-867B-77D0C60BD718}" sibTransId="{5D1B6AE4-1DED-495D-A306-AD44E3380BE7}"/>
    <dgm:cxn modelId="{22AC14E4-17C3-49BD-9A0F-1B3A208EB4E1}" srcId="{061A40D4-4129-4B52-A883-41B0ADC69D81}" destId="{2DED2A57-B3FC-4FE2-9FC7-5CA1C25CBEFA}" srcOrd="5" destOrd="0" parTransId="{272E4AD9-3485-4422-B52F-5C9D62943136}" sibTransId="{8342C6BC-9C37-460E-B3D9-21A6A759B3A2}"/>
    <dgm:cxn modelId="{D64528FC-3B04-49C7-ABEE-122E81FE771A}" srcId="{A0F40B80-1321-4A96-B0A4-E368C0034C08}" destId="{86519351-D35F-46AD-AF2C-1BC7F74520DC}" srcOrd="3" destOrd="0" parTransId="{5B1D5EAE-F788-4A5E-9105-46F692ACA610}" sibTransId="{B52B2B74-69F7-48B0-849F-3AF558ED6DD6}"/>
    <dgm:cxn modelId="{6B170748-7E87-41FF-ADF8-3B6D7FACD9EE}" type="presOf" srcId="{A0F40B80-1321-4A96-B0A4-E368C0034C08}" destId="{252A6332-C19F-4024-9252-E7E492707B92}" srcOrd="1" destOrd="0" presId="urn:microsoft.com/office/officeart/2005/8/layout/process4"/>
    <dgm:cxn modelId="{69F045B8-5F8C-4DA2-8DDE-65B60B855925}" type="presOf" srcId="{36B4F261-37C8-4C6A-98AE-D20BFE6C7FBB}" destId="{B496843D-0B81-4104-A22C-62D5000DFC62}" srcOrd="0" destOrd="0" presId="urn:microsoft.com/office/officeart/2005/8/layout/process4"/>
    <dgm:cxn modelId="{35E2F2D7-A81F-49F4-A414-D0E156D4342E}" srcId="{061A40D4-4129-4B52-A883-41B0ADC69D81}" destId="{67544E5F-EC27-42AD-8AE0-C2B307B50E6D}" srcOrd="2" destOrd="0" parTransId="{84F04D42-B64F-4F8F-B72B-DF3CFF8BE00F}" sibTransId="{D057570E-1C6B-407A-8AEA-FAE9DCEE04A8}"/>
    <dgm:cxn modelId="{40F1C9F6-2372-4F55-967E-4CCB09FCEED1}" type="presOf" srcId="{061A40D4-4129-4B52-A883-41B0ADC69D81}" destId="{AFA2E107-7701-4561-82E9-647FC66C4230}" srcOrd="0" destOrd="0" presId="urn:microsoft.com/office/officeart/2005/8/layout/process4"/>
    <dgm:cxn modelId="{8C3FAFBD-B585-4331-AE4C-668C9002356A}" srcId="{A0F40B80-1321-4A96-B0A4-E368C0034C08}" destId="{39FC6BAD-7126-4949-831D-EB0D34ECACA1}" srcOrd="0" destOrd="0" parTransId="{3DECC9B7-E43B-4F8D-9EC8-4C95EA7FFF09}" sibTransId="{62C01C11-EB37-4D74-BA48-86C8C0CCB072}"/>
    <dgm:cxn modelId="{4E9BE601-4F18-47CF-B9CE-DE1715B3786B}" type="presOf" srcId="{E2405C28-F0F6-45EE-B41A-EA663D070DFB}" destId="{7F74D34F-38AD-4490-8647-7E57B67E6291}" srcOrd="0" destOrd="0" presId="urn:microsoft.com/office/officeart/2005/8/layout/process4"/>
    <dgm:cxn modelId="{38A65B22-E032-4CBF-96FC-B862DB3EA5B7}" srcId="{061A40D4-4129-4B52-A883-41B0ADC69D81}" destId="{A0F40B80-1321-4A96-B0A4-E368C0034C08}" srcOrd="4" destOrd="0" parTransId="{7706C00D-DA49-4E13-BFEB-F8833748C99A}" sibTransId="{7DD36491-6ADC-433F-B054-08D5E9D6F65B}"/>
    <dgm:cxn modelId="{80FC3989-8436-49BB-B954-B989821D222C}" srcId="{E2405C28-F0F6-45EE-B41A-EA663D070DFB}" destId="{368AD7FA-7816-4669-9B35-DEE602545041}" srcOrd="0" destOrd="0" parTransId="{4AD00D9C-7487-45EB-A53C-C8046D977E61}" sibTransId="{1EED9510-3EF5-4193-A726-4FB1A7AAD7FF}"/>
    <dgm:cxn modelId="{8BE1001D-C600-4FAE-836F-BDF9DE378B7E}" type="presOf" srcId="{0A0444C9-D577-4961-81FB-E1D5116A3336}" destId="{009A7E13-E540-4F22-8D2B-7D09705873BA}" srcOrd="0" destOrd="0" presId="urn:microsoft.com/office/officeart/2005/8/layout/process4"/>
    <dgm:cxn modelId="{910B8405-FA82-4653-B583-5A471786676D}" type="presOf" srcId="{5731485F-F8A5-4D8E-8B6F-EA1D40BAF14E}" destId="{0A152D12-FF36-4F09-83CC-66DE5F6EFBCD}" srcOrd="0" destOrd="0" presId="urn:microsoft.com/office/officeart/2005/8/layout/process4"/>
    <dgm:cxn modelId="{976B7C0C-C740-4B1D-B767-CF6C092A3CBE}" type="presOf" srcId="{39FC6BAD-7126-4949-831D-EB0D34ECACA1}" destId="{62D33090-757D-4AF0-8205-10F5C09C3CD1}" srcOrd="0" destOrd="0" presId="urn:microsoft.com/office/officeart/2005/8/layout/process4"/>
    <dgm:cxn modelId="{ED534785-056B-4359-9955-C0836DBF1DE3}" type="presOf" srcId="{36B4F261-37C8-4C6A-98AE-D20BFE6C7FBB}" destId="{C6F931F5-4ED8-4144-8995-DEE3CCEB11A3}" srcOrd="1" destOrd="0" presId="urn:microsoft.com/office/officeart/2005/8/layout/process4"/>
    <dgm:cxn modelId="{DDFAA554-0AAC-422B-A698-9A61ED74EE34}" type="presOf" srcId="{68F9DB08-727A-4136-8CA7-4FCB37677E10}" destId="{49E6B1F7-25DC-424B-90B6-A7FB6F8B7F43}" srcOrd="0" destOrd="0" presId="urn:microsoft.com/office/officeart/2005/8/layout/process4"/>
    <dgm:cxn modelId="{A23388EA-8D9B-4182-BF9A-FE3C6837694B}" srcId="{061A40D4-4129-4B52-A883-41B0ADC69D81}" destId="{E2405C28-F0F6-45EE-B41A-EA663D070DFB}" srcOrd="1" destOrd="0" parTransId="{BB62FAA3-CFC0-4BD7-96C3-9BE8333E6C5F}" sibTransId="{9E522C59-E40B-42B1-8EEB-A07C385AB916}"/>
    <dgm:cxn modelId="{DDECEAE6-F26C-4F16-907C-0472A9637F07}" type="presParOf" srcId="{AFA2E107-7701-4561-82E9-647FC66C4230}" destId="{419D08A2-EFB2-43B2-9B43-0DD4D024A363}" srcOrd="0" destOrd="0" presId="urn:microsoft.com/office/officeart/2005/8/layout/process4"/>
    <dgm:cxn modelId="{8227C552-0A9E-4570-A1C9-03C7950F24CC}" type="presParOf" srcId="{419D08A2-EFB2-43B2-9B43-0DD4D024A363}" destId="{F4DA9CDF-FBA6-4AC5-A735-CC2FD5708124}" srcOrd="0" destOrd="0" presId="urn:microsoft.com/office/officeart/2005/8/layout/process4"/>
    <dgm:cxn modelId="{E74D9DB8-5BBC-450B-A597-51F6F244564F}" type="presParOf" srcId="{AFA2E107-7701-4561-82E9-647FC66C4230}" destId="{C766EE6A-1DBC-484F-AB1F-C3440CD57CF9}" srcOrd="1" destOrd="0" presId="urn:microsoft.com/office/officeart/2005/8/layout/process4"/>
    <dgm:cxn modelId="{A83B21BC-9C7B-4D4A-893D-9328358202F9}" type="presParOf" srcId="{AFA2E107-7701-4561-82E9-647FC66C4230}" destId="{A8D626D6-00F6-4E6F-B0E6-64CB5A4F0C07}" srcOrd="2" destOrd="0" presId="urn:microsoft.com/office/officeart/2005/8/layout/process4"/>
    <dgm:cxn modelId="{8507EC5F-34B2-42E7-8BDF-FB13AE064D9A}" type="presParOf" srcId="{A8D626D6-00F6-4E6F-B0E6-64CB5A4F0C07}" destId="{32BEE8DD-826E-44D5-B087-3CE6F3FAB35B}" srcOrd="0" destOrd="0" presId="urn:microsoft.com/office/officeart/2005/8/layout/process4"/>
    <dgm:cxn modelId="{39F92832-C742-473D-95A1-879048654A27}" type="presParOf" srcId="{A8D626D6-00F6-4E6F-B0E6-64CB5A4F0C07}" destId="{252A6332-C19F-4024-9252-E7E492707B92}" srcOrd="1" destOrd="0" presId="urn:microsoft.com/office/officeart/2005/8/layout/process4"/>
    <dgm:cxn modelId="{511BB5BD-CE9D-4DC4-BEAF-FF5959473F59}" type="presParOf" srcId="{A8D626D6-00F6-4E6F-B0E6-64CB5A4F0C07}" destId="{9D68895C-15ED-45E7-AA8E-0778C64864E8}" srcOrd="2" destOrd="0" presId="urn:microsoft.com/office/officeart/2005/8/layout/process4"/>
    <dgm:cxn modelId="{7B48022E-D574-406B-96E4-651C70C36851}" type="presParOf" srcId="{9D68895C-15ED-45E7-AA8E-0778C64864E8}" destId="{62D33090-757D-4AF0-8205-10F5C09C3CD1}" srcOrd="0" destOrd="0" presId="urn:microsoft.com/office/officeart/2005/8/layout/process4"/>
    <dgm:cxn modelId="{3CD6E326-D5F1-48B0-86CF-73222F4545D7}" type="presParOf" srcId="{9D68895C-15ED-45E7-AA8E-0778C64864E8}" destId="{49E6B1F7-25DC-424B-90B6-A7FB6F8B7F43}" srcOrd="1" destOrd="0" presId="urn:microsoft.com/office/officeart/2005/8/layout/process4"/>
    <dgm:cxn modelId="{991665D4-2589-4148-B936-97A097608801}" type="presParOf" srcId="{9D68895C-15ED-45E7-AA8E-0778C64864E8}" destId="{47328BE2-D63D-4529-9294-6CB17A27A8C4}" srcOrd="2" destOrd="0" presId="urn:microsoft.com/office/officeart/2005/8/layout/process4"/>
    <dgm:cxn modelId="{D5B9F1CD-18FC-4C6F-887A-AB3A7EAEC0C9}" type="presParOf" srcId="{9D68895C-15ED-45E7-AA8E-0778C64864E8}" destId="{D5D61038-711B-4319-A6A7-A6801862FCE1}" srcOrd="3" destOrd="0" presId="urn:microsoft.com/office/officeart/2005/8/layout/process4"/>
    <dgm:cxn modelId="{67F367F1-9E96-4E52-AF56-EEC21B8B1FB2}" type="presParOf" srcId="{AFA2E107-7701-4561-82E9-647FC66C4230}" destId="{98AF7218-C517-4D5C-9E0B-51D93B4388B6}" srcOrd="3" destOrd="0" presId="urn:microsoft.com/office/officeart/2005/8/layout/process4"/>
    <dgm:cxn modelId="{4645D410-0239-428B-8235-5E290ECA3445}" type="presParOf" srcId="{AFA2E107-7701-4561-82E9-647FC66C4230}" destId="{4011A666-2EC7-4158-8BCF-7BFD491CCB25}" srcOrd="4" destOrd="0" presId="urn:microsoft.com/office/officeart/2005/8/layout/process4"/>
    <dgm:cxn modelId="{9754612C-9ACE-45FA-A38F-8BF6F4AE3454}" type="presParOf" srcId="{4011A666-2EC7-4158-8BCF-7BFD491CCB25}" destId="{67604A0F-6931-429D-AFC9-D3725C3CFCC3}" srcOrd="0" destOrd="0" presId="urn:microsoft.com/office/officeart/2005/8/layout/process4"/>
    <dgm:cxn modelId="{91102C4D-64CC-4CCD-A879-3A7E2F40B743}" type="presParOf" srcId="{4011A666-2EC7-4158-8BCF-7BFD491CCB25}" destId="{161D504F-9B16-4C6E-A00B-633D6CEA1A85}" srcOrd="1" destOrd="0" presId="urn:microsoft.com/office/officeart/2005/8/layout/process4"/>
    <dgm:cxn modelId="{0ED1D35B-8C7E-4503-9D74-3D0CB0D1FA9D}" type="presParOf" srcId="{4011A666-2EC7-4158-8BCF-7BFD491CCB25}" destId="{55C00539-7313-4D5D-AE0D-2100A63DDD4F}" srcOrd="2" destOrd="0" presId="urn:microsoft.com/office/officeart/2005/8/layout/process4"/>
    <dgm:cxn modelId="{94E88F48-7918-4E54-BB0E-AFA20A6C9172}" type="presParOf" srcId="{55C00539-7313-4D5D-AE0D-2100A63DDD4F}" destId="{009A7E13-E540-4F22-8D2B-7D09705873BA}" srcOrd="0" destOrd="0" presId="urn:microsoft.com/office/officeart/2005/8/layout/process4"/>
    <dgm:cxn modelId="{FB47B09B-411D-45AD-ADFA-B35651BA72EC}" type="presParOf" srcId="{AFA2E107-7701-4561-82E9-647FC66C4230}" destId="{AE9243D1-8D07-4484-9931-C750642071F7}" srcOrd="5" destOrd="0" presId="urn:microsoft.com/office/officeart/2005/8/layout/process4"/>
    <dgm:cxn modelId="{68E4410A-D819-4B0F-BB6F-E9CC1BA107A8}" type="presParOf" srcId="{AFA2E107-7701-4561-82E9-647FC66C4230}" destId="{601027E0-8643-4875-868D-CAD01B1C7E20}" srcOrd="6" destOrd="0" presId="urn:microsoft.com/office/officeart/2005/8/layout/process4"/>
    <dgm:cxn modelId="{A83FFE2D-C8B3-48F2-8193-24BB1FE3FEB8}" type="presParOf" srcId="{601027E0-8643-4875-868D-CAD01B1C7E20}" destId="{A25D783E-2548-479F-BE98-004C84BAE59A}" srcOrd="0" destOrd="0" presId="urn:microsoft.com/office/officeart/2005/8/layout/process4"/>
    <dgm:cxn modelId="{32E67C87-BD5C-4BDB-8A6B-7176E1696270}" type="presParOf" srcId="{601027E0-8643-4875-868D-CAD01B1C7E20}" destId="{8BACB35D-8BB1-4D47-B975-4809EE36221B}" srcOrd="1" destOrd="0" presId="urn:microsoft.com/office/officeart/2005/8/layout/process4"/>
    <dgm:cxn modelId="{50A2F7D5-E867-403C-82FE-5D08551FA8E2}" type="presParOf" srcId="{601027E0-8643-4875-868D-CAD01B1C7E20}" destId="{06F57814-D363-491D-89B0-D24741139739}" srcOrd="2" destOrd="0" presId="urn:microsoft.com/office/officeart/2005/8/layout/process4"/>
    <dgm:cxn modelId="{55DCF168-F7F9-43F3-AD64-D985FF4F6858}" type="presParOf" srcId="{06F57814-D363-491D-89B0-D24741139739}" destId="{A019726E-1093-4809-96B2-A35EDA422D69}" srcOrd="0" destOrd="0" presId="urn:microsoft.com/office/officeart/2005/8/layout/process4"/>
    <dgm:cxn modelId="{B9FC5B6B-945A-4E9F-9803-740A26AEFDFF}" type="presParOf" srcId="{AFA2E107-7701-4561-82E9-647FC66C4230}" destId="{428C63F0-66EE-40D5-9DD0-9342CAFE7F5A}" srcOrd="7" destOrd="0" presId="urn:microsoft.com/office/officeart/2005/8/layout/process4"/>
    <dgm:cxn modelId="{3CBB1C09-FC76-49F8-8A07-9C58DFE44E9E}" type="presParOf" srcId="{AFA2E107-7701-4561-82E9-647FC66C4230}" destId="{4BD10281-DF3C-4A2E-BF7C-5FC8D77DE513}" srcOrd="8" destOrd="0" presId="urn:microsoft.com/office/officeart/2005/8/layout/process4"/>
    <dgm:cxn modelId="{1BCCC2DE-52B3-4BD1-A22E-F7C43A536601}" type="presParOf" srcId="{4BD10281-DF3C-4A2E-BF7C-5FC8D77DE513}" destId="{7F74D34F-38AD-4490-8647-7E57B67E6291}" srcOrd="0" destOrd="0" presId="urn:microsoft.com/office/officeart/2005/8/layout/process4"/>
    <dgm:cxn modelId="{8099EB27-4DA4-4D04-95E8-3526F4DE9FEA}" type="presParOf" srcId="{4BD10281-DF3C-4A2E-BF7C-5FC8D77DE513}" destId="{7CD32549-DA9B-4F40-9C93-817731DA2DB7}" srcOrd="1" destOrd="0" presId="urn:microsoft.com/office/officeart/2005/8/layout/process4"/>
    <dgm:cxn modelId="{B89B7FC2-C36F-42AC-88F1-659FFF3039D3}" type="presParOf" srcId="{4BD10281-DF3C-4A2E-BF7C-5FC8D77DE513}" destId="{A94CA8E6-B82C-4A27-A164-40A75FFD7592}" srcOrd="2" destOrd="0" presId="urn:microsoft.com/office/officeart/2005/8/layout/process4"/>
    <dgm:cxn modelId="{570E4DB1-0745-4DCB-95E5-E11BCC224B54}" type="presParOf" srcId="{A94CA8E6-B82C-4A27-A164-40A75FFD7592}" destId="{8D10EC4A-230E-4EA1-87AD-45866CAA9228}" srcOrd="0" destOrd="0" presId="urn:microsoft.com/office/officeart/2005/8/layout/process4"/>
    <dgm:cxn modelId="{FEEF647F-FC1A-4E14-9241-BCE14537CB04}" type="presParOf" srcId="{AFA2E107-7701-4561-82E9-647FC66C4230}" destId="{B360BA16-A65C-4E8D-852B-8AC7EB696CB0}" srcOrd="9" destOrd="0" presId="urn:microsoft.com/office/officeart/2005/8/layout/process4"/>
    <dgm:cxn modelId="{E32B8452-785B-4492-99B0-BB52CDEFF9C7}" type="presParOf" srcId="{AFA2E107-7701-4561-82E9-647FC66C4230}" destId="{FFAEFE12-23EA-43AA-B5DC-E1F197DAABAF}" srcOrd="10" destOrd="0" presId="urn:microsoft.com/office/officeart/2005/8/layout/process4"/>
    <dgm:cxn modelId="{AB5228F8-D1FF-4DC7-9329-ABAC915180C8}" type="presParOf" srcId="{FFAEFE12-23EA-43AA-B5DC-E1F197DAABAF}" destId="{B496843D-0B81-4104-A22C-62D5000DFC62}" srcOrd="0" destOrd="0" presId="urn:microsoft.com/office/officeart/2005/8/layout/process4"/>
    <dgm:cxn modelId="{78CE39D2-C929-47B5-B1AD-C850F19F3996}" type="presParOf" srcId="{FFAEFE12-23EA-43AA-B5DC-E1F197DAABAF}" destId="{C6F931F5-4ED8-4144-8995-DEE3CCEB11A3}" srcOrd="1" destOrd="0" presId="urn:microsoft.com/office/officeart/2005/8/layout/process4"/>
    <dgm:cxn modelId="{992EE202-E96E-46BA-9533-3E4E2CED0AE2}" type="presParOf" srcId="{FFAEFE12-23EA-43AA-B5DC-E1F197DAABAF}" destId="{A5C410C7-82B1-4CE6-BAE5-AFA27148DD38}" srcOrd="2" destOrd="0" presId="urn:microsoft.com/office/officeart/2005/8/layout/process4"/>
    <dgm:cxn modelId="{FD27402D-ED7D-40C7-A6BE-A0B4040928A0}" type="presParOf" srcId="{A5C410C7-82B1-4CE6-BAE5-AFA27148DD38}" destId="{0A152D12-FF36-4F09-83CC-66DE5F6EFBCD}" srcOrd="0" destOrd="0" presId="urn:microsoft.com/office/officeart/2005/8/layout/process4"/>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59760087-97A3-4C66-BD78-CEF304A37E76}" type="doc">
      <dgm:prSet loTypeId="urn:microsoft.com/office/officeart/2005/8/layout/pyramid2" loCatId="pyramid" qsTypeId="urn:microsoft.com/office/officeart/2005/8/quickstyle/3d3" qsCatId="3D" csTypeId="urn:microsoft.com/office/officeart/2005/8/colors/accent3_4" csCatId="accent3" phldr="1"/>
      <dgm:spPr/>
    </dgm:pt>
    <dgm:pt modelId="{D7048373-C73F-4CC2-9F01-131683F9EF0E}">
      <dgm:prSet phldrT="[Текст]" custT="1"/>
      <dgm:spPr/>
      <dgm:t>
        <a:bodyPr/>
        <a:lstStyle/>
        <a:p>
          <a:r>
            <a:rPr lang="ru-RU" sz="1200" i="1">
              <a:latin typeface="Times New Roman" panose="02020603050405020304" pitchFamily="18" charset="0"/>
              <a:cs typeface="Times New Roman" panose="02020603050405020304" pitchFamily="18" charset="0"/>
            </a:rPr>
            <a:t>Конституционный Суд и Уполномоченный по правам человека </a:t>
          </a:r>
          <a:r>
            <a:rPr lang="ru-RU" sz="1200">
              <a:latin typeface="Times New Roman" panose="02020603050405020304" pitchFamily="18" charset="0"/>
              <a:cs typeface="Times New Roman" panose="02020603050405020304" pitchFamily="18" charset="0"/>
            </a:rPr>
            <a:t>- гаранты верховенства Конституции и индивидуальной защиты прав.</a:t>
          </a:r>
        </a:p>
      </dgm:t>
    </dgm:pt>
    <dgm:pt modelId="{D3BED62B-0EC8-4B60-84C1-89ADC0C8C817}" type="parTrans" cxnId="{A128AC4B-2608-4DA0-B3D8-C9AC099058AC}">
      <dgm:prSet/>
      <dgm:spPr/>
      <dgm:t>
        <a:bodyPr/>
        <a:lstStyle/>
        <a:p>
          <a:endParaRPr lang="ru-RU" sz="1200">
            <a:latin typeface="Times New Roman" panose="02020603050405020304" pitchFamily="18" charset="0"/>
            <a:cs typeface="Times New Roman" panose="02020603050405020304" pitchFamily="18" charset="0"/>
          </a:endParaRPr>
        </a:p>
      </dgm:t>
    </dgm:pt>
    <dgm:pt modelId="{FDE5AD27-B522-48E0-A5E3-06E6C0090D56}" type="sibTrans" cxnId="{A128AC4B-2608-4DA0-B3D8-C9AC099058AC}">
      <dgm:prSet/>
      <dgm:spPr/>
      <dgm:t>
        <a:bodyPr/>
        <a:lstStyle/>
        <a:p>
          <a:endParaRPr lang="ru-RU" sz="1200">
            <a:latin typeface="Times New Roman" panose="02020603050405020304" pitchFamily="18" charset="0"/>
            <a:cs typeface="Times New Roman" panose="02020603050405020304" pitchFamily="18" charset="0"/>
          </a:endParaRPr>
        </a:p>
      </dgm:t>
    </dgm:pt>
    <dgm:pt modelId="{9206D155-35E6-4E35-B38F-8CC1EB96A977}">
      <dgm:prSet phldrT="[Текст]" custT="1"/>
      <dgm:spPr/>
      <dgm:t>
        <a:bodyPr/>
        <a:lstStyle/>
        <a:p>
          <a:r>
            <a:rPr lang="ru-RU" sz="1200" i="1">
              <a:latin typeface="Times New Roman" panose="02020603050405020304" pitchFamily="18" charset="0"/>
              <a:cs typeface="Times New Roman" panose="02020603050405020304" pitchFamily="18" charset="0"/>
            </a:rPr>
            <a:t>Парламент, Омбудсмены по направлениям, Национальный центр по правам человека </a:t>
          </a:r>
          <a:r>
            <a:rPr lang="ru-RU" sz="1200">
              <a:latin typeface="Times New Roman" panose="02020603050405020304" pitchFamily="18" charset="0"/>
              <a:cs typeface="Times New Roman" panose="02020603050405020304" pitchFamily="18" charset="0"/>
            </a:rPr>
            <a:t>-  реализация Планов действий и контроль соблюдения прав</a:t>
          </a:r>
        </a:p>
      </dgm:t>
    </dgm:pt>
    <dgm:pt modelId="{589C04E4-6B00-467F-89DA-182AE112F559}" type="parTrans" cxnId="{D642B618-2B03-4424-B9CD-205137FDB28C}">
      <dgm:prSet/>
      <dgm:spPr/>
      <dgm:t>
        <a:bodyPr/>
        <a:lstStyle/>
        <a:p>
          <a:endParaRPr lang="ru-RU" sz="1200">
            <a:latin typeface="Times New Roman" panose="02020603050405020304" pitchFamily="18" charset="0"/>
            <a:cs typeface="Times New Roman" panose="02020603050405020304" pitchFamily="18" charset="0"/>
          </a:endParaRPr>
        </a:p>
      </dgm:t>
    </dgm:pt>
    <dgm:pt modelId="{87FA9834-5349-4B44-814F-C4370EDAEEB8}" type="sibTrans" cxnId="{D642B618-2B03-4424-B9CD-205137FDB28C}">
      <dgm:prSet/>
      <dgm:spPr/>
      <dgm:t>
        <a:bodyPr/>
        <a:lstStyle/>
        <a:p>
          <a:endParaRPr lang="ru-RU" sz="1200">
            <a:latin typeface="Times New Roman" panose="02020603050405020304" pitchFamily="18" charset="0"/>
            <a:cs typeface="Times New Roman" panose="02020603050405020304" pitchFamily="18" charset="0"/>
          </a:endParaRPr>
        </a:p>
      </dgm:t>
    </dgm:pt>
    <dgm:pt modelId="{0BE185DF-6607-4373-AB77-3EB2E5D81944}">
      <dgm:prSet phldrT="[Текст]" custT="1"/>
      <dgm:spPr/>
      <dgm:t>
        <a:bodyPr/>
        <a:lstStyle/>
        <a:p>
          <a:r>
            <a:rPr lang="ru-RU" sz="1200" b="0" i="1">
              <a:latin typeface="Times New Roman" panose="02020603050405020304" pitchFamily="18" charset="0"/>
              <a:cs typeface="Times New Roman" panose="02020603050405020304" pitchFamily="18" charset="0"/>
            </a:rPr>
            <a:t>Международные стандарты и рекомендации ООН, ОБСЕ, </a:t>
          </a:r>
        </a:p>
        <a:p>
          <a:r>
            <a:rPr lang="ru-RU" sz="1200" b="0" i="1">
              <a:latin typeface="Times New Roman" panose="02020603050405020304" pitchFamily="18" charset="0"/>
              <a:cs typeface="Times New Roman" panose="02020603050405020304" pitchFamily="18" charset="0"/>
            </a:rPr>
            <a:t>Совета Европы </a:t>
          </a:r>
          <a:r>
            <a:rPr lang="ru-RU" sz="1200" b="0">
              <a:latin typeface="Times New Roman" panose="02020603050405020304" pitchFamily="18" charset="0"/>
              <a:cs typeface="Times New Roman" panose="02020603050405020304" pitchFamily="18" charset="0"/>
            </a:rPr>
            <a:t>- 294 позиции УПО-2025</a:t>
          </a:r>
        </a:p>
      </dgm:t>
    </dgm:pt>
    <dgm:pt modelId="{536D0535-43FE-4BDD-8DD9-ED202798EE28}" type="parTrans" cxnId="{04EAF80C-86AD-45A3-A6F3-344D79C7B827}">
      <dgm:prSet/>
      <dgm:spPr/>
      <dgm:t>
        <a:bodyPr/>
        <a:lstStyle/>
        <a:p>
          <a:endParaRPr lang="ru-RU" sz="1200">
            <a:latin typeface="Times New Roman" panose="02020603050405020304" pitchFamily="18" charset="0"/>
            <a:cs typeface="Times New Roman" panose="02020603050405020304" pitchFamily="18" charset="0"/>
          </a:endParaRPr>
        </a:p>
      </dgm:t>
    </dgm:pt>
    <dgm:pt modelId="{F4BFBA49-C4DF-435D-B626-4FC4DE071F88}" type="sibTrans" cxnId="{04EAF80C-86AD-45A3-A6F3-344D79C7B827}">
      <dgm:prSet/>
      <dgm:spPr/>
      <dgm:t>
        <a:bodyPr/>
        <a:lstStyle/>
        <a:p>
          <a:endParaRPr lang="ru-RU" sz="1200">
            <a:latin typeface="Times New Roman" panose="02020603050405020304" pitchFamily="18" charset="0"/>
            <a:cs typeface="Times New Roman" panose="02020603050405020304" pitchFamily="18" charset="0"/>
          </a:endParaRPr>
        </a:p>
      </dgm:t>
    </dgm:pt>
    <dgm:pt modelId="{D3FE5945-ECDB-4B17-95B9-D7FD8ADBD202}">
      <dgm:prSet phldrT="[Текст]" custT="1"/>
      <dgm:spPr/>
      <dgm:t>
        <a:bodyPr/>
        <a:lstStyle/>
        <a:p>
          <a:r>
            <a:rPr lang="ru-RU" sz="1200" i="1">
              <a:latin typeface="Times New Roman" panose="02020603050405020304" pitchFamily="18" charset="0"/>
              <a:cs typeface="Times New Roman" panose="02020603050405020304" pitchFamily="18" charset="0"/>
            </a:rPr>
            <a:t>Общественные советы, СМИ, НПО, цифровые платформы и образовательные программы  участие граждан - </a:t>
          </a:r>
          <a:r>
            <a:rPr lang="ru-RU" sz="1200">
              <a:latin typeface="Times New Roman" panose="02020603050405020304" pitchFamily="18" charset="0"/>
              <a:cs typeface="Times New Roman" panose="02020603050405020304" pitchFamily="18" charset="0"/>
            </a:rPr>
            <a:t>общественный контроль, медийная свобода</a:t>
          </a:r>
        </a:p>
      </dgm:t>
    </dgm:pt>
    <dgm:pt modelId="{93C5861C-2589-4917-9517-FF5F40EF1A9C}" type="parTrans" cxnId="{5B2ED0E4-8B8A-4B46-9B3C-C2D1F7555174}">
      <dgm:prSet/>
      <dgm:spPr/>
      <dgm:t>
        <a:bodyPr/>
        <a:lstStyle/>
        <a:p>
          <a:endParaRPr lang="ru-RU" sz="1200">
            <a:latin typeface="Times New Roman" panose="02020603050405020304" pitchFamily="18" charset="0"/>
            <a:cs typeface="Times New Roman" panose="02020603050405020304" pitchFamily="18" charset="0"/>
          </a:endParaRPr>
        </a:p>
      </dgm:t>
    </dgm:pt>
    <dgm:pt modelId="{096D96D0-9532-4A4F-9EF9-6ED50BFC2A97}" type="sibTrans" cxnId="{5B2ED0E4-8B8A-4B46-9B3C-C2D1F7555174}">
      <dgm:prSet/>
      <dgm:spPr/>
      <dgm:t>
        <a:bodyPr/>
        <a:lstStyle/>
        <a:p>
          <a:endParaRPr lang="ru-RU" sz="1200">
            <a:latin typeface="Times New Roman" panose="02020603050405020304" pitchFamily="18" charset="0"/>
            <a:cs typeface="Times New Roman" panose="02020603050405020304" pitchFamily="18" charset="0"/>
          </a:endParaRPr>
        </a:p>
      </dgm:t>
    </dgm:pt>
    <dgm:pt modelId="{FAA977A6-8A13-4F0E-84B6-50331A0DBBF7}" type="pres">
      <dgm:prSet presAssocID="{59760087-97A3-4C66-BD78-CEF304A37E76}" presName="compositeShape" presStyleCnt="0">
        <dgm:presLayoutVars>
          <dgm:dir/>
          <dgm:resizeHandles/>
        </dgm:presLayoutVars>
      </dgm:prSet>
      <dgm:spPr/>
    </dgm:pt>
    <dgm:pt modelId="{DBADBEBA-D41D-40A5-AF5A-AF9485642F91}" type="pres">
      <dgm:prSet presAssocID="{59760087-97A3-4C66-BD78-CEF304A37E76}" presName="pyramid" presStyleLbl="node1" presStyleIdx="0" presStyleCnt="1" custLinFactNeighborX="-1136"/>
      <dgm:spPr/>
    </dgm:pt>
    <dgm:pt modelId="{9D089CB1-0C14-4883-82B8-409A5A06E570}" type="pres">
      <dgm:prSet presAssocID="{59760087-97A3-4C66-BD78-CEF304A37E76}" presName="theList" presStyleCnt="0"/>
      <dgm:spPr/>
    </dgm:pt>
    <dgm:pt modelId="{91AFC6C3-20BF-4873-93DA-9E4BA8DF9D3F}" type="pres">
      <dgm:prSet presAssocID="{D7048373-C73F-4CC2-9F01-131683F9EF0E}" presName="aNode" presStyleLbl="fgAcc1" presStyleIdx="0" presStyleCnt="4" custScaleX="148417" custLinFactNeighborX="-46766" custLinFactNeighborY="51165">
        <dgm:presLayoutVars>
          <dgm:bulletEnabled val="1"/>
        </dgm:presLayoutVars>
      </dgm:prSet>
      <dgm:spPr/>
      <dgm:t>
        <a:bodyPr/>
        <a:lstStyle/>
        <a:p>
          <a:endParaRPr lang="ru-RU"/>
        </a:p>
      </dgm:t>
    </dgm:pt>
    <dgm:pt modelId="{661BBD5C-F3D5-460A-86E8-8A302AABF906}" type="pres">
      <dgm:prSet presAssocID="{D7048373-C73F-4CC2-9F01-131683F9EF0E}" presName="aSpace" presStyleCnt="0"/>
      <dgm:spPr/>
    </dgm:pt>
    <dgm:pt modelId="{E5046398-06F1-4EC0-85A6-9BBA458C255C}" type="pres">
      <dgm:prSet presAssocID="{9206D155-35E6-4E35-B38F-8CC1EB96A977}" presName="aNode" presStyleLbl="fgAcc1" presStyleIdx="1" presStyleCnt="4" custScaleX="197995" custLinFactY="291" custLinFactNeighborX="-43706" custLinFactNeighborY="100000">
        <dgm:presLayoutVars>
          <dgm:bulletEnabled val="1"/>
        </dgm:presLayoutVars>
      </dgm:prSet>
      <dgm:spPr/>
      <dgm:t>
        <a:bodyPr/>
        <a:lstStyle/>
        <a:p>
          <a:endParaRPr lang="ru-RU"/>
        </a:p>
      </dgm:t>
    </dgm:pt>
    <dgm:pt modelId="{0C3EA629-5C6A-4463-943A-79DF54D17E27}" type="pres">
      <dgm:prSet presAssocID="{9206D155-35E6-4E35-B38F-8CC1EB96A977}" presName="aSpace" presStyleCnt="0"/>
      <dgm:spPr/>
    </dgm:pt>
    <dgm:pt modelId="{2761AF36-EB84-413B-86DB-D2086B55E3BE}" type="pres">
      <dgm:prSet presAssocID="{D3FE5945-ECDB-4B17-95B9-D7FD8ADBD202}" presName="aNode" presStyleLbl="fgAcc1" presStyleIdx="2" presStyleCnt="4" custScaleX="220101" custLinFactY="14677" custLinFactNeighborX="-43176" custLinFactNeighborY="100000">
        <dgm:presLayoutVars>
          <dgm:bulletEnabled val="1"/>
        </dgm:presLayoutVars>
      </dgm:prSet>
      <dgm:spPr/>
      <dgm:t>
        <a:bodyPr/>
        <a:lstStyle/>
        <a:p>
          <a:endParaRPr lang="ru-RU"/>
        </a:p>
      </dgm:t>
    </dgm:pt>
    <dgm:pt modelId="{F82F776C-28A0-4733-9E63-15046767E810}" type="pres">
      <dgm:prSet presAssocID="{D3FE5945-ECDB-4B17-95B9-D7FD8ADBD202}" presName="aSpace" presStyleCnt="0"/>
      <dgm:spPr/>
    </dgm:pt>
    <dgm:pt modelId="{92234224-FDDF-4617-826F-D1D85AC51CD8}" type="pres">
      <dgm:prSet presAssocID="{0BE185DF-6607-4373-AB77-3EB2E5D81944}" presName="aNode" presStyleLbl="fgAcc1" presStyleIdx="3" presStyleCnt="4" custScaleX="229305" custLinFactY="27461" custLinFactNeighborX="-42397" custLinFactNeighborY="100000">
        <dgm:presLayoutVars>
          <dgm:bulletEnabled val="1"/>
        </dgm:presLayoutVars>
      </dgm:prSet>
      <dgm:spPr/>
      <dgm:t>
        <a:bodyPr/>
        <a:lstStyle/>
        <a:p>
          <a:endParaRPr lang="ru-RU"/>
        </a:p>
      </dgm:t>
    </dgm:pt>
    <dgm:pt modelId="{66B2BB38-3B72-4635-A134-812429271BF1}" type="pres">
      <dgm:prSet presAssocID="{0BE185DF-6607-4373-AB77-3EB2E5D81944}" presName="aSpace" presStyleCnt="0"/>
      <dgm:spPr/>
    </dgm:pt>
  </dgm:ptLst>
  <dgm:cxnLst>
    <dgm:cxn modelId="{F78B71BD-7FC8-465F-9A76-A8959D95A9FA}" type="presOf" srcId="{D3FE5945-ECDB-4B17-95B9-D7FD8ADBD202}" destId="{2761AF36-EB84-413B-86DB-D2086B55E3BE}" srcOrd="0" destOrd="0" presId="urn:microsoft.com/office/officeart/2005/8/layout/pyramid2"/>
    <dgm:cxn modelId="{FA53F792-D427-4410-A330-BF21B131C5A9}" type="presOf" srcId="{D7048373-C73F-4CC2-9F01-131683F9EF0E}" destId="{91AFC6C3-20BF-4873-93DA-9E4BA8DF9D3F}" srcOrd="0" destOrd="0" presId="urn:microsoft.com/office/officeart/2005/8/layout/pyramid2"/>
    <dgm:cxn modelId="{DAFA4DB3-402E-4918-9BD9-011540B802AC}" type="presOf" srcId="{0BE185DF-6607-4373-AB77-3EB2E5D81944}" destId="{92234224-FDDF-4617-826F-D1D85AC51CD8}" srcOrd="0" destOrd="0" presId="urn:microsoft.com/office/officeart/2005/8/layout/pyramid2"/>
    <dgm:cxn modelId="{0513A810-7E27-4297-85E3-76CBFC71F0C6}" type="presOf" srcId="{59760087-97A3-4C66-BD78-CEF304A37E76}" destId="{FAA977A6-8A13-4F0E-84B6-50331A0DBBF7}" srcOrd="0" destOrd="0" presId="urn:microsoft.com/office/officeart/2005/8/layout/pyramid2"/>
    <dgm:cxn modelId="{D642B618-2B03-4424-B9CD-205137FDB28C}" srcId="{59760087-97A3-4C66-BD78-CEF304A37E76}" destId="{9206D155-35E6-4E35-B38F-8CC1EB96A977}" srcOrd="1" destOrd="0" parTransId="{589C04E4-6B00-467F-89DA-182AE112F559}" sibTransId="{87FA9834-5349-4B44-814F-C4370EDAEEB8}"/>
    <dgm:cxn modelId="{A128AC4B-2608-4DA0-B3D8-C9AC099058AC}" srcId="{59760087-97A3-4C66-BD78-CEF304A37E76}" destId="{D7048373-C73F-4CC2-9F01-131683F9EF0E}" srcOrd="0" destOrd="0" parTransId="{D3BED62B-0EC8-4B60-84C1-89ADC0C8C817}" sibTransId="{FDE5AD27-B522-48E0-A5E3-06E6C0090D56}"/>
    <dgm:cxn modelId="{302BF782-2DBA-4FC5-A655-0D6C917EA97F}" type="presOf" srcId="{9206D155-35E6-4E35-B38F-8CC1EB96A977}" destId="{E5046398-06F1-4EC0-85A6-9BBA458C255C}" srcOrd="0" destOrd="0" presId="urn:microsoft.com/office/officeart/2005/8/layout/pyramid2"/>
    <dgm:cxn modelId="{04EAF80C-86AD-45A3-A6F3-344D79C7B827}" srcId="{59760087-97A3-4C66-BD78-CEF304A37E76}" destId="{0BE185DF-6607-4373-AB77-3EB2E5D81944}" srcOrd="3" destOrd="0" parTransId="{536D0535-43FE-4BDD-8DD9-ED202798EE28}" sibTransId="{F4BFBA49-C4DF-435D-B626-4FC4DE071F88}"/>
    <dgm:cxn modelId="{5B2ED0E4-8B8A-4B46-9B3C-C2D1F7555174}" srcId="{59760087-97A3-4C66-BD78-CEF304A37E76}" destId="{D3FE5945-ECDB-4B17-95B9-D7FD8ADBD202}" srcOrd="2" destOrd="0" parTransId="{93C5861C-2589-4917-9517-FF5F40EF1A9C}" sibTransId="{096D96D0-9532-4A4F-9EF9-6ED50BFC2A97}"/>
    <dgm:cxn modelId="{C7F933BF-4934-4070-948F-56CDEA065609}" type="presParOf" srcId="{FAA977A6-8A13-4F0E-84B6-50331A0DBBF7}" destId="{DBADBEBA-D41D-40A5-AF5A-AF9485642F91}" srcOrd="0" destOrd="0" presId="urn:microsoft.com/office/officeart/2005/8/layout/pyramid2"/>
    <dgm:cxn modelId="{14D9D84F-9360-49FF-86AD-023312C57178}" type="presParOf" srcId="{FAA977A6-8A13-4F0E-84B6-50331A0DBBF7}" destId="{9D089CB1-0C14-4883-82B8-409A5A06E570}" srcOrd="1" destOrd="0" presId="urn:microsoft.com/office/officeart/2005/8/layout/pyramid2"/>
    <dgm:cxn modelId="{028C9943-9C15-4309-85EF-291C432D320A}" type="presParOf" srcId="{9D089CB1-0C14-4883-82B8-409A5A06E570}" destId="{91AFC6C3-20BF-4873-93DA-9E4BA8DF9D3F}" srcOrd="0" destOrd="0" presId="urn:microsoft.com/office/officeart/2005/8/layout/pyramid2"/>
    <dgm:cxn modelId="{4F1C6112-9FD0-4546-AF8D-B621385023F1}" type="presParOf" srcId="{9D089CB1-0C14-4883-82B8-409A5A06E570}" destId="{661BBD5C-F3D5-460A-86E8-8A302AABF906}" srcOrd="1" destOrd="0" presId="urn:microsoft.com/office/officeart/2005/8/layout/pyramid2"/>
    <dgm:cxn modelId="{6D436BA6-1DF4-4253-BF67-8FF8F81BA0D4}" type="presParOf" srcId="{9D089CB1-0C14-4883-82B8-409A5A06E570}" destId="{E5046398-06F1-4EC0-85A6-9BBA458C255C}" srcOrd="2" destOrd="0" presId="urn:microsoft.com/office/officeart/2005/8/layout/pyramid2"/>
    <dgm:cxn modelId="{41FF0A64-B2F9-4FE6-A358-1EF2BF5266E3}" type="presParOf" srcId="{9D089CB1-0C14-4883-82B8-409A5A06E570}" destId="{0C3EA629-5C6A-4463-943A-79DF54D17E27}" srcOrd="3" destOrd="0" presId="urn:microsoft.com/office/officeart/2005/8/layout/pyramid2"/>
    <dgm:cxn modelId="{D170718D-2770-44B7-9C67-99CA59E087E2}" type="presParOf" srcId="{9D089CB1-0C14-4883-82B8-409A5A06E570}" destId="{2761AF36-EB84-413B-86DB-D2086B55E3BE}" srcOrd="4" destOrd="0" presId="urn:microsoft.com/office/officeart/2005/8/layout/pyramid2"/>
    <dgm:cxn modelId="{3E5723B0-8BB8-4D1D-9A4E-FDBE15C2083B}" type="presParOf" srcId="{9D089CB1-0C14-4883-82B8-409A5A06E570}" destId="{F82F776C-28A0-4733-9E63-15046767E810}" srcOrd="5" destOrd="0" presId="urn:microsoft.com/office/officeart/2005/8/layout/pyramid2"/>
    <dgm:cxn modelId="{420B9E5E-9F36-4914-A3FF-E9F882936D7B}" type="presParOf" srcId="{9D089CB1-0C14-4883-82B8-409A5A06E570}" destId="{92234224-FDDF-4617-826F-D1D85AC51CD8}" srcOrd="6" destOrd="0" presId="urn:microsoft.com/office/officeart/2005/8/layout/pyramid2"/>
    <dgm:cxn modelId="{942BE8C2-8061-4081-9FCC-AB977F08D9CF}" type="presParOf" srcId="{9D089CB1-0C14-4883-82B8-409A5A06E570}" destId="{66B2BB38-3B72-4635-A134-812429271BF1}" srcOrd="7" destOrd="0" presId="urn:microsoft.com/office/officeart/2005/8/layout/pyramid2"/>
  </dgm:cxnLst>
  <dgm:bg/>
  <dgm:whole/>
  <dgm:extLst>
    <a:ext uri="http://schemas.microsoft.com/office/drawing/2008/diagram">
      <dsp:dataModelExt xmlns:dsp="http://schemas.microsoft.com/office/drawing/2008/diagram" relId="rId113"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139914CB-CAE4-4A15-9AAE-C2748BA7794A}" type="doc">
      <dgm:prSet loTypeId="urn:microsoft.com/office/officeart/2005/8/layout/default" loCatId="list" qsTypeId="urn:microsoft.com/office/officeart/2005/8/quickstyle/simple5" qsCatId="simple" csTypeId="urn:microsoft.com/office/officeart/2005/8/colors/accent0_1" csCatId="mainScheme" phldr="1"/>
      <dgm:spPr/>
      <dgm:t>
        <a:bodyPr/>
        <a:lstStyle/>
        <a:p>
          <a:endParaRPr lang="uk-UA"/>
        </a:p>
      </dgm:t>
    </dgm:pt>
    <dgm:pt modelId="{5D730FCD-B01C-44A3-96E0-F588C7B1574C}">
      <dgm:prSet phldrT="[Текст]" custT="1"/>
      <dgm:spPr/>
      <dgm:t>
        <a:bodyPr/>
        <a:lstStyle/>
        <a:p>
          <a:pPr algn="just"/>
          <a:r>
            <a:rPr lang="uk-UA" sz="1200" b="0" i="1">
              <a:latin typeface="Times New Roman" panose="02020603050405020304" pitchFamily="18" charset="0"/>
              <a:cs typeface="Times New Roman" panose="02020603050405020304" pitchFamily="18" charset="0"/>
            </a:rPr>
            <a:t>Антикоррупционные институты</a:t>
          </a:r>
        </a:p>
      </dgm:t>
    </dgm:pt>
    <dgm:pt modelId="{ABCC6CC7-A4AF-4E9F-8C3B-2E63B8F424A8}" type="parTrans" cxnId="{D3F8DA07-39BE-47A2-BC9A-886D5DD16B6C}">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AEC54DF7-09C9-4E3C-8B68-DD94BAFDE293}" type="sibTrans" cxnId="{D3F8DA07-39BE-47A2-BC9A-886D5DD16B6C}">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3805471A-EA9A-472C-941F-BFE8D365EA65}">
      <dgm:prSet phldrT="[Текст]" custT="1"/>
      <dgm:spPr/>
      <dgm:t>
        <a:bodyPr/>
        <a:lstStyle/>
        <a:p>
          <a:pPr algn="just"/>
          <a:r>
            <a:rPr lang="ru-RU" sz="1200">
              <a:latin typeface="Times New Roman" panose="02020603050405020304" pitchFamily="18" charset="0"/>
              <a:cs typeface="Times New Roman" panose="02020603050405020304" pitchFamily="18" charset="0"/>
            </a:rPr>
            <a:t>Создание независимого антикоррупционного бюро с прозрачным отбором кадров и публичной отчётностью.
Введение механизмов общественного контроля над расследованиями - наблюдательные советы, онлайн-отчётность, гражданский аудит.
Интеграция с международными стандартами антикоррупционной политики.</a:t>
          </a:r>
          <a:endParaRPr lang="uk-UA" sz="1200">
            <a:latin typeface="Times New Roman" panose="02020603050405020304" pitchFamily="18" charset="0"/>
            <a:cs typeface="Times New Roman" panose="02020603050405020304" pitchFamily="18" charset="0"/>
          </a:endParaRPr>
        </a:p>
      </dgm:t>
    </dgm:pt>
    <dgm:pt modelId="{359941FB-A381-4AAC-818A-3EF58F21CCD7}" type="parTrans" cxnId="{1580BD35-80B8-48E4-A4EC-9685F769A271}">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B560EBB0-51B5-47BF-B88E-76798469E49C}" type="sibTrans" cxnId="{1580BD35-80B8-48E4-A4EC-9685F769A271}">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59693884-1F87-4F9F-9B75-5CF1C0F5D5AF}">
      <dgm:prSet phldrT="[Текст]" custT="1"/>
      <dgm:spPr/>
      <dgm:t>
        <a:bodyPr/>
        <a:lstStyle/>
        <a:p>
          <a:pPr algn="just"/>
          <a:r>
            <a:rPr lang="uk-UA" sz="1200" b="0" i="1">
              <a:latin typeface="Times New Roman" panose="02020603050405020304" pitchFamily="18" charset="0"/>
              <a:cs typeface="Times New Roman" panose="02020603050405020304" pitchFamily="18" charset="0"/>
            </a:rPr>
            <a:t>Судебная реформа</a:t>
          </a:r>
        </a:p>
      </dgm:t>
    </dgm:pt>
    <dgm:pt modelId="{AAF9325F-67DC-4081-8B48-02330638E572}" type="parTrans" cxnId="{15B1D5CB-F3C4-4091-B992-BD200FD8E6C2}">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1D957171-F179-4338-A7AE-E6BA69618232}" type="sibTrans" cxnId="{15B1D5CB-F3C4-4091-B992-BD200FD8E6C2}">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04DB8711-548C-42B5-A1E8-6CC54D9FB42D}">
      <dgm:prSet phldrT="[Текст]" custT="1"/>
      <dgm:spPr/>
      <dgm:t>
        <a:bodyPr/>
        <a:lstStyle/>
        <a:p>
          <a:pPr algn="just"/>
          <a:r>
            <a:rPr lang="ru-RU" sz="1200">
              <a:latin typeface="Times New Roman" panose="02020603050405020304" pitchFamily="18" charset="0"/>
              <a:cs typeface="Times New Roman" panose="02020603050405020304" pitchFamily="18" charset="0"/>
            </a:rPr>
            <a:t>Гарантии реальной независимости судей и прокуроров.
Публичный доступ к судебным решениям в цифровом формате (портал </a:t>
          </a:r>
          <a:r>
            <a:rPr lang="en-US" sz="1200">
              <a:latin typeface="Times New Roman" panose="02020603050405020304" pitchFamily="18" charset="0"/>
              <a:cs typeface="Times New Roman" panose="02020603050405020304" pitchFamily="18" charset="0"/>
            </a:rPr>
            <a:t>E-Justice).
</a:t>
          </a:r>
          <a:r>
            <a:rPr lang="ru-RU" sz="1200">
              <a:latin typeface="Times New Roman" panose="02020603050405020304" pitchFamily="18" charset="0"/>
              <a:cs typeface="Times New Roman" panose="02020603050405020304" pitchFamily="18" charset="0"/>
            </a:rPr>
            <a:t>Защита деятельности адвокатов и правозащитников, укрепление роли Омбудсмена по правам человека</a:t>
          </a:r>
          <a:endParaRPr lang="uk-UA" sz="1200">
            <a:latin typeface="Times New Roman" panose="02020603050405020304" pitchFamily="18" charset="0"/>
            <a:cs typeface="Times New Roman" panose="02020603050405020304" pitchFamily="18" charset="0"/>
          </a:endParaRPr>
        </a:p>
      </dgm:t>
    </dgm:pt>
    <dgm:pt modelId="{D4761428-F51B-4AD6-9281-D1736678921E}" type="parTrans" cxnId="{018BCADB-0BCA-4550-9362-6DF7C7B45C99}">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8D5EC64E-3658-499E-9D55-C302148D4CFB}" type="sibTrans" cxnId="{018BCADB-0BCA-4550-9362-6DF7C7B45C99}">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02188FC8-C32D-4B88-B4B3-DE861864F115}">
      <dgm:prSet phldrT="[Текст]" custT="1"/>
      <dgm:spPr/>
      <dgm:t>
        <a:bodyPr/>
        <a:lstStyle/>
        <a:p>
          <a:pPr algn="just"/>
          <a:r>
            <a:rPr lang="uk-UA" sz="1200" b="0" i="1">
              <a:latin typeface="Times New Roman" panose="02020603050405020304" pitchFamily="18" charset="0"/>
              <a:cs typeface="Times New Roman" panose="02020603050405020304" pitchFamily="18" charset="0"/>
            </a:rPr>
            <a:t>Экономическая прозрачность</a:t>
          </a:r>
        </a:p>
      </dgm:t>
    </dgm:pt>
    <dgm:pt modelId="{7E49135D-766C-4527-84F6-CB9091BFAAF3}" type="parTrans" cxnId="{938F272F-4382-4073-AF04-8CC2561C8610}">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0EA81EE7-17B4-4B5C-8582-B4432D902B76}" type="sibTrans" cxnId="{938F272F-4382-4073-AF04-8CC2561C8610}">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A79713BB-8F28-4C87-9467-59F4E1C15435}">
      <dgm:prSet phldrT="[Текст]" custT="1"/>
      <dgm:spPr/>
      <dgm:t>
        <a:bodyPr/>
        <a:lstStyle/>
        <a:p>
          <a:pPr algn="just"/>
          <a:r>
            <a:rPr lang="ru-RU" sz="1200">
              <a:latin typeface="Times New Roman" panose="02020603050405020304" pitchFamily="18" charset="0"/>
              <a:cs typeface="Times New Roman" panose="02020603050405020304" pitchFamily="18" charset="0"/>
            </a:rPr>
            <a:t>Сокращение доли госпредприятий и повышение прозрачности госзакупок</a:t>
          </a:r>
          <a:r>
            <a:rPr lang="en-US" sz="120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Ограничение влияния олигополий, внедрение норм конкурентного законодательства
Расширение доступа малого и среднего бизнеса к рынкам ЕС через программы технической помощи.</a:t>
          </a:r>
          <a:endParaRPr lang="uk-UA" sz="1200">
            <a:latin typeface="Times New Roman" panose="02020603050405020304" pitchFamily="18" charset="0"/>
            <a:cs typeface="Times New Roman" panose="02020603050405020304" pitchFamily="18" charset="0"/>
          </a:endParaRPr>
        </a:p>
      </dgm:t>
    </dgm:pt>
    <dgm:pt modelId="{BBD01AC0-1061-4507-AA6B-C18223F42A69}" type="parTrans" cxnId="{23D92A1A-3ED6-4A5C-B15E-38467C092514}">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88C46CA0-B850-473E-A689-7BC68AB0C1A7}" type="sibTrans" cxnId="{23D92A1A-3ED6-4A5C-B15E-38467C092514}">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CA66196F-7E90-4F2C-8C73-07B0013CC31D}">
      <dgm:prSet custT="1"/>
      <dgm:spPr/>
      <dgm:t>
        <a:bodyPr/>
        <a:lstStyle/>
        <a:p>
          <a:pPr algn="just"/>
          <a:r>
            <a:rPr lang="uk-UA" sz="1200" b="0" i="1">
              <a:latin typeface="Times New Roman" panose="02020603050405020304" pitchFamily="18" charset="0"/>
              <a:cs typeface="Times New Roman" panose="02020603050405020304" pitchFamily="18" charset="0"/>
            </a:rPr>
            <a:t>Политические и гражданские свободы</a:t>
          </a:r>
        </a:p>
      </dgm:t>
    </dgm:pt>
    <dgm:pt modelId="{ED2300C2-AF6E-40D5-B51C-30DEEE03A673}" type="parTrans" cxnId="{31E7121B-63F5-4ED7-868F-75C79582BA0E}">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D644BB6B-0AAC-49DA-A68B-504A60389C26}" type="sibTrans" cxnId="{31E7121B-63F5-4ED7-868F-75C79582BA0E}">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6D3FB510-19C2-43AC-96D3-25703903DE9B}">
      <dgm:prSet custT="1"/>
      <dgm:spPr/>
      <dgm:t>
        <a:bodyPr/>
        <a:lstStyle/>
        <a:p>
          <a:pPr algn="just"/>
          <a:r>
            <a:rPr lang="ru-RU" sz="1200">
              <a:latin typeface="Times New Roman" panose="02020603050405020304" pitchFamily="18" charset="0"/>
              <a:cs typeface="Times New Roman" panose="02020603050405020304" pitchFamily="18" charset="0"/>
            </a:rPr>
            <a:t>Пересмотр норм об «экстремизме» и «дискредитации власти» в соответствии с международными стандартами свободы выражения.
Гарантии свободы СМИ и развитие независимых редакций </a:t>
          </a:r>
          <a:r>
            <a:rPr lang="en-US" sz="120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Расширение возможностей для деятельности гражданских объединений и НПО </a:t>
          </a:r>
          <a:endParaRPr lang="uk-UA" sz="1200">
            <a:latin typeface="Times New Roman" panose="02020603050405020304" pitchFamily="18" charset="0"/>
            <a:cs typeface="Times New Roman" panose="02020603050405020304" pitchFamily="18" charset="0"/>
          </a:endParaRPr>
        </a:p>
      </dgm:t>
    </dgm:pt>
    <dgm:pt modelId="{E8C0325C-011B-4526-AB08-8386B54229C3}" type="parTrans" cxnId="{9806A2ED-95A8-4ABF-8001-A6D93201F9EF}">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81DD9390-3211-49E7-A39B-DD0194B11F16}" type="sibTrans" cxnId="{9806A2ED-95A8-4ABF-8001-A6D93201F9EF}">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A0FEF0B9-244C-4419-88C7-C6ADCBDFB866}">
      <dgm:prSet custT="1"/>
      <dgm:spPr/>
      <dgm:t>
        <a:bodyPr/>
        <a:lstStyle/>
        <a:p>
          <a:pPr algn="just">
            <a:buFont typeface="+mj-lt"/>
            <a:buNone/>
          </a:pPr>
          <a:r>
            <a:rPr lang="uk-UA" sz="1200" b="0" i="1">
              <a:latin typeface="Times New Roman" panose="02020603050405020304" pitchFamily="18" charset="0"/>
              <a:cs typeface="Times New Roman" panose="02020603050405020304" pitchFamily="18" charset="0"/>
            </a:rPr>
            <a:t>Международная интеграция</a:t>
          </a:r>
        </a:p>
      </dgm:t>
    </dgm:pt>
    <dgm:pt modelId="{D635C589-8C6D-4B35-A659-2173DE509617}" type="parTrans" cxnId="{43BDEF2B-6FE9-446A-838E-4D47F008588F}">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F15D468B-1CFC-4CA9-B092-9DCBBEE18BE4}" type="sibTrans" cxnId="{43BDEF2B-6FE9-446A-838E-4D47F008588F}">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AFBD5EB8-8AA3-4BC1-8864-D863030EFF03}">
      <dgm:prSet custT="1"/>
      <dgm:spPr/>
      <dgm:t>
        <a:bodyPr/>
        <a:lstStyle/>
        <a:p>
          <a:pPr algn="just"/>
          <a:r>
            <a:rPr lang="ru-RU" sz="1200">
              <a:latin typeface="Times New Roman" panose="02020603050405020304" pitchFamily="18" charset="0"/>
              <a:cs typeface="Times New Roman" panose="02020603050405020304" pitchFamily="18" charset="0"/>
            </a:rPr>
            <a:t>Использование программ технической помощи ЕС (аналогичных </a:t>
          </a:r>
          <a:r>
            <a:rPr lang="en-US" sz="1200">
              <a:latin typeface="Times New Roman" panose="02020603050405020304" pitchFamily="18" charset="0"/>
              <a:cs typeface="Times New Roman" panose="02020603050405020304" pitchFamily="18" charset="0"/>
            </a:rPr>
            <a:t>CVM </a:t>
          </a:r>
          <a:r>
            <a:rPr lang="ru-RU" sz="1200">
              <a:latin typeface="Times New Roman" panose="02020603050405020304" pitchFamily="18" charset="0"/>
              <a:cs typeface="Times New Roman" panose="02020603050405020304" pitchFamily="18" charset="0"/>
            </a:rPr>
            <a:t>для Болгарии и Румынии) для мониторинга реформ.
Внедрение лучших практик электронного управления (</a:t>
          </a:r>
          <a:r>
            <a:rPr lang="en-US" sz="1200">
              <a:latin typeface="Times New Roman" panose="02020603050405020304" pitchFamily="18" charset="0"/>
              <a:cs typeface="Times New Roman" panose="02020603050405020304" pitchFamily="18" charset="0"/>
            </a:rPr>
            <a:t>E-Gov, Digital Kazakhstan) </a:t>
          </a:r>
          <a:r>
            <a:rPr lang="ru-RU" sz="1200">
              <a:latin typeface="Times New Roman" panose="02020603050405020304" pitchFamily="18" charset="0"/>
              <a:cs typeface="Times New Roman" panose="02020603050405020304" pitchFamily="18" charset="0"/>
            </a:rPr>
            <a:t>для повышения открытости и снижения коррупционных рисков.
Согласование национальных программ по правам человека с рамками Плана действий ЕС по правам человека и демократии (2020–2027).</a:t>
          </a:r>
          <a:endParaRPr lang="uk-UA" sz="1200">
            <a:latin typeface="Times New Roman" panose="02020603050405020304" pitchFamily="18" charset="0"/>
            <a:cs typeface="Times New Roman" panose="02020603050405020304" pitchFamily="18" charset="0"/>
          </a:endParaRPr>
        </a:p>
      </dgm:t>
    </dgm:pt>
    <dgm:pt modelId="{6F5660CD-E9F9-4B91-9292-A471C8134C0E}" type="parTrans" cxnId="{E9B3BE42-9408-4BF9-8831-064EE2083565}">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8DCC8704-3BE6-4A0B-9C2C-705A306BD8D4}" type="sibTrans" cxnId="{E9B3BE42-9408-4BF9-8831-064EE2083565}">
      <dgm:prSet/>
      <dgm:spPr/>
      <dgm:t>
        <a:bodyPr/>
        <a:lstStyle/>
        <a:p>
          <a:pPr algn="just"/>
          <a:endParaRPr lang="uk-UA" sz="1200">
            <a:latin typeface="Times New Roman" panose="02020603050405020304" pitchFamily="18" charset="0"/>
            <a:cs typeface="Times New Roman" panose="02020603050405020304" pitchFamily="18" charset="0"/>
          </a:endParaRPr>
        </a:p>
      </dgm:t>
    </dgm:pt>
    <dgm:pt modelId="{F7E9CF20-E841-4470-AD38-B7831B186FF4}" type="pres">
      <dgm:prSet presAssocID="{139914CB-CAE4-4A15-9AAE-C2748BA7794A}" presName="diagram" presStyleCnt="0">
        <dgm:presLayoutVars>
          <dgm:dir/>
          <dgm:resizeHandles val="exact"/>
        </dgm:presLayoutVars>
      </dgm:prSet>
      <dgm:spPr/>
      <dgm:t>
        <a:bodyPr/>
        <a:lstStyle/>
        <a:p>
          <a:endParaRPr lang="ru-RU"/>
        </a:p>
      </dgm:t>
    </dgm:pt>
    <dgm:pt modelId="{8650A4BC-4DAD-4F08-BB8C-2E667C91DEDC}" type="pres">
      <dgm:prSet presAssocID="{5D730FCD-B01C-44A3-96E0-F588C7B1574C}" presName="node" presStyleLbl="node1" presStyleIdx="0" presStyleCnt="5" custScaleX="139006" custScaleY="169774">
        <dgm:presLayoutVars>
          <dgm:bulletEnabled val="1"/>
        </dgm:presLayoutVars>
      </dgm:prSet>
      <dgm:spPr/>
      <dgm:t>
        <a:bodyPr/>
        <a:lstStyle/>
        <a:p>
          <a:endParaRPr lang="ru-RU"/>
        </a:p>
      </dgm:t>
    </dgm:pt>
    <dgm:pt modelId="{3B0D3554-6FFE-4744-A4B6-D106961086A7}" type="pres">
      <dgm:prSet presAssocID="{AEC54DF7-09C9-4E3C-8B68-DD94BAFDE293}" presName="sibTrans" presStyleCnt="0"/>
      <dgm:spPr/>
    </dgm:pt>
    <dgm:pt modelId="{B0CCC603-E974-49A1-B065-57092E237945}" type="pres">
      <dgm:prSet presAssocID="{59693884-1F87-4F9F-9B75-5CF1C0F5D5AF}" presName="node" presStyleLbl="node1" presStyleIdx="1" presStyleCnt="5" custScaleX="127251" custScaleY="140921" custLinFactNeighborX="-5204" custLinFactNeighborY="-8674">
        <dgm:presLayoutVars>
          <dgm:bulletEnabled val="1"/>
        </dgm:presLayoutVars>
      </dgm:prSet>
      <dgm:spPr/>
      <dgm:t>
        <a:bodyPr/>
        <a:lstStyle/>
        <a:p>
          <a:endParaRPr lang="ru-RU"/>
        </a:p>
      </dgm:t>
    </dgm:pt>
    <dgm:pt modelId="{FAD2348A-E592-4427-BF0F-D82441BE7307}" type="pres">
      <dgm:prSet presAssocID="{1D957171-F179-4338-A7AE-E6BA69618232}" presName="sibTrans" presStyleCnt="0"/>
      <dgm:spPr/>
    </dgm:pt>
    <dgm:pt modelId="{24F58CB9-82E0-4A10-8B5E-738F30DFE6C6}" type="pres">
      <dgm:prSet presAssocID="{02188FC8-C32D-4B88-B4B3-DE861864F115}" presName="node" presStyleLbl="node1" presStyleIdx="2" presStyleCnt="5" custScaleX="141945" custScaleY="129957" custLinFactNeighborX="2175" custLinFactNeighborY="-15479">
        <dgm:presLayoutVars>
          <dgm:bulletEnabled val="1"/>
        </dgm:presLayoutVars>
      </dgm:prSet>
      <dgm:spPr/>
      <dgm:t>
        <a:bodyPr/>
        <a:lstStyle/>
        <a:p>
          <a:endParaRPr lang="ru-RU"/>
        </a:p>
      </dgm:t>
    </dgm:pt>
    <dgm:pt modelId="{FA2B512B-C004-46BB-A7A3-A059FD1F8537}" type="pres">
      <dgm:prSet presAssocID="{0EA81EE7-17B4-4B5C-8582-B4432D902B76}" presName="sibTrans" presStyleCnt="0"/>
      <dgm:spPr/>
    </dgm:pt>
    <dgm:pt modelId="{9DD65312-F509-46D0-8264-5AB048AA3A97}" type="pres">
      <dgm:prSet presAssocID="{CA66196F-7E90-4F2C-8C73-07B0013CC31D}" presName="node" presStyleLbl="node1" presStyleIdx="3" presStyleCnt="5" custScaleX="128161" custScaleY="156264" custLinFactNeighborX="-6525" custLinFactNeighborY="-27656">
        <dgm:presLayoutVars>
          <dgm:bulletEnabled val="1"/>
        </dgm:presLayoutVars>
      </dgm:prSet>
      <dgm:spPr/>
      <dgm:t>
        <a:bodyPr/>
        <a:lstStyle/>
        <a:p>
          <a:endParaRPr lang="ru-RU"/>
        </a:p>
      </dgm:t>
    </dgm:pt>
    <dgm:pt modelId="{6A022646-5799-4BD9-92BE-86D14F5B1E01}" type="pres">
      <dgm:prSet presAssocID="{D644BB6B-0AAC-49DA-A68B-504A60389C26}" presName="sibTrans" presStyleCnt="0"/>
      <dgm:spPr/>
    </dgm:pt>
    <dgm:pt modelId="{79234E56-AAD7-4EDF-AA00-ACB820901D82}" type="pres">
      <dgm:prSet presAssocID="{A0FEF0B9-244C-4419-88C7-C6ADCBDFB866}" presName="node" presStyleLbl="node1" presStyleIdx="4" presStyleCnt="5" custScaleX="254769" custLinFactNeighborX="-4978" custLinFactNeighborY="-29421">
        <dgm:presLayoutVars>
          <dgm:bulletEnabled val="1"/>
        </dgm:presLayoutVars>
      </dgm:prSet>
      <dgm:spPr/>
      <dgm:t>
        <a:bodyPr/>
        <a:lstStyle/>
        <a:p>
          <a:endParaRPr lang="ru-RU"/>
        </a:p>
      </dgm:t>
    </dgm:pt>
  </dgm:ptLst>
  <dgm:cxnLst>
    <dgm:cxn modelId="{43BDEF2B-6FE9-446A-838E-4D47F008588F}" srcId="{139914CB-CAE4-4A15-9AAE-C2748BA7794A}" destId="{A0FEF0B9-244C-4419-88C7-C6ADCBDFB866}" srcOrd="4" destOrd="0" parTransId="{D635C589-8C6D-4B35-A659-2173DE509617}" sibTransId="{F15D468B-1CFC-4CA9-B092-9DCBBEE18BE4}"/>
    <dgm:cxn modelId="{E9B3BE42-9408-4BF9-8831-064EE2083565}" srcId="{A0FEF0B9-244C-4419-88C7-C6ADCBDFB866}" destId="{AFBD5EB8-8AA3-4BC1-8864-D863030EFF03}" srcOrd="0" destOrd="0" parTransId="{6F5660CD-E9F9-4B91-9292-A471C8134C0E}" sibTransId="{8DCC8704-3BE6-4A0B-9C2C-705A306BD8D4}"/>
    <dgm:cxn modelId="{97087EE1-277B-4AA3-B4BE-E061E6ECA2DE}" type="presOf" srcId="{6D3FB510-19C2-43AC-96D3-25703903DE9B}" destId="{9DD65312-F509-46D0-8264-5AB048AA3A97}" srcOrd="0" destOrd="1" presId="urn:microsoft.com/office/officeart/2005/8/layout/default"/>
    <dgm:cxn modelId="{C8AE84B5-1A2A-4D3B-874D-E869C63132E8}" type="presOf" srcId="{04DB8711-548C-42B5-A1E8-6CC54D9FB42D}" destId="{B0CCC603-E974-49A1-B065-57092E237945}" srcOrd="0" destOrd="1" presId="urn:microsoft.com/office/officeart/2005/8/layout/default"/>
    <dgm:cxn modelId="{31E7121B-63F5-4ED7-868F-75C79582BA0E}" srcId="{139914CB-CAE4-4A15-9AAE-C2748BA7794A}" destId="{CA66196F-7E90-4F2C-8C73-07B0013CC31D}" srcOrd="3" destOrd="0" parTransId="{ED2300C2-AF6E-40D5-B51C-30DEEE03A673}" sibTransId="{D644BB6B-0AAC-49DA-A68B-504A60389C26}"/>
    <dgm:cxn modelId="{938F272F-4382-4073-AF04-8CC2561C8610}" srcId="{139914CB-CAE4-4A15-9AAE-C2748BA7794A}" destId="{02188FC8-C32D-4B88-B4B3-DE861864F115}" srcOrd="2" destOrd="0" parTransId="{7E49135D-766C-4527-84F6-CB9091BFAAF3}" sibTransId="{0EA81EE7-17B4-4B5C-8582-B4432D902B76}"/>
    <dgm:cxn modelId="{19DB94BE-9FCD-4CB0-B490-A57686ED7114}" type="presOf" srcId="{5D730FCD-B01C-44A3-96E0-F588C7B1574C}" destId="{8650A4BC-4DAD-4F08-BB8C-2E667C91DEDC}" srcOrd="0" destOrd="0" presId="urn:microsoft.com/office/officeart/2005/8/layout/default"/>
    <dgm:cxn modelId="{9806A2ED-95A8-4ABF-8001-A6D93201F9EF}" srcId="{CA66196F-7E90-4F2C-8C73-07B0013CC31D}" destId="{6D3FB510-19C2-43AC-96D3-25703903DE9B}" srcOrd="0" destOrd="0" parTransId="{E8C0325C-011B-4526-AB08-8386B54229C3}" sibTransId="{81DD9390-3211-49E7-A39B-DD0194B11F16}"/>
    <dgm:cxn modelId="{23D92A1A-3ED6-4A5C-B15E-38467C092514}" srcId="{02188FC8-C32D-4B88-B4B3-DE861864F115}" destId="{A79713BB-8F28-4C87-9467-59F4E1C15435}" srcOrd="0" destOrd="0" parTransId="{BBD01AC0-1061-4507-AA6B-C18223F42A69}" sibTransId="{88C46CA0-B850-473E-A689-7BC68AB0C1A7}"/>
    <dgm:cxn modelId="{15B1D5CB-F3C4-4091-B992-BD200FD8E6C2}" srcId="{139914CB-CAE4-4A15-9AAE-C2748BA7794A}" destId="{59693884-1F87-4F9F-9B75-5CF1C0F5D5AF}" srcOrd="1" destOrd="0" parTransId="{AAF9325F-67DC-4081-8B48-02330638E572}" sibTransId="{1D957171-F179-4338-A7AE-E6BA69618232}"/>
    <dgm:cxn modelId="{2807B94C-C398-4D8D-BFA8-7C3F19FC043A}" type="presOf" srcId="{A0FEF0B9-244C-4419-88C7-C6ADCBDFB866}" destId="{79234E56-AAD7-4EDF-AA00-ACB820901D82}" srcOrd="0" destOrd="0" presId="urn:microsoft.com/office/officeart/2005/8/layout/default"/>
    <dgm:cxn modelId="{1580BD35-80B8-48E4-A4EC-9685F769A271}" srcId="{5D730FCD-B01C-44A3-96E0-F588C7B1574C}" destId="{3805471A-EA9A-472C-941F-BFE8D365EA65}" srcOrd="0" destOrd="0" parTransId="{359941FB-A381-4AAC-818A-3EF58F21CCD7}" sibTransId="{B560EBB0-51B5-47BF-B88E-76798469E49C}"/>
    <dgm:cxn modelId="{49D9E8F2-8038-4B26-B611-C516A7A32FB1}" type="presOf" srcId="{139914CB-CAE4-4A15-9AAE-C2748BA7794A}" destId="{F7E9CF20-E841-4470-AD38-B7831B186FF4}" srcOrd="0" destOrd="0" presId="urn:microsoft.com/office/officeart/2005/8/layout/default"/>
    <dgm:cxn modelId="{018BCADB-0BCA-4550-9362-6DF7C7B45C99}" srcId="{59693884-1F87-4F9F-9B75-5CF1C0F5D5AF}" destId="{04DB8711-548C-42B5-A1E8-6CC54D9FB42D}" srcOrd="0" destOrd="0" parTransId="{D4761428-F51B-4AD6-9281-D1736678921E}" sibTransId="{8D5EC64E-3658-499E-9D55-C302148D4CFB}"/>
    <dgm:cxn modelId="{2969B21E-70A4-4A19-9B73-517E356EAC52}" type="presOf" srcId="{A79713BB-8F28-4C87-9467-59F4E1C15435}" destId="{24F58CB9-82E0-4A10-8B5E-738F30DFE6C6}" srcOrd="0" destOrd="1" presId="urn:microsoft.com/office/officeart/2005/8/layout/default"/>
    <dgm:cxn modelId="{5F5C60DF-B93A-488F-AAA6-17F3F2F0AA2D}" type="presOf" srcId="{02188FC8-C32D-4B88-B4B3-DE861864F115}" destId="{24F58CB9-82E0-4A10-8B5E-738F30DFE6C6}" srcOrd="0" destOrd="0" presId="urn:microsoft.com/office/officeart/2005/8/layout/default"/>
    <dgm:cxn modelId="{183C8348-0B79-431D-8BF1-F00AE5572CAA}" type="presOf" srcId="{AFBD5EB8-8AA3-4BC1-8864-D863030EFF03}" destId="{79234E56-AAD7-4EDF-AA00-ACB820901D82}" srcOrd="0" destOrd="1" presId="urn:microsoft.com/office/officeart/2005/8/layout/default"/>
    <dgm:cxn modelId="{ED5A986E-BC6A-4B54-8D1F-D574F8D3A5CF}" type="presOf" srcId="{CA66196F-7E90-4F2C-8C73-07B0013CC31D}" destId="{9DD65312-F509-46D0-8264-5AB048AA3A97}" srcOrd="0" destOrd="0" presId="urn:microsoft.com/office/officeart/2005/8/layout/default"/>
    <dgm:cxn modelId="{36888362-0225-4178-B337-25925B4D6210}" type="presOf" srcId="{3805471A-EA9A-472C-941F-BFE8D365EA65}" destId="{8650A4BC-4DAD-4F08-BB8C-2E667C91DEDC}" srcOrd="0" destOrd="1" presId="urn:microsoft.com/office/officeart/2005/8/layout/default"/>
    <dgm:cxn modelId="{D3F8DA07-39BE-47A2-BC9A-886D5DD16B6C}" srcId="{139914CB-CAE4-4A15-9AAE-C2748BA7794A}" destId="{5D730FCD-B01C-44A3-96E0-F588C7B1574C}" srcOrd="0" destOrd="0" parTransId="{ABCC6CC7-A4AF-4E9F-8C3B-2E63B8F424A8}" sibTransId="{AEC54DF7-09C9-4E3C-8B68-DD94BAFDE293}"/>
    <dgm:cxn modelId="{65A3A8BC-4BFD-4731-BF49-BDD3256DC4D1}" type="presOf" srcId="{59693884-1F87-4F9F-9B75-5CF1C0F5D5AF}" destId="{B0CCC603-E974-49A1-B065-57092E237945}" srcOrd="0" destOrd="0" presId="urn:microsoft.com/office/officeart/2005/8/layout/default"/>
    <dgm:cxn modelId="{9D10D4FC-B1DE-4114-A08C-8FFBC18844CA}" type="presParOf" srcId="{F7E9CF20-E841-4470-AD38-B7831B186FF4}" destId="{8650A4BC-4DAD-4F08-BB8C-2E667C91DEDC}" srcOrd="0" destOrd="0" presId="urn:microsoft.com/office/officeart/2005/8/layout/default"/>
    <dgm:cxn modelId="{1F96A168-530D-462A-A9D1-8B88E65DFA28}" type="presParOf" srcId="{F7E9CF20-E841-4470-AD38-B7831B186FF4}" destId="{3B0D3554-6FFE-4744-A4B6-D106961086A7}" srcOrd="1" destOrd="0" presId="urn:microsoft.com/office/officeart/2005/8/layout/default"/>
    <dgm:cxn modelId="{E9A3BB31-D262-46A7-BF6C-1FE460FAD09A}" type="presParOf" srcId="{F7E9CF20-E841-4470-AD38-B7831B186FF4}" destId="{B0CCC603-E974-49A1-B065-57092E237945}" srcOrd="2" destOrd="0" presId="urn:microsoft.com/office/officeart/2005/8/layout/default"/>
    <dgm:cxn modelId="{6ED97874-273C-4056-A5E4-3BF6566C8467}" type="presParOf" srcId="{F7E9CF20-E841-4470-AD38-B7831B186FF4}" destId="{FAD2348A-E592-4427-BF0F-D82441BE7307}" srcOrd="3" destOrd="0" presId="urn:microsoft.com/office/officeart/2005/8/layout/default"/>
    <dgm:cxn modelId="{2BD23806-6E7C-46CC-80EF-54B910E786C9}" type="presParOf" srcId="{F7E9CF20-E841-4470-AD38-B7831B186FF4}" destId="{24F58CB9-82E0-4A10-8B5E-738F30DFE6C6}" srcOrd="4" destOrd="0" presId="urn:microsoft.com/office/officeart/2005/8/layout/default"/>
    <dgm:cxn modelId="{8FD7927C-B216-4953-B210-C3EE27DD5DB1}" type="presParOf" srcId="{F7E9CF20-E841-4470-AD38-B7831B186FF4}" destId="{FA2B512B-C004-46BB-A7A3-A059FD1F8537}" srcOrd="5" destOrd="0" presId="urn:microsoft.com/office/officeart/2005/8/layout/default"/>
    <dgm:cxn modelId="{B6186421-B986-4EBA-A97C-1B9AD16B6F48}" type="presParOf" srcId="{F7E9CF20-E841-4470-AD38-B7831B186FF4}" destId="{9DD65312-F509-46D0-8264-5AB048AA3A97}" srcOrd="6" destOrd="0" presId="urn:microsoft.com/office/officeart/2005/8/layout/default"/>
    <dgm:cxn modelId="{CB594100-60C5-44BC-9437-191C979AA342}" type="presParOf" srcId="{F7E9CF20-E841-4470-AD38-B7831B186FF4}" destId="{6A022646-5799-4BD9-92BE-86D14F5B1E01}" srcOrd="7" destOrd="0" presId="urn:microsoft.com/office/officeart/2005/8/layout/default"/>
    <dgm:cxn modelId="{9FF94D20-D99C-42FD-A8B2-8C66C2B87BAA}" type="presParOf" srcId="{F7E9CF20-E841-4470-AD38-B7831B186FF4}" destId="{79234E56-AAD7-4EDF-AA00-ACB820901D82}" srcOrd="8" destOrd="0" presId="urn:microsoft.com/office/officeart/2005/8/layout/default"/>
  </dgm:cxnLst>
  <dgm:bg/>
  <dgm:whole/>
  <dgm:extLst>
    <a:ext uri="http://schemas.microsoft.com/office/drawing/2008/diagram">
      <dsp:dataModelExt xmlns:dsp="http://schemas.microsoft.com/office/drawing/2008/diagram" relId="rId119"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C9FFEFD0-0DDD-48CB-9AD5-1C788DEDC4F6}" type="doc">
      <dgm:prSet loTypeId="urn:microsoft.com/office/officeart/2005/8/layout/hierarchy6" loCatId="hierarchy" qsTypeId="urn:microsoft.com/office/officeart/2005/8/quickstyle/simple1" qsCatId="simple" csTypeId="urn:microsoft.com/office/officeart/2005/8/colors/accent0_2" csCatId="mainScheme" phldr="1"/>
      <dgm:spPr/>
      <dgm:t>
        <a:bodyPr/>
        <a:lstStyle/>
        <a:p>
          <a:endParaRPr lang="ru-RU"/>
        </a:p>
      </dgm:t>
    </dgm:pt>
    <dgm:pt modelId="{F720A807-0E6F-4B90-9721-4153361AB77B}">
      <dgm:prSet phldrT="[Текст]" custT="1"/>
      <dgm:spPr/>
      <dgm:t>
        <a:bodyPr/>
        <a:lstStyle/>
        <a:p>
          <a:r>
            <a:rPr lang="ru-RU" sz="1200" i="0">
              <a:solidFill>
                <a:sysClr val="windowText" lastClr="000000"/>
              </a:solidFill>
              <a:latin typeface="Times New Roman" panose="02020603050405020304" pitchFamily="18" charset="0"/>
              <a:cs typeface="Times New Roman" panose="02020603050405020304" pitchFamily="18" charset="0"/>
            </a:rPr>
            <a:t>Слабая независимость судебной системы                     </a:t>
          </a:r>
          <a:r>
            <a:rPr lang="uk-UA" sz="1200" i="0">
              <a:solidFill>
                <a:sysClr val="windowText" lastClr="000000"/>
              </a:solidFill>
              <a:latin typeface="Times New Roman" panose="02020603050405020304" pitchFamily="18" charset="0"/>
              <a:cs typeface="Times New Roman" panose="02020603050405020304" pitchFamily="18" charset="0"/>
            </a:rPr>
            <a:t>Избирательное применение международных стандартов </a:t>
          </a:r>
          <a:r>
            <a:rPr lang="ru-RU" sz="1200" i="0">
              <a:solidFill>
                <a:sysClr val="windowText" lastClr="000000"/>
              </a:solidFill>
              <a:latin typeface="Times New Roman" panose="02020603050405020304" pitchFamily="18" charset="0"/>
              <a:cs typeface="Times New Roman" panose="02020603050405020304" pitchFamily="18" charset="0"/>
            </a:rPr>
            <a:t>Ограниченная политическая конкуренция</a:t>
          </a:r>
          <a:r>
            <a:rPr lang="uk-UA" sz="1200" i="0">
              <a:solidFill>
                <a:sysClr val="windowText" lastClr="000000"/>
              </a:solidFill>
              <a:latin typeface="Times New Roman" panose="02020603050405020304" pitchFamily="18" charset="0"/>
              <a:cs typeface="Times New Roman" panose="02020603050405020304" pitchFamily="18" charset="0"/>
            </a:rPr>
            <a:t>                     </a:t>
          </a:r>
          <a:r>
            <a:rPr lang="ru-RU" sz="1200" i="0">
              <a:solidFill>
                <a:sysClr val="windowText" lastClr="000000"/>
              </a:solidFill>
              <a:latin typeface="Times New Roman" panose="02020603050405020304" pitchFamily="18" charset="0"/>
              <a:cs typeface="Times New Roman" panose="02020603050405020304" pitchFamily="18" charset="0"/>
            </a:rPr>
            <a:t>Давление на НПО и независимые СМИ</a:t>
          </a:r>
          <a:r>
            <a:rPr lang="uk-UA" sz="1200" i="0">
              <a:solidFill>
                <a:sysClr val="windowText" lastClr="000000"/>
              </a:solidFill>
              <a:latin typeface="Times New Roman" panose="02020603050405020304" pitchFamily="18" charset="0"/>
              <a:cs typeface="Times New Roman" panose="02020603050405020304" pitchFamily="18" charset="0"/>
            </a:rPr>
            <a:t>                           </a:t>
          </a:r>
          <a:r>
            <a:rPr lang="ru-RU" sz="1200" i="0">
              <a:solidFill>
                <a:sysClr val="windowText" lastClr="000000"/>
              </a:solidFill>
              <a:latin typeface="Times New Roman" panose="02020603050405020304" pitchFamily="18" charset="0"/>
              <a:cs typeface="Times New Roman" panose="02020603050405020304" pitchFamily="18" charset="0"/>
            </a:rPr>
            <a:t>Недостаточная автономия института Омбудсмена</a:t>
          </a:r>
          <a:r>
            <a:rPr lang="uk-UA" sz="1200" i="0">
              <a:solidFill>
                <a:sysClr val="windowText" lastClr="000000"/>
              </a:solidFill>
              <a:latin typeface="Times New Roman" panose="02020603050405020304" pitchFamily="18" charset="0"/>
              <a:cs typeface="Times New Roman" panose="02020603050405020304" pitchFamily="18" charset="0"/>
            </a:rPr>
            <a:t> </a:t>
          </a:r>
          <a:r>
            <a:rPr lang="ru-RU" sz="1200" i="0">
              <a:solidFill>
                <a:sysClr val="windowText" lastClr="000000"/>
              </a:solidFill>
              <a:latin typeface="Times New Roman" panose="02020603050405020304" pitchFamily="18" charset="0"/>
              <a:cs typeface="Times New Roman" panose="02020603050405020304" pitchFamily="18" charset="0"/>
            </a:rPr>
            <a:t>Ограниченная институционализация общественного контроля</a:t>
          </a:r>
          <a:r>
            <a:rPr lang="uk-UA" sz="1200" i="0">
              <a:solidFill>
                <a:sysClr val="windowText" lastClr="000000"/>
              </a:solidFill>
              <a:latin typeface="Times New Roman" panose="02020603050405020304" pitchFamily="18" charset="0"/>
              <a:cs typeface="Times New Roman" panose="02020603050405020304" pitchFamily="18" charset="0"/>
            </a:rPr>
            <a:t> </a:t>
          </a:r>
          <a:endParaRPr lang="ru-RU" sz="1200" i="0">
            <a:solidFill>
              <a:sysClr val="windowText" lastClr="000000"/>
            </a:solidFill>
            <a:latin typeface="Times New Roman" panose="02020603050405020304" pitchFamily="18" charset="0"/>
            <a:cs typeface="Times New Roman" panose="02020603050405020304" pitchFamily="18" charset="0"/>
          </a:endParaRPr>
        </a:p>
      </dgm:t>
    </dgm:pt>
    <dgm:pt modelId="{7BB4D129-CD2C-4248-8EF9-C8D49127D748}" type="parTrans" cxnId="{A5B3661D-716D-426E-BDE9-1433FA01BD2F}">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99EBA1FC-9068-44C8-816B-589B34B98ACC}" type="sibTrans" cxnId="{A5B3661D-716D-426E-BDE9-1433FA01BD2F}">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6413F196-AFBD-4955-91CA-9A5185F5A5D7}">
      <dgm:prSet phldrT="[Текст]" custT="1"/>
      <dgm:spPr/>
      <dgm:t>
        <a:bodyPr/>
        <a:lstStyle/>
        <a:p>
          <a:endParaRPr lang="ru-RU" sz="1200" i="0">
            <a:solidFill>
              <a:sysClr val="windowText" lastClr="000000"/>
            </a:solidFill>
            <a:latin typeface="Times New Roman" panose="02020603050405020304" pitchFamily="18" charset="0"/>
            <a:cs typeface="Times New Roman" panose="02020603050405020304" pitchFamily="18" charset="0"/>
          </a:endParaRPr>
        </a:p>
        <a:p>
          <a:r>
            <a:rPr lang="ru-RU" sz="1200" i="0">
              <a:solidFill>
                <a:sysClr val="windowText" lastClr="000000"/>
              </a:solidFill>
              <a:latin typeface="Times New Roman" panose="02020603050405020304" pitchFamily="18" charset="0"/>
              <a:cs typeface="Times New Roman" panose="02020603050405020304" pitchFamily="18" charset="0"/>
            </a:rPr>
            <a:t>План ЕС по правам человека и демократии (2020–2027)  Инструмент </a:t>
          </a:r>
          <a:r>
            <a:rPr lang="en-US" sz="1200" i="0">
              <a:solidFill>
                <a:sysClr val="windowText" lastClr="000000"/>
              </a:solidFill>
              <a:latin typeface="Times New Roman" panose="02020603050405020304" pitchFamily="18" charset="0"/>
              <a:cs typeface="Times New Roman" panose="02020603050405020304" pitchFamily="18" charset="0"/>
            </a:rPr>
            <a:t>NDICI – Global Europe</a:t>
          </a:r>
          <a:r>
            <a:rPr lang="uk-UA" sz="1200" i="0">
              <a:solidFill>
                <a:sysClr val="windowText" lastClr="000000"/>
              </a:solidFill>
              <a:latin typeface="Times New Roman" panose="02020603050405020304" pitchFamily="18" charset="0"/>
              <a:cs typeface="Times New Roman" panose="02020603050405020304" pitchFamily="18" charset="0"/>
            </a:rPr>
            <a:t>                                              </a:t>
          </a:r>
          <a:r>
            <a:rPr lang="ru-RU" sz="1200" i="0">
              <a:solidFill>
                <a:sysClr val="windowText" lastClr="000000"/>
              </a:solidFill>
              <a:latin typeface="Times New Roman" panose="02020603050405020304" pitchFamily="18" charset="0"/>
              <a:cs typeface="Times New Roman" panose="02020603050405020304" pitchFamily="18" charset="0"/>
            </a:rPr>
            <a:t>Европейский инструмент демократии и прав человека</a:t>
          </a:r>
          <a:r>
            <a:rPr lang="uk-UA" sz="1200" i="0">
              <a:solidFill>
                <a:sysClr val="windowText" lastClr="000000"/>
              </a:solidFill>
              <a:latin typeface="Times New Roman" panose="02020603050405020304" pitchFamily="18" charset="0"/>
              <a:cs typeface="Times New Roman" panose="02020603050405020304" pitchFamily="18" charset="0"/>
            </a:rPr>
            <a:t>                                                                        </a:t>
          </a:r>
          <a:r>
            <a:rPr lang="ru-RU" sz="1200" i="0">
              <a:solidFill>
                <a:sysClr val="windowText" lastClr="000000"/>
              </a:solidFill>
              <a:latin typeface="Times New Roman" panose="02020603050405020304" pitchFamily="18" charset="0"/>
              <a:cs typeface="Times New Roman" panose="02020603050405020304" pitchFamily="18" charset="0"/>
            </a:rPr>
            <a:t>Механизмы </a:t>
          </a:r>
          <a:r>
            <a:rPr lang="en-US" sz="1200" i="0">
              <a:solidFill>
                <a:sysClr val="windowText" lastClr="000000"/>
              </a:solidFill>
              <a:latin typeface="Times New Roman" panose="02020603050405020304" pitchFamily="18" charset="0"/>
              <a:cs typeface="Times New Roman" panose="02020603050405020304" pitchFamily="18" charset="0"/>
            </a:rPr>
            <a:t>TAIEX, Twinning, Technical Assistance</a:t>
          </a:r>
          <a:r>
            <a:rPr lang="uk-UA" sz="1200" i="0">
              <a:solidFill>
                <a:sysClr val="windowText" lastClr="000000"/>
              </a:solidFill>
              <a:latin typeface="Times New Roman" panose="02020603050405020304" pitchFamily="18" charset="0"/>
              <a:cs typeface="Times New Roman" panose="02020603050405020304" pitchFamily="18" charset="0"/>
            </a:rPr>
            <a:t>                      </a:t>
          </a:r>
          <a:r>
            <a:rPr lang="ru-RU" sz="1200" i="0">
              <a:solidFill>
                <a:sysClr val="windowText" lastClr="000000"/>
              </a:solidFill>
              <a:latin typeface="Times New Roman" panose="02020603050405020304" pitchFamily="18" charset="0"/>
              <a:cs typeface="Times New Roman" panose="02020603050405020304" pitchFamily="18" charset="0"/>
            </a:rPr>
            <a:t>Программа </a:t>
          </a:r>
          <a:r>
            <a:rPr lang="en-US" sz="1200" i="0">
              <a:solidFill>
                <a:sysClr val="windowText" lastClr="000000"/>
              </a:solidFill>
              <a:latin typeface="Times New Roman" panose="02020603050405020304" pitchFamily="18" charset="0"/>
              <a:cs typeface="Times New Roman" panose="02020603050405020304" pitchFamily="18" charset="0"/>
            </a:rPr>
            <a:t>HELP </a:t>
          </a:r>
          <a:r>
            <a:rPr lang="ru-RU" sz="1200" i="0">
              <a:solidFill>
                <a:sysClr val="windowText" lastClr="000000"/>
              </a:solidFill>
              <a:latin typeface="Times New Roman" panose="02020603050405020304" pitchFamily="18" charset="0"/>
              <a:cs typeface="Times New Roman" panose="02020603050405020304" pitchFamily="18" charset="0"/>
            </a:rPr>
            <a:t>для судей и прокуроров                      Диалоги ЕС–Казахстан по правам человека           </a:t>
          </a:r>
          <a:r>
            <a:rPr lang="en-US" sz="1200" i="0">
              <a:solidFill>
                <a:sysClr val="windowText" lastClr="000000"/>
              </a:solidFill>
              <a:latin typeface="Times New Roman" panose="02020603050405020304" pitchFamily="18" charset="0"/>
              <a:cs typeface="Times New Roman" panose="02020603050405020304" pitchFamily="18" charset="0"/>
            </a:rPr>
            <a:t>Neighbourhood Co-operation Priorities 2024</a:t>
          </a:r>
          <a:r>
            <a:rPr lang="uk-UA" sz="1200" i="0">
              <a:solidFill>
                <a:sysClr val="windowText" lastClr="000000"/>
              </a:solidFill>
              <a:latin typeface="Times New Roman" panose="02020603050405020304" pitchFamily="18" charset="0"/>
              <a:cs typeface="Times New Roman" panose="02020603050405020304" pitchFamily="18" charset="0"/>
            </a:rPr>
            <a:t>-</a:t>
          </a:r>
          <a:r>
            <a:rPr lang="en-US" sz="1200" i="0">
              <a:solidFill>
                <a:sysClr val="windowText" lastClr="000000"/>
              </a:solidFill>
              <a:latin typeface="Times New Roman" panose="02020603050405020304" pitchFamily="18" charset="0"/>
              <a:cs typeface="Times New Roman" panose="02020603050405020304" pitchFamily="18" charset="0"/>
            </a:rPr>
            <a:t>2027</a:t>
          </a:r>
          <a:r>
            <a:rPr lang="ru-RU" sz="1200" i="0">
              <a:solidFill>
                <a:sysClr val="windowText" lastClr="000000"/>
              </a:solidFill>
              <a:latin typeface="Times New Roman" panose="02020603050405020304" pitchFamily="18" charset="0"/>
              <a:cs typeface="Times New Roman" panose="02020603050405020304" pitchFamily="18" charset="0"/>
            </a:rPr>
            <a:t>                                 </a:t>
          </a:r>
        </a:p>
        <a:p>
          <a:endParaRPr lang="ru-RU" sz="1200" i="0">
            <a:solidFill>
              <a:sysClr val="windowText" lastClr="000000"/>
            </a:solidFill>
            <a:latin typeface="Times New Roman" panose="02020603050405020304" pitchFamily="18" charset="0"/>
            <a:cs typeface="Times New Roman" panose="02020603050405020304" pitchFamily="18" charset="0"/>
          </a:endParaRPr>
        </a:p>
      </dgm:t>
    </dgm:pt>
    <dgm:pt modelId="{6F1077CE-110C-437B-ADCE-0A829BA01FBF}" type="parTrans" cxnId="{48982D83-A50C-4A22-9C3C-A5513F911379}">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69CF2F28-713D-4BEE-8BD1-9BF68DF62609}" type="sibTrans" cxnId="{48982D83-A50C-4A22-9C3C-A5513F911379}">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CD601F78-AE47-4723-8B5A-2DA1A56A8DA1}">
      <dgm:prSet phldrT="[Текст]" custT="1"/>
      <dgm:spPr/>
      <dgm:t>
        <a:bodyPr/>
        <a:lstStyle/>
        <a:p>
          <a:r>
            <a:rPr lang="ru-RU" sz="1200" i="1">
              <a:solidFill>
                <a:sysClr val="windowText" lastClr="000000"/>
              </a:solidFill>
              <a:latin typeface="Times New Roman" panose="02020603050405020304" pitchFamily="18" charset="0"/>
              <a:cs typeface="Times New Roman" panose="02020603050405020304" pitchFamily="18" charset="0"/>
            </a:rPr>
            <a:t>СИСТЕМНЫЕ БАРЬЕРЫ </a:t>
          </a:r>
        </a:p>
      </dgm:t>
    </dgm:pt>
    <dgm:pt modelId="{333A0BEF-2368-4CBB-9AD7-166A6CE20284}" type="parTrans" cxnId="{266A5E19-6826-41D1-BBFD-4CE94511A563}">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A048F954-CF44-4179-87E2-7B25D2495935}" type="sibTrans" cxnId="{266A5E19-6826-41D1-BBFD-4CE94511A563}">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9C3CA28B-812E-4A2E-AB63-59D9AFD41324}">
      <dgm:prSet phldrT="[Текст]" custT="1"/>
      <dgm:spPr/>
      <dgm:t>
        <a:bodyPr/>
        <a:lstStyle/>
        <a:p>
          <a:r>
            <a:rPr lang="ru-RU" sz="1200" i="1">
              <a:solidFill>
                <a:sysClr val="windowText" lastClr="000000"/>
              </a:solidFill>
              <a:latin typeface="Times New Roman" panose="02020603050405020304" pitchFamily="18" charset="0"/>
              <a:cs typeface="Times New Roman" panose="02020603050405020304" pitchFamily="18" charset="0"/>
            </a:rPr>
            <a:t>ИНСТРУМЕНТЫ ЕВРОПЕЙСКОГО СОЮЗА</a:t>
          </a:r>
        </a:p>
      </dgm:t>
    </dgm:pt>
    <dgm:pt modelId="{16BD99DC-AA57-4CA5-9047-F153F71A075F}" type="parTrans" cxnId="{6AC71892-2D0A-458E-9535-0406212DDD94}">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07B673D3-D72C-4025-AFE1-9FD4BF8E3C44}" type="sibTrans" cxnId="{6AC71892-2D0A-458E-9535-0406212DDD94}">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05C93BBE-DA99-4BDF-BCED-FB23A3D6DE32}">
      <dgm:prSet phldrT="[Текст]" custT="1"/>
      <dgm:spPr/>
      <dgm:t>
        <a:bodyPr/>
        <a:lstStyle/>
        <a:p>
          <a:r>
            <a:rPr lang="ru-RU" sz="1200" i="1">
              <a:solidFill>
                <a:sysClr val="windowText" lastClr="000000"/>
              </a:solidFill>
              <a:latin typeface="Times New Roman" panose="02020603050405020304" pitchFamily="18" charset="0"/>
              <a:cs typeface="Times New Roman" panose="02020603050405020304" pitchFamily="18" charset="0"/>
            </a:rPr>
            <a:t>МЕХАНИЗМЫ ИМПЛЕМЕНТАЦИИ </a:t>
          </a:r>
        </a:p>
      </dgm:t>
    </dgm:pt>
    <dgm:pt modelId="{5E2C2986-F668-4C4D-95DC-87D18323B617}" type="parTrans" cxnId="{C3098E29-9267-4D72-B3A3-0068F6623FBC}">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E4BE607C-3773-4F55-A67F-FB5D22357AD8}" type="sibTrans" cxnId="{C3098E29-9267-4D72-B3A3-0068F6623FBC}">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400626DD-3C4B-4801-B074-026C0A0A26DE}">
      <dgm:prSet custT="1"/>
      <dgm:spPr/>
      <dgm:t>
        <a:bodyPr/>
        <a:lstStyle/>
        <a:p>
          <a:r>
            <a:rPr lang="ru-RU" sz="1200" i="0">
              <a:solidFill>
                <a:sysClr val="windowText" lastClr="000000"/>
              </a:solidFill>
              <a:latin typeface="Times New Roman" panose="02020603050405020304" pitchFamily="18" charset="0"/>
              <a:cs typeface="Times New Roman" panose="02020603050405020304" pitchFamily="18" charset="0"/>
            </a:rPr>
            <a:t>Мониторинг выполнения международных обязательств Совместные индикаторные панели ЕС–Казахстан              Усиление института Омбудсмена и региональных офисов Институционализация участия гражданского общества Образовательные программы по правам человека               Правозащитная экспертиза законопроектов (</a:t>
          </a:r>
          <a:r>
            <a:rPr lang="en-US" sz="1200" i="0">
              <a:solidFill>
                <a:sysClr val="windowText" lastClr="000000"/>
              </a:solidFill>
              <a:latin typeface="Times New Roman" panose="02020603050405020304" pitchFamily="18" charset="0"/>
              <a:cs typeface="Times New Roman" panose="02020603050405020304" pitchFamily="18" charset="0"/>
            </a:rPr>
            <a:t>ex ante Human Rights Impact Assessment)</a:t>
          </a:r>
          <a:endParaRPr lang="ru-RU" sz="1200" i="0">
            <a:solidFill>
              <a:sysClr val="windowText" lastClr="000000"/>
            </a:solidFill>
            <a:latin typeface="Times New Roman" panose="02020603050405020304" pitchFamily="18" charset="0"/>
            <a:cs typeface="Times New Roman" panose="02020603050405020304" pitchFamily="18" charset="0"/>
          </a:endParaRPr>
        </a:p>
      </dgm:t>
    </dgm:pt>
    <dgm:pt modelId="{E0458464-E1A6-4DFC-BBD9-0B950465089D}" type="parTrans" cxnId="{934F645D-C9AA-4CF8-BB45-19CB760787A8}">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E89F2FF4-79A2-4191-92E3-7589E0A9F47A}" type="sibTrans" cxnId="{934F645D-C9AA-4CF8-BB45-19CB760787A8}">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CEEE7834-70F5-40E6-BCD9-4751AD821BFD}">
      <dgm:prSet custT="1"/>
      <dgm:spPr/>
      <dgm:t>
        <a:bodyPr/>
        <a:lstStyle/>
        <a:p>
          <a:endParaRPr lang="ru-RU" sz="1200" i="0">
            <a:solidFill>
              <a:sysClr val="windowText" lastClr="000000"/>
            </a:solidFill>
            <a:latin typeface="Times New Roman" panose="02020603050405020304" pitchFamily="18" charset="0"/>
            <a:cs typeface="Times New Roman" panose="02020603050405020304" pitchFamily="18" charset="0"/>
          </a:endParaRPr>
        </a:p>
        <a:p>
          <a:r>
            <a:rPr lang="ru-RU" sz="1200" i="0">
              <a:solidFill>
                <a:sysClr val="windowText" lastClr="000000"/>
              </a:solidFill>
              <a:latin typeface="Times New Roman" panose="02020603050405020304" pitchFamily="18" charset="0"/>
              <a:cs typeface="Times New Roman" panose="02020603050405020304" pitchFamily="18" charset="0"/>
            </a:rPr>
            <a:t>Повышение независимости судов                                       Укрепление подотчётности государственных институтов  Расширение полномочий Омбудсмена                                        Рост свободы СМИ и политического плюрализма                   Институционализация диалога власть – ЕС – общество                                                                                            Принятие комплексных планов правовых реформ</a:t>
          </a:r>
        </a:p>
        <a:p>
          <a:endParaRPr lang="ru-RU" sz="1200" i="0">
            <a:solidFill>
              <a:sysClr val="windowText" lastClr="000000"/>
            </a:solidFill>
            <a:latin typeface="Times New Roman" panose="02020603050405020304" pitchFamily="18" charset="0"/>
            <a:cs typeface="Times New Roman" panose="02020603050405020304" pitchFamily="18" charset="0"/>
          </a:endParaRPr>
        </a:p>
      </dgm:t>
    </dgm:pt>
    <dgm:pt modelId="{111AD46B-F183-4FCE-904B-CDBD07087760}" type="parTrans" cxnId="{BBDAF675-13FB-4B86-8B68-0F7692BE8D0F}">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CB93E6E2-0888-4962-ABEB-4B94970B74B8}" type="sibTrans" cxnId="{BBDAF675-13FB-4B86-8B68-0F7692BE8D0F}">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7ABF9B43-E2A4-45D8-8C43-0EF711536CAF}">
      <dgm:prSet phldrT="[Текст]" custT="1"/>
      <dgm:spPr/>
      <dgm:t>
        <a:bodyPr/>
        <a:lstStyle/>
        <a:p>
          <a:r>
            <a:rPr lang="ru-RU" sz="1200" i="1">
              <a:solidFill>
                <a:sysClr val="windowText" lastClr="000000"/>
              </a:solidFill>
              <a:latin typeface="Times New Roman" panose="02020603050405020304" pitchFamily="18" charset="0"/>
              <a:cs typeface="Times New Roman" panose="02020603050405020304" pitchFamily="18" charset="0"/>
            </a:rPr>
            <a:t>ОЖИДАЕМЫЕ РЕЗУЛЬТАТЫ </a:t>
          </a:r>
        </a:p>
      </dgm:t>
    </dgm:pt>
    <dgm:pt modelId="{34ED252E-C8C6-4CF8-925E-7A1E105B3623}" type="parTrans" cxnId="{2B0A7DB7-53C7-429E-B477-D261AB629546}">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315DE02C-620A-4F4D-825F-D3145F8F0DF6}" type="sibTrans" cxnId="{2B0A7DB7-53C7-429E-B477-D261AB629546}">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5DE2D021-7FF0-434D-9269-053A19A31F49}">
      <dgm:prSet phldrT="[Текст]" custT="1"/>
      <dgm:spPr/>
      <dgm:t>
        <a:bodyPr/>
        <a:lstStyle/>
        <a:p>
          <a:r>
            <a:rPr lang="ru-RU" sz="1200" i="1">
              <a:solidFill>
                <a:sysClr val="windowText" lastClr="000000"/>
              </a:solidFill>
              <a:latin typeface="Times New Roman" panose="02020603050405020304" pitchFamily="18" charset="0"/>
              <a:cs typeface="Times New Roman" panose="02020603050405020304" pitchFamily="18" charset="0"/>
            </a:rPr>
            <a:t>ОЦЕНКА ИМПЛЕМЕНТА-ЦИОННОГО ПОТЕНЦИАЛА </a:t>
          </a:r>
        </a:p>
      </dgm:t>
    </dgm:pt>
    <dgm:pt modelId="{D0D81BFC-BF89-4E96-BCCF-E50C4AFE072E}" type="parTrans" cxnId="{4833A7D3-FD6D-43A0-B647-F8556EC10B91}">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7FD8B41C-62EF-40CE-B99F-6DA221A4E900}" type="sibTrans" cxnId="{4833A7D3-FD6D-43A0-B647-F8556EC10B91}">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25B354FF-E555-46DE-8DB8-99EAF8ACE0B2}">
      <dgm:prSet custT="1"/>
      <dgm:spPr/>
      <dgm:t>
        <a:bodyPr/>
        <a:lstStyle/>
        <a:p>
          <a:r>
            <a:rPr lang="ru-RU" sz="1200" b="0" i="1">
              <a:solidFill>
                <a:sysClr val="windowText" lastClr="000000"/>
              </a:solidFill>
              <a:latin typeface="Times New Roman" panose="02020603050405020304" pitchFamily="18" charset="0"/>
              <a:cs typeface="Times New Roman" panose="02020603050405020304" pitchFamily="18" charset="0"/>
            </a:rPr>
            <a:t>НИЗКИЙ (наличие структурных барьеров)</a:t>
          </a:r>
        </a:p>
      </dgm:t>
    </dgm:pt>
    <dgm:pt modelId="{090E705C-6291-41E9-B1DA-DAC1BB174812}" type="parTrans" cxnId="{3B5C5B96-073E-4348-9863-F78DE5CAACD0}">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0F8BB6EC-6568-415E-8D93-E3511E0BE174}" type="sibTrans" cxnId="{3B5C5B96-073E-4348-9863-F78DE5CAACD0}">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068F261E-FEBC-4B9A-948F-97A44C2A9DC0}">
      <dgm:prSet custT="1"/>
      <dgm:spPr/>
      <dgm:t>
        <a:bodyPr/>
        <a:lstStyle/>
        <a:p>
          <a:r>
            <a:rPr lang="ru-RU" sz="1200" b="0" i="1">
              <a:solidFill>
                <a:sysClr val="windowText" lastClr="000000"/>
              </a:solidFill>
              <a:latin typeface="Times New Roman" panose="02020603050405020304" pitchFamily="18" charset="0"/>
              <a:cs typeface="Times New Roman" panose="02020603050405020304" pitchFamily="18" charset="0"/>
            </a:rPr>
            <a:t>ВЫСОКИЙ устойчивая адаптация европейских стандартов в национальной системе</a:t>
          </a:r>
        </a:p>
      </dgm:t>
    </dgm:pt>
    <dgm:pt modelId="{EB441C54-64A2-42DF-9C3E-D9FF913DDA92}" type="parTrans" cxnId="{2E815F99-AC3C-4DE2-B002-9E5AF4ED9AE0}">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085E188C-92E4-4EF4-8837-82CAB0CD235A}" type="sibTrans" cxnId="{2E815F99-AC3C-4DE2-B002-9E5AF4ED9AE0}">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A1FEB0A7-27A8-471D-9D8B-C8C53271E62D}">
      <dgm:prSet custT="1"/>
      <dgm:spPr/>
      <dgm:t>
        <a:bodyPr/>
        <a:lstStyle/>
        <a:p>
          <a:r>
            <a:rPr lang="ru-RU" sz="1200" b="0" i="1">
              <a:solidFill>
                <a:sysClr val="windowText" lastClr="000000"/>
              </a:solidFill>
              <a:latin typeface="Times New Roman" panose="02020603050405020304" pitchFamily="18" charset="0"/>
              <a:cs typeface="Times New Roman" panose="02020603050405020304" pitchFamily="18" charset="0"/>
            </a:rPr>
            <a:t>СРЕДНИЙ (частичное внедрение рекомендаций ЕС и Совета Европы)</a:t>
          </a:r>
        </a:p>
      </dgm:t>
    </dgm:pt>
    <dgm:pt modelId="{0630901C-EB2E-455A-B1BD-6CF1932C2C65}" type="parTrans" cxnId="{C0B47DDE-C8F6-487A-B382-8B61A95AB4B2}">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8EC79381-0E60-4E5F-9956-49F346B8103C}" type="sibTrans" cxnId="{C0B47DDE-C8F6-487A-B382-8B61A95AB4B2}">
      <dgm:prSet/>
      <dgm:spPr/>
      <dgm:t>
        <a:bodyPr/>
        <a:lstStyle/>
        <a:p>
          <a:endParaRPr lang="ru-RU" sz="1200" i="1">
            <a:solidFill>
              <a:sysClr val="windowText" lastClr="000000"/>
            </a:solidFill>
            <a:latin typeface="Times New Roman" panose="02020603050405020304" pitchFamily="18" charset="0"/>
            <a:cs typeface="Times New Roman" panose="02020603050405020304" pitchFamily="18" charset="0"/>
          </a:endParaRPr>
        </a:p>
      </dgm:t>
    </dgm:pt>
    <dgm:pt modelId="{016F6F9A-A462-4F9C-A85A-FAC82464CC41}" type="pres">
      <dgm:prSet presAssocID="{C9FFEFD0-0DDD-48CB-9AD5-1C788DEDC4F6}" presName="mainComposite" presStyleCnt="0">
        <dgm:presLayoutVars>
          <dgm:chPref val="1"/>
          <dgm:dir/>
          <dgm:animOne val="branch"/>
          <dgm:animLvl val="lvl"/>
          <dgm:resizeHandles val="exact"/>
        </dgm:presLayoutVars>
      </dgm:prSet>
      <dgm:spPr/>
      <dgm:t>
        <a:bodyPr/>
        <a:lstStyle/>
        <a:p>
          <a:endParaRPr lang="ru-RU"/>
        </a:p>
      </dgm:t>
    </dgm:pt>
    <dgm:pt modelId="{524D8F7F-4BE2-4A88-8A1B-6585BC1B1428}" type="pres">
      <dgm:prSet presAssocID="{C9FFEFD0-0DDD-48CB-9AD5-1C788DEDC4F6}" presName="hierFlow" presStyleCnt="0"/>
      <dgm:spPr/>
    </dgm:pt>
    <dgm:pt modelId="{DE94AF37-2350-449D-ACA4-686D1958E0A9}" type="pres">
      <dgm:prSet presAssocID="{C9FFEFD0-0DDD-48CB-9AD5-1C788DEDC4F6}" presName="firstBuf" presStyleCnt="0"/>
      <dgm:spPr/>
    </dgm:pt>
    <dgm:pt modelId="{8BFE8929-A9A2-429B-8AC4-664D2D81A3C9}" type="pres">
      <dgm:prSet presAssocID="{C9FFEFD0-0DDD-48CB-9AD5-1C788DEDC4F6}" presName="hierChild1" presStyleCnt="0">
        <dgm:presLayoutVars>
          <dgm:chPref val="1"/>
          <dgm:animOne val="branch"/>
          <dgm:animLvl val="lvl"/>
        </dgm:presLayoutVars>
      </dgm:prSet>
      <dgm:spPr/>
    </dgm:pt>
    <dgm:pt modelId="{0BA6A889-8572-4D71-B65A-D9F5D5A8EA10}" type="pres">
      <dgm:prSet presAssocID="{F720A807-0E6F-4B90-9721-4153361AB77B}" presName="Name14" presStyleCnt="0"/>
      <dgm:spPr/>
    </dgm:pt>
    <dgm:pt modelId="{641293B9-2F99-49F0-9286-2ECAC4AB76E1}" type="pres">
      <dgm:prSet presAssocID="{F720A807-0E6F-4B90-9721-4153361AB77B}" presName="level1Shape" presStyleLbl="node0" presStyleIdx="0" presStyleCnt="1" custScaleX="410843" custScaleY="171563" custLinFactY="600000" custLinFactNeighborX="-53688" custLinFactNeighborY="623172">
        <dgm:presLayoutVars>
          <dgm:chPref val="3"/>
        </dgm:presLayoutVars>
      </dgm:prSet>
      <dgm:spPr/>
      <dgm:t>
        <a:bodyPr/>
        <a:lstStyle/>
        <a:p>
          <a:endParaRPr lang="ru-RU"/>
        </a:p>
      </dgm:t>
    </dgm:pt>
    <dgm:pt modelId="{F8E6B17D-8061-49A0-8BAA-E1BC4F42F818}" type="pres">
      <dgm:prSet presAssocID="{F720A807-0E6F-4B90-9721-4153361AB77B}" presName="hierChild2" presStyleCnt="0"/>
      <dgm:spPr/>
    </dgm:pt>
    <dgm:pt modelId="{FA2CAE7D-FCD0-4C80-8559-B7FCF3BD1B75}" type="pres">
      <dgm:prSet presAssocID="{6F1077CE-110C-437B-ADCE-0A829BA01FBF}" presName="Name19" presStyleLbl="parChTrans1D2" presStyleIdx="0" presStyleCnt="1"/>
      <dgm:spPr/>
      <dgm:t>
        <a:bodyPr/>
        <a:lstStyle/>
        <a:p>
          <a:endParaRPr lang="ru-RU"/>
        </a:p>
      </dgm:t>
    </dgm:pt>
    <dgm:pt modelId="{F9E91EE8-0696-499D-B1F2-74C43C36708A}" type="pres">
      <dgm:prSet presAssocID="{6413F196-AFBD-4955-91CA-9A5185F5A5D7}" presName="Name21" presStyleCnt="0"/>
      <dgm:spPr/>
    </dgm:pt>
    <dgm:pt modelId="{CE5691B0-09ED-4710-8863-14E0A4B7E576}" type="pres">
      <dgm:prSet presAssocID="{6413F196-AFBD-4955-91CA-9A5185F5A5D7}" presName="level2Shape" presStyleLbl="node2" presStyleIdx="0" presStyleCnt="1" custScaleX="411827" custScaleY="181680" custLinFactNeighborX="-640" custLinFactNeighborY="-17127"/>
      <dgm:spPr/>
      <dgm:t>
        <a:bodyPr/>
        <a:lstStyle/>
        <a:p>
          <a:endParaRPr lang="ru-RU"/>
        </a:p>
      </dgm:t>
    </dgm:pt>
    <dgm:pt modelId="{06619425-DCBB-4137-85C7-76AAE9A9EE72}" type="pres">
      <dgm:prSet presAssocID="{6413F196-AFBD-4955-91CA-9A5185F5A5D7}" presName="hierChild3" presStyleCnt="0"/>
      <dgm:spPr/>
    </dgm:pt>
    <dgm:pt modelId="{5AB7F6E7-0B6B-40C0-88DA-331E05420043}" type="pres">
      <dgm:prSet presAssocID="{E0458464-E1A6-4DFC-BBD9-0B950465089D}" presName="Name19" presStyleLbl="parChTrans1D3" presStyleIdx="0" presStyleCnt="1"/>
      <dgm:spPr/>
      <dgm:t>
        <a:bodyPr/>
        <a:lstStyle/>
        <a:p>
          <a:endParaRPr lang="ru-RU"/>
        </a:p>
      </dgm:t>
    </dgm:pt>
    <dgm:pt modelId="{CA1BF805-4C2E-49E9-A73F-CA539C395D31}" type="pres">
      <dgm:prSet presAssocID="{400626DD-3C4B-4801-B074-026C0A0A26DE}" presName="Name21" presStyleCnt="0"/>
      <dgm:spPr/>
    </dgm:pt>
    <dgm:pt modelId="{DA50487A-A106-4274-9B7B-CDF454E26C83}" type="pres">
      <dgm:prSet presAssocID="{400626DD-3C4B-4801-B074-026C0A0A26DE}" presName="level2Shape" presStyleLbl="node3" presStyleIdx="0" presStyleCnt="1" custScaleX="413655" custScaleY="194194" custLinFactNeighborX="907" custLinFactNeighborY="-35425"/>
      <dgm:spPr/>
      <dgm:t>
        <a:bodyPr/>
        <a:lstStyle/>
        <a:p>
          <a:endParaRPr lang="ru-RU"/>
        </a:p>
      </dgm:t>
    </dgm:pt>
    <dgm:pt modelId="{E922E0AF-DD46-4719-84FF-1D133AD3D53F}" type="pres">
      <dgm:prSet presAssocID="{400626DD-3C4B-4801-B074-026C0A0A26DE}" presName="hierChild3" presStyleCnt="0"/>
      <dgm:spPr/>
    </dgm:pt>
    <dgm:pt modelId="{5C449BFD-F58F-4F73-9CC6-367FBF917753}" type="pres">
      <dgm:prSet presAssocID="{111AD46B-F183-4FCE-904B-CDBD07087760}" presName="Name19" presStyleLbl="parChTrans1D4" presStyleIdx="0" presStyleCnt="4"/>
      <dgm:spPr/>
      <dgm:t>
        <a:bodyPr/>
        <a:lstStyle/>
        <a:p>
          <a:endParaRPr lang="ru-RU"/>
        </a:p>
      </dgm:t>
    </dgm:pt>
    <dgm:pt modelId="{74CB20D3-0C25-4E34-86CA-2AE75E09E64D}" type="pres">
      <dgm:prSet presAssocID="{CEEE7834-70F5-40E6-BCD9-4751AD821BFD}" presName="Name21" presStyleCnt="0"/>
      <dgm:spPr/>
    </dgm:pt>
    <dgm:pt modelId="{55D8ACFE-3BEA-40A9-8F97-E89CD202D8CA}" type="pres">
      <dgm:prSet presAssocID="{CEEE7834-70F5-40E6-BCD9-4751AD821BFD}" presName="level2Shape" presStyleLbl="node4" presStyleIdx="0" presStyleCnt="4" custScaleX="403879" custScaleY="161715" custLinFactNeighborX="-2802" custLinFactNeighborY="-51718"/>
      <dgm:spPr/>
      <dgm:t>
        <a:bodyPr/>
        <a:lstStyle/>
        <a:p>
          <a:endParaRPr lang="ru-RU"/>
        </a:p>
      </dgm:t>
    </dgm:pt>
    <dgm:pt modelId="{AA322A7E-E3B2-4231-8477-07755E184703}" type="pres">
      <dgm:prSet presAssocID="{CEEE7834-70F5-40E6-BCD9-4751AD821BFD}" presName="hierChild3" presStyleCnt="0"/>
      <dgm:spPr/>
    </dgm:pt>
    <dgm:pt modelId="{29A8CD10-0AC1-457F-910C-3723AA64264B}" type="pres">
      <dgm:prSet presAssocID="{090E705C-6291-41E9-B1DA-DAC1BB174812}" presName="Name19" presStyleLbl="parChTrans1D4" presStyleIdx="1" presStyleCnt="4"/>
      <dgm:spPr/>
      <dgm:t>
        <a:bodyPr/>
        <a:lstStyle/>
        <a:p>
          <a:endParaRPr lang="ru-RU"/>
        </a:p>
      </dgm:t>
    </dgm:pt>
    <dgm:pt modelId="{FC9BFB26-0EA5-4A8A-AA50-2ED40C14DCDC}" type="pres">
      <dgm:prSet presAssocID="{25B354FF-E555-46DE-8DB8-99EAF8ACE0B2}" presName="Name21" presStyleCnt="0"/>
      <dgm:spPr/>
    </dgm:pt>
    <dgm:pt modelId="{853070B9-B070-4156-97F3-CCE70DBBF1C1}" type="pres">
      <dgm:prSet presAssocID="{25B354FF-E555-46DE-8DB8-99EAF8ACE0B2}" presName="level2Shape" presStyleLbl="node4" presStyleIdx="1" presStyleCnt="4" custScaleX="116298" custScaleY="114774" custLinFactNeighborX="-12704" custLinFactNeighborY="-23202"/>
      <dgm:spPr/>
      <dgm:t>
        <a:bodyPr/>
        <a:lstStyle/>
        <a:p>
          <a:endParaRPr lang="ru-RU"/>
        </a:p>
      </dgm:t>
    </dgm:pt>
    <dgm:pt modelId="{7AAB09E3-E951-4A05-ADEB-C29572D3C06E}" type="pres">
      <dgm:prSet presAssocID="{25B354FF-E555-46DE-8DB8-99EAF8ACE0B2}" presName="hierChild3" presStyleCnt="0"/>
      <dgm:spPr/>
    </dgm:pt>
    <dgm:pt modelId="{6A313E7D-4749-4C1A-B69D-10070506493F}" type="pres">
      <dgm:prSet presAssocID="{0630901C-EB2E-455A-B1BD-6CF1932C2C65}" presName="Name19" presStyleLbl="parChTrans1D4" presStyleIdx="2" presStyleCnt="4"/>
      <dgm:spPr/>
      <dgm:t>
        <a:bodyPr/>
        <a:lstStyle/>
        <a:p>
          <a:endParaRPr lang="ru-RU"/>
        </a:p>
      </dgm:t>
    </dgm:pt>
    <dgm:pt modelId="{127E86F3-18E6-4045-B31A-DC4EC465AC86}" type="pres">
      <dgm:prSet presAssocID="{A1FEB0A7-27A8-471D-9D8B-C8C53271E62D}" presName="Name21" presStyleCnt="0"/>
      <dgm:spPr/>
    </dgm:pt>
    <dgm:pt modelId="{F7C192E1-E930-404F-A711-D067FD5302CA}" type="pres">
      <dgm:prSet presAssocID="{A1FEB0A7-27A8-471D-9D8B-C8C53271E62D}" presName="level2Shape" presStyleLbl="node4" presStyleIdx="2" presStyleCnt="4" custScaleX="134469" custScaleY="153270" custLinFactNeighborX="3611" custLinFactNeighborY="-32488"/>
      <dgm:spPr/>
      <dgm:t>
        <a:bodyPr/>
        <a:lstStyle/>
        <a:p>
          <a:endParaRPr lang="ru-RU"/>
        </a:p>
      </dgm:t>
    </dgm:pt>
    <dgm:pt modelId="{D569840D-31FF-43EB-8CEA-260FCED9E79D}" type="pres">
      <dgm:prSet presAssocID="{A1FEB0A7-27A8-471D-9D8B-C8C53271E62D}" presName="hierChild3" presStyleCnt="0"/>
      <dgm:spPr/>
    </dgm:pt>
    <dgm:pt modelId="{6F2900D0-D227-4032-B5C1-BB5A1C14440D}" type="pres">
      <dgm:prSet presAssocID="{EB441C54-64A2-42DF-9C3E-D9FF913DDA92}" presName="Name19" presStyleLbl="parChTrans1D4" presStyleIdx="3" presStyleCnt="4"/>
      <dgm:spPr/>
      <dgm:t>
        <a:bodyPr/>
        <a:lstStyle/>
        <a:p>
          <a:endParaRPr lang="ru-RU"/>
        </a:p>
      </dgm:t>
    </dgm:pt>
    <dgm:pt modelId="{A2F334E8-F3B0-454E-8425-98DDA9B9C0FC}" type="pres">
      <dgm:prSet presAssocID="{068F261E-FEBC-4B9A-948F-97A44C2A9DC0}" presName="Name21" presStyleCnt="0"/>
      <dgm:spPr/>
    </dgm:pt>
    <dgm:pt modelId="{BB0E053B-D97C-4198-A24D-597EBB0A619C}" type="pres">
      <dgm:prSet presAssocID="{068F261E-FEBC-4B9A-948F-97A44C2A9DC0}" presName="level2Shape" presStyleLbl="node4" presStyleIdx="3" presStyleCnt="4" custScaleX="129228" custScaleY="178389" custLinFactNeighborX="3432" custLinFactNeighborY="-37188"/>
      <dgm:spPr/>
      <dgm:t>
        <a:bodyPr/>
        <a:lstStyle/>
        <a:p>
          <a:endParaRPr lang="ru-RU"/>
        </a:p>
      </dgm:t>
    </dgm:pt>
    <dgm:pt modelId="{0C4FCE07-C55E-4FD9-91AC-1FDDBB51C543}" type="pres">
      <dgm:prSet presAssocID="{068F261E-FEBC-4B9A-948F-97A44C2A9DC0}" presName="hierChild3" presStyleCnt="0"/>
      <dgm:spPr/>
    </dgm:pt>
    <dgm:pt modelId="{4810392D-74A8-4061-BA76-6957D31819ED}" type="pres">
      <dgm:prSet presAssocID="{C9FFEFD0-0DDD-48CB-9AD5-1C788DEDC4F6}" presName="bgShapesFlow" presStyleCnt="0"/>
      <dgm:spPr/>
    </dgm:pt>
    <dgm:pt modelId="{B20F023B-B56A-4BA9-9ADD-A083FAD2BB56}" type="pres">
      <dgm:prSet presAssocID="{CD601F78-AE47-4723-8B5A-2DA1A56A8DA1}" presName="rectComp" presStyleCnt="0"/>
      <dgm:spPr/>
    </dgm:pt>
    <dgm:pt modelId="{03E32A5A-A8A9-4028-987B-4F05138B3721}" type="pres">
      <dgm:prSet presAssocID="{CD601F78-AE47-4723-8B5A-2DA1A56A8DA1}" presName="bgRect" presStyleLbl="bgShp" presStyleIdx="0" presStyleCnt="5" custScaleX="100000" custScaleY="151081"/>
      <dgm:spPr/>
      <dgm:t>
        <a:bodyPr/>
        <a:lstStyle/>
        <a:p>
          <a:endParaRPr lang="ru-RU"/>
        </a:p>
      </dgm:t>
    </dgm:pt>
    <dgm:pt modelId="{41AE5B45-4E0E-47A7-98C7-97BDC06236AA}" type="pres">
      <dgm:prSet presAssocID="{CD601F78-AE47-4723-8B5A-2DA1A56A8DA1}" presName="bgRectTx" presStyleLbl="bgShp" presStyleIdx="0" presStyleCnt="5">
        <dgm:presLayoutVars>
          <dgm:bulletEnabled val="1"/>
        </dgm:presLayoutVars>
      </dgm:prSet>
      <dgm:spPr/>
      <dgm:t>
        <a:bodyPr/>
        <a:lstStyle/>
        <a:p>
          <a:endParaRPr lang="ru-RU"/>
        </a:p>
      </dgm:t>
    </dgm:pt>
    <dgm:pt modelId="{F1BF9723-995C-4E5C-A60B-06AD4F03D292}" type="pres">
      <dgm:prSet presAssocID="{CD601F78-AE47-4723-8B5A-2DA1A56A8DA1}" presName="spComp" presStyleCnt="0"/>
      <dgm:spPr/>
    </dgm:pt>
    <dgm:pt modelId="{B36E2D0B-0E95-4BB8-B0A0-A04A22E47B29}" type="pres">
      <dgm:prSet presAssocID="{CD601F78-AE47-4723-8B5A-2DA1A56A8DA1}" presName="vSp" presStyleCnt="0"/>
      <dgm:spPr/>
    </dgm:pt>
    <dgm:pt modelId="{BB2B7968-87BD-43F2-A099-F4A6C9E91B67}" type="pres">
      <dgm:prSet presAssocID="{9C3CA28B-812E-4A2E-AB63-59D9AFD41324}" presName="rectComp" presStyleCnt="0"/>
      <dgm:spPr/>
    </dgm:pt>
    <dgm:pt modelId="{7B0A7003-212A-42B3-889A-AAE312FB384D}" type="pres">
      <dgm:prSet presAssocID="{9C3CA28B-812E-4A2E-AB63-59D9AFD41324}" presName="bgRect" presStyleLbl="bgShp" presStyleIdx="1" presStyleCnt="5" custScaleY="152129"/>
      <dgm:spPr/>
      <dgm:t>
        <a:bodyPr/>
        <a:lstStyle/>
        <a:p>
          <a:endParaRPr lang="ru-RU"/>
        </a:p>
      </dgm:t>
    </dgm:pt>
    <dgm:pt modelId="{79AE888C-FAD6-49EF-9575-B2EDC60AE36E}" type="pres">
      <dgm:prSet presAssocID="{9C3CA28B-812E-4A2E-AB63-59D9AFD41324}" presName="bgRectTx" presStyleLbl="bgShp" presStyleIdx="1" presStyleCnt="5">
        <dgm:presLayoutVars>
          <dgm:bulletEnabled val="1"/>
        </dgm:presLayoutVars>
      </dgm:prSet>
      <dgm:spPr/>
      <dgm:t>
        <a:bodyPr/>
        <a:lstStyle/>
        <a:p>
          <a:endParaRPr lang="ru-RU"/>
        </a:p>
      </dgm:t>
    </dgm:pt>
    <dgm:pt modelId="{6297B8AD-1FF0-484D-8B0C-C0489FE4FF5E}" type="pres">
      <dgm:prSet presAssocID="{9C3CA28B-812E-4A2E-AB63-59D9AFD41324}" presName="spComp" presStyleCnt="0"/>
      <dgm:spPr/>
    </dgm:pt>
    <dgm:pt modelId="{A486D90E-FB2C-4A93-AEEF-B0F7F7264E57}" type="pres">
      <dgm:prSet presAssocID="{9C3CA28B-812E-4A2E-AB63-59D9AFD41324}" presName="vSp" presStyleCnt="0"/>
      <dgm:spPr/>
    </dgm:pt>
    <dgm:pt modelId="{E5D1F6EF-A1AA-4A74-BAB6-4AE3B19EDEA3}" type="pres">
      <dgm:prSet presAssocID="{05C93BBE-DA99-4BDF-BCED-FB23A3D6DE32}" presName="rectComp" presStyleCnt="0"/>
      <dgm:spPr/>
    </dgm:pt>
    <dgm:pt modelId="{365CBF24-1DC7-4F8E-B5D4-441E06AA6007}" type="pres">
      <dgm:prSet presAssocID="{05C93BBE-DA99-4BDF-BCED-FB23A3D6DE32}" presName="bgRect" presStyleLbl="bgShp" presStyleIdx="2" presStyleCnt="5" custScaleY="166123"/>
      <dgm:spPr/>
      <dgm:t>
        <a:bodyPr/>
        <a:lstStyle/>
        <a:p>
          <a:endParaRPr lang="ru-RU"/>
        </a:p>
      </dgm:t>
    </dgm:pt>
    <dgm:pt modelId="{59E6FCFB-1595-4157-9F46-D41DE12C4600}" type="pres">
      <dgm:prSet presAssocID="{05C93BBE-DA99-4BDF-BCED-FB23A3D6DE32}" presName="bgRectTx" presStyleLbl="bgShp" presStyleIdx="2" presStyleCnt="5">
        <dgm:presLayoutVars>
          <dgm:bulletEnabled val="1"/>
        </dgm:presLayoutVars>
      </dgm:prSet>
      <dgm:spPr/>
      <dgm:t>
        <a:bodyPr/>
        <a:lstStyle/>
        <a:p>
          <a:endParaRPr lang="ru-RU"/>
        </a:p>
      </dgm:t>
    </dgm:pt>
    <dgm:pt modelId="{F410BB89-5E2D-45C0-B5F4-525288B7F418}" type="pres">
      <dgm:prSet presAssocID="{05C93BBE-DA99-4BDF-BCED-FB23A3D6DE32}" presName="spComp" presStyleCnt="0"/>
      <dgm:spPr/>
    </dgm:pt>
    <dgm:pt modelId="{F8BEDC7E-846C-4AED-8699-1C7C9F4167A7}" type="pres">
      <dgm:prSet presAssocID="{05C93BBE-DA99-4BDF-BCED-FB23A3D6DE32}" presName="vSp" presStyleCnt="0"/>
      <dgm:spPr/>
    </dgm:pt>
    <dgm:pt modelId="{37E79897-B9E8-4136-9D31-A43C0510F58C}" type="pres">
      <dgm:prSet presAssocID="{7ABF9B43-E2A4-45D8-8C43-0EF711536CAF}" presName="rectComp" presStyleCnt="0"/>
      <dgm:spPr/>
    </dgm:pt>
    <dgm:pt modelId="{8581A380-C98F-4D75-A20C-96E9F31CE3C3}" type="pres">
      <dgm:prSet presAssocID="{7ABF9B43-E2A4-45D8-8C43-0EF711536CAF}" presName="bgRect" presStyleLbl="bgShp" presStyleIdx="3" presStyleCnt="5" custScaleY="133222"/>
      <dgm:spPr/>
      <dgm:t>
        <a:bodyPr/>
        <a:lstStyle/>
        <a:p>
          <a:endParaRPr lang="ru-RU"/>
        </a:p>
      </dgm:t>
    </dgm:pt>
    <dgm:pt modelId="{7EEB925C-D59E-41C1-98BA-915D714C80B1}" type="pres">
      <dgm:prSet presAssocID="{7ABF9B43-E2A4-45D8-8C43-0EF711536CAF}" presName="bgRectTx" presStyleLbl="bgShp" presStyleIdx="3" presStyleCnt="5">
        <dgm:presLayoutVars>
          <dgm:bulletEnabled val="1"/>
        </dgm:presLayoutVars>
      </dgm:prSet>
      <dgm:spPr/>
      <dgm:t>
        <a:bodyPr/>
        <a:lstStyle/>
        <a:p>
          <a:endParaRPr lang="ru-RU"/>
        </a:p>
      </dgm:t>
    </dgm:pt>
    <dgm:pt modelId="{A4494F9A-CC97-42C1-9A88-9FD388632C9B}" type="pres">
      <dgm:prSet presAssocID="{7ABF9B43-E2A4-45D8-8C43-0EF711536CAF}" presName="spComp" presStyleCnt="0"/>
      <dgm:spPr/>
    </dgm:pt>
    <dgm:pt modelId="{7D789940-5E87-4A7E-B951-B0A16FA3DA39}" type="pres">
      <dgm:prSet presAssocID="{7ABF9B43-E2A4-45D8-8C43-0EF711536CAF}" presName="vSp" presStyleCnt="0"/>
      <dgm:spPr/>
    </dgm:pt>
    <dgm:pt modelId="{E0D783BB-B9DD-49FB-8E52-CDD7B86DBC03}" type="pres">
      <dgm:prSet presAssocID="{5DE2D021-7FF0-434D-9269-053A19A31F49}" presName="rectComp" presStyleCnt="0"/>
      <dgm:spPr/>
    </dgm:pt>
    <dgm:pt modelId="{A29D9063-E9C4-4069-91C1-C6717436B4E1}" type="pres">
      <dgm:prSet presAssocID="{5DE2D021-7FF0-434D-9269-053A19A31F49}" presName="bgRect" presStyleLbl="bgShp" presStyleIdx="4" presStyleCnt="5" custScaleY="185940"/>
      <dgm:spPr/>
      <dgm:t>
        <a:bodyPr/>
        <a:lstStyle/>
        <a:p>
          <a:endParaRPr lang="ru-RU"/>
        </a:p>
      </dgm:t>
    </dgm:pt>
    <dgm:pt modelId="{11A5BFA7-6FD5-4640-8C15-64261CC156AD}" type="pres">
      <dgm:prSet presAssocID="{5DE2D021-7FF0-434D-9269-053A19A31F49}" presName="bgRectTx" presStyleLbl="bgShp" presStyleIdx="4" presStyleCnt="5">
        <dgm:presLayoutVars>
          <dgm:bulletEnabled val="1"/>
        </dgm:presLayoutVars>
      </dgm:prSet>
      <dgm:spPr/>
      <dgm:t>
        <a:bodyPr/>
        <a:lstStyle/>
        <a:p>
          <a:endParaRPr lang="ru-RU"/>
        </a:p>
      </dgm:t>
    </dgm:pt>
  </dgm:ptLst>
  <dgm:cxnLst>
    <dgm:cxn modelId="{07F2130A-529F-4C33-A154-05E762B9FB60}" type="presOf" srcId="{E0458464-E1A6-4DFC-BBD9-0B950465089D}" destId="{5AB7F6E7-0B6B-40C0-88DA-331E05420043}" srcOrd="0" destOrd="0" presId="urn:microsoft.com/office/officeart/2005/8/layout/hierarchy6"/>
    <dgm:cxn modelId="{CFA2FA73-F0C1-4899-AC14-074D743AD2B1}" type="presOf" srcId="{05C93BBE-DA99-4BDF-BCED-FB23A3D6DE32}" destId="{365CBF24-1DC7-4F8E-B5D4-441E06AA6007}" srcOrd="0" destOrd="0" presId="urn:microsoft.com/office/officeart/2005/8/layout/hierarchy6"/>
    <dgm:cxn modelId="{B7D134C4-B9A7-4971-BC71-7BC42ABEA55A}" type="presOf" srcId="{090E705C-6291-41E9-B1DA-DAC1BB174812}" destId="{29A8CD10-0AC1-457F-910C-3723AA64264B}" srcOrd="0" destOrd="0" presId="urn:microsoft.com/office/officeart/2005/8/layout/hierarchy6"/>
    <dgm:cxn modelId="{6AC71892-2D0A-458E-9535-0406212DDD94}" srcId="{C9FFEFD0-0DDD-48CB-9AD5-1C788DEDC4F6}" destId="{9C3CA28B-812E-4A2E-AB63-59D9AFD41324}" srcOrd="2" destOrd="0" parTransId="{16BD99DC-AA57-4CA5-9047-F153F71A075F}" sibTransId="{07B673D3-D72C-4025-AFE1-9FD4BF8E3C44}"/>
    <dgm:cxn modelId="{3B5C5B96-073E-4348-9863-F78DE5CAACD0}" srcId="{CEEE7834-70F5-40E6-BCD9-4751AD821BFD}" destId="{25B354FF-E555-46DE-8DB8-99EAF8ACE0B2}" srcOrd="0" destOrd="0" parTransId="{090E705C-6291-41E9-B1DA-DAC1BB174812}" sibTransId="{0F8BB6EC-6568-415E-8D93-E3511E0BE174}"/>
    <dgm:cxn modelId="{A5B3661D-716D-426E-BDE9-1433FA01BD2F}" srcId="{C9FFEFD0-0DDD-48CB-9AD5-1C788DEDC4F6}" destId="{F720A807-0E6F-4B90-9721-4153361AB77B}" srcOrd="0" destOrd="0" parTransId="{7BB4D129-CD2C-4248-8EF9-C8D49127D748}" sibTransId="{99EBA1FC-9068-44C8-816B-589B34B98ACC}"/>
    <dgm:cxn modelId="{88867F21-809C-4EFA-BF35-86442203EBF4}" type="presOf" srcId="{C9FFEFD0-0DDD-48CB-9AD5-1C788DEDC4F6}" destId="{016F6F9A-A462-4F9C-A85A-FAC82464CC41}" srcOrd="0" destOrd="0" presId="urn:microsoft.com/office/officeart/2005/8/layout/hierarchy6"/>
    <dgm:cxn modelId="{10B1DD60-3876-4FCF-B181-58E8674CD808}" type="presOf" srcId="{6413F196-AFBD-4955-91CA-9A5185F5A5D7}" destId="{CE5691B0-09ED-4710-8863-14E0A4B7E576}" srcOrd="0" destOrd="0" presId="urn:microsoft.com/office/officeart/2005/8/layout/hierarchy6"/>
    <dgm:cxn modelId="{5A1A8B05-0EEA-4716-AADC-F7F1DBA29A1C}" type="presOf" srcId="{9C3CA28B-812E-4A2E-AB63-59D9AFD41324}" destId="{79AE888C-FAD6-49EF-9575-B2EDC60AE36E}" srcOrd="1" destOrd="0" presId="urn:microsoft.com/office/officeart/2005/8/layout/hierarchy6"/>
    <dgm:cxn modelId="{266A5E19-6826-41D1-BBFD-4CE94511A563}" srcId="{C9FFEFD0-0DDD-48CB-9AD5-1C788DEDC4F6}" destId="{CD601F78-AE47-4723-8B5A-2DA1A56A8DA1}" srcOrd="1" destOrd="0" parTransId="{333A0BEF-2368-4CBB-9AD7-166A6CE20284}" sibTransId="{A048F954-CF44-4179-87E2-7B25D2495935}"/>
    <dgm:cxn modelId="{C45FA982-3D65-400A-88AC-7B6C11FDCAD4}" type="presOf" srcId="{5DE2D021-7FF0-434D-9269-053A19A31F49}" destId="{11A5BFA7-6FD5-4640-8C15-64261CC156AD}" srcOrd="1" destOrd="0" presId="urn:microsoft.com/office/officeart/2005/8/layout/hierarchy6"/>
    <dgm:cxn modelId="{33E3F486-C603-4F30-9616-C68624443487}" type="presOf" srcId="{068F261E-FEBC-4B9A-948F-97A44C2A9DC0}" destId="{BB0E053B-D97C-4198-A24D-597EBB0A619C}" srcOrd="0" destOrd="0" presId="urn:microsoft.com/office/officeart/2005/8/layout/hierarchy6"/>
    <dgm:cxn modelId="{2B0A7DB7-53C7-429E-B477-D261AB629546}" srcId="{C9FFEFD0-0DDD-48CB-9AD5-1C788DEDC4F6}" destId="{7ABF9B43-E2A4-45D8-8C43-0EF711536CAF}" srcOrd="4" destOrd="0" parTransId="{34ED252E-C8C6-4CF8-925E-7A1E105B3623}" sibTransId="{315DE02C-620A-4F4D-825F-D3145F8F0DF6}"/>
    <dgm:cxn modelId="{3FBD1A92-A3D4-49C7-9BA1-241DC6B56524}" type="presOf" srcId="{25B354FF-E555-46DE-8DB8-99EAF8ACE0B2}" destId="{853070B9-B070-4156-97F3-CCE70DBBF1C1}" srcOrd="0" destOrd="0" presId="urn:microsoft.com/office/officeart/2005/8/layout/hierarchy6"/>
    <dgm:cxn modelId="{2E815F99-AC3C-4DE2-B002-9E5AF4ED9AE0}" srcId="{CEEE7834-70F5-40E6-BCD9-4751AD821BFD}" destId="{068F261E-FEBC-4B9A-948F-97A44C2A9DC0}" srcOrd="2" destOrd="0" parTransId="{EB441C54-64A2-42DF-9C3E-D9FF913DDA92}" sibTransId="{085E188C-92E4-4EF4-8837-82CAB0CD235A}"/>
    <dgm:cxn modelId="{4AB398F1-4382-4943-B173-B914FCFDE409}" type="presOf" srcId="{111AD46B-F183-4FCE-904B-CDBD07087760}" destId="{5C449BFD-F58F-4F73-9CC6-367FBF917753}" srcOrd="0" destOrd="0" presId="urn:microsoft.com/office/officeart/2005/8/layout/hierarchy6"/>
    <dgm:cxn modelId="{48982D83-A50C-4A22-9C3C-A5513F911379}" srcId="{F720A807-0E6F-4B90-9721-4153361AB77B}" destId="{6413F196-AFBD-4955-91CA-9A5185F5A5D7}" srcOrd="0" destOrd="0" parTransId="{6F1077CE-110C-437B-ADCE-0A829BA01FBF}" sibTransId="{69CF2F28-713D-4BEE-8BD1-9BF68DF62609}"/>
    <dgm:cxn modelId="{07D0ACCD-3CC5-4D74-BA49-D1F6A8A4784C}" type="presOf" srcId="{F720A807-0E6F-4B90-9721-4153361AB77B}" destId="{641293B9-2F99-49F0-9286-2ECAC4AB76E1}" srcOrd="0" destOrd="0" presId="urn:microsoft.com/office/officeart/2005/8/layout/hierarchy6"/>
    <dgm:cxn modelId="{ACBB3C84-48A9-480E-8E97-B74819C969A2}" type="presOf" srcId="{7ABF9B43-E2A4-45D8-8C43-0EF711536CAF}" destId="{7EEB925C-D59E-41C1-98BA-915D714C80B1}" srcOrd="1" destOrd="0" presId="urn:microsoft.com/office/officeart/2005/8/layout/hierarchy6"/>
    <dgm:cxn modelId="{EB015F02-E4C0-4886-B1AF-0ED15DD22BDA}" type="presOf" srcId="{05C93BBE-DA99-4BDF-BCED-FB23A3D6DE32}" destId="{59E6FCFB-1595-4157-9F46-D41DE12C4600}" srcOrd="1" destOrd="0" presId="urn:microsoft.com/office/officeart/2005/8/layout/hierarchy6"/>
    <dgm:cxn modelId="{BBDAF675-13FB-4B86-8B68-0F7692BE8D0F}" srcId="{400626DD-3C4B-4801-B074-026C0A0A26DE}" destId="{CEEE7834-70F5-40E6-BCD9-4751AD821BFD}" srcOrd="0" destOrd="0" parTransId="{111AD46B-F183-4FCE-904B-CDBD07087760}" sibTransId="{CB93E6E2-0888-4962-ABEB-4B94970B74B8}"/>
    <dgm:cxn modelId="{0152F1B1-83E2-4E51-84E9-FB40A4F1E089}" type="presOf" srcId="{9C3CA28B-812E-4A2E-AB63-59D9AFD41324}" destId="{7B0A7003-212A-42B3-889A-AAE312FB384D}" srcOrd="0" destOrd="0" presId="urn:microsoft.com/office/officeart/2005/8/layout/hierarchy6"/>
    <dgm:cxn modelId="{99EB62CF-19CC-4ADB-867D-61819ED02224}" type="presOf" srcId="{A1FEB0A7-27A8-471D-9D8B-C8C53271E62D}" destId="{F7C192E1-E930-404F-A711-D067FD5302CA}" srcOrd="0" destOrd="0" presId="urn:microsoft.com/office/officeart/2005/8/layout/hierarchy6"/>
    <dgm:cxn modelId="{C0B47DDE-C8F6-487A-B382-8B61A95AB4B2}" srcId="{CEEE7834-70F5-40E6-BCD9-4751AD821BFD}" destId="{A1FEB0A7-27A8-471D-9D8B-C8C53271E62D}" srcOrd="1" destOrd="0" parTransId="{0630901C-EB2E-455A-B1BD-6CF1932C2C65}" sibTransId="{8EC79381-0E60-4E5F-9956-49F346B8103C}"/>
    <dgm:cxn modelId="{AEFFAE58-E7F2-4A2A-AD2B-391FBED7D7D3}" type="presOf" srcId="{6F1077CE-110C-437B-ADCE-0A829BA01FBF}" destId="{FA2CAE7D-FCD0-4C80-8559-B7FCF3BD1B75}" srcOrd="0" destOrd="0" presId="urn:microsoft.com/office/officeart/2005/8/layout/hierarchy6"/>
    <dgm:cxn modelId="{C6D2B792-A978-422C-BE30-CB42F07F3D2B}" type="presOf" srcId="{5DE2D021-7FF0-434D-9269-053A19A31F49}" destId="{A29D9063-E9C4-4069-91C1-C6717436B4E1}" srcOrd="0" destOrd="0" presId="urn:microsoft.com/office/officeart/2005/8/layout/hierarchy6"/>
    <dgm:cxn modelId="{C3098E29-9267-4D72-B3A3-0068F6623FBC}" srcId="{C9FFEFD0-0DDD-48CB-9AD5-1C788DEDC4F6}" destId="{05C93BBE-DA99-4BDF-BCED-FB23A3D6DE32}" srcOrd="3" destOrd="0" parTransId="{5E2C2986-F668-4C4D-95DC-87D18323B617}" sibTransId="{E4BE607C-3773-4F55-A67F-FB5D22357AD8}"/>
    <dgm:cxn modelId="{E984E197-C563-478E-B49E-4625D3DCDFB5}" type="presOf" srcId="{7ABF9B43-E2A4-45D8-8C43-0EF711536CAF}" destId="{8581A380-C98F-4D75-A20C-96E9F31CE3C3}" srcOrd="0" destOrd="0" presId="urn:microsoft.com/office/officeart/2005/8/layout/hierarchy6"/>
    <dgm:cxn modelId="{F34DEB7B-2EA6-4A08-9BC3-1557A50E58B2}" type="presOf" srcId="{CEEE7834-70F5-40E6-BCD9-4751AD821BFD}" destId="{55D8ACFE-3BEA-40A9-8F97-E89CD202D8CA}" srcOrd="0" destOrd="0" presId="urn:microsoft.com/office/officeart/2005/8/layout/hierarchy6"/>
    <dgm:cxn modelId="{08415175-758E-4D02-93D2-31105D354A98}" type="presOf" srcId="{400626DD-3C4B-4801-B074-026C0A0A26DE}" destId="{DA50487A-A106-4274-9B7B-CDF454E26C83}" srcOrd="0" destOrd="0" presId="urn:microsoft.com/office/officeart/2005/8/layout/hierarchy6"/>
    <dgm:cxn modelId="{0127618F-A469-4F85-9405-D54C15C0E016}" type="presOf" srcId="{EB441C54-64A2-42DF-9C3E-D9FF913DDA92}" destId="{6F2900D0-D227-4032-B5C1-BB5A1C14440D}" srcOrd="0" destOrd="0" presId="urn:microsoft.com/office/officeart/2005/8/layout/hierarchy6"/>
    <dgm:cxn modelId="{56C15DE5-18E6-4A8D-A4DD-7CE92C9F7843}" type="presOf" srcId="{CD601F78-AE47-4723-8B5A-2DA1A56A8DA1}" destId="{03E32A5A-A8A9-4028-987B-4F05138B3721}" srcOrd="0" destOrd="0" presId="urn:microsoft.com/office/officeart/2005/8/layout/hierarchy6"/>
    <dgm:cxn modelId="{D38FBE6D-C85E-4621-85CA-70CBE471A758}" type="presOf" srcId="{0630901C-EB2E-455A-B1BD-6CF1932C2C65}" destId="{6A313E7D-4749-4C1A-B69D-10070506493F}" srcOrd="0" destOrd="0" presId="urn:microsoft.com/office/officeart/2005/8/layout/hierarchy6"/>
    <dgm:cxn modelId="{4833A7D3-FD6D-43A0-B647-F8556EC10B91}" srcId="{C9FFEFD0-0DDD-48CB-9AD5-1C788DEDC4F6}" destId="{5DE2D021-7FF0-434D-9269-053A19A31F49}" srcOrd="5" destOrd="0" parTransId="{D0D81BFC-BF89-4E96-BCCF-E50C4AFE072E}" sibTransId="{7FD8B41C-62EF-40CE-B99F-6DA221A4E900}"/>
    <dgm:cxn modelId="{BE750FDA-AB07-43AE-A765-9F1810A1BE7D}" type="presOf" srcId="{CD601F78-AE47-4723-8B5A-2DA1A56A8DA1}" destId="{41AE5B45-4E0E-47A7-98C7-97BDC06236AA}" srcOrd="1" destOrd="0" presId="urn:microsoft.com/office/officeart/2005/8/layout/hierarchy6"/>
    <dgm:cxn modelId="{934F645D-C9AA-4CF8-BB45-19CB760787A8}" srcId="{6413F196-AFBD-4955-91CA-9A5185F5A5D7}" destId="{400626DD-3C4B-4801-B074-026C0A0A26DE}" srcOrd="0" destOrd="0" parTransId="{E0458464-E1A6-4DFC-BBD9-0B950465089D}" sibTransId="{E89F2FF4-79A2-4191-92E3-7589E0A9F47A}"/>
    <dgm:cxn modelId="{094570CB-9DF6-41B1-B992-95A751A859D0}" type="presParOf" srcId="{016F6F9A-A462-4F9C-A85A-FAC82464CC41}" destId="{524D8F7F-4BE2-4A88-8A1B-6585BC1B1428}" srcOrd="0" destOrd="0" presId="urn:microsoft.com/office/officeart/2005/8/layout/hierarchy6"/>
    <dgm:cxn modelId="{7905F66F-4F65-4844-BB5C-0F641D475AAC}" type="presParOf" srcId="{524D8F7F-4BE2-4A88-8A1B-6585BC1B1428}" destId="{DE94AF37-2350-449D-ACA4-686D1958E0A9}" srcOrd="0" destOrd="0" presId="urn:microsoft.com/office/officeart/2005/8/layout/hierarchy6"/>
    <dgm:cxn modelId="{63DBCF08-6533-4B34-86E5-5FCFD4A27310}" type="presParOf" srcId="{524D8F7F-4BE2-4A88-8A1B-6585BC1B1428}" destId="{8BFE8929-A9A2-429B-8AC4-664D2D81A3C9}" srcOrd="1" destOrd="0" presId="urn:microsoft.com/office/officeart/2005/8/layout/hierarchy6"/>
    <dgm:cxn modelId="{1A9F76C8-1889-41E3-ACE6-22AF8741D565}" type="presParOf" srcId="{8BFE8929-A9A2-429B-8AC4-664D2D81A3C9}" destId="{0BA6A889-8572-4D71-B65A-D9F5D5A8EA10}" srcOrd="0" destOrd="0" presId="urn:microsoft.com/office/officeart/2005/8/layout/hierarchy6"/>
    <dgm:cxn modelId="{206E8650-2F40-4F1C-ACFB-9D3481A85217}" type="presParOf" srcId="{0BA6A889-8572-4D71-B65A-D9F5D5A8EA10}" destId="{641293B9-2F99-49F0-9286-2ECAC4AB76E1}" srcOrd="0" destOrd="0" presId="urn:microsoft.com/office/officeart/2005/8/layout/hierarchy6"/>
    <dgm:cxn modelId="{3BA8C08C-566B-4C9B-BBE1-201854A94B68}" type="presParOf" srcId="{0BA6A889-8572-4D71-B65A-D9F5D5A8EA10}" destId="{F8E6B17D-8061-49A0-8BAA-E1BC4F42F818}" srcOrd="1" destOrd="0" presId="urn:microsoft.com/office/officeart/2005/8/layout/hierarchy6"/>
    <dgm:cxn modelId="{5C483409-59D1-49E4-A349-EA8FC8A85D88}" type="presParOf" srcId="{F8E6B17D-8061-49A0-8BAA-E1BC4F42F818}" destId="{FA2CAE7D-FCD0-4C80-8559-B7FCF3BD1B75}" srcOrd="0" destOrd="0" presId="urn:microsoft.com/office/officeart/2005/8/layout/hierarchy6"/>
    <dgm:cxn modelId="{2A0A54C5-4E4A-4EAF-AD4F-8266EBD1DE6F}" type="presParOf" srcId="{F8E6B17D-8061-49A0-8BAA-E1BC4F42F818}" destId="{F9E91EE8-0696-499D-B1F2-74C43C36708A}" srcOrd="1" destOrd="0" presId="urn:microsoft.com/office/officeart/2005/8/layout/hierarchy6"/>
    <dgm:cxn modelId="{7C05F522-33F5-4363-BF5F-AC7FFF2191F2}" type="presParOf" srcId="{F9E91EE8-0696-499D-B1F2-74C43C36708A}" destId="{CE5691B0-09ED-4710-8863-14E0A4B7E576}" srcOrd="0" destOrd="0" presId="urn:microsoft.com/office/officeart/2005/8/layout/hierarchy6"/>
    <dgm:cxn modelId="{E632ED2F-08B6-41CB-8156-31D655540E32}" type="presParOf" srcId="{F9E91EE8-0696-499D-B1F2-74C43C36708A}" destId="{06619425-DCBB-4137-85C7-76AAE9A9EE72}" srcOrd="1" destOrd="0" presId="urn:microsoft.com/office/officeart/2005/8/layout/hierarchy6"/>
    <dgm:cxn modelId="{5EA4845B-DD93-4513-A6E2-DAD858424A24}" type="presParOf" srcId="{06619425-DCBB-4137-85C7-76AAE9A9EE72}" destId="{5AB7F6E7-0B6B-40C0-88DA-331E05420043}" srcOrd="0" destOrd="0" presId="urn:microsoft.com/office/officeart/2005/8/layout/hierarchy6"/>
    <dgm:cxn modelId="{CBA06947-BF2A-43CF-A6D6-546E49A13B39}" type="presParOf" srcId="{06619425-DCBB-4137-85C7-76AAE9A9EE72}" destId="{CA1BF805-4C2E-49E9-A73F-CA539C395D31}" srcOrd="1" destOrd="0" presId="urn:microsoft.com/office/officeart/2005/8/layout/hierarchy6"/>
    <dgm:cxn modelId="{72CC9B8B-13EE-4BA6-B94F-83FADBD4B00A}" type="presParOf" srcId="{CA1BF805-4C2E-49E9-A73F-CA539C395D31}" destId="{DA50487A-A106-4274-9B7B-CDF454E26C83}" srcOrd="0" destOrd="0" presId="urn:microsoft.com/office/officeart/2005/8/layout/hierarchy6"/>
    <dgm:cxn modelId="{0AE1F62C-1924-4771-B797-A62F07AB4F8C}" type="presParOf" srcId="{CA1BF805-4C2E-49E9-A73F-CA539C395D31}" destId="{E922E0AF-DD46-4719-84FF-1D133AD3D53F}" srcOrd="1" destOrd="0" presId="urn:microsoft.com/office/officeart/2005/8/layout/hierarchy6"/>
    <dgm:cxn modelId="{430F7312-D725-4973-813B-4CFB4A5D6F14}" type="presParOf" srcId="{E922E0AF-DD46-4719-84FF-1D133AD3D53F}" destId="{5C449BFD-F58F-4F73-9CC6-367FBF917753}" srcOrd="0" destOrd="0" presId="urn:microsoft.com/office/officeart/2005/8/layout/hierarchy6"/>
    <dgm:cxn modelId="{467E5B7E-F495-4C85-BA2C-733E57F1ECEC}" type="presParOf" srcId="{E922E0AF-DD46-4719-84FF-1D133AD3D53F}" destId="{74CB20D3-0C25-4E34-86CA-2AE75E09E64D}" srcOrd="1" destOrd="0" presId="urn:microsoft.com/office/officeart/2005/8/layout/hierarchy6"/>
    <dgm:cxn modelId="{276F8D18-D856-447C-B14D-C82ACCB62C62}" type="presParOf" srcId="{74CB20D3-0C25-4E34-86CA-2AE75E09E64D}" destId="{55D8ACFE-3BEA-40A9-8F97-E89CD202D8CA}" srcOrd="0" destOrd="0" presId="urn:microsoft.com/office/officeart/2005/8/layout/hierarchy6"/>
    <dgm:cxn modelId="{BA6314F9-798A-4307-81FC-DEA4EB3A9FD0}" type="presParOf" srcId="{74CB20D3-0C25-4E34-86CA-2AE75E09E64D}" destId="{AA322A7E-E3B2-4231-8477-07755E184703}" srcOrd="1" destOrd="0" presId="urn:microsoft.com/office/officeart/2005/8/layout/hierarchy6"/>
    <dgm:cxn modelId="{A4CDD96C-9E50-46E0-B2F5-A5AADC55B930}" type="presParOf" srcId="{AA322A7E-E3B2-4231-8477-07755E184703}" destId="{29A8CD10-0AC1-457F-910C-3723AA64264B}" srcOrd="0" destOrd="0" presId="urn:microsoft.com/office/officeart/2005/8/layout/hierarchy6"/>
    <dgm:cxn modelId="{E68FD695-70E2-4A0E-8A6D-943BA02B955B}" type="presParOf" srcId="{AA322A7E-E3B2-4231-8477-07755E184703}" destId="{FC9BFB26-0EA5-4A8A-AA50-2ED40C14DCDC}" srcOrd="1" destOrd="0" presId="urn:microsoft.com/office/officeart/2005/8/layout/hierarchy6"/>
    <dgm:cxn modelId="{4CE26B8F-8E4D-4DBD-8CB1-A8CE4B3C3888}" type="presParOf" srcId="{FC9BFB26-0EA5-4A8A-AA50-2ED40C14DCDC}" destId="{853070B9-B070-4156-97F3-CCE70DBBF1C1}" srcOrd="0" destOrd="0" presId="urn:microsoft.com/office/officeart/2005/8/layout/hierarchy6"/>
    <dgm:cxn modelId="{2B3FA20F-9A30-4117-A5D7-2AEDC4692369}" type="presParOf" srcId="{FC9BFB26-0EA5-4A8A-AA50-2ED40C14DCDC}" destId="{7AAB09E3-E951-4A05-ADEB-C29572D3C06E}" srcOrd="1" destOrd="0" presId="urn:microsoft.com/office/officeart/2005/8/layout/hierarchy6"/>
    <dgm:cxn modelId="{C760F853-02C0-4143-96F5-DF41D5D30420}" type="presParOf" srcId="{AA322A7E-E3B2-4231-8477-07755E184703}" destId="{6A313E7D-4749-4C1A-B69D-10070506493F}" srcOrd="2" destOrd="0" presId="urn:microsoft.com/office/officeart/2005/8/layout/hierarchy6"/>
    <dgm:cxn modelId="{A7D30138-92D4-4FA7-BE13-1EBCFAE897BF}" type="presParOf" srcId="{AA322A7E-E3B2-4231-8477-07755E184703}" destId="{127E86F3-18E6-4045-B31A-DC4EC465AC86}" srcOrd="3" destOrd="0" presId="urn:microsoft.com/office/officeart/2005/8/layout/hierarchy6"/>
    <dgm:cxn modelId="{67C67CE9-CCFB-4703-BE53-423AB507D179}" type="presParOf" srcId="{127E86F3-18E6-4045-B31A-DC4EC465AC86}" destId="{F7C192E1-E930-404F-A711-D067FD5302CA}" srcOrd="0" destOrd="0" presId="urn:microsoft.com/office/officeart/2005/8/layout/hierarchy6"/>
    <dgm:cxn modelId="{96550807-5548-4D95-BD10-FC1D2D42208A}" type="presParOf" srcId="{127E86F3-18E6-4045-B31A-DC4EC465AC86}" destId="{D569840D-31FF-43EB-8CEA-260FCED9E79D}" srcOrd="1" destOrd="0" presId="urn:microsoft.com/office/officeart/2005/8/layout/hierarchy6"/>
    <dgm:cxn modelId="{8BF58BDA-67CD-48D0-A3E4-399D3B8658A9}" type="presParOf" srcId="{AA322A7E-E3B2-4231-8477-07755E184703}" destId="{6F2900D0-D227-4032-B5C1-BB5A1C14440D}" srcOrd="4" destOrd="0" presId="urn:microsoft.com/office/officeart/2005/8/layout/hierarchy6"/>
    <dgm:cxn modelId="{C7C0F5F9-8FCB-48BB-A69E-8626913BB86D}" type="presParOf" srcId="{AA322A7E-E3B2-4231-8477-07755E184703}" destId="{A2F334E8-F3B0-454E-8425-98DDA9B9C0FC}" srcOrd="5" destOrd="0" presId="urn:microsoft.com/office/officeart/2005/8/layout/hierarchy6"/>
    <dgm:cxn modelId="{8BD98C4F-AB78-4FF4-B81D-DA1E050EBD23}" type="presParOf" srcId="{A2F334E8-F3B0-454E-8425-98DDA9B9C0FC}" destId="{BB0E053B-D97C-4198-A24D-597EBB0A619C}" srcOrd="0" destOrd="0" presId="urn:microsoft.com/office/officeart/2005/8/layout/hierarchy6"/>
    <dgm:cxn modelId="{9261FC4A-FDA4-4CC0-9C27-75A1CBD2EA19}" type="presParOf" srcId="{A2F334E8-F3B0-454E-8425-98DDA9B9C0FC}" destId="{0C4FCE07-C55E-4FD9-91AC-1FDDBB51C543}" srcOrd="1" destOrd="0" presId="urn:microsoft.com/office/officeart/2005/8/layout/hierarchy6"/>
    <dgm:cxn modelId="{D50B0528-D3C6-446C-9DE8-C51F94D4485F}" type="presParOf" srcId="{016F6F9A-A462-4F9C-A85A-FAC82464CC41}" destId="{4810392D-74A8-4061-BA76-6957D31819ED}" srcOrd="1" destOrd="0" presId="urn:microsoft.com/office/officeart/2005/8/layout/hierarchy6"/>
    <dgm:cxn modelId="{34D8C513-B765-44DD-8118-D41AE99D7F61}" type="presParOf" srcId="{4810392D-74A8-4061-BA76-6957D31819ED}" destId="{B20F023B-B56A-4BA9-9ADD-A083FAD2BB56}" srcOrd="0" destOrd="0" presId="urn:microsoft.com/office/officeart/2005/8/layout/hierarchy6"/>
    <dgm:cxn modelId="{E94380B8-8FAC-4385-9847-3CE3D4067972}" type="presParOf" srcId="{B20F023B-B56A-4BA9-9ADD-A083FAD2BB56}" destId="{03E32A5A-A8A9-4028-987B-4F05138B3721}" srcOrd="0" destOrd="0" presId="urn:microsoft.com/office/officeart/2005/8/layout/hierarchy6"/>
    <dgm:cxn modelId="{CAB8115D-93BF-4CB5-9DB5-1AA7D43D6C44}" type="presParOf" srcId="{B20F023B-B56A-4BA9-9ADD-A083FAD2BB56}" destId="{41AE5B45-4E0E-47A7-98C7-97BDC06236AA}" srcOrd="1" destOrd="0" presId="urn:microsoft.com/office/officeart/2005/8/layout/hierarchy6"/>
    <dgm:cxn modelId="{C95A5DC2-A4AE-423D-AC30-18E5C18D9663}" type="presParOf" srcId="{4810392D-74A8-4061-BA76-6957D31819ED}" destId="{F1BF9723-995C-4E5C-A60B-06AD4F03D292}" srcOrd="1" destOrd="0" presId="urn:microsoft.com/office/officeart/2005/8/layout/hierarchy6"/>
    <dgm:cxn modelId="{1D29236B-25D9-48B7-850E-43765221ED88}" type="presParOf" srcId="{F1BF9723-995C-4E5C-A60B-06AD4F03D292}" destId="{B36E2D0B-0E95-4BB8-B0A0-A04A22E47B29}" srcOrd="0" destOrd="0" presId="urn:microsoft.com/office/officeart/2005/8/layout/hierarchy6"/>
    <dgm:cxn modelId="{145368D8-C608-4BCE-889E-9A94C3ACE5F7}" type="presParOf" srcId="{4810392D-74A8-4061-BA76-6957D31819ED}" destId="{BB2B7968-87BD-43F2-A099-F4A6C9E91B67}" srcOrd="2" destOrd="0" presId="urn:microsoft.com/office/officeart/2005/8/layout/hierarchy6"/>
    <dgm:cxn modelId="{9D2EE44B-0405-4202-BECB-7906399D1BD9}" type="presParOf" srcId="{BB2B7968-87BD-43F2-A099-F4A6C9E91B67}" destId="{7B0A7003-212A-42B3-889A-AAE312FB384D}" srcOrd="0" destOrd="0" presId="urn:microsoft.com/office/officeart/2005/8/layout/hierarchy6"/>
    <dgm:cxn modelId="{B5E9008C-40F7-459D-B21F-B5F31B50A56F}" type="presParOf" srcId="{BB2B7968-87BD-43F2-A099-F4A6C9E91B67}" destId="{79AE888C-FAD6-49EF-9575-B2EDC60AE36E}" srcOrd="1" destOrd="0" presId="urn:microsoft.com/office/officeart/2005/8/layout/hierarchy6"/>
    <dgm:cxn modelId="{8405E4D5-E015-4529-AD9A-FC6233E2B373}" type="presParOf" srcId="{4810392D-74A8-4061-BA76-6957D31819ED}" destId="{6297B8AD-1FF0-484D-8B0C-C0489FE4FF5E}" srcOrd="3" destOrd="0" presId="urn:microsoft.com/office/officeart/2005/8/layout/hierarchy6"/>
    <dgm:cxn modelId="{B75D37B4-78EB-49DD-9D68-0046AF4E82B7}" type="presParOf" srcId="{6297B8AD-1FF0-484D-8B0C-C0489FE4FF5E}" destId="{A486D90E-FB2C-4A93-AEEF-B0F7F7264E57}" srcOrd="0" destOrd="0" presId="urn:microsoft.com/office/officeart/2005/8/layout/hierarchy6"/>
    <dgm:cxn modelId="{E6272D2D-C19B-4458-9E23-A05F33E77B71}" type="presParOf" srcId="{4810392D-74A8-4061-BA76-6957D31819ED}" destId="{E5D1F6EF-A1AA-4A74-BAB6-4AE3B19EDEA3}" srcOrd="4" destOrd="0" presId="urn:microsoft.com/office/officeart/2005/8/layout/hierarchy6"/>
    <dgm:cxn modelId="{C2C1BD4A-5064-4EAA-92B3-BA7DEB63C276}" type="presParOf" srcId="{E5D1F6EF-A1AA-4A74-BAB6-4AE3B19EDEA3}" destId="{365CBF24-1DC7-4F8E-B5D4-441E06AA6007}" srcOrd="0" destOrd="0" presId="urn:microsoft.com/office/officeart/2005/8/layout/hierarchy6"/>
    <dgm:cxn modelId="{4A017A9B-028B-4348-9B71-DDE3C9E2E01C}" type="presParOf" srcId="{E5D1F6EF-A1AA-4A74-BAB6-4AE3B19EDEA3}" destId="{59E6FCFB-1595-4157-9F46-D41DE12C4600}" srcOrd="1" destOrd="0" presId="urn:microsoft.com/office/officeart/2005/8/layout/hierarchy6"/>
    <dgm:cxn modelId="{C3505ED2-F4BE-46F5-91A1-1C33CD255CAB}" type="presParOf" srcId="{4810392D-74A8-4061-BA76-6957D31819ED}" destId="{F410BB89-5E2D-45C0-B5F4-525288B7F418}" srcOrd="5" destOrd="0" presId="urn:microsoft.com/office/officeart/2005/8/layout/hierarchy6"/>
    <dgm:cxn modelId="{F4CECC82-515D-4D2E-975F-17C48BAC5C01}" type="presParOf" srcId="{F410BB89-5E2D-45C0-B5F4-525288B7F418}" destId="{F8BEDC7E-846C-4AED-8699-1C7C9F4167A7}" srcOrd="0" destOrd="0" presId="urn:microsoft.com/office/officeart/2005/8/layout/hierarchy6"/>
    <dgm:cxn modelId="{CF86123A-10DC-4478-BA73-267ECE7B52CF}" type="presParOf" srcId="{4810392D-74A8-4061-BA76-6957D31819ED}" destId="{37E79897-B9E8-4136-9D31-A43C0510F58C}" srcOrd="6" destOrd="0" presId="urn:microsoft.com/office/officeart/2005/8/layout/hierarchy6"/>
    <dgm:cxn modelId="{2997F574-DE1B-41E5-9A45-66BAD87EF7AA}" type="presParOf" srcId="{37E79897-B9E8-4136-9D31-A43C0510F58C}" destId="{8581A380-C98F-4D75-A20C-96E9F31CE3C3}" srcOrd="0" destOrd="0" presId="urn:microsoft.com/office/officeart/2005/8/layout/hierarchy6"/>
    <dgm:cxn modelId="{3406B504-5D85-4B4A-BA8A-1DBDFC27E3F0}" type="presParOf" srcId="{37E79897-B9E8-4136-9D31-A43C0510F58C}" destId="{7EEB925C-D59E-41C1-98BA-915D714C80B1}" srcOrd="1" destOrd="0" presId="urn:microsoft.com/office/officeart/2005/8/layout/hierarchy6"/>
    <dgm:cxn modelId="{F3A85334-9F70-4120-BA7F-92BF31510108}" type="presParOf" srcId="{4810392D-74A8-4061-BA76-6957D31819ED}" destId="{A4494F9A-CC97-42C1-9A88-9FD388632C9B}" srcOrd="7" destOrd="0" presId="urn:microsoft.com/office/officeart/2005/8/layout/hierarchy6"/>
    <dgm:cxn modelId="{F60783EB-DE75-4EBE-86C0-A0C931346D95}" type="presParOf" srcId="{A4494F9A-CC97-42C1-9A88-9FD388632C9B}" destId="{7D789940-5E87-4A7E-B951-B0A16FA3DA39}" srcOrd="0" destOrd="0" presId="urn:microsoft.com/office/officeart/2005/8/layout/hierarchy6"/>
    <dgm:cxn modelId="{C98C31D7-4BE0-44BE-BF31-CBB09B17CA25}" type="presParOf" srcId="{4810392D-74A8-4061-BA76-6957D31819ED}" destId="{E0D783BB-B9DD-49FB-8E52-CDD7B86DBC03}" srcOrd="8" destOrd="0" presId="urn:microsoft.com/office/officeart/2005/8/layout/hierarchy6"/>
    <dgm:cxn modelId="{AF2B04CC-D344-4041-B580-841778906748}" type="presParOf" srcId="{E0D783BB-B9DD-49FB-8E52-CDD7B86DBC03}" destId="{A29D9063-E9C4-4069-91C1-C6717436B4E1}" srcOrd="0" destOrd="0" presId="urn:microsoft.com/office/officeart/2005/8/layout/hierarchy6"/>
    <dgm:cxn modelId="{4F4497E2-375B-4911-ABAA-763EBD5D7517}" type="presParOf" srcId="{E0D783BB-B9DD-49FB-8E52-CDD7B86DBC03}" destId="{11A5BFA7-6FD5-4640-8C15-64261CC156AD}" srcOrd="1" destOrd="0" presId="urn:microsoft.com/office/officeart/2005/8/layout/hierarchy6"/>
  </dgm:cxnLst>
  <dgm:bg/>
  <dgm:whole/>
  <dgm:extLst>
    <a:ext uri="http://schemas.microsoft.com/office/drawing/2008/diagram">
      <dsp:dataModelExt xmlns:dsp="http://schemas.microsoft.com/office/drawing/2008/diagram" relId="rId129"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C0BC0CBD-6E1C-4CDC-A7F4-A76A175D2675}" type="doc">
      <dgm:prSet loTypeId="urn:microsoft.com/office/officeart/2005/8/layout/vList6" loCatId="process" qsTypeId="urn:microsoft.com/office/officeart/2005/8/quickstyle/simple5" qsCatId="simple" csTypeId="urn:microsoft.com/office/officeart/2005/8/colors/accent0_2" csCatId="mainScheme" phldr="1"/>
      <dgm:spPr/>
      <dgm:t>
        <a:bodyPr/>
        <a:lstStyle/>
        <a:p>
          <a:endParaRPr lang="ru-RU"/>
        </a:p>
      </dgm:t>
    </dgm:pt>
    <dgm:pt modelId="{CA58EAE1-8272-4D8E-8983-C340A28B7F80}">
      <dgm:prSet phldrT="[Текст]" custT="1"/>
      <dgm:spPr/>
      <dgm:t>
        <a:bodyPr/>
        <a:lstStyle/>
        <a:p>
          <a:pPr algn="ctr"/>
          <a:r>
            <a:rPr lang="ru-RU" sz="1000" b="0" i="1">
              <a:solidFill>
                <a:sysClr val="windowText" lastClr="000000"/>
              </a:solidFill>
              <a:latin typeface="Times New Roman" panose="02020603050405020304" pitchFamily="18" charset="0"/>
              <a:cs typeface="Times New Roman" panose="02020603050405020304" pitchFamily="18" charset="0"/>
            </a:rPr>
            <a:t>2020</a:t>
          </a:r>
        </a:p>
      </dgm:t>
    </dgm:pt>
    <dgm:pt modelId="{C84090E6-274E-4A34-8369-2E1FA07D32B2}" type="parTrans" cxnId="{4EB5CE46-95C3-4CF5-B553-F83C17FD6008}">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BA4E177D-5E74-43C4-A755-9DAA616B6AFB}" type="sibTrans" cxnId="{4EB5CE46-95C3-4CF5-B553-F83C17FD6008}">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265730F4-0ACE-4C20-879E-77905E04F0DE}">
      <dgm:prSet custT="1"/>
      <dgm:spPr/>
      <dgm:t>
        <a:bodyPr/>
        <a:lstStyle/>
        <a:p>
          <a:pPr algn="just"/>
          <a:r>
            <a:rPr lang="ru-RU" sz="1000">
              <a:solidFill>
                <a:sysClr val="windowText" lastClr="000000"/>
              </a:solidFill>
              <a:latin typeface="Times New Roman" panose="02020603050405020304" pitchFamily="18" charset="0"/>
              <a:cs typeface="Times New Roman" panose="02020603050405020304" pitchFamily="18" charset="0"/>
            </a:rPr>
            <a:t>Начало реализации </a:t>
          </a:r>
          <a:r>
            <a:rPr lang="en-US" sz="1000">
              <a:solidFill>
                <a:sysClr val="windowText" lastClr="000000"/>
              </a:solidFill>
              <a:latin typeface="Times New Roman" panose="02020603050405020304" pitchFamily="18" charset="0"/>
              <a:cs typeface="Times New Roman" panose="02020603050405020304" pitchFamily="18" charset="0"/>
            </a:rPr>
            <a:t>Neighbourhood Co-operation Priorities 2024–2027, </a:t>
          </a:r>
          <a:r>
            <a:rPr lang="ru-RU" sz="1000">
              <a:solidFill>
                <a:sysClr val="windowText" lastClr="000000"/>
              </a:solidFill>
              <a:latin typeface="Times New Roman" panose="02020603050405020304" pitchFamily="18" charset="0"/>
              <a:cs typeface="Times New Roman" panose="02020603050405020304" pitchFamily="18" charset="0"/>
            </a:rPr>
            <a:t>активизация программ </a:t>
          </a:r>
          <a:r>
            <a:rPr lang="en-US" sz="1000">
              <a:solidFill>
                <a:sysClr val="windowText" lastClr="000000"/>
              </a:solidFill>
              <a:latin typeface="Times New Roman" panose="02020603050405020304" pitchFamily="18" charset="0"/>
              <a:cs typeface="Times New Roman" panose="02020603050405020304" pitchFamily="18" charset="0"/>
            </a:rPr>
            <a:t>NDICI – Global Europe </a:t>
          </a:r>
          <a:r>
            <a:rPr lang="ru-RU" sz="1000">
              <a:solidFill>
                <a:sysClr val="windowText" lastClr="000000"/>
              </a:solidFill>
              <a:latin typeface="Times New Roman" panose="02020603050405020304" pitchFamily="18" charset="0"/>
              <a:cs typeface="Times New Roman" panose="02020603050405020304" pitchFamily="18" charset="0"/>
            </a:rPr>
            <a:t>и </a:t>
          </a:r>
          <a:r>
            <a:rPr lang="en-US" sz="1000">
              <a:solidFill>
                <a:sysClr val="windowText" lastClr="000000"/>
              </a:solidFill>
              <a:latin typeface="Times New Roman" panose="02020603050405020304" pitchFamily="18" charset="0"/>
              <a:cs typeface="Times New Roman" panose="02020603050405020304" pitchFamily="18" charset="0"/>
            </a:rPr>
            <a:t>Rule of Law Programme for Central Asia. </a:t>
          </a:r>
          <a:r>
            <a:rPr lang="ru-RU" sz="1000">
              <a:solidFill>
                <a:sysClr val="windowText" lastClr="000000"/>
              </a:solidFill>
              <a:latin typeface="Times New Roman" panose="02020603050405020304" pitchFamily="18" charset="0"/>
              <a:cs typeface="Times New Roman" panose="02020603050405020304" pitchFamily="18" charset="0"/>
            </a:rPr>
            <a:t>Сформирован средний уровень имплементационного потенциала: нормативная база закреплена, но практические механизмы реализации остаются фрагментарными и требуют институционального укрепления.</a:t>
          </a:r>
        </a:p>
      </dgm:t>
    </dgm:pt>
    <dgm:pt modelId="{9726A13D-C3CA-49F4-9FF4-651FBBFC095C}">
      <dgm:prSet custT="1"/>
      <dgm:spPr/>
      <dgm:t>
        <a:bodyPr/>
        <a:lstStyle/>
        <a:p>
          <a:pPr algn="ctr"/>
          <a:r>
            <a:rPr lang="ru-RU" sz="1000" b="0" i="1">
              <a:solidFill>
                <a:sysClr val="windowText" lastClr="000000"/>
              </a:solidFill>
              <a:latin typeface="Times New Roman" panose="02020603050405020304" pitchFamily="18" charset="0"/>
              <a:cs typeface="Times New Roman" panose="02020603050405020304" pitchFamily="18" charset="0"/>
            </a:rPr>
            <a:t>2024</a:t>
          </a:r>
        </a:p>
      </dgm:t>
    </dgm:pt>
    <dgm:pt modelId="{99846A07-4980-4281-A1CA-2040C8DC2C59}" type="sibTrans" cxnId="{9FD19D88-D837-4D6E-A43E-3F343168B951}">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79DF7206-E548-4CE4-AD72-6F41B653F0F4}" type="parTrans" cxnId="{9FD19D88-D837-4D6E-A43E-3F343168B951}">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435AB5CB-0197-48F2-95A4-F099140E6669}" type="sibTrans" cxnId="{4518A591-18D7-4FA1-82D4-8E77A9E60E64}">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505BC474-2320-4C2A-A19E-B9A551BC406F}" type="parTrans" cxnId="{4518A591-18D7-4FA1-82D4-8E77A9E60E64}">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F9ACF029-D228-4AFD-B534-11FE65E5997E}">
      <dgm:prSet custT="1"/>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9CAF2F27-1190-4F44-833D-FB145BFADD2A}">
      <dgm:prSet custT="1"/>
      <dgm:spPr/>
      <dgm:t>
        <a:bodyPr/>
        <a:lstStyle/>
        <a:p>
          <a:pPr algn="just"/>
          <a:r>
            <a:rPr lang="ru-RU" sz="1000">
              <a:solidFill>
                <a:sysClr val="windowText" lastClr="000000"/>
              </a:solidFill>
              <a:latin typeface="Times New Roman" panose="02020603050405020304" pitchFamily="18" charset="0"/>
              <a:cs typeface="Times New Roman" panose="02020603050405020304" pitchFamily="18" charset="0"/>
            </a:rPr>
            <a:t>Поворотный момент внутренних реформ: принятие новой Конституции, учреждение Конституционного суда, принятие закона «Об Уполномоченном по правам человека», утверждение Национального плана действий в области прав человека. Начинается переход от декларативного к нормативному уровню адаптации (подъём с уровня 2 к уровню 3).</a:t>
          </a:r>
        </a:p>
      </dgm:t>
    </dgm:pt>
    <dgm:pt modelId="{8199B5B2-69A3-4434-9848-CA243B47A5C3}">
      <dgm:prSet phldrT="[Текст]" custT="1"/>
      <dgm:spPr/>
      <dgm:t>
        <a:bodyPr/>
        <a:lstStyle/>
        <a:p>
          <a:pPr algn="ctr"/>
          <a:r>
            <a:rPr lang="ru-RU" sz="1000" b="0" i="1">
              <a:solidFill>
                <a:sysClr val="windowText" lastClr="000000"/>
              </a:solidFill>
              <a:latin typeface="Times New Roman" panose="02020603050405020304" pitchFamily="18" charset="0"/>
              <a:cs typeface="Times New Roman" panose="02020603050405020304" pitchFamily="18" charset="0"/>
            </a:rPr>
            <a:t>2022</a:t>
          </a:r>
        </a:p>
      </dgm:t>
    </dgm:pt>
    <dgm:pt modelId="{C98B3D06-8F52-4813-9966-26E81A185306}" type="sibTrans" cxnId="{83C8EF1F-F654-4585-8E3A-B847DF8B1B34}">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9F92C10E-9131-4CE7-A562-73C011D22A54}" type="parTrans" cxnId="{83C8EF1F-F654-4585-8E3A-B847DF8B1B34}">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FE001AC2-2F1D-44A3-B127-B11AA961AF89}" type="sibTrans" cxnId="{12F7A8FF-62CC-4510-907B-9C11DBC5C55D}">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00F1E367-14F4-4E34-9251-200127DDEC58}" type="parTrans" cxnId="{12F7A8FF-62CC-4510-907B-9C11DBC5C55D}">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94C7BD35-62F9-492C-A958-57A8B499AA88}" type="sibTrans" cxnId="{4C7446CF-4B4F-48D6-AC0C-16039CEBF386}">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3F38F2C2-7CA5-4C01-A1B0-889F55A67C83}" type="parTrans" cxnId="{4C7446CF-4B4F-48D6-AC0C-16039CEBF386}">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BFBF4576-9599-4F57-A2C2-EBB493D6490A}">
      <dgm:prSet phldrT="[Текст]" custT="1"/>
      <dgm:spPr/>
      <dgm:t>
        <a:bodyPr/>
        <a:lstStyle/>
        <a:p>
          <a:pPr algn="just"/>
          <a:r>
            <a:rPr lang="ru-RU" sz="1000">
              <a:solidFill>
                <a:sysClr val="windowText" lastClr="000000"/>
              </a:solidFill>
              <a:latin typeface="Times New Roman" panose="02020603050405020304" pitchFamily="18" charset="0"/>
              <a:cs typeface="Times New Roman" panose="02020603050405020304" pitchFamily="18" charset="0"/>
            </a:rPr>
            <a:t>Старт действия </a:t>
          </a:r>
          <a:r>
            <a:rPr lang="en-US" sz="1000">
              <a:solidFill>
                <a:sysClr val="windowText" lastClr="000000"/>
              </a:solidFill>
              <a:latin typeface="Times New Roman" panose="02020603050405020304" pitchFamily="18" charset="0"/>
              <a:cs typeface="Times New Roman" panose="02020603050405020304" pitchFamily="18" charset="0"/>
            </a:rPr>
            <a:t>EU Action Plan on Human Rights and Democracy 2020–2027. </a:t>
          </a:r>
          <a:r>
            <a:rPr lang="ru-RU" sz="1000">
              <a:solidFill>
                <a:sysClr val="windowText" lastClr="000000"/>
              </a:solidFill>
              <a:latin typeface="Times New Roman" panose="02020603050405020304" pitchFamily="18" charset="0"/>
              <a:cs typeface="Times New Roman" panose="02020603050405020304" pitchFamily="18" charset="0"/>
            </a:rPr>
            <a:t>Для Казахстана этот этап характеризуется декларативным участием: формальные обязательства выполняются при сохранении элементов авторитарной стабильности и минимального уровня институционального диалога с Европейским союзом.</a:t>
          </a:r>
        </a:p>
      </dgm:t>
    </dgm:pt>
    <dgm:pt modelId="{A5E92F97-9241-4339-9FF0-3DCC655AC551}" type="sibTrans" cxnId="{07A55F6E-3748-4FAA-98E6-3B26A2199FC3}">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882F60A2-B739-4A7E-9D08-DF0658686887}" type="parTrans" cxnId="{07A55F6E-3748-4FAA-98E6-3B26A2199FC3}">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96A6CDE9-25CD-4496-B1CB-5E9E516A7D01}">
      <dgm:prSet custT="1"/>
      <dgm:spPr/>
      <dgm:t>
        <a:bodyPr/>
        <a:lstStyle/>
        <a:p>
          <a:pPr algn="just"/>
          <a:r>
            <a:rPr lang="ru-RU" sz="1000">
              <a:solidFill>
                <a:sysClr val="windowText" lastClr="000000"/>
              </a:solidFill>
              <a:latin typeface="Times New Roman" panose="02020603050405020304" pitchFamily="18" charset="0"/>
              <a:cs typeface="Times New Roman" panose="02020603050405020304" pitchFamily="18" charset="0"/>
            </a:rPr>
            <a:t>Текущий этап служит аналитическим срезом, когда Казахстан приблизился к системному внедрению европейских стандартов, но ещё не достиг уровня устойчивой правовой интеграции (переход с уровня 3 к уровню 4). Акцент смещается на практическую реализацию стратегических документов и развитие механизмов правового мониторинга.</a:t>
          </a:r>
        </a:p>
      </dgm:t>
    </dgm:pt>
    <dgm:pt modelId="{2A4CB867-8C3A-43C7-9613-2DC354FAF878}" type="parTrans" cxnId="{C4F5EE17-1353-457B-B87E-B72EE278F217}">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8B9F19B1-DE26-4308-8862-FB7F384AB7F2}" type="sibTrans" cxnId="{C4F5EE17-1353-457B-B87E-B72EE278F217}">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C3194782-5475-4A13-B70F-F006C869E68B}">
      <dgm:prSet custT="1"/>
      <dgm:spPr/>
      <dgm:t>
        <a:bodyPr/>
        <a:lstStyle/>
        <a:p>
          <a:pPr algn="ctr"/>
          <a:r>
            <a:rPr lang="ru-RU" sz="1000" b="0" i="1">
              <a:solidFill>
                <a:sysClr val="windowText" lastClr="000000"/>
              </a:solidFill>
              <a:latin typeface="Times New Roman" panose="02020603050405020304" pitchFamily="18" charset="0"/>
              <a:cs typeface="Times New Roman" panose="02020603050405020304" pitchFamily="18" charset="0"/>
            </a:rPr>
            <a:t>2027</a:t>
          </a:r>
        </a:p>
      </dgm:t>
    </dgm:pt>
    <dgm:pt modelId="{6BB933B3-E527-4643-BF8A-F4625518F0DE}" type="parTrans" cxnId="{F113F534-DDCE-40C8-B4BB-DC8C59CA204C}">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2722F550-D0F6-43C6-9F74-16855A0E08A6}" type="sibTrans" cxnId="{F113F534-DDCE-40C8-B4BB-DC8C59CA204C}">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702C5628-BBCB-4D63-BB22-B6F429F0728D}">
      <dgm:prSet phldrT="[Текст]" custT="1"/>
      <dgm:spPr/>
      <dgm:t>
        <a:bodyPr/>
        <a:lstStyle/>
        <a:p>
          <a:pPr algn="ctr"/>
          <a:r>
            <a:rPr lang="ru-RU" sz="1000" b="0" i="1">
              <a:solidFill>
                <a:sysClr val="windowText" lastClr="000000"/>
              </a:solidFill>
              <a:latin typeface="Times New Roman" panose="02020603050405020304" pitchFamily="18" charset="0"/>
              <a:cs typeface="Times New Roman" panose="02020603050405020304" pitchFamily="18" charset="0"/>
            </a:rPr>
            <a:t>2025</a:t>
          </a:r>
        </a:p>
      </dgm:t>
    </dgm:pt>
    <dgm:pt modelId="{239D11EA-CBDB-43C6-92E0-B1AFF948EB57}" type="sibTrans" cxnId="{FC53B060-6C6D-4FA8-8495-7D73C9CB25B6}">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884AEBEF-ED25-46AF-9564-8B043D51CC62}" type="parTrans" cxnId="{FC53B060-6C6D-4FA8-8495-7D73C9CB25B6}">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06057B04-BF73-45F9-8618-CDAEF4F14E6E}">
      <dgm:prSet custT="1"/>
      <dgm:spPr/>
      <dgm:t>
        <a:bodyPr/>
        <a:lstStyle/>
        <a:p>
          <a:pPr algn="just"/>
          <a:r>
            <a:rPr lang="ru-RU" sz="1000">
              <a:solidFill>
                <a:sysClr val="windowText" lastClr="000000"/>
              </a:solidFill>
              <a:latin typeface="Times New Roman" panose="02020603050405020304" pitchFamily="18" charset="0"/>
              <a:cs typeface="Times New Roman" panose="02020603050405020304" pitchFamily="18" charset="0"/>
            </a:rPr>
            <a:t>Завершение действия </a:t>
          </a:r>
          <a:r>
            <a:rPr lang="en-US" sz="1000">
              <a:solidFill>
                <a:sysClr val="windowText" lastClr="000000"/>
              </a:solidFill>
              <a:latin typeface="Times New Roman" panose="02020603050405020304" pitchFamily="18" charset="0"/>
              <a:cs typeface="Times New Roman" panose="02020603050405020304" pitchFamily="18" charset="0"/>
            </a:rPr>
            <a:t>EU Action Plan on Human Rights and Democracy (2020–2027) </a:t>
          </a:r>
          <a:r>
            <a:rPr lang="ru-RU" sz="1000">
              <a:solidFill>
                <a:sysClr val="windowText" lastClr="000000"/>
              </a:solidFill>
              <a:latin typeface="Times New Roman" panose="02020603050405020304" pitchFamily="18" charset="0"/>
              <a:cs typeface="Times New Roman" panose="02020603050405020304" pitchFamily="18" charset="0"/>
            </a:rPr>
            <a:t>прогнозируется как фаза перехода к повышенному или высокому уровню имплементационного потенциала (уровни 4–5), что предполагает институциональное закрепление европейских стандартов в национальной правовой практике при сохранении политической воли и экспертной поддержки со стороны Европейского союза.</a:t>
          </a:r>
        </a:p>
      </dgm:t>
    </dgm:pt>
    <dgm:pt modelId="{B84B4A20-CD7C-4E26-83F3-6D329B1AAC03}" type="parTrans" cxnId="{34916335-67BE-42CF-BD7F-16CDD561CC0A}">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AF873E0D-2554-429E-945B-EA205A69DC9E}" type="sibTrans" cxnId="{34916335-67BE-42CF-BD7F-16CDD561CC0A}">
      <dgm:prSet/>
      <dgm:spPr/>
      <dgm:t>
        <a:bodyPr/>
        <a:lstStyle/>
        <a:p>
          <a:pPr algn="just"/>
          <a:endParaRPr lang="ru-RU" sz="1000">
            <a:solidFill>
              <a:sysClr val="windowText" lastClr="000000"/>
            </a:solidFill>
            <a:latin typeface="Times New Roman" panose="02020603050405020304" pitchFamily="18" charset="0"/>
            <a:cs typeface="Times New Roman" panose="02020603050405020304" pitchFamily="18" charset="0"/>
          </a:endParaRPr>
        </a:p>
      </dgm:t>
    </dgm:pt>
    <dgm:pt modelId="{BEAC0D84-6803-4AD2-A5B5-3B62CA3B8469}" type="pres">
      <dgm:prSet presAssocID="{C0BC0CBD-6E1C-4CDC-A7F4-A76A175D2675}" presName="Name0" presStyleCnt="0">
        <dgm:presLayoutVars>
          <dgm:dir/>
          <dgm:animLvl val="lvl"/>
          <dgm:resizeHandles/>
        </dgm:presLayoutVars>
      </dgm:prSet>
      <dgm:spPr/>
      <dgm:t>
        <a:bodyPr/>
        <a:lstStyle/>
        <a:p>
          <a:endParaRPr lang="ru-RU"/>
        </a:p>
      </dgm:t>
    </dgm:pt>
    <dgm:pt modelId="{D3E04FDD-53B1-433B-8B36-EFFC831CCFF1}" type="pres">
      <dgm:prSet presAssocID="{CA58EAE1-8272-4D8E-8983-C340A28B7F80}" presName="linNode" presStyleCnt="0"/>
      <dgm:spPr/>
    </dgm:pt>
    <dgm:pt modelId="{5C29AF24-2EAA-4F97-B748-5A1FAA1542F2}" type="pres">
      <dgm:prSet presAssocID="{CA58EAE1-8272-4D8E-8983-C340A28B7F80}" presName="parentShp" presStyleLbl="node1" presStyleIdx="0" presStyleCnt="5" custScaleX="45833" custLinFactNeighborX="-9491" custLinFactNeighborY="-185">
        <dgm:presLayoutVars>
          <dgm:bulletEnabled val="1"/>
        </dgm:presLayoutVars>
      </dgm:prSet>
      <dgm:spPr/>
      <dgm:t>
        <a:bodyPr/>
        <a:lstStyle/>
        <a:p>
          <a:endParaRPr lang="ru-RU"/>
        </a:p>
      </dgm:t>
    </dgm:pt>
    <dgm:pt modelId="{74ABA42A-BF45-4FF1-B7AD-68FE65BAE9A1}" type="pres">
      <dgm:prSet presAssocID="{CA58EAE1-8272-4D8E-8983-C340A28B7F80}" presName="childShp" presStyleLbl="bgAccFollowNode1" presStyleIdx="0" presStyleCnt="5" custScaleX="131945" custScaleY="185082" custLinFactNeighborX="-1578" custLinFactNeighborY="-294">
        <dgm:presLayoutVars>
          <dgm:bulletEnabled val="1"/>
        </dgm:presLayoutVars>
      </dgm:prSet>
      <dgm:spPr/>
      <dgm:t>
        <a:bodyPr/>
        <a:lstStyle/>
        <a:p>
          <a:endParaRPr lang="ru-RU"/>
        </a:p>
      </dgm:t>
    </dgm:pt>
    <dgm:pt modelId="{3533DE6F-C680-4D2A-9E54-36A7A1B111CC}" type="pres">
      <dgm:prSet presAssocID="{BA4E177D-5E74-43C4-A755-9DAA616B6AFB}" presName="spacing" presStyleCnt="0"/>
      <dgm:spPr/>
    </dgm:pt>
    <dgm:pt modelId="{2A3F2310-11D7-4916-B918-C49DEE403989}" type="pres">
      <dgm:prSet presAssocID="{8199B5B2-69A3-4434-9848-CA243B47A5C3}" presName="linNode" presStyleCnt="0"/>
      <dgm:spPr/>
    </dgm:pt>
    <dgm:pt modelId="{D633746F-9B4C-4C40-983F-B498CF51F4A3}" type="pres">
      <dgm:prSet presAssocID="{8199B5B2-69A3-4434-9848-CA243B47A5C3}" presName="parentShp" presStyleLbl="node1" presStyleIdx="1" presStyleCnt="5" custScaleX="43750" custLinFactNeighborX="-9259" custLinFactNeighborY="-3322">
        <dgm:presLayoutVars>
          <dgm:bulletEnabled val="1"/>
        </dgm:presLayoutVars>
      </dgm:prSet>
      <dgm:spPr/>
      <dgm:t>
        <a:bodyPr/>
        <a:lstStyle/>
        <a:p>
          <a:endParaRPr lang="ru-RU"/>
        </a:p>
      </dgm:t>
    </dgm:pt>
    <dgm:pt modelId="{28DAF939-A7A1-4386-805B-0B2380EEDD8A}" type="pres">
      <dgm:prSet presAssocID="{8199B5B2-69A3-4434-9848-CA243B47A5C3}" presName="childShp" presStyleLbl="bgAccFollowNode1" presStyleIdx="1" presStyleCnt="5" custScaleX="135684" custScaleY="193433" custLinFactNeighborX="3080" custLinFactNeighborY="-6343">
        <dgm:presLayoutVars>
          <dgm:bulletEnabled val="1"/>
        </dgm:presLayoutVars>
      </dgm:prSet>
      <dgm:spPr/>
      <dgm:t>
        <a:bodyPr/>
        <a:lstStyle/>
        <a:p>
          <a:endParaRPr lang="ru-RU"/>
        </a:p>
      </dgm:t>
    </dgm:pt>
    <dgm:pt modelId="{7A7E5BE0-AAD7-4C62-951A-BE3B9AF1EBA5}" type="pres">
      <dgm:prSet presAssocID="{C98B3D06-8F52-4813-9966-26E81A185306}" presName="spacing" presStyleCnt="0"/>
      <dgm:spPr/>
    </dgm:pt>
    <dgm:pt modelId="{43C00A77-AB18-4C14-998A-EAC0463899B5}" type="pres">
      <dgm:prSet presAssocID="{9726A13D-C3CA-49F4-9FF4-651FBBFC095C}" presName="linNode" presStyleCnt="0"/>
      <dgm:spPr/>
    </dgm:pt>
    <dgm:pt modelId="{BB34DC7A-4234-42E9-A794-A858BAA6C76E}" type="pres">
      <dgm:prSet presAssocID="{9726A13D-C3CA-49F4-9FF4-651FBBFC095C}" presName="parentShp" presStyleLbl="node1" presStyleIdx="2" presStyleCnt="5" custScaleX="43750" custLinFactNeighborX="-2327" custLinFactNeighborY="-26847">
        <dgm:presLayoutVars>
          <dgm:bulletEnabled val="1"/>
        </dgm:presLayoutVars>
      </dgm:prSet>
      <dgm:spPr/>
      <dgm:t>
        <a:bodyPr/>
        <a:lstStyle/>
        <a:p>
          <a:endParaRPr lang="ru-RU"/>
        </a:p>
      </dgm:t>
    </dgm:pt>
    <dgm:pt modelId="{9B78B207-2B4D-415E-A180-E684F23A04C8}" type="pres">
      <dgm:prSet presAssocID="{9726A13D-C3CA-49F4-9FF4-651FBBFC095C}" presName="childShp" presStyleLbl="bgAccFollowNode1" presStyleIdx="2" presStyleCnt="5" custScaleX="134684" custScaleY="198713" custLinFactNeighborX="482" custLinFactNeighborY="-16204">
        <dgm:presLayoutVars>
          <dgm:bulletEnabled val="1"/>
        </dgm:presLayoutVars>
      </dgm:prSet>
      <dgm:spPr/>
      <dgm:t>
        <a:bodyPr/>
        <a:lstStyle/>
        <a:p>
          <a:endParaRPr lang="ru-RU"/>
        </a:p>
      </dgm:t>
    </dgm:pt>
    <dgm:pt modelId="{BBFD5B3B-6F6E-4D22-AD38-48776A155150}" type="pres">
      <dgm:prSet presAssocID="{99846A07-4980-4281-A1CA-2040C8DC2C59}" presName="spacing" presStyleCnt="0"/>
      <dgm:spPr/>
    </dgm:pt>
    <dgm:pt modelId="{251946D5-51F3-4B82-9203-5C5C6D51A4C0}" type="pres">
      <dgm:prSet presAssocID="{702C5628-BBCB-4D63-BB22-B6F429F0728D}" presName="linNode" presStyleCnt="0"/>
      <dgm:spPr/>
    </dgm:pt>
    <dgm:pt modelId="{06FA45F8-A773-4793-AC7E-E7A256D4ED98}" type="pres">
      <dgm:prSet presAssocID="{702C5628-BBCB-4D63-BB22-B6F429F0728D}" presName="parentShp" presStyleLbl="node1" presStyleIdx="3" presStyleCnt="5" custScaleX="42361" custLinFactNeighborX="-428" custLinFactNeighborY="-28593">
        <dgm:presLayoutVars>
          <dgm:bulletEnabled val="1"/>
        </dgm:presLayoutVars>
      </dgm:prSet>
      <dgm:spPr/>
      <dgm:t>
        <a:bodyPr/>
        <a:lstStyle/>
        <a:p>
          <a:endParaRPr lang="ru-RU"/>
        </a:p>
      </dgm:t>
    </dgm:pt>
    <dgm:pt modelId="{EF0DD81E-92D5-4CD9-8658-7A4133A47A6D}" type="pres">
      <dgm:prSet presAssocID="{702C5628-BBCB-4D63-BB22-B6F429F0728D}" presName="childShp" presStyleLbl="bgAccFollowNode1" presStyleIdx="3" presStyleCnt="5" custScaleX="137732" custScaleY="206998" custLinFactNeighborX="2553" custLinFactNeighborY="-22686">
        <dgm:presLayoutVars>
          <dgm:bulletEnabled val="1"/>
        </dgm:presLayoutVars>
      </dgm:prSet>
      <dgm:spPr/>
      <dgm:t>
        <a:bodyPr/>
        <a:lstStyle/>
        <a:p>
          <a:endParaRPr lang="ru-RU"/>
        </a:p>
      </dgm:t>
    </dgm:pt>
    <dgm:pt modelId="{F9BC6276-599B-4226-B19F-F7BA87699493}" type="pres">
      <dgm:prSet presAssocID="{239D11EA-CBDB-43C6-92E0-B1AFF948EB57}" presName="spacing" presStyleCnt="0"/>
      <dgm:spPr/>
    </dgm:pt>
    <dgm:pt modelId="{52A06F42-C548-4058-922A-00AF0D8E72DC}" type="pres">
      <dgm:prSet presAssocID="{C3194782-5475-4A13-B70F-F006C869E68B}" presName="linNode" presStyleCnt="0"/>
      <dgm:spPr/>
    </dgm:pt>
    <dgm:pt modelId="{162ED88B-1AF7-4EC5-99D7-570E12D1109D}" type="pres">
      <dgm:prSet presAssocID="{C3194782-5475-4A13-B70F-F006C869E68B}" presName="parentShp" presStyleLbl="node1" presStyleIdx="4" presStyleCnt="5" custScaleX="41667" custLinFactNeighborX="-71" custLinFactNeighborY="-35581">
        <dgm:presLayoutVars>
          <dgm:bulletEnabled val="1"/>
        </dgm:presLayoutVars>
      </dgm:prSet>
      <dgm:spPr/>
      <dgm:t>
        <a:bodyPr/>
        <a:lstStyle/>
        <a:p>
          <a:endParaRPr lang="ru-RU"/>
        </a:p>
      </dgm:t>
    </dgm:pt>
    <dgm:pt modelId="{6E9C4F95-6A82-4FFF-A44E-F03C3D5ED8AD}" type="pres">
      <dgm:prSet presAssocID="{C3194782-5475-4A13-B70F-F006C869E68B}" presName="childShp" presStyleLbl="bgAccFollowNode1" presStyleIdx="4" presStyleCnt="5" custScaleX="142067" custScaleY="215860" custLinFactNeighborX="1404" custLinFactNeighborY="-33467">
        <dgm:presLayoutVars>
          <dgm:bulletEnabled val="1"/>
        </dgm:presLayoutVars>
      </dgm:prSet>
      <dgm:spPr/>
      <dgm:t>
        <a:bodyPr/>
        <a:lstStyle/>
        <a:p>
          <a:endParaRPr lang="ru-RU"/>
        </a:p>
      </dgm:t>
    </dgm:pt>
  </dgm:ptLst>
  <dgm:cxnLst>
    <dgm:cxn modelId="{C73E3021-D480-4291-939C-10E2CB6B6B01}" type="presOf" srcId="{8199B5B2-69A3-4434-9848-CA243B47A5C3}" destId="{D633746F-9B4C-4C40-983F-B498CF51F4A3}" srcOrd="0" destOrd="0" presId="urn:microsoft.com/office/officeart/2005/8/layout/vList6"/>
    <dgm:cxn modelId="{4EB5CE46-95C3-4CF5-B553-F83C17FD6008}" srcId="{C0BC0CBD-6E1C-4CDC-A7F4-A76A175D2675}" destId="{CA58EAE1-8272-4D8E-8983-C340A28B7F80}" srcOrd="0" destOrd="0" parTransId="{C84090E6-274E-4A34-8369-2E1FA07D32B2}" sibTransId="{BA4E177D-5E74-43C4-A755-9DAA616B6AFB}"/>
    <dgm:cxn modelId="{B909CC55-FBB0-402A-BC50-EDE7956E62AF}" type="presOf" srcId="{702C5628-BBCB-4D63-BB22-B6F429F0728D}" destId="{06FA45F8-A773-4793-AC7E-E7A256D4ED98}" srcOrd="0" destOrd="0" presId="urn:microsoft.com/office/officeart/2005/8/layout/vList6"/>
    <dgm:cxn modelId="{4B90A97C-3934-46E1-9A80-5A99FD8D52EC}" type="presOf" srcId="{96A6CDE9-25CD-4496-B1CB-5E9E516A7D01}" destId="{EF0DD81E-92D5-4CD9-8658-7A4133A47A6D}" srcOrd="0" destOrd="0" presId="urn:microsoft.com/office/officeart/2005/8/layout/vList6"/>
    <dgm:cxn modelId="{2F616BBC-00B6-4E8E-85D8-A11C2119F788}" type="presOf" srcId="{C0BC0CBD-6E1C-4CDC-A7F4-A76A175D2675}" destId="{BEAC0D84-6803-4AD2-A5B5-3B62CA3B8469}" srcOrd="0" destOrd="0" presId="urn:microsoft.com/office/officeart/2005/8/layout/vList6"/>
    <dgm:cxn modelId="{12F7A8FF-62CC-4510-907B-9C11DBC5C55D}" srcId="{8199B5B2-69A3-4434-9848-CA243B47A5C3}" destId="{F9ACF029-D228-4AFD-B534-11FE65E5997E}" srcOrd="1" destOrd="0" parTransId="{00F1E367-14F4-4E34-9251-200127DDEC58}" sibTransId="{FE001AC2-2F1D-44A3-B127-B11AA961AF89}"/>
    <dgm:cxn modelId="{C4DDE892-7197-48C5-9496-306794070803}" type="presOf" srcId="{F9ACF029-D228-4AFD-B534-11FE65E5997E}" destId="{28DAF939-A7A1-4386-805B-0B2380EEDD8A}" srcOrd="0" destOrd="1" presId="urn:microsoft.com/office/officeart/2005/8/layout/vList6"/>
    <dgm:cxn modelId="{EE15C227-8FE7-4053-B804-9AB60D01A84D}" type="presOf" srcId="{CA58EAE1-8272-4D8E-8983-C340A28B7F80}" destId="{5C29AF24-2EAA-4F97-B748-5A1FAA1542F2}" srcOrd="0" destOrd="0" presId="urn:microsoft.com/office/officeart/2005/8/layout/vList6"/>
    <dgm:cxn modelId="{38C5C606-84CA-4B62-8FFD-E48B55C522E1}" type="presOf" srcId="{BFBF4576-9599-4F57-A2C2-EBB493D6490A}" destId="{74ABA42A-BF45-4FF1-B7AD-68FE65BAE9A1}" srcOrd="0" destOrd="0" presId="urn:microsoft.com/office/officeart/2005/8/layout/vList6"/>
    <dgm:cxn modelId="{9FD19D88-D837-4D6E-A43E-3F343168B951}" srcId="{C0BC0CBD-6E1C-4CDC-A7F4-A76A175D2675}" destId="{9726A13D-C3CA-49F4-9FF4-651FBBFC095C}" srcOrd="2" destOrd="0" parTransId="{79DF7206-E548-4CE4-AD72-6F41B653F0F4}" sibTransId="{99846A07-4980-4281-A1CA-2040C8DC2C59}"/>
    <dgm:cxn modelId="{4518A591-18D7-4FA1-82D4-8E77A9E60E64}" srcId="{9726A13D-C3CA-49F4-9FF4-651FBBFC095C}" destId="{265730F4-0ACE-4C20-879E-77905E04F0DE}" srcOrd="0" destOrd="0" parTransId="{505BC474-2320-4C2A-A19E-B9A551BC406F}" sibTransId="{435AB5CB-0197-48F2-95A4-F099140E6669}"/>
    <dgm:cxn modelId="{117BB675-5044-4639-9B35-0382629DC417}" type="presOf" srcId="{06057B04-BF73-45F9-8618-CDAEF4F14E6E}" destId="{6E9C4F95-6A82-4FFF-A44E-F03C3D5ED8AD}" srcOrd="0" destOrd="0" presId="urn:microsoft.com/office/officeart/2005/8/layout/vList6"/>
    <dgm:cxn modelId="{F113F534-DDCE-40C8-B4BB-DC8C59CA204C}" srcId="{C0BC0CBD-6E1C-4CDC-A7F4-A76A175D2675}" destId="{C3194782-5475-4A13-B70F-F006C869E68B}" srcOrd="4" destOrd="0" parTransId="{6BB933B3-E527-4643-BF8A-F4625518F0DE}" sibTransId="{2722F550-D0F6-43C6-9F74-16855A0E08A6}"/>
    <dgm:cxn modelId="{C4F5EE17-1353-457B-B87E-B72EE278F217}" srcId="{702C5628-BBCB-4D63-BB22-B6F429F0728D}" destId="{96A6CDE9-25CD-4496-B1CB-5E9E516A7D01}" srcOrd="0" destOrd="0" parTransId="{2A4CB867-8C3A-43C7-9613-2DC354FAF878}" sibTransId="{8B9F19B1-DE26-4308-8862-FB7F384AB7F2}"/>
    <dgm:cxn modelId="{34916335-67BE-42CF-BD7F-16CDD561CC0A}" srcId="{C3194782-5475-4A13-B70F-F006C869E68B}" destId="{06057B04-BF73-45F9-8618-CDAEF4F14E6E}" srcOrd="0" destOrd="0" parTransId="{B84B4A20-CD7C-4E26-83F3-6D329B1AAC03}" sibTransId="{AF873E0D-2554-429E-945B-EA205A69DC9E}"/>
    <dgm:cxn modelId="{FC53B060-6C6D-4FA8-8495-7D73C9CB25B6}" srcId="{C0BC0CBD-6E1C-4CDC-A7F4-A76A175D2675}" destId="{702C5628-BBCB-4D63-BB22-B6F429F0728D}" srcOrd="3" destOrd="0" parTransId="{884AEBEF-ED25-46AF-9564-8B043D51CC62}" sibTransId="{239D11EA-CBDB-43C6-92E0-B1AFF948EB57}"/>
    <dgm:cxn modelId="{00C1B549-F557-4D1B-ADCD-C7F6EA0CDA18}" type="presOf" srcId="{9CAF2F27-1190-4F44-833D-FB145BFADD2A}" destId="{28DAF939-A7A1-4386-805B-0B2380EEDD8A}" srcOrd="0" destOrd="0" presId="urn:microsoft.com/office/officeart/2005/8/layout/vList6"/>
    <dgm:cxn modelId="{B9389608-0BBA-45F4-A5C2-932D254AB6CB}" type="presOf" srcId="{265730F4-0ACE-4C20-879E-77905E04F0DE}" destId="{9B78B207-2B4D-415E-A180-E684F23A04C8}" srcOrd="0" destOrd="0" presId="urn:microsoft.com/office/officeart/2005/8/layout/vList6"/>
    <dgm:cxn modelId="{A91061AC-FD17-4DCF-90AD-298F4E8FB3F4}" type="presOf" srcId="{9726A13D-C3CA-49F4-9FF4-651FBBFC095C}" destId="{BB34DC7A-4234-42E9-A794-A858BAA6C76E}" srcOrd="0" destOrd="0" presId="urn:microsoft.com/office/officeart/2005/8/layout/vList6"/>
    <dgm:cxn modelId="{83C8EF1F-F654-4585-8E3A-B847DF8B1B34}" srcId="{C0BC0CBD-6E1C-4CDC-A7F4-A76A175D2675}" destId="{8199B5B2-69A3-4434-9848-CA243B47A5C3}" srcOrd="1" destOrd="0" parTransId="{9F92C10E-9131-4CE7-A562-73C011D22A54}" sibTransId="{C98B3D06-8F52-4813-9966-26E81A185306}"/>
    <dgm:cxn modelId="{07A55F6E-3748-4FAA-98E6-3B26A2199FC3}" srcId="{CA58EAE1-8272-4D8E-8983-C340A28B7F80}" destId="{BFBF4576-9599-4F57-A2C2-EBB493D6490A}" srcOrd="0" destOrd="0" parTransId="{882F60A2-B739-4A7E-9D08-DF0658686887}" sibTransId="{A5E92F97-9241-4339-9FF0-3DCC655AC551}"/>
    <dgm:cxn modelId="{4A381F7E-C07D-4CC9-ABDB-E314AECCBE58}" type="presOf" srcId="{C3194782-5475-4A13-B70F-F006C869E68B}" destId="{162ED88B-1AF7-4EC5-99D7-570E12D1109D}" srcOrd="0" destOrd="0" presId="urn:microsoft.com/office/officeart/2005/8/layout/vList6"/>
    <dgm:cxn modelId="{4C7446CF-4B4F-48D6-AC0C-16039CEBF386}" srcId="{8199B5B2-69A3-4434-9848-CA243B47A5C3}" destId="{9CAF2F27-1190-4F44-833D-FB145BFADD2A}" srcOrd="0" destOrd="0" parTransId="{3F38F2C2-7CA5-4C01-A1B0-889F55A67C83}" sibTransId="{94C7BD35-62F9-492C-A958-57A8B499AA88}"/>
    <dgm:cxn modelId="{B16CEB77-4096-4333-9C11-0CCC00A97F91}" type="presParOf" srcId="{BEAC0D84-6803-4AD2-A5B5-3B62CA3B8469}" destId="{D3E04FDD-53B1-433B-8B36-EFFC831CCFF1}" srcOrd="0" destOrd="0" presId="urn:microsoft.com/office/officeart/2005/8/layout/vList6"/>
    <dgm:cxn modelId="{69610BAB-7BF2-416D-9A41-719D9972786D}" type="presParOf" srcId="{D3E04FDD-53B1-433B-8B36-EFFC831CCFF1}" destId="{5C29AF24-2EAA-4F97-B748-5A1FAA1542F2}" srcOrd="0" destOrd="0" presId="urn:microsoft.com/office/officeart/2005/8/layout/vList6"/>
    <dgm:cxn modelId="{0239C025-D3A6-4983-86EB-27D6D3DB207E}" type="presParOf" srcId="{D3E04FDD-53B1-433B-8B36-EFFC831CCFF1}" destId="{74ABA42A-BF45-4FF1-B7AD-68FE65BAE9A1}" srcOrd="1" destOrd="0" presId="urn:microsoft.com/office/officeart/2005/8/layout/vList6"/>
    <dgm:cxn modelId="{D5630DB5-7275-48B6-BDF3-0C84F8B4D0F7}" type="presParOf" srcId="{BEAC0D84-6803-4AD2-A5B5-3B62CA3B8469}" destId="{3533DE6F-C680-4D2A-9E54-36A7A1B111CC}" srcOrd="1" destOrd="0" presId="urn:microsoft.com/office/officeart/2005/8/layout/vList6"/>
    <dgm:cxn modelId="{1DFE3E71-2FEF-4A6C-9987-3683587555C9}" type="presParOf" srcId="{BEAC0D84-6803-4AD2-A5B5-3B62CA3B8469}" destId="{2A3F2310-11D7-4916-B918-C49DEE403989}" srcOrd="2" destOrd="0" presId="urn:microsoft.com/office/officeart/2005/8/layout/vList6"/>
    <dgm:cxn modelId="{6FAA0C37-73FF-4F78-B736-17F6EE209A8A}" type="presParOf" srcId="{2A3F2310-11D7-4916-B918-C49DEE403989}" destId="{D633746F-9B4C-4C40-983F-B498CF51F4A3}" srcOrd="0" destOrd="0" presId="urn:microsoft.com/office/officeart/2005/8/layout/vList6"/>
    <dgm:cxn modelId="{D8470B7B-C933-4A4B-9EBD-C4E1ADBB0728}" type="presParOf" srcId="{2A3F2310-11D7-4916-B918-C49DEE403989}" destId="{28DAF939-A7A1-4386-805B-0B2380EEDD8A}" srcOrd="1" destOrd="0" presId="urn:microsoft.com/office/officeart/2005/8/layout/vList6"/>
    <dgm:cxn modelId="{34F9C67B-B1F4-4328-B26B-158C92AA77BA}" type="presParOf" srcId="{BEAC0D84-6803-4AD2-A5B5-3B62CA3B8469}" destId="{7A7E5BE0-AAD7-4C62-951A-BE3B9AF1EBA5}" srcOrd="3" destOrd="0" presId="urn:microsoft.com/office/officeart/2005/8/layout/vList6"/>
    <dgm:cxn modelId="{DE8E79FE-6CFD-483A-A008-ADADB743BC8E}" type="presParOf" srcId="{BEAC0D84-6803-4AD2-A5B5-3B62CA3B8469}" destId="{43C00A77-AB18-4C14-998A-EAC0463899B5}" srcOrd="4" destOrd="0" presId="urn:microsoft.com/office/officeart/2005/8/layout/vList6"/>
    <dgm:cxn modelId="{45B403AD-E7C8-4B82-8BF2-BE3E086F5250}" type="presParOf" srcId="{43C00A77-AB18-4C14-998A-EAC0463899B5}" destId="{BB34DC7A-4234-42E9-A794-A858BAA6C76E}" srcOrd="0" destOrd="0" presId="urn:microsoft.com/office/officeart/2005/8/layout/vList6"/>
    <dgm:cxn modelId="{749F1C65-BE8F-40AB-8704-74D39D9129A7}" type="presParOf" srcId="{43C00A77-AB18-4C14-998A-EAC0463899B5}" destId="{9B78B207-2B4D-415E-A180-E684F23A04C8}" srcOrd="1" destOrd="0" presId="urn:microsoft.com/office/officeart/2005/8/layout/vList6"/>
    <dgm:cxn modelId="{73E346CD-937B-4385-BB89-6ACB8BB48395}" type="presParOf" srcId="{BEAC0D84-6803-4AD2-A5B5-3B62CA3B8469}" destId="{BBFD5B3B-6F6E-4D22-AD38-48776A155150}" srcOrd="5" destOrd="0" presId="urn:microsoft.com/office/officeart/2005/8/layout/vList6"/>
    <dgm:cxn modelId="{87B3AF21-4C00-4BAB-8AD1-E0ECBD1680FF}" type="presParOf" srcId="{BEAC0D84-6803-4AD2-A5B5-3B62CA3B8469}" destId="{251946D5-51F3-4B82-9203-5C5C6D51A4C0}" srcOrd="6" destOrd="0" presId="urn:microsoft.com/office/officeart/2005/8/layout/vList6"/>
    <dgm:cxn modelId="{0E7A943E-B3EE-4B52-8196-D0B4F2C3D1A9}" type="presParOf" srcId="{251946D5-51F3-4B82-9203-5C5C6D51A4C0}" destId="{06FA45F8-A773-4793-AC7E-E7A256D4ED98}" srcOrd="0" destOrd="0" presId="urn:microsoft.com/office/officeart/2005/8/layout/vList6"/>
    <dgm:cxn modelId="{6D6F232A-20A4-48FF-B9A7-8BBAF19DC79A}" type="presParOf" srcId="{251946D5-51F3-4B82-9203-5C5C6D51A4C0}" destId="{EF0DD81E-92D5-4CD9-8658-7A4133A47A6D}" srcOrd="1" destOrd="0" presId="urn:microsoft.com/office/officeart/2005/8/layout/vList6"/>
    <dgm:cxn modelId="{BDF6170A-9369-478A-8ED8-603A06E3951C}" type="presParOf" srcId="{BEAC0D84-6803-4AD2-A5B5-3B62CA3B8469}" destId="{F9BC6276-599B-4226-B19F-F7BA87699493}" srcOrd="7" destOrd="0" presId="urn:microsoft.com/office/officeart/2005/8/layout/vList6"/>
    <dgm:cxn modelId="{2AE9CB81-EFE2-4EBA-99C0-952666941B83}" type="presParOf" srcId="{BEAC0D84-6803-4AD2-A5B5-3B62CA3B8469}" destId="{52A06F42-C548-4058-922A-00AF0D8E72DC}" srcOrd="8" destOrd="0" presId="urn:microsoft.com/office/officeart/2005/8/layout/vList6"/>
    <dgm:cxn modelId="{C2456907-5856-4046-9323-81ED67227820}" type="presParOf" srcId="{52A06F42-C548-4058-922A-00AF0D8E72DC}" destId="{162ED88B-1AF7-4EC5-99D7-570E12D1109D}" srcOrd="0" destOrd="0" presId="urn:microsoft.com/office/officeart/2005/8/layout/vList6"/>
    <dgm:cxn modelId="{85677048-430F-46B8-A7DE-B7B03E888A66}" type="presParOf" srcId="{52A06F42-C548-4058-922A-00AF0D8E72DC}" destId="{6E9C4F95-6A82-4FFF-A44E-F03C3D5ED8AD}" srcOrd="1" destOrd="0" presId="urn:microsoft.com/office/officeart/2005/8/layout/vList6"/>
  </dgm:cxnLst>
  <dgm:bg/>
  <dgm:whole/>
  <dgm:extLst>
    <a:ext uri="http://schemas.microsoft.com/office/drawing/2008/diagram">
      <dsp:dataModelExt xmlns:dsp="http://schemas.microsoft.com/office/drawing/2008/diagram" relId="rId134"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3D681F76-B7C6-4F43-A8DA-4F85C856B48C}" type="doc">
      <dgm:prSet loTypeId="urn:microsoft.com/office/officeart/2005/8/layout/hierarchy1" loCatId="hierarchy" qsTypeId="urn:microsoft.com/office/officeart/2005/8/quickstyle/simple1" qsCatId="simple" csTypeId="urn:microsoft.com/office/officeart/2005/8/colors/accent3_2" csCatId="accent3" phldr="1"/>
      <dgm:spPr/>
      <dgm:t>
        <a:bodyPr/>
        <a:lstStyle/>
        <a:p>
          <a:endParaRPr lang="ru-RU"/>
        </a:p>
      </dgm:t>
    </dgm:pt>
    <dgm:pt modelId="{E4633658-95F2-4EFA-882C-41C4846ED72D}">
      <dgm:prSet phldrT="[Текст]" custT="1"/>
      <dgm:spPr/>
      <dgm:t>
        <a:bodyPr/>
        <a:lstStyle/>
        <a:p>
          <a:r>
            <a:rPr lang="ru-RU" sz="1200" b="0" i="1">
              <a:latin typeface="Times New Roman" panose="02020603050405020304" pitchFamily="18" charset="0"/>
              <a:cs typeface="Times New Roman" panose="02020603050405020304" pitchFamily="18" charset="0"/>
            </a:rPr>
            <a:t>КОМИТЕТ МИНИСТРОВ СОВЕТА ЕВРОПЫ</a:t>
          </a:r>
        </a:p>
      </dgm:t>
    </dgm:pt>
    <dgm:pt modelId="{F3D229A4-4D20-4C55-AF27-9582E46FE4AA}" type="parTrans" cxnId="{973B7AE7-7BBD-4053-BCCC-E47D3654154C}">
      <dgm:prSet/>
      <dgm:spPr/>
      <dgm:t>
        <a:bodyPr/>
        <a:lstStyle/>
        <a:p>
          <a:endParaRPr lang="ru-RU" sz="1200" b="0" i="1">
            <a:latin typeface="Times New Roman" panose="02020603050405020304" pitchFamily="18" charset="0"/>
            <a:cs typeface="Times New Roman" panose="02020603050405020304" pitchFamily="18" charset="0"/>
          </a:endParaRPr>
        </a:p>
      </dgm:t>
    </dgm:pt>
    <dgm:pt modelId="{F0CCFCB5-2A28-49D9-8F48-9D8A284A9381}" type="sibTrans" cxnId="{973B7AE7-7BBD-4053-BCCC-E47D3654154C}">
      <dgm:prSet/>
      <dgm:spPr/>
      <dgm:t>
        <a:bodyPr/>
        <a:lstStyle/>
        <a:p>
          <a:endParaRPr lang="ru-RU" sz="1200" b="0" i="1">
            <a:latin typeface="Times New Roman" panose="02020603050405020304" pitchFamily="18" charset="0"/>
            <a:cs typeface="Times New Roman" panose="02020603050405020304" pitchFamily="18" charset="0"/>
          </a:endParaRPr>
        </a:p>
      </dgm:t>
    </dgm:pt>
    <dgm:pt modelId="{35C255F4-72CD-48CD-88BB-86B4C1F95F23}">
      <dgm:prSet phldrT="[Текст]" custT="1"/>
      <dgm:spPr/>
      <dgm:t>
        <a:bodyPr/>
        <a:lstStyle/>
        <a:p>
          <a:r>
            <a:rPr lang="ru-RU" sz="1200" b="0" i="1">
              <a:latin typeface="Times New Roman" panose="02020603050405020304" pitchFamily="18" charset="0"/>
              <a:cs typeface="Times New Roman" panose="02020603050405020304" pitchFamily="18" charset="0"/>
            </a:rPr>
            <a:t>Директорат программного координирования Совета Европы</a:t>
          </a:r>
        </a:p>
      </dgm:t>
    </dgm:pt>
    <dgm:pt modelId="{CDB188A1-8E7C-48F6-AEA8-963A6FB8F30E}" type="parTrans" cxnId="{CFA5D047-1BEB-4D64-AA6C-43DB7D7EB875}">
      <dgm:prSet/>
      <dgm:spPr/>
      <dgm:t>
        <a:bodyPr/>
        <a:lstStyle/>
        <a:p>
          <a:endParaRPr lang="ru-RU" sz="1200" b="0" i="1">
            <a:latin typeface="Times New Roman" panose="02020603050405020304" pitchFamily="18" charset="0"/>
            <a:cs typeface="Times New Roman" panose="02020603050405020304" pitchFamily="18" charset="0"/>
          </a:endParaRPr>
        </a:p>
      </dgm:t>
    </dgm:pt>
    <dgm:pt modelId="{8074E828-8AC9-4A9D-A825-0BBEBC670019}" type="sibTrans" cxnId="{CFA5D047-1BEB-4D64-AA6C-43DB7D7EB875}">
      <dgm:prSet/>
      <dgm:spPr/>
      <dgm:t>
        <a:bodyPr/>
        <a:lstStyle/>
        <a:p>
          <a:endParaRPr lang="ru-RU" sz="1200" b="0" i="1">
            <a:latin typeface="Times New Roman" panose="02020603050405020304" pitchFamily="18" charset="0"/>
            <a:cs typeface="Times New Roman" panose="02020603050405020304" pitchFamily="18" charset="0"/>
          </a:endParaRPr>
        </a:p>
      </dgm:t>
    </dgm:pt>
    <dgm:pt modelId="{183FB455-961A-41F4-B975-E3E8A7C61EA1}">
      <dgm:prSet custT="1"/>
      <dgm:spPr/>
      <dgm:t>
        <a:bodyPr/>
        <a:lstStyle/>
        <a:p>
          <a:r>
            <a:rPr lang="ru-RU" sz="1200" b="0" i="1">
              <a:latin typeface="Times New Roman" panose="02020603050405020304" pitchFamily="18" charset="0"/>
              <a:cs typeface="Times New Roman" panose="02020603050405020304" pitchFamily="18" charset="0"/>
            </a:rPr>
            <a:t>Институт Уполномоченного по правам человека (Офис Омбудсмена)</a:t>
          </a:r>
        </a:p>
      </dgm:t>
    </dgm:pt>
    <dgm:pt modelId="{52F78DB8-BF08-449F-9B6D-5A08D0E100F8}" type="parTrans" cxnId="{DF967FEC-7D2B-433E-91C7-022322CE06CF}">
      <dgm:prSet/>
      <dgm:spPr/>
      <dgm:t>
        <a:bodyPr/>
        <a:lstStyle/>
        <a:p>
          <a:endParaRPr lang="ru-RU" sz="1200" b="0" i="1">
            <a:latin typeface="Times New Roman" panose="02020603050405020304" pitchFamily="18" charset="0"/>
            <a:cs typeface="Times New Roman" panose="02020603050405020304" pitchFamily="18" charset="0"/>
          </a:endParaRPr>
        </a:p>
      </dgm:t>
    </dgm:pt>
    <dgm:pt modelId="{C3B6ED5B-8F20-407A-A0B3-57631B937F6C}" type="sibTrans" cxnId="{DF967FEC-7D2B-433E-91C7-022322CE06CF}">
      <dgm:prSet/>
      <dgm:spPr/>
      <dgm:t>
        <a:bodyPr/>
        <a:lstStyle/>
        <a:p>
          <a:endParaRPr lang="ru-RU" sz="1200" b="0" i="1">
            <a:latin typeface="Times New Roman" panose="02020603050405020304" pitchFamily="18" charset="0"/>
            <a:cs typeface="Times New Roman" panose="02020603050405020304" pitchFamily="18" charset="0"/>
          </a:endParaRPr>
        </a:p>
      </dgm:t>
    </dgm:pt>
    <dgm:pt modelId="{6D59A15C-1455-4068-9EFD-83B16C3E3A1D}">
      <dgm:prSet custT="1"/>
      <dgm:spPr/>
      <dgm:t>
        <a:bodyPr/>
        <a:lstStyle/>
        <a:p>
          <a:r>
            <a:rPr lang="ru-RU" sz="1200" b="0" i="1">
              <a:latin typeface="Times New Roman" panose="02020603050405020304" pitchFamily="18" charset="0"/>
              <a:cs typeface="Times New Roman" panose="02020603050405020304" pitchFamily="18" charset="0"/>
            </a:rPr>
            <a:t>Совместная платформа индикаторов ЕС – Казахстан</a:t>
          </a:r>
        </a:p>
      </dgm:t>
    </dgm:pt>
    <dgm:pt modelId="{C9EF59D4-0F89-4056-9264-ACB5033CC1B9}" type="parTrans" cxnId="{3E8254AC-8147-4D41-B82F-0F098652B0CD}">
      <dgm:prSet/>
      <dgm:spPr/>
      <dgm:t>
        <a:bodyPr/>
        <a:lstStyle/>
        <a:p>
          <a:endParaRPr lang="ru-RU" sz="1200" b="0" i="1">
            <a:latin typeface="Times New Roman" panose="02020603050405020304" pitchFamily="18" charset="0"/>
            <a:cs typeface="Times New Roman" panose="02020603050405020304" pitchFamily="18" charset="0"/>
          </a:endParaRPr>
        </a:p>
      </dgm:t>
    </dgm:pt>
    <dgm:pt modelId="{B0662C8A-CB09-4088-8801-B414C02BABA2}" type="sibTrans" cxnId="{3E8254AC-8147-4D41-B82F-0F098652B0CD}">
      <dgm:prSet/>
      <dgm:spPr/>
      <dgm:t>
        <a:bodyPr/>
        <a:lstStyle/>
        <a:p>
          <a:endParaRPr lang="ru-RU" sz="1200" b="0" i="1">
            <a:latin typeface="Times New Roman" panose="02020603050405020304" pitchFamily="18" charset="0"/>
            <a:cs typeface="Times New Roman" panose="02020603050405020304" pitchFamily="18" charset="0"/>
          </a:endParaRPr>
        </a:p>
      </dgm:t>
    </dgm:pt>
    <dgm:pt modelId="{31F590DC-6C0F-4EB1-97B4-1F32B8486C37}">
      <dgm:prSet custT="1"/>
      <dgm:spPr/>
      <dgm:t>
        <a:bodyPr/>
        <a:lstStyle/>
        <a:p>
          <a:r>
            <a:rPr lang="ru-RU" sz="1200" b="0" i="1">
              <a:latin typeface="Times New Roman" panose="02020603050405020304" pitchFamily="18" charset="0"/>
              <a:cs typeface="Times New Roman" panose="02020603050405020304" pitchFamily="18" charset="0"/>
            </a:rPr>
            <a:t>НАЦИОНАЛЬНЫЙ ЦЕНТР ПО ПРАВАМ ЧЕЛОВЕКА</a:t>
          </a:r>
        </a:p>
      </dgm:t>
    </dgm:pt>
    <dgm:pt modelId="{ED902134-39CE-43A8-BFD1-362E32327D2B}" type="parTrans" cxnId="{9A41574B-2CA7-44A6-8D4F-C40EBBDEDABB}">
      <dgm:prSet/>
      <dgm:spPr/>
      <dgm:t>
        <a:bodyPr/>
        <a:lstStyle/>
        <a:p>
          <a:endParaRPr lang="ru-RU" sz="1200" b="0" i="1">
            <a:latin typeface="Times New Roman" panose="02020603050405020304" pitchFamily="18" charset="0"/>
            <a:cs typeface="Times New Roman" panose="02020603050405020304" pitchFamily="18" charset="0"/>
          </a:endParaRPr>
        </a:p>
      </dgm:t>
    </dgm:pt>
    <dgm:pt modelId="{197BA0DC-107B-41E8-B690-6019EE8B3E05}" type="sibTrans" cxnId="{9A41574B-2CA7-44A6-8D4F-C40EBBDEDABB}">
      <dgm:prSet/>
      <dgm:spPr/>
      <dgm:t>
        <a:bodyPr/>
        <a:lstStyle/>
        <a:p>
          <a:endParaRPr lang="ru-RU" sz="1200" b="0" i="1">
            <a:latin typeface="Times New Roman" panose="02020603050405020304" pitchFamily="18" charset="0"/>
            <a:cs typeface="Times New Roman" panose="02020603050405020304" pitchFamily="18" charset="0"/>
          </a:endParaRPr>
        </a:p>
      </dgm:t>
    </dgm:pt>
    <dgm:pt modelId="{11F4A457-0DF5-415C-A028-CD394A5C17C5}">
      <dgm:prSet custT="1"/>
      <dgm:spPr/>
      <dgm:t>
        <a:bodyPr/>
        <a:lstStyle/>
        <a:p>
          <a:r>
            <a:rPr lang="ru-RU" sz="1200" b="0" i="1">
              <a:latin typeface="Times New Roman" panose="02020603050405020304" pitchFamily="18" charset="0"/>
              <a:cs typeface="Times New Roman" panose="02020603050405020304" pitchFamily="18" charset="0"/>
            </a:rPr>
            <a:t>НПО, академические и медиа-партнёры</a:t>
          </a:r>
        </a:p>
      </dgm:t>
    </dgm:pt>
    <dgm:pt modelId="{BB97F1D4-A741-49F8-BF53-7E8A717EADB2}" type="parTrans" cxnId="{20A3F1E4-456A-4D6C-B5EE-D6CE9FAFB51D}">
      <dgm:prSet/>
      <dgm:spPr/>
      <dgm:t>
        <a:bodyPr/>
        <a:lstStyle/>
        <a:p>
          <a:endParaRPr lang="ru-RU" sz="1200" b="0" i="1">
            <a:latin typeface="Times New Roman" panose="02020603050405020304" pitchFamily="18" charset="0"/>
            <a:cs typeface="Times New Roman" panose="02020603050405020304" pitchFamily="18" charset="0"/>
          </a:endParaRPr>
        </a:p>
      </dgm:t>
    </dgm:pt>
    <dgm:pt modelId="{883B0507-D689-4664-9A30-8D1C1F13CDF4}" type="sibTrans" cxnId="{20A3F1E4-456A-4D6C-B5EE-D6CE9FAFB51D}">
      <dgm:prSet/>
      <dgm:spPr/>
      <dgm:t>
        <a:bodyPr/>
        <a:lstStyle/>
        <a:p>
          <a:endParaRPr lang="ru-RU" sz="1200" b="0" i="1">
            <a:latin typeface="Times New Roman" panose="02020603050405020304" pitchFamily="18" charset="0"/>
            <a:cs typeface="Times New Roman" panose="02020603050405020304" pitchFamily="18" charset="0"/>
          </a:endParaRPr>
        </a:p>
      </dgm:t>
    </dgm:pt>
    <dgm:pt modelId="{F7762458-A923-4D04-872E-D880EE661918}">
      <dgm:prSet custT="1"/>
      <dgm:spPr/>
      <dgm:t>
        <a:bodyPr/>
        <a:lstStyle/>
        <a:p>
          <a:r>
            <a:rPr lang="ru-RU" sz="1200" b="0" i="1">
              <a:latin typeface="Times New Roman" panose="02020603050405020304" pitchFamily="18" charset="0"/>
              <a:cs typeface="Times New Roman" panose="02020603050405020304" pitchFamily="18" charset="0"/>
            </a:rPr>
            <a:t>Министерство юстиции Республики Казахстан</a:t>
          </a:r>
        </a:p>
      </dgm:t>
    </dgm:pt>
    <dgm:pt modelId="{1A6EE30B-15F0-4E51-84CE-7E73DAFB12CB}" type="sibTrans" cxnId="{4150FE6F-153A-4C51-8A77-D89F6438254B}">
      <dgm:prSet/>
      <dgm:spPr/>
      <dgm:t>
        <a:bodyPr/>
        <a:lstStyle/>
        <a:p>
          <a:endParaRPr lang="ru-RU" sz="1200" b="0" i="1">
            <a:latin typeface="Times New Roman" panose="02020603050405020304" pitchFamily="18" charset="0"/>
            <a:cs typeface="Times New Roman" panose="02020603050405020304" pitchFamily="18" charset="0"/>
          </a:endParaRPr>
        </a:p>
      </dgm:t>
    </dgm:pt>
    <dgm:pt modelId="{A6972821-FC35-494F-BE35-9703EFD2DA8B}" type="parTrans" cxnId="{4150FE6F-153A-4C51-8A77-D89F6438254B}">
      <dgm:prSet/>
      <dgm:spPr/>
      <dgm:t>
        <a:bodyPr/>
        <a:lstStyle/>
        <a:p>
          <a:endParaRPr lang="ru-RU" sz="1200" b="0" i="1">
            <a:latin typeface="Times New Roman" panose="02020603050405020304" pitchFamily="18" charset="0"/>
            <a:cs typeface="Times New Roman" panose="02020603050405020304" pitchFamily="18" charset="0"/>
          </a:endParaRPr>
        </a:p>
      </dgm:t>
    </dgm:pt>
    <dgm:pt modelId="{6D4B9044-B72A-424B-B69A-261065004978}">
      <dgm:prSet custT="1"/>
      <dgm:spPr/>
      <dgm:t>
        <a:bodyPr/>
        <a:lstStyle/>
        <a:p>
          <a:r>
            <a:rPr lang="ru-RU" sz="1200" b="0" i="1">
              <a:latin typeface="Times New Roman" panose="02020603050405020304" pitchFamily="18" charset="0"/>
              <a:cs typeface="Times New Roman" panose="02020603050405020304" pitchFamily="18" charset="0"/>
            </a:rPr>
            <a:t>Единая цифровая платформа мониторинга и отчётности</a:t>
          </a:r>
        </a:p>
      </dgm:t>
    </dgm:pt>
    <dgm:pt modelId="{572C22C6-730B-460F-A294-1CC973FA5DB9}" type="parTrans" cxnId="{3770D7F0-612E-4C90-A2F6-663E49B13AC8}">
      <dgm:prSet/>
      <dgm:spPr/>
      <dgm:t>
        <a:bodyPr/>
        <a:lstStyle/>
        <a:p>
          <a:endParaRPr lang="ru-RU" sz="1200" b="0" i="1">
            <a:latin typeface="Times New Roman" panose="02020603050405020304" pitchFamily="18" charset="0"/>
            <a:cs typeface="Times New Roman" panose="02020603050405020304" pitchFamily="18" charset="0"/>
          </a:endParaRPr>
        </a:p>
      </dgm:t>
    </dgm:pt>
    <dgm:pt modelId="{C1282A7B-35AF-4112-B82F-092B3F47D57B}" type="sibTrans" cxnId="{3770D7F0-612E-4C90-A2F6-663E49B13AC8}">
      <dgm:prSet/>
      <dgm:spPr/>
      <dgm:t>
        <a:bodyPr/>
        <a:lstStyle/>
        <a:p>
          <a:endParaRPr lang="ru-RU" sz="1200" b="0" i="1">
            <a:latin typeface="Times New Roman" panose="02020603050405020304" pitchFamily="18" charset="0"/>
            <a:cs typeface="Times New Roman" panose="02020603050405020304" pitchFamily="18" charset="0"/>
          </a:endParaRPr>
        </a:p>
      </dgm:t>
    </dgm:pt>
    <dgm:pt modelId="{79F35C70-2873-4C88-8115-0DC43AAEBA09}">
      <dgm:prSet custT="1"/>
      <dgm:spPr/>
      <dgm:t>
        <a:bodyPr/>
        <a:lstStyle/>
        <a:p>
          <a:r>
            <a:rPr lang="ru-RU" sz="1200" b="0" i="1">
              <a:latin typeface="Times New Roman" panose="02020603050405020304" pitchFamily="18" charset="0"/>
              <a:cs typeface="Times New Roman" panose="02020603050405020304" pitchFamily="18" charset="0"/>
            </a:rPr>
            <a:t>ЕЖЕГОДНЫЙ ЦИКЛ ОБРАТНОЙ СВЯЗИ (</a:t>
          </a:r>
          <a:r>
            <a:rPr lang="en-US" sz="1200" b="0" i="1">
              <a:latin typeface="Times New Roman" panose="02020603050405020304" pitchFamily="18" charset="0"/>
              <a:cs typeface="Times New Roman" panose="02020603050405020304" pitchFamily="18" charset="0"/>
            </a:rPr>
            <a:t>FEEDBACK LOOP) </a:t>
          </a:r>
          <a:r>
            <a:rPr lang="ru-RU" sz="1200" b="0" i="1">
              <a:latin typeface="Times New Roman" panose="02020603050405020304" pitchFamily="18" charset="0"/>
              <a:cs typeface="Times New Roman" panose="02020603050405020304" pitchFamily="18" charset="0"/>
            </a:rPr>
            <a:t>И КОРРЕКТИРОВКИ ПОКАЗАТЕЛЕЙ</a:t>
          </a:r>
        </a:p>
      </dgm:t>
    </dgm:pt>
    <dgm:pt modelId="{C39A7B49-612B-4CE6-9539-AE6A54A74181}" type="parTrans" cxnId="{45F6FECA-47A5-458E-BB46-48AC69500AF4}">
      <dgm:prSet/>
      <dgm:spPr/>
      <dgm:t>
        <a:bodyPr/>
        <a:lstStyle/>
        <a:p>
          <a:endParaRPr lang="ru-RU" sz="1200" b="0" i="1">
            <a:latin typeface="Times New Roman" panose="02020603050405020304" pitchFamily="18" charset="0"/>
            <a:cs typeface="Times New Roman" panose="02020603050405020304" pitchFamily="18" charset="0"/>
          </a:endParaRPr>
        </a:p>
      </dgm:t>
    </dgm:pt>
    <dgm:pt modelId="{2FA900CC-EB9F-4EE8-9B54-5F4AAC1C00DB}" type="sibTrans" cxnId="{45F6FECA-47A5-458E-BB46-48AC69500AF4}">
      <dgm:prSet/>
      <dgm:spPr/>
      <dgm:t>
        <a:bodyPr/>
        <a:lstStyle/>
        <a:p>
          <a:endParaRPr lang="ru-RU" sz="1200" b="0" i="1">
            <a:latin typeface="Times New Roman" panose="02020603050405020304" pitchFamily="18" charset="0"/>
            <a:cs typeface="Times New Roman" panose="02020603050405020304" pitchFamily="18" charset="0"/>
          </a:endParaRPr>
        </a:p>
      </dgm:t>
    </dgm:pt>
    <dgm:pt modelId="{76FD955F-A0DB-44A1-B2EA-200CDFA304A3}">
      <dgm:prSet custT="1"/>
      <dgm:spPr/>
      <dgm:t>
        <a:bodyPr/>
        <a:lstStyle/>
        <a:p>
          <a:r>
            <a:rPr lang="ru-RU" sz="1200" b="0" i="1">
              <a:latin typeface="Times New Roman" panose="02020603050405020304" pitchFamily="18" charset="0"/>
              <a:cs typeface="Times New Roman" panose="02020603050405020304" pitchFamily="18" charset="0"/>
            </a:rPr>
            <a:t>Делегация ЕС в Республике Казахстане</a:t>
          </a:r>
        </a:p>
      </dgm:t>
    </dgm:pt>
    <dgm:pt modelId="{2F9FFF66-D815-4104-8F0F-AFD4A520EA0A}" type="parTrans" cxnId="{B563D38A-F526-405B-86C0-417961871D29}">
      <dgm:prSet/>
      <dgm:spPr/>
      <dgm:t>
        <a:bodyPr/>
        <a:lstStyle/>
        <a:p>
          <a:endParaRPr lang="ru-RU" b="0"/>
        </a:p>
      </dgm:t>
    </dgm:pt>
    <dgm:pt modelId="{9E462DB6-4EA0-472F-9D36-3A285666FD45}" type="sibTrans" cxnId="{B563D38A-F526-405B-86C0-417961871D29}">
      <dgm:prSet/>
      <dgm:spPr/>
      <dgm:t>
        <a:bodyPr/>
        <a:lstStyle/>
        <a:p>
          <a:endParaRPr lang="ru-RU" b="0"/>
        </a:p>
      </dgm:t>
    </dgm:pt>
    <dgm:pt modelId="{CDFF615B-B9F9-47F2-A2E6-1A1C83EC9A6A}">
      <dgm:prSet custT="1"/>
      <dgm:spPr/>
      <dgm:t>
        <a:bodyPr/>
        <a:lstStyle/>
        <a:p>
          <a:r>
            <a:rPr lang="ru-RU" sz="1200" b="0" i="1">
              <a:latin typeface="Times New Roman" panose="02020603050405020304" pitchFamily="18" charset="0"/>
              <a:cs typeface="Times New Roman" panose="02020603050405020304" pitchFamily="18" charset="0"/>
            </a:rPr>
            <a:t>Аналитический отчёт и оценка имплементации (</a:t>
          </a:r>
          <a:r>
            <a:rPr lang="en-US" sz="1200" b="0" i="1">
              <a:latin typeface="Times New Roman" panose="02020603050405020304" pitchFamily="18" charset="0"/>
              <a:cs typeface="Times New Roman" panose="02020603050405020304" pitchFamily="18" charset="0"/>
            </a:rPr>
            <a:t>EU–KZ Review Report)</a:t>
          </a:r>
          <a:endParaRPr lang="ru-RU" sz="1200" b="0" i="1">
            <a:latin typeface="Times New Roman" panose="02020603050405020304" pitchFamily="18" charset="0"/>
            <a:cs typeface="Times New Roman" panose="02020603050405020304" pitchFamily="18" charset="0"/>
          </a:endParaRPr>
        </a:p>
      </dgm:t>
    </dgm:pt>
    <dgm:pt modelId="{8C1B638A-A524-472B-8C06-6B9D0BA04DDA}" type="parTrans" cxnId="{922A4F26-A660-44B6-AE80-60E41E7F6898}">
      <dgm:prSet/>
      <dgm:spPr/>
      <dgm:t>
        <a:bodyPr/>
        <a:lstStyle/>
        <a:p>
          <a:endParaRPr lang="ru-RU" b="0"/>
        </a:p>
      </dgm:t>
    </dgm:pt>
    <dgm:pt modelId="{1C9C1180-02C9-4A6E-A26D-F190F2274357}" type="sibTrans" cxnId="{922A4F26-A660-44B6-AE80-60E41E7F6898}">
      <dgm:prSet/>
      <dgm:spPr/>
      <dgm:t>
        <a:bodyPr/>
        <a:lstStyle/>
        <a:p>
          <a:endParaRPr lang="ru-RU" b="0"/>
        </a:p>
      </dgm:t>
    </dgm:pt>
    <dgm:pt modelId="{545308B2-BFBB-4829-95B5-5EAAD054D42F}" type="pres">
      <dgm:prSet presAssocID="{3D681F76-B7C6-4F43-A8DA-4F85C856B48C}" presName="hierChild1" presStyleCnt="0">
        <dgm:presLayoutVars>
          <dgm:chPref val="1"/>
          <dgm:dir/>
          <dgm:animOne val="branch"/>
          <dgm:animLvl val="lvl"/>
          <dgm:resizeHandles/>
        </dgm:presLayoutVars>
      </dgm:prSet>
      <dgm:spPr/>
      <dgm:t>
        <a:bodyPr/>
        <a:lstStyle/>
        <a:p>
          <a:endParaRPr lang="ru-RU"/>
        </a:p>
      </dgm:t>
    </dgm:pt>
    <dgm:pt modelId="{71835C80-C072-4F46-BEEC-7188E28FFEE3}" type="pres">
      <dgm:prSet presAssocID="{E4633658-95F2-4EFA-882C-41C4846ED72D}" presName="hierRoot1" presStyleCnt="0"/>
      <dgm:spPr/>
    </dgm:pt>
    <dgm:pt modelId="{37C35054-A886-4FF3-9F34-DB824263F333}" type="pres">
      <dgm:prSet presAssocID="{E4633658-95F2-4EFA-882C-41C4846ED72D}" presName="composite" presStyleCnt="0"/>
      <dgm:spPr/>
    </dgm:pt>
    <dgm:pt modelId="{A7322100-D63D-472C-ACF7-6029AD65C593}" type="pres">
      <dgm:prSet presAssocID="{E4633658-95F2-4EFA-882C-41C4846ED72D}" presName="background" presStyleLbl="node0" presStyleIdx="0" presStyleCnt="1"/>
      <dgm:spPr/>
    </dgm:pt>
    <dgm:pt modelId="{0CB595D8-7205-4C65-BDA7-ED9A560EDC2D}" type="pres">
      <dgm:prSet presAssocID="{E4633658-95F2-4EFA-882C-41C4846ED72D}" presName="text" presStyleLbl="fgAcc0" presStyleIdx="0" presStyleCnt="1" custScaleX="495827" custScaleY="205842" custLinFactY="-11795" custLinFactNeighborX="-64013" custLinFactNeighborY="-100000">
        <dgm:presLayoutVars>
          <dgm:chPref val="3"/>
        </dgm:presLayoutVars>
      </dgm:prSet>
      <dgm:spPr/>
      <dgm:t>
        <a:bodyPr/>
        <a:lstStyle/>
        <a:p>
          <a:endParaRPr lang="ru-RU"/>
        </a:p>
      </dgm:t>
    </dgm:pt>
    <dgm:pt modelId="{B1E18A61-505B-4B9D-AA7C-9503C6F14F0E}" type="pres">
      <dgm:prSet presAssocID="{E4633658-95F2-4EFA-882C-41C4846ED72D}" presName="hierChild2" presStyleCnt="0"/>
      <dgm:spPr/>
    </dgm:pt>
    <dgm:pt modelId="{7379A122-CBE0-43BB-9AD8-DE8447016F7B}" type="pres">
      <dgm:prSet presAssocID="{CDB188A1-8E7C-48F6-AEA8-963A6FB8F30E}" presName="Name10" presStyleLbl="parChTrans1D2" presStyleIdx="0" presStyleCnt="2"/>
      <dgm:spPr/>
      <dgm:t>
        <a:bodyPr/>
        <a:lstStyle/>
        <a:p>
          <a:endParaRPr lang="ru-RU"/>
        </a:p>
      </dgm:t>
    </dgm:pt>
    <dgm:pt modelId="{5EF6131E-C61F-4320-878A-711220E07592}" type="pres">
      <dgm:prSet presAssocID="{35C255F4-72CD-48CD-88BB-86B4C1F95F23}" presName="hierRoot2" presStyleCnt="0"/>
      <dgm:spPr/>
    </dgm:pt>
    <dgm:pt modelId="{3F57F7DE-DD60-4F2E-A8AA-0CB6A9EAB2CA}" type="pres">
      <dgm:prSet presAssocID="{35C255F4-72CD-48CD-88BB-86B4C1F95F23}" presName="composite2" presStyleCnt="0"/>
      <dgm:spPr/>
    </dgm:pt>
    <dgm:pt modelId="{9822A087-794F-4D47-932A-0EDB883364F9}" type="pres">
      <dgm:prSet presAssocID="{35C255F4-72CD-48CD-88BB-86B4C1F95F23}" presName="background2" presStyleLbl="node2" presStyleIdx="0" presStyleCnt="2"/>
      <dgm:spPr/>
    </dgm:pt>
    <dgm:pt modelId="{A946F71E-E51C-45AA-B6E4-A63558BAF88E}" type="pres">
      <dgm:prSet presAssocID="{35C255F4-72CD-48CD-88BB-86B4C1F95F23}" presName="text2" presStyleLbl="fgAcc2" presStyleIdx="0" presStyleCnt="2" custScaleX="406800" custScaleY="145114" custLinFactX="-93913" custLinFactY="-9752" custLinFactNeighborX="-100000" custLinFactNeighborY="-100000">
        <dgm:presLayoutVars>
          <dgm:chPref val="3"/>
        </dgm:presLayoutVars>
      </dgm:prSet>
      <dgm:spPr/>
      <dgm:t>
        <a:bodyPr/>
        <a:lstStyle/>
        <a:p>
          <a:endParaRPr lang="ru-RU"/>
        </a:p>
      </dgm:t>
    </dgm:pt>
    <dgm:pt modelId="{52478DB1-4E62-48C0-B6B0-D307C4D10CCD}" type="pres">
      <dgm:prSet presAssocID="{35C255F4-72CD-48CD-88BB-86B4C1F95F23}" presName="hierChild3" presStyleCnt="0"/>
      <dgm:spPr/>
    </dgm:pt>
    <dgm:pt modelId="{BD7F3951-9A4D-4551-B510-669878696A24}" type="pres">
      <dgm:prSet presAssocID="{C9EF59D4-0F89-4056-9264-ACB5033CC1B9}" presName="Name17" presStyleLbl="parChTrans1D3" presStyleIdx="0" presStyleCnt="3"/>
      <dgm:spPr/>
      <dgm:t>
        <a:bodyPr/>
        <a:lstStyle/>
        <a:p>
          <a:endParaRPr lang="ru-RU"/>
        </a:p>
      </dgm:t>
    </dgm:pt>
    <dgm:pt modelId="{FD586AF4-539B-4222-ABEC-9BA32797F475}" type="pres">
      <dgm:prSet presAssocID="{6D59A15C-1455-4068-9EFD-83B16C3E3A1D}" presName="hierRoot3" presStyleCnt="0"/>
      <dgm:spPr/>
    </dgm:pt>
    <dgm:pt modelId="{D7D66227-C3F6-4AA9-AB88-8A38F7DCF6C2}" type="pres">
      <dgm:prSet presAssocID="{6D59A15C-1455-4068-9EFD-83B16C3E3A1D}" presName="composite3" presStyleCnt="0"/>
      <dgm:spPr/>
    </dgm:pt>
    <dgm:pt modelId="{BEFC7B0C-8AEA-4895-82D9-F35525B83B50}" type="pres">
      <dgm:prSet presAssocID="{6D59A15C-1455-4068-9EFD-83B16C3E3A1D}" presName="background3" presStyleLbl="node3" presStyleIdx="0" presStyleCnt="3"/>
      <dgm:spPr/>
    </dgm:pt>
    <dgm:pt modelId="{F4D0C4E1-7C28-42E9-9302-D6B966CF2AF7}" type="pres">
      <dgm:prSet presAssocID="{6D59A15C-1455-4068-9EFD-83B16C3E3A1D}" presName="text3" presStyleLbl="fgAcc3" presStyleIdx="0" presStyleCnt="3" custScaleX="240385" custScaleY="201598" custLinFactNeighborX="-51554" custLinFactNeighborY="-90628">
        <dgm:presLayoutVars>
          <dgm:chPref val="3"/>
        </dgm:presLayoutVars>
      </dgm:prSet>
      <dgm:spPr/>
      <dgm:t>
        <a:bodyPr/>
        <a:lstStyle/>
        <a:p>
          <a:endParaRPr lang="ru-RU"/>
        </a:p>
      </dgm:t>
    </dgm:pt>
    <dgm:pt modelId="{86BFA416-B714-4D33-8798-31BC8C9C3A94}" type="pres">
      <dgm:prSet presAssocID="{6D59A15C-1455-4068-9EFD-83B16C3E3A1D}" presName="hierChild4" presStyleCnt="0"/>
      <dgm:spPr/>
    </dgm:pt>
    <dgm:pt modelId="{C88CE3FA-1613-4C76-B7D7-17B7601D6BBA}" type="pres">
      <dgm:prSet presAssocID="{A6972821-FC35-494F-BE35-9703EFD2DA8B}" presName="Name17" presStyleLbl="parChTrans1D3" presStyleIdx="1" presStyleCnt="3"/>
      <dgm:spPr/>
      <dgm:t>
        <a:bodyPr/>
        <a:lstStyle/>
        <a:p>
          <a:endParaRPr lang="ru-RU"/>
        </a:p>
      </dgm:t>
    </dgm:pt>
    <dgm:pt modelId="{D8F47253-7313-470A-9DF6-D3F8DC287A1D}" type="pres">
      <dgm:prSet presAssocID="{F7762458-A923-4D04-872E-D880EE661918}" presName="hierRoot3" presStyleCnt="0"/>
      <dgm:spPr/>
    </dgm:pt>
    <dgm:pt modelId="{5568881E-B279-43B5-AE47-34CC083C236C}" type="pres">
      <dgm:prSet presAssocID="{F7762458-A923-4D04-872E-D880EE661918}" presName="composite3" presStyleCnt="0"/>
      <dgm:spPr/>
    </dgm:pt>
    <dgm:pt modelId="{9919D990-2F8B-4A55-9E40-6BC9F96B93E5}" type="pres">
      <dgm:prSet presAssocID="{F7762458-A923-4D04-872E-D880EE661918}" presName="background3" presStyleLbl="node3" presStyleIdx="1" presStyleCnt="3"/>
      <dgm:spPr/>
    </dgm:pt>
    <dgm:pt modelId="{D27466DB-6EEA-4B6A-93BE-F5C7B27952AA}" type="pres">
      <dgm:prSet presAssocID="{F7762458-A923-4D04-872E-D880EE661918}" presName="text3" presStyleLbl="fgAcc3" presStyleIdx="1" presStyleCnt="3" custScaleX="298279" custScaleY="155840" custLinFactNeighborX="-12198" custLinFactNeighborY="-86299">
        <dgm:presLayoutVars>
          <dgm:chPref val="3"/>
        </dgm:presLayoutVars>
      </dgm:prSet>
      <dgm:spPr/>
      <dgm:t>
        <a:bodyPr/>
        <a:lstStyle/>
        <a:p>
          <a:endParaRPr lang="ru-RU"/>
        </a:p>
      </dgm:t>
    </dgm:pt>
    <dgm:pt modelId="{C595E793-8B45-4090-BC31-11B4320CCFE8}" type="pres">
      <dgm:prSet presAssocID="{F7762458-A923-4D04-872E-D880EE661918}" presName="hierChild4" presStyleCnt="0"/>
      <dgm:spPr/>
    </dgm:pt>
    <dgm:pt modelId="{8EE82698-0468-4E1B-9DC9-F9296330DBC0}" type="pres">
      <dgm:prSet presAssocID="{ED902134-39CE-43A8-BFD1-362E32327D2B}" presName="Name23" presStyleLbl="parChTrans1D4" presStyleIdx="0" presStyleCnt="5"/>
      <dgm:spPr/>
      <dgm:t>
        <a:bodyPr/>
        <a:lstStyle/>
        <a:p>
          <a:endParaRPr lang="ru-RU"/>
        </a:p>
      </dgm:t>
    </dgm:pt>
    <dgm:pt modelId="{1C5558B1-317B-4784-AEC9-3F72B8DED979}" type="pres">
      <dgm:prSet presAssocID="{31F590DC-6C0F-4EB1-97B4-1F32B8486C37}" presName="hierRoot4" presStyleCnt="0"/>
      <dgm:spPr/>
    </dgm:pt>
    <dgm:pt modelId="{B36127B5-206A-49F2-AC65-B893460644B1}" type="pres">
      <dgm:prSet presAssocID="{31F590DC-6C0F-4EB1-97B4-1F32B8486C37}" presName="composite4" presStyleCnt="0"/>
      <dgm:spPr/>
    </dgm:pt>
    <dgm:pt modelId="{7C536D54-9B5C-4866-9DBA-C4411433ECE8}" type="pres">
      <dgm:prSet presAssocID="{31F590DC-6C0F-4EB1-97B4-1F32B8486C37}" presName="background4" presStyleLbl="node4" presStyleIdx="0" presStyleCnt="5"/>
      <dgm:spPr/>
    </dgm:pt>
    <dgm:pt modelId="{D239E55F-DC04-48FA-8690-2DAFD325D2A1}" type="pres">
      <dgm:prSet presAssocID="{31F590DC-6C0F-4EB1-97B4-1F32B8486C37}" presName="text4" presStyleLbl="fgAcc4" presStyleIdx="0" presStyleCnt="5" custScaleX="472271" custScaleY="156562" custLinFactNeighborX="-5223" custLinFactNeighborY="-45820">
        <dgm:presLayoutVars>
          <dgm:chPref val="3"/>
        </dgm:presLayoutVars>
      </dgm:prSet>
      <dgm:spPr/>
      <dgm:t>
        <a:bodyPr/>
        <a:lstStyle/>
        <a:p>
          <a:endParaRPr lang="ru-RU"/>
        </a:p>
      </dgm:t>
    </dgm:pt>
    <dgm:pt modelId="{69541249-18D5-487A-A7C2-F369A3333274}" type="pres">
      <dgm:prSet presAssocID="{31F590DC-6C0F-4EB1-97B4-1F32B8486C37}" presName="hierChild5" presStyleCnt="0"/>
      <dgm:spPr/>
    </dgm:pt>
    <dgm:pt modelId="{461F2D38-54A0-43AF-8F13-B1156F91A729}" type="pres">
      <dgm:prSet presAssocID="{572C22C6-730B-460F-A294-1CC973FA5DB9}" presName="Name23" presStyleLbl="parChTrans1D4" presStyleIdx="1" presStyleCnt="5"/>
      <dgm:spPr/>
      <dgm:t>
        <a:bodyPr/>
        <a:lstStyle/>
        <a:p>
          <a:endParaRPr lang="ru-RU"/>
        </a:p>
      </dgm:t>
    </dgm:pt>
    <dgm:pt modelId="{69ADE41A-2D61-46E0-8C97-22B52878352F}" type="pres">
      <dgm:prSet presAssocID="{6D4B9044-B72A-424B-B69A-261065004978}" presName="hierRoot4" presStyleCnt="0"/>
      <dgm:spPr/>
    </dgm:pt>
    <dgm:pt modelId="{C7952363-BF99-40BB-9B69-49794626EF4D}" type="pres">
      <dgm:prSet presAssocID="{6D4B9044-B72A-424B-B69A-261065004978}" presName="composite4" presStyleCnt="0"/>
      <dgm:spPr/>
    </dgm:pt>
    <dgm:pt modelId="{65A87AEB-8151-485C-9900-FB799FFC89DE}" type="pres">
      <dgm:prSet presAssocID="{6D4B9044-B72A-424B-B69A-261065004978}" presName="background4" presStyleLbl="node4" presStyleIdx="1" presStyleCnt="5"/>
      <dgm:spPr/>
    </dgm:pt>
    <dgm:pt modelId="{3E98D1DA-6A8C-46A1-B70A-7F6A82C8C011}" type="pres">
      <dgm:prSet presAssocID="{6D4B9044-B72A-424B-B69A-261065004978}" presName="text4" presStyleLbl="fgAcc4" presStyleIdx="1" presStyleCnt="5" custScaleX="383512" custScaleY="197674" custLinFactX="-22505" custLinFactNeighborX="-100000" custLinFactNeighborY="-3243">
        <dgm:presLayoutVars>
          <dgm:chPref val="3"/>
        </dgm:presLayoutVars>
      </dgm:prSet>
      <dgm:spPr/>
      <dgm:t>
        <a:bodyPr/>
        <a:lstStyle/>
        <a:p>
          <a:endParaRPr lang="ru-RU"/>
        </a:p>
      </dgm:t>
    </dgm:pt>
    <dgm:pt modelId="{A3F8610B-ED14-44B9-9836-A1ED23C987B1}" type="pres">
      <dgm:prSet presAssocID="{6D4B9044-B72A-424B-B69A-261065004978}" presName="hierChild5" presStyleCnt="0"/>
      <dgm:spPr/>
    </dgm:pt>
    <dgm:pt modelId="{D7E7EFEA-5F2A-4261-826B-4C04F78A1B56}" type="pres">
      <dgm:prSet presAssocID="{C39A7B49-612B-4CE6-9539-AE6A54A74181}" presName="Name23" presStyleLbl="parChTrans1D4" presStyleIdx="2" presStyleCnt="5"/>
      <dgm:spPr/>
      <dgm:t>
        <a:bodyPr/>
        <a:lstStyle/>
        <a:p>
          <a:endParaRPr lang="ru-RU"/>
        </a:p>
      </dgm:t>
    </dgm:pt>
    <dgm:pt modelId="{631942E5-4CC1-441A-A524-05A7FF67329B}" type="pres">
      <dgm:prSet presAssocID="{79F35C70-2873-4C88-8115-0DC43AAEBA09}" presName="hierRoot4" presStyleCnt="0"/>
      <dgm:spPr/>
    </dgm:pt>
    <dgm:pt modelId="{C0FE1DA4-0BA2-4CBB-A866-85798E2044D5}" type="pres">
      <dgm:prSet presAssocID="{79F35C70-2873-4C88-8115-0DC43AAEBA09}" presName="composite4" presStyleCnt="0"/>
      <dgm:spPr/>
    </dgm:pt>
    <dgm:pt modelId="{D8DDEC19-5EDD-44B1-8F51-F794C658F93C}" type="pres">
      <dgm:prSet presAssocID="{79F35C70-2873-4C88-8115-0DC43AAEBA09}" presName="background4" presStyleLbl="node4" presStyleIdx="2" presStyleCnt="5"/>
      <dgm:spPr/>
    </dgm:pt>
    <dgm:pt modelId="{D2699D55-3D7A-4244-AAC8-29FA1D7CE248}" type="pres">
      <dgm:prSet presAssocID="{79F35C70-2873-4C88-8115-0DC43AAEBA09}" presName="text4" presStyleLbl="fgAcc4" presStyleIdx="2" presStyleCnt="5" custScaleX="717954" custScaleY="166781" custLinFactY="2216" custLinFactNeighborX="63430" custLinFactNeighborY="100000">
        <dgm:presLayoutVars>
          <dgm:chPref val="3"/>
        </dgm:presLayoutVars>
      </dgm:prSet>
      <dgm:spPr/>
      <dgm:t>
        <a:bodyPr/>
        <a:lstStyle/>
        <a:p>
          <a:endParaRPr lang="ru-RU"/>
        </a:p>
      </dgm:t>
    </dgm:pt>
    <dgm:pt modelId="{5DDF49D1-0CF2-4CC0-8D14-BE08453B8A21}" type="pres">
      <dgm:prSet presAssocID="{79F35C70-2873-4C88-8115-0DC43AAEBA09}" presName="hierChild5" presStyleCnt="0"/>
      <dgm:spPr/>
    </dgm:pt>
    <dgm:pt modelId="{426E8833-5BA1-4626-A5C4-9EDADA953CDD}" type="pres">
      <dgm:prSet presAssocID="{8C1B638A-A524-472B-8C06-6B9D0BA04DDA}" presName="Name23" presStyleLbl="parChTrans1D4" presStyleIdx="3" presStyleCnt="5"/>
      <dgm:spPr/>
      <dgm:t>
        <a:bodyPr/>
        <a:lstStyle/>
        <a:p>
          <a:endParaRPr lang="ru-RU"/>
        </a:p>
      </dgm:t>
    </dgm:pt>
    <dgm:pt modelId="{1A52FE35-BD4D-43BF-94BF-082AD2DB343B}" type="pres">
      <dgm:prSet presAssocID="{CDFF615B-B9F9-47F2-A2E6-1A1C83EC9A6A}" presName="hierRoot4" presStyleCnt="0"/>
      <dgm:spPr/>
    </dgm:pt>
    <dgm:pt modelId="{3E42A3EF-3A40-4FA2-B219-27BD0083DC72}" type="pres">
      <dgm:prSet presAssocID="{CDFF615B-B9F9-47F2-A2E6-1A1C83EC9A6A}" presName="composite4" presStyleCnt="0"/>
      <dgm:spPr/>
    </dgm:pt>
    <dgm:pt modelId="{2CF28DE3-AAF7-4D54-9AB8-E30EBFA965A5}" type="pres">
      <dgm:prSet presAssocID="{CDFF615B-B9F9-47F2-A2E6-1A1C83EC9A6A}" presName="background4" presStyleLbl="node4" presStyleIdx="3" presStyleCnt="5"/>
      <dgm:spPr/>
    </dgm:pt>
    <dgm:pt modelId="{2048E6A1-70B8-4213-987E-BDBEB4F8CABA}" type="pres">
      <dgm:prSet presAssocID="{CDFF615B-B9F9-47F2-A2E6-1A1C83EC9A6A}" presName="text4" presStyleLbl="fgAcc4" presStyleIdx="3" presStyleCnt="5" custScaleX="329597" custScaleY="220707" custLinFactNeighborX="-61737" custLinFactNeighborY="-23249">
        <dgm:presLayoutVars>
          <dgm:chPref val="3"/>
        </dgm:presLayoutVars>
      </dgm:prSet>
      <dgm:spPr/>
      <dgm:t>
        <a:bodyPr/>
        <a:lstStyle/>
        <a:p>
          <a:endParaRPr lang="ru-RU"/>
        </a:p>
      </dgm:t>
    </dgm:pt>
    <dgm:pt modelId="{ACBF4387-8560-48C3-B6D2-6841F6D88A91}" type="pres">
      <dgm:prSet presAssocID="{CDFF615B-B9F9-47F2-A2E6-1A1C83EC9A6A}" presName="hierChild5" presStyleCnt="0"/>
      <dgm:spPr/>
    </dgm:pt>
    <dgm:pt modelId="{28ABCCAD-3C4C-43CA-9EBB-7EF6E6E764EC}" type="pres">
      <dgm:prSet presAssocID="{52F78DB8-BF08-449F-9B6D-5A08D0E100F8}" presName="Name17" presStyleLbl="parChTrans1D3" presStyleIdx="2" presStyleCnt="3"/>
      <dgm:spPr/>
      <dgm:t>
        <a:bodyPr/>
        <a:lstStyle/>
        <a:p>
          <a:endParaRPr lang="ru-RU"/>
        </a:p>
      </dgm:t>
    </dgm:pt>
    <dgm:pt modelId="{7094CD4B-C757-4D2A-9D57-763E7A45D43B}" type="pres">
      <dgm:prSet presAssocID="{183FB455-961A-41F4-B975-E3E8A7C61EA1}" presName="hierRoot3" presStyleCnt="0"/>
      <dgm:spPr/>
    </dgm:pt>
    <dgm:pt modelId="{5C1FFDA2-003B-4AF0-B4B7-46478087F279}" type="pres">
      <dgm:prSet presAssocID="{183FB455-961A-41F4-B975-E3E8A7C61EA1}" presName="composite3" presStyleCnt="0"/>
      <dgm:spPr/>
    </dgm:pt>
    <dgm:pt modelId="{1F831616-8727-4548-8F46-C1185F18E432}" type="pres">
      <dgm:prSet presAssocID="{183FB455-961A-41F4-B975-E3E8A7C61EA1}" presName="background3" presStyleLbl="node3" presStyleIdx="2" presStyleCnt="3"/>
      <dgm:spPr/>
    </dgm:pt>
    <dgm:pt modelId="{03715386-2FF9-4CEF-959D-607B82665149}" type="pres">
      <dgm:prSet presAssocID="{183FB455-961A-41F4-B975-E3E8A7C61EA1}" presName="text3" presStyleLbl="fgAcc3" presStyleIdx="2" presStyleCnt="3" custScaleX="341949" custScaleY="169588" custLinFactNeighborX="-28999" custLinFactNeighborY="-89844">
        <dgm:presLayoutVars>
          <dgm:chPref val="3"/>
        </dgm:presLayoutVars>
      </dgm:prSet>
      <dgm:spPr/>
      <dgm:t>
        <a:bodyPr/>
        <a:lstStyle/>
        <a:p>
          <a:endParaRPr lang="ru-RU"/>
        </a:p>
      </dgm:t>
    </dgm:pt>
    <dgm:pt modelId="{ABF27B4C-9DE3-478C-928D-B476507565DA}" type="pres">
      <dgm:prSet presAssocID="{183FB455-961A-41F4-B975-E3E8A7C61EA1}" presName="hierChild4" presStyleCnt="0"/>
      <dgm:spPr/>
    </dgm:pt>
    <dgm:pt modelId="{8F04230E-C353-4351-8250-8EC82AC5DB4E}" type="pres">
      <dgm:prSet presAssocID="{BB97F1D4-A741-49F8-BF53-7E8A717EADB2}" presName="Name23" presStyleLbl="parChTrans1D4" presStyleIdx="4" presStyleCnt="5"/>
      <dgm:spPr/>
      <dgm:t>
        <a:bodyPr/>
        <a:lstStyle/>
        <a:p>
          <a:endParaRPr lang="ru-RU"/>
        </a:p>
      </dgm:t>
    </dgm:pt>
    <dgm:pt modelId="{7694E7A1-4CF1-4970-A38A-5DD23BC2C15F}" type="pres">
      <dgm:prSet presAssocID="{11F4A457-0DF5-415C-A028-CD394A5C17C5}" presName="hierRoot4" presStyleCnt="0"/>
      <dgm:spPr/>
    </dgm:pt>
    <dgm:pt modelId="{8648D337-5199-4157-91E3-FDCD39FD8892}" type="pres">
      <dgm:prSet presAssocID="{11F4A457-0DF5-415C-A028-CD394A5C17C5}" presName="composite4" presStyleCnt="0"/>
      <dgm:spPr/>
    </dgm:pt>
    <dgm:pt modelId="{1BBC64FB-0734-4512-8AAB-4EC2C5DE92D9}" type="pres">
      <dgm:prSet presAssocID="{11F4A457-0DF5-415C-A028-CD394A5C17C5}" presName="background4" presStyleLbl="node4" presStyleIdx="4" presStyleCnt="5"/>
      <dgm:spPr/>
    </dgm:pt>
    <dgm:pt modelId="{F3A72885-64BB-423C-AD34-AC434D34882D}" type="pres">
      <dgm:prSet presAssocID="{11F4A457-0DF5-415C-A028-CD394A5C17C5}" presName="text4" presStyleLbl="fgAcc4" presStyleIdx="4" presStyleCnt="5" custScaleX="239006" custScaleY="170399" custLinFactNeighborX="21898" custLinFactNeighborY="-94167">
        <dgm:presLayoutVars>
          <dgm:chPref val="3"/>
        </dgm:presLayoutVars>
      </dgm:prSet>
      <dgm:spPr/>
      <dgm:t>
        <a:bodyPr/>
        <a:lstStyle/>
        <a:p>
          <a:endParaRPr lang="ru-RU"/>
        </a:p>
      </dgm:t>
    </dgm:pt>
    <dgm:pt modelId="{624ADCC8-5792-4C40-9A76-BDA27D379EAA}" type="pres">
      <dgm:prSet presAssocID="{11F4A457-0DF5-415C-A028-CD394A5C17C5}" presName="hierChild5" presStyleCnt="0"/>
      <dgm:spPr/>
    </dgm:pt>
    <dgm:pt modelId="{FE8535F3-50DB-42B9-BEAC-A2E2FE87774D}" type="pres">
      <dgm:prSet presAssocID="{2F9FFF66-D815-4104-8F0F-AFD4A520EA0A}" presName="Name10" presStyleLbl="parChTrans1D2" presStyleIdx="1" presStyleCnt="2"/>
      <dgm:spPr/>
      <dgm:t>
        <a:bodyPr/>
        <a:lstStyle/>
        <a:p>
          <a:endParaRPr lang="ru-RU"/>
        </a:p>
      </dgm:t>
    </dgm:pt>
    <dgm:pt modelId="{FCC9F399-4B1A-417F-8A54-53DC5DB68018}" type="pres">
      <dgm:prSet presAssocID="{76FD955F-A0DB-44A1-B2EA-200CDFA304A3}" presName="hierRoot2" presStyleCnt="0"/>
      <dgm:spPr/>
    </dgm:pt>
    <dgm:pt modelId="{7D20F875-0197-4FBD-A70C-69FD908438C8}" type="pres">
      <dgm:prSet presAssocID="{76FD955F-A0DB-44A1-B2EA-200CDFA304A3}" presName="composite2" presStyleCnt="0"/>
      <dgm:spPr/>
    </dgm:pt>
    <dgm:pt modelId="{47B91AA1-237E-4F88-8C17-8A62AE7477C0}" type="pres">
      <dgm:prSet presAssocID="{76FD955F-A0DB-44A1-B2EA-200CDFA304A3}" presName="background2" presStyleLbl="node2" presStyleIdx="1" presStyleCnt="2"/>
      <dgm:spPr/>
    </dgm:pt>
    <dgm:pt modelId="{91599BD7-E2EA-472B-BC46-C4A96873FC13}" type="pres">
      <dgm:prSet presAssocID="{76FD955F-A0DB-44A1-B2EA-200CDFA304A3}" presName="text2" presStyleLbl="fgAcc2" presStyleIdx="1" presStyleCnt="2" custScaleX="222236" custScaleY="157144" custLinFactY="-4626" custLinFactNeighborX="-44122" custLinFactNeighborY="-100000">
        <dgm:presLayoutVars>
          <dgm:chPref val="3"/>
        </dgm:presLayoutVars>
      </dgm:prSet>
      <dgm:spPr/>
      <dgm:t>
        <a:bodyPr/>
        <a:lstStyle/>
        <a:p>
          <a:endParaRPr lang="ru-RU"/>
        </a:p>
      </dgm:t>
    </dgm:pt>
    <dgm:pt modelId="{3CF74E86-79D0-4CC1-8147-B3A5C8F5DE37}" type="pres">
      <dgm:prSet presAssocID="{76FD955F-A0DB-44A1-B2EA-200CDFA304A3}" presName="hierChild3" presStyleCnt="0"/>
      <dgm:spPr/>
    </dgm:pt>
  </dgm:ptLst>
  <dgm:cxnLst>
    <dgm:cxn modelId="{9A41574B-2CA7-44A6-8D4F-C40EBBDEDABB}" srcId="{F7762458-A923-4D04-872E-D880EE661918}" destId="{31F590DC-6C0F-4EB1-97B4-1F32B8486C37}" srcOrd="0" destOrd="0" parTransId="{ED902134-39CE-43A8-BFD1-362E32327D2B}" sibTransId="{197BA0DC-107B-41E8-B690-6019EE8B3E05}"/>
    <dgm:cxn modelId="{3770D7F0-612E-4C90-A2F6-663E49B13AC8}" srcId="{31F590DC-6C0F-4EB1-97B4-1F32B8486C37}" destId="{6D4B9044-B72A-424B-B69A-261065004978}" srcOrd="0" destOrd="0" parTransId="{572C22C6-730B-460F-A294-1CC973FA5DB9}" sibTransId="{C1282A7B-35AF-4112-B82F-092B3F47D57B}"/>
    <dgm:cxn modelId="{590ABFD6-81BC-4003-9B2D-CBC2326155E4}" type="presOf" srcId="{35C255F4-72CD-48CD-88BB-86B4C1F95F23}" destId="{A946F71E-E51C-45AA-B6E4-A63558BAF88E}" srcOrd="0" destOrd="0" presId="urn:microsoft.com/office/officeart/2005/8/layout/hierarchy1"/>
    <dgm:cxn modelId="{973B7AE7-7BBD-4053-BCCC-E47D3654154C}" srcId="{3D681F76-B7C6-4F43-A8DA-4F85C856B48C}" destId="{E4633658-95F2-4EFA-882C-41C4846ED72D}" srcOrd="0" destOrd="0" parTransId="{F3D229A4-4D20-4C55-AF27-9582E46FE4AA}" sibTransId="{F0CCFCB5-2A28-49D9-8F48-9D8A284A9381}"/>
    <dgm:cxn modelId="{8847AC48-C3F3-4CAD-B00E-787B06E078B9}" type="presOf" srcId="{3D681F76-B7C6-4F43-A8DA-4F85C856B48C}" destId="{545308B2-BFBB-4829-95B5-5EAAD054D42F}" srcOrd="0" destOrd="0" presId="urn:microsoft.com/office/officeart/2005/8/layout/hierarchy1"/>
    <dgm:cxn modelId="{D9A4ABC5-2148-4622-9230-AFAE3F74C50C}" type="presOf" srcId="{A6972821-FC35-494F-BE35-9703EFD2DA8B}" destId="{C88CE3FA-1613-4C76-B7D7-17B7601D6BBA}" srcOrd="0" destOrd="0" presId="urn:microsoft.com/office/officeart/2005/8/layout/hierarchy1"/>
    <dgm:cxn modelId="{CFA5D047-1BEB-4D64-AA6C-43DB7D7EB875}" srcId="{E4633658-95F2-4EFA-882C-41C4846ED72D}" destId="{35C255F4-72CD-48CD-88BB-86B4C1F95F23}" srcOrd="0" destOrd="0" parTransId="{CDB188A1-8E7C-48F6-AEA8-963A6FB8F30E}" sibTransId="{8074E828-8AC9-4A9D-A825-0BBEBC670019}"/>
    <dgm:cxn modelId="{A0F1ECCD-E160-4902-922B-6F7D2144458C}" type="presOf" srcId="{8C1B638A-A524-472B-8C06-6B9D0BA04DDA}" destId="{426E8833-5BA1-4626-A5C4-9EDADA953CDD}" srcOrd="0" destOrd="0" presId="urn:microsoft.com/office/officeart/2005/8/layout/hierarchy1"/>
    <dgm:cxn modelId="{45F6FECA-47A5-458E-BB46-48AC69500AF4}" srcId="{6D4B9044-B72A-424B-B69A-261065004978}" destId="{79F35C70-2873-4C88-8115-0DC43AAEBA09}" srcOrd="0" destOrd="0" parTransId="{C39A7B49-612B-4CE6-9539-AE6A54A74181}" sibTransId="{2FA900CC-EB9F-4EE8-9B54-5F4AAC1C00DB}"/>
    <dgm:cxn modelId="{9DD5AFC8-FAEA-4669-B7B0-64B71361B8C3}" type="presOf" srcId="{F7762458-A923-4D04-872E-D880EE661918}" destId="{D27466DB-6EEA-4B6A-93BE-F5C7B27952AA}" srcOrd="0" destOrd="0" presId="urn:microsoft.com/office/officeart/2005/8/layout/hierarchy1"/>
    <dgm:cxn modelId="{642AF702-407F-4141-9A16-F497A3DCD48C}" type="presOf" srcId="{CDFF615B-B9F9-47F2-A2E6-1A1C83EC9A6A}" destId="{2048E6A1-70B8-4213-987E-BDBEB4F8CABA}" srcOrd="0" destOrd="0" presId="urn:microsoft.com/office/officeart/2005/8/layout/hierarchy1"/>
    <dgm:cxn modelId="{3FA65A9A-217D-424A-BA96-FC7305C4C98F}" type="presOf" srcId="{E4633658-95F2-4EFA-882C-41C4846ED72D}" destId="{0CB595D8-7205-4C65-BDA7-ED9A560EDC2D}" srcOrd="0" destOrd="0" presId="urn:microsoft.com/office/officeart/2005/8/layout/hierarchy1"/>
    <dgm:cxn modelId="{568C26EC-4A7C-4B10-A581-3921CD8F545C}" type="presOf" srcId="{2F9FFF66-D815-4104-8F0F-AFD4A520EA0A}" destId="{FE8535F3-50DB-42B9-BEAC-A2E2FE87774D}" srcOrd="0" destOrd="0" presId="urn:microsoft.com/office/officeart/2005/8/layout/hierarchy1"/>
    <dgm:cxn modelId="{0E95ED20-E010-4237-A380-CAA24ECFBB7E}" type="presOf" srcId="{BB97F1D4-A741-49F8-BF53-7E8A717EADB2}" destId="{8F04230E-C353-4351-8250-8EC82AC5DB4E}" srcOrd="0" destOrd="0" presId="urn:microsoft.com/office/officeart/2005/8/layout/hierarchy1"/>
    <dgm:cxn modelId="{5F6B2D5F-71A6-430E-BC43-0CDC7B2BA29F}" type="presOf" srcId="{183FB455-961A-41F4-B975-E3E8A7C61EA1}" destId="{03715386-2FF9-4CEF-959D-607B82665149}" srcOrd="0" destOrd="0" presId="urn:microsoft.com/office/officeart/2005/8/layout/hierarchy1"/>
    <dgm:cxn modelId="{3E8254AC-8147-4D41-B82F-0F098652B0CD}" srcId="{35C255F4-72CD-48CD-88BB-86B4C1F95F23}" destId="{6D59A15C-1455-4068-9EFD-83B16C3E3A1D}" srcOrd="0" destOrd="0" parTransId="{C9EF59D4-0F89-4056-9264-ACB5033CC1B9}" sibTransId="{B0662C8A-CB09-4088-8801-B414C02BABA2}"/>
    <dgm:cxn modelId="{CE450430-90B7-4835-89DD-1A21BB08ED7E}" type="presOf" srcId="{CDB188A1-8E7C-48F6-AEA8-963A6FB8F30E}" destId="{7379A122-CBE0-43BB-9AD8-DE8447016F7B}" srcOrd="0" destOrd="0" presId="urn:microsoft.com/office/officeart/2005/8/layout/hierarchy1"/>
    <dgm:cxn modelId="{CBEF8EC9-2003-46D8-8495-08861900CBCA}" type="presOf" srcId="{ED902134-39CE-43A8-BFD1-362E32327D2B}" destId="{8EE82698-0468-4E1B-9DC9-F9296330DBC0}" srcOrd="0" destOrd="0" presId="urn:microsoft.com/office/officeart/2005/8/layout/hierarchy1"/>
    <dgm:cxn modelId="{A8A55DAA-47CA-47C8-A5A4-666B33C01E42}" type="presOf" srcId="{31F590DC-6C0F-4EB1-97B4-1F32B8486C37}" destId="{D239E55F-DC04-48FA-8690-2DAFD325D2A1}" srcOrd="0" destOrd="0" presId="urn:microsoft.com/office/officeart/2005/8/layout/hierarchy1"/>
    <dgm:cxn modelId="{7ED5C269-7E16-4E2C-ACFD-A7764E80F273}" type="presOf" srcId="{11F4A457-0DF5-415C-A028-CD394A5C17C5}" destId="{F3A72885-64BB-423C-AD34-AC434D34882D}" srcOrd="0" destOrd="0" presId="urn:microsoft.com/office/officeart/2005/8/layout/hierarchy1"/>
    <dgm:cxn modelId="{B563D38A-F526-405B-86C0-417961871D29}" srcId="{E4633658-95F2-4EFA-882C-41C4846ED72D}" destId="{76FD955F-A0DB-44A1-B2EA-200CDFA304A3}" srcOrd="1" destOrd="0" parTransId="{2F9FFF66-D815-4104-8F0F-AFD4A520EA0A}" sibTransId="{9E462DB6-4EA0-472F-9D36-3A285666FD45}"/>
    <dgm:cxn modelId="{0071CC36-735F-4AD3-8DA5-1DE57460D0E6}" type="presOf" srcId="{572C22C6-730B-460F-A294-1CC973FA5DB9}" destId="{461F2D38-54A0-43AF-8F13-B1156F91A729}" srcOrd="0" destOrd="0" presId="urn:microsoft.com/office/officeart/2005/8/layout/hierarchy1"/>
    <dgm:cxn modelId="{C5426305-DBEE-4A60-9C03-5079352BDF5F}" type="presOf" srcId="{6D59A15C-1455-4068-9EFD-83B16C3E3A1D}" destId="{F4D0C4E1-7C28-42E9-9302-D6B966CF2AF7}" srcOrd="0" destOrd="0" presId="urn:microsoft.com/office/officeart/2005/8/layout/hierarchy1"/>
    <dgm:cxn modelId="{20A3F1E4-456A-4D6C-B5EE-D6CE9FAFB51D}" srcId="{183FB455-961A-41F4-B975-E3E8A7C61EA1}" destId="{11F4A457-0DF5-415C-A028-CD394A5C17C5}" srcOrd="0" destOrd="0" parTransId="{BB97F1D4-A741-49F8-BF53-7E8A717EADB2}" sibTransId="{883B0507-D689-4664-9A30-8D1C1F13CDF4}"/>
    <dgm:cxn modelId="{922A4F26-A660-44B6-AE80-60E41E7F6898}" srcId="{31F590DC-6C0F-4EB1-97B4-1F32B8486C37}" destId="{CDFF615B-B9F9-47F2-A2E6-1A1C83EC9A6A}" srcOrd="1" destOrd="0" parTransId="{8C1B638A-A524-472B-8C06-6B9D0BA04DDA}" sibTransId="{1C9C1180-02C9-4A6E-A26D-F190F2274357}"/>
    <dgm:cxn modelId="{B771F2E4-E498-49E1-910A-3CD321C39E4A}" type="presOf" srcId="{C9EF59D4-0F89-4056-9264-ACB5033CC1B9}" destId="{BD7F3951-9A4D-4551-B510-669878696A24}" srcOrd="0" destOrd="0" presId="urn:microsoft.com/office/officeart/2005/8/layout/hierarchy1"/>
    <dgm:cxn modelId="{9D45FFB9-4BA4-43B4-87F0-8C0DA80D4FBF}" type="presOf" srcId="{76FD955F-A0DB-44A1-B2EA-200CDFA304A3}" destId="{91599BD7-E2EA-472B-BC46-C4A96873FC13}" srcOrd="0" destOrd="0" presId="urn:microsoft.com/office/officeart/2005/8/layout/hierarchy1"/>
    <dgm:cxn modelId="{4150FE6F-153A-4C51-8A77-D89F6438254B}" srcId="{35C255F4-72CD-48CD-88BB-86B4C1F95F23}" destId="{F7762458-A923-4D04-872E-D880EE661918}" srcOrd="1" destOrd="0" parTransId="{A6972821-FC35-494F-BE35-9703EFD2DA8B}" sibTransId="{1A6EE30B-15F0-4E51-84CE-7E73DAFB12CB}"/>
    <dgm:cxn modelId="{C80BEEA6-6BB2-4849-8EDE-4EF866200E56}" type="presOf" srcId="{52F78DB8-BF08-449F-9B6D-5A08D0E100F8}" destId="{28ABCCAD-3C4C-43CA-9EBB-7EF6E6E764EC}" srcOrd="0" destOrd="0" presId="urn:microsoft.com/office/officeart/2005/8/layout/hierarchy1"/>
    <dgm:cxn modelId="{801EE495-9309-4712-B57B-DAA9D5B8C257}" type="presOf" srcId="{6D4B9044-B72A-424B-B69A-261065004978}" destId="{3E98D1DA-6A8C-46A1-B70A-7F6A82C8C011}" srcOrd="0" destOrd="0" presId="urn:microsoft.com/office/officeart/2005/8/layout/hierarchy1"/>
    <dgm:cxn modelId="{040DCBA1-9A0C-49AB-B9EF-7B020AE23447}" type="presOf" srcId="{C39A7B49-612B-4CE6-9539-AE6A54A74181}" destId="{D7E7EFEA-5F2A-4261-826B-4C04F78A1B56}" srcOrd="0" destOrd="0" presId="urn:microsoft.com/office/officeart/2005/8/layout/hierarchy1"/>
    <dgm:cxn modelId="{987C6D17-0ED9-4F96-A0B0-9D2519B9F427}" type="presOf" srcId="{79F35C70-2873-4C88-8115-0DC43AAEBA09}" destId="{D2699D55-3D7A-4244-AAC8-29FA1D7CE248}" srcOrd="0" destOrd="0" presId="urn:microsoft.com/office/officeart/2005/8/layout/hierarchy1"/>
    <dgm:cxn modelId="{DF967FEC-7D2B-433E-91C7-022322CE06CF}" srcId="{35C255F4-72CD-48CD-88BB-86B4C1F95F23}" destId="{183FB455-961A-41F4-B975-E3E8A7C61EA1}" srcOrd="2" destOrd="0" parTransId="{52F78DB8-BF08-449F-9B6D-5A08D0E100F8}" sibTransId="{C3B6ED5B-8F20-407A-A0B3-57631B937F6C}"/>
    <dgm:cxn modelId="{32DA2196-6CE2-42AA-8ADA-0736B6DAFBE0}" type="presParOf" srcId="{545308B2-BFBB-4829-95B5-5EAAD054D42F}" destId="{71835C80-C072-4F46-BEEC-7188E28FFEE3}" srcOrd="0" destOrd="0" presId="urn:microsoft.com/office/officeart/2005/8/layout/hierarchy1"/>
    <dgm:cxn modelId="{9ED6A305-F4E7-401E-868E-E2BA6E94438A}" type="presParOf" srcId="{71835C80-C072-4F46-BEEC-7188E28FFEE3}" destId="{37C35054-A886-4FF3-9F34-DB824263F333}" srcOrd="0" destOrd="0" presId="urn:microsoft.com/office/officeart/2005/8/layout/hierarchy1"/>
    <dgm:cxn modelId="{95735B50-0B3E-44A4-BE8E-A83C70CE0D9C}" type="presParOf" srcId="{37C35054-A886-4FF3-9F34-DB824263F333}" destId="{A7322100-D63D-472C-ACF7-6029AD65C593}" srcOrd="0" destOrd="0" presId="urn:microsoft.com/office/officeart/2005/8/layout/hierarchy1"/>
    <dgm:cxn modelId="{1C332E2B-4030-46BF-82C5-BB9D74FEB473}" type="presParOf" srcId="{37C35054-A886-4FF3-9F34-DB824263F333}" destId="{0CB595D8-7205-4C65-BDA7-ED9A560EDC2D}" srcOrd="1" destOrd="0" presId="urn:microsoft.com/office/officeart/2005/8/layout/hierarchy1"/>
    <dgm:cxn modelId="{037EAA48-DFBD-47F0-A4C7-A158FC4DA8CB}" type="presParOf" srcId="{71835C80-C072-4F46-BEEC-7188E28FFEE3}" destId="{B1E18A61-505B-4B9D-AA7C-9503C6F14F0E}" srcOrd="1" destOrd="0" presId="urn:microsoft.com/office/officeart/2005/8/layout/hierarchy1"/>
    <dgm:cxn modelId="{FCD4112A-C0D2-4C49-81C7-00D571FE7291}" type="presParOf" srcId="{B1E18A61-505B-4B9D-AA7C-9503C6F14F0E}" destId="{7379A122-CBE0-43BB-9AD8-DE8447016F7B}" srcOrd="0" destOrd="0" presId="urn:microsoft.com/office/officeart/2005/8/layout/hierarchy1"/>
    <dgm:cxn modelId="{3A3863E9-0F12-44B7-AA84-2C199DD9143E}" type="presParOf" srcId="{B1E18A61-505B-4B9D-AA7C-9503C6F14F0E}" destId="{5EF6131E-C61F-4320-878A-711220E07592}" srcOrd="1" destOrd="0" presId="urn:microsoft.com/office/officeart/2005/8/layout/hierarchy1"/>
    <dgm:cxn modelId="{9F3C7B47-F128-4355-A03D-7E35EB45B2C9}" type="presParOf" srcId="{5EF6131E-C61F-4320-878A-711220E07592}" destId="{3F57F7DE-DD60-4F2E-A8AA-0CB6A9EAB2CA}" srcOrd="0" destOrd="0" presId="urn:microsoft.com/office/officeart/2005/8/layout/hierarchy1"/>
    <dgm:cxn modelId="{A73073F9-18EC-444E-B5CA-61F2D4C1EE51}" type="presParOf" srcId="{3F57F7DE-DD60-4F2E-A8AA-0CB6A9EAB2CA}" destId="{9822A087-794F-4D47-932A-0EDB883364F9}" srcOrd="0" destOrd="0" presId="urn:microsoft.com/office/officeart/2005/8/layout/hierarchy1"/>
    <dgm:cxn modelId="{B2C04D54-4774-4385-BA0C-2324F33885D9}" type="presParOf" srcId="{3F57F7DE-DD60-4F2E-A8AA-0CB6A9EAB2CA}" destId="{A946F71E-E51C-45AA-B6E4-A63558BAF88E}" srcOrd="1" destOrd="0" presId="urn:microsoft.com/office/officeart/2005/8/layout/hierarchy1"/>
    <dgm:cxn modelId="{E273115C-38CD-406C-B1CD-9982E945A91F}" type="presParOf" srcId="{5EF6131E-C61F-4320-878A-711220E07592}" destId="{52478DB1-4E62-48C0-B6B0-D307C4D10CCD}" srcOrd="1" destOrd="0" presId="urn:microsoft.com/office/officeart/2005/8/layout/hierarchy1"/>
    <dgm:cxn modelId="{99CB8B70-C81E-49BC-B41D-E4AE679E00BE}" type="presParOf" srcId="{52478DB1-4E62-48C0-B6B0-D307C4D10CCD}" destId="{BD7F3951-9A4D-4551-B510-669878696A24}" srcOrd="0" destOrd="0" presId="urn:microsoft.com/office/officeart/2005/8/layout/hierarchy1"/>
    <dgm:cxn modelId="{2DF56072-7BCF-4AB7-8CC0-4E5E113ED90B}" type="presParOf" srcId="{52478DB1-4E62-48C0-B6B0-D307C4D10CCD}" destId="{FD586AF4-539B-4222-ABEC-9BA32797F475}" srcOrd="1" destOrd="0" presId="urn:microsoft.com/office/officeart/2005/8/layout/hierarchy1"/>
    <dgm:cxn modelId="{574CB014-0AD2-4CD7-BC72-0F758FAAA761}" type="presParOf" srcId="{FD586AF4-539B-4222-ABEC-9BA32797F475}" destId="{D7D66227-C3F6-4AA9-AB88-8A38F7DCF6C2}" srcOrd="0" destOrd="0" presId="urn:microsoft.com/office/officeart/2005/8/layout/hierarchy1"/>
    <dgm:cxn modelId="{F99371EE-2645-4D91-93F5-9183067A3A01}" type="presParOf" srcId="{D7D66227-C3F6-4AA9-AB88-8A38F7DCF6C2}" destId="{BEFC7B0C-8AEA-4895-82D9-F35525B83B50}" srcOrd="0" destOrd="0" presId="urn:microsoft.com/office/officeart/2005/8/layout/hierarchy1"/>
    <dgm:cxn modelId="{89DD8183-0000-4DC7-B747-2767E6015715}" type="presParOf" srcId="{D7D66227-C3F6-4AA9-AB88-8A38F7DCF6C2}" destId="{F4D0C4E1-7C28-42E9-9302-D6B966CF2AF7}" srcOrd="1" destOrd="0" presId="urn:microsoft.com/office/officeart/2005/8/layout/hierarchy1"/>
    <dgm:cxn modelId="{E00A0B21-5B5C-4E93-91C9-54D4BDC5FA4F}" type="presParOf" srcId="{FD586AF4-539B-4222-ABEC-9BA32797F475}" destId="{86BFA416-B714-4D33-8798-31BC8C9C3A94}" srcOrd="1" destOrd="0" presId="urn:microsoft.com/office/officeart/2005/8/layout/hierarchy1"/>
    <dgm:cxn modelId="{6EF84FA5-A89E-4333-82A0-B9F2C41FE031}" type="presParOf" srcId="{52478DB1-4E62-48C0-B6B0-D307C4D10CCD}" destId="{C88CE3FA-1613-4C76-B7D7-17B7601D6BBA}" srcOrd="2" destOrd="0" presId="urn:microsoft.com/office/officeart/2005/8/layout/hierarchy1"/>
    <dgm:cxn modelId="{3505C93D-1B4E-494B-9A97-9E8B6F14CFC3}" type="presParOf" srcId="{52478DB1-4E62-48C0-B6B0-D307C4D10CCD}" destId="{D8F47253-7313-470A-9DF6-D3F8DC287A1D}" srcOrd="3" destOrd="0" presId="urn:microsoft.com/office/officeart/2005/8/layout/hierarchy1"/>
    <dgm:cxn modelId="{E2933D6F-F0A6-4E81-B337-71B8547D0D00}" type="presParOf" srcId="{D8F47253-7313-470A-9DF6-D3F8DC287A1D}" destId="{5568881E-B279-43B5-AE47-34CC083C236C}" srcOrd="0" destOrd="0" presId="urn:microsoft.com/office/officeart/2005/8/layout/hierarchy1"/>
    <dgm:cxn modelId="{4CBB21AE-057B-4F2C-83A2-5E371AD75775}" type="presParOf" srcId="{5568881E-B279-43B5-AE47-34CC083C236C}" destId="{9919D990-2F8B-4A55-9E40-6BC9F96B93E5}" srcOrd="0" destOrd="0" presId="urn:microsoft.com/office/officeart/2005/8/layout/hierarchy1"/>
    <dgm:cxn modelId="{F6DC31EC-1AF2-4BE7-91AF-D4A4528BE935}" type="presParOf" srcId="{5568881E-B279-43B5-AE47-34CC083C236C}" destId="{D27466DB-6EEA-4B6A-93BE-F5C7B27952AA}" srcOrd="1" destOrd="0" presId="urn:microsoft.com/office/officeart/2005/8/layout/hierarchy1"/>
    <dgm:cxn modelId="{D0EDABA5-0527-4638-9860-6AAF783C7504}" type="presParOf" srcId="{D8F47253-7313-470A-9DF6-D3F8DC287A1D}" destId="{C595E793-8B45-4090-BC31-11B4320CCFE8}" srcOrd="1" destOrd="0" presId="urn:microsoft.com/office/officeart/2005/8/layout/hierarchy1"/>
    <dgm:cxn modelId="{D7D6ABED-0B75-4FCE-A90F-341DB304F3A3}" type="presParOf" srcId="{C595E793-8B45-4090-BC31-11B4320CCFE8}" destId="{8EE82698-0468-4E1B-9DC9-F9296330DBC0}" srcOrd="0" destOrd="0" presId="urn:microsoft.com/office/officeart/2005/8/layout/hierarchy1"/>
    <dgm:cxn modelId="{F012BB6D-841F-4B15-BF1B-89346467A31C}" type="presParOf" srcId="{C595E793-8B45-4090-BC31-11B4320CCFE8}" destId="{1C5558B1-317B-4784-AEC9-3F72B8DED979}" srcOrd="1" destOrd="0" presId="urn:microsoft.com/office/officeart/2005/8/layout/hierarchy1"/>
    <dgm:cxn modelId="{8168B2F1-DDA0-462E-8B4F-0F2480B2C7F3}" type="presParOf" srcId="{1C5558B1-317B-4784-AEC9-3F72B8DED979}" destId="{B36127B5-206A-49F2-AC65-B893460644B1}" srcOrd="0" destOrd="0" presId="urn:microsoft.com/office/officeart/2005/8/layout/hierarchy1"/>
    <dgm:cxn modelId="{FE2D6FE5-22BC-4F29-9080-6E37DF7925AA}" type="presParOf" srcId="{B36127B5-206A-49F2-AC65-B893460644B1}" destId="{7C536D54-9B5C-4866-9DBA-C4411433ECE8}" srcOrd="0" destOrd="0" presId="urn:microsoft.com/office/officeart/2005/8/layout/hierarchy1"/>
    <dgm:cxn modelId="{579779AA-B393-43FB-BC02-1472B61BCBF2}" type="presParOf" srcId="{B36127B5-206A-49F2-AC65-B893460644B1}" destId="{D239E55F-DC04-48FA-8690-2DAFD325D2A1}" srcOrd="1" destOrd="0" presId="urn:microsoft.com/office/officeart/2005/8/layout/hierarchy1"/>
    <dgm:cxn modelId="{FED1F7CE-E38C-404C-AB52-1FE0B2B979AB}" type="presParOf" srcId="{1C5558B1-317B-4784-AEC9-3F72B8DED979}" destId="{69541249-18D5-487A-A7C2-F369A3333274}" srcOrd="1" destOrd="0" presId="urn:microsoft.com/office/officeart/2005/8/layout/hierarchy1"/>
    <dgm:cxn modelId="{E14A63E8-21C2-46BF-9047-21B07F60A2E6}" type="presParOf" srcId="{69541249-18D5-487A-A7C2-F369A3333274}" destId="{461F2D38-54A0-43AF-8F13-B1156F91A729}" srcOrd="0" destOrd="0" presId="urn:microsoft.com/office/officeart/2005/8/layout/hierarchy1"/>
    <dgm:cxn modelId="{0AE03890-7539-4008-BC63-2ECAB4BF901F}" type="presParOf" srcId="{69541249-18D5-487A-A7C2-F369A3333274}" destId="{69ADE41A-2D61-46E0-8C97-22B52878352F}" srcOrd="1" destOrd="0" presId="urn:microsoft.com/office/officeart/2005/8/layout/hierarchy1"/>
    <dgm:cxn modelId="{BF0B2A73-3956-4034-8EA3-7D6D707E3F4C}" type="presParOf" srcId="{69ADE41A-2D61-46E0-8C97-22B52878352F}" destId="{C7952363-BF99-40BB-9B69-49794626EF4D}" srcOrd="0" destOrd="0" presId="urn:microsoft.com/office/officeart/2005/8/layout/hierarchy1"/>
    <dgm:cxn modelId="{FA3F3F06-C3E0-4B09-BE64-DD932699E559}" type="presParOf" srcId="{C7952363-BF99-40BB-9B69-49794626EF4D}" destId="{65A87AEB-8151-485C-9900-FB799FFC89DE}" srcOrd="0" destOrd="0" presId="urn:microsoft.com/office/officeart/2005/8/layout/hierarchy1"/>
    <dgm:cxn modelId="{B2448955-CCEA-4F1E-B7BD-51FCD3024B0A}" type="presParOf" srcId="{C7952363-BF99-40BB-9B69-49794626EF4D}" destId="{3E98D1DA-6A8C-46A1-B70A-7F6A82C8C011}" srcOrd="1" destOrd="0" presId="urn:microsoft.com/office/officeart/2005/8/layout/hierarchy1"/>
    <dgm:cxn modelId="{155E9404-33A2-43B5-B680-BB1978882A3A}" type="presParOf" srcId="{69ADE41A-2D61-46E0-8C97-22B52878352F}" destId="{A3F8610B-ED14-44B9-9836-A1ED23C987B1}" srcOrd="1" destOrd="0" presId="urn:microsoft.com/office/officeart/2005/8/layout/hierarchy1"/>
    <dgm:cxn modelId="{8124AF32-E6A1-45EC-AFB7-0FCD5264B634}" type="presParOf" srcId="{A3F8610B-ED14-44B9-9836-A1ED23C987B1}" destId="{D7E7EFEA-5F2A-4261-826B-4C04F78A1B56}" srcOrd="0" destOrd="0" presId="urn:microsoft.com/office/officeart/2005/8/layout/hierarchy1"/>
    <dgm:cxn modelId="{09654949-1FD2-42D3-A95E-4AC4E61554BF}" type="presParOf" srcId="{A3F8610B-ED14-44B9-9836-A1ED23C987B1}" destId="{631942E5-4CC1-441A-A524-05A7FF67329B}" srcOrd="1" destOrd="0" presId="urn:microsoft.com/office/officeart/2005/8/layout/hierarchy1"/>
    <dgm:cxn modelId="{BA2B05DB-3551-48DA-B7C3-395FC5F2EA9B}" type="presParOf" srcId="{631942E5-4CC1-441A-A524-05A7FF67329B}" destId="{C0FE1DA4-0BA2-4CBB-A866-85798E2044D5}" srcOrd="0" destOrd="0" presId="urn:microsoft.com/office/officeart/2005/8/layout/hierarchy1"/>
    <dgm:cxn modelId="{90F95056-A4D3-44B5-95DB-C8966E2E0B83}" type="presParOf" srcId="{C0FE1DA4-0BA2-4CBB-A866-85798E2044D5}" destId="{D8DDEC19-5EDD-44B1-8F51-F794C658F93C}" srcOrd="0" destOrd="0" presId="urn:microsoft.com/office/officeart/2005/8/layout/hierarchy1"/>
    <dgm:cxn modelId="{3A90228D-6AC7-4A9A-ACF3-52D1F4EDA219}" type="presParOf" srcId="{C0FE1DA4-0BA2-4CBB-A866-85798E2044D5}" destId="{D2699D55-3D7A-4244-AAC8-29FA1D7CE248}" srcOrd="1" destOrd="0" presId="urn:microsoft.com/office/officeart/2005/8/layout/hierarchy1"/>
    <dgm:cxn modelId="{BE78540F-463E-40E8-A80F-42A17374EC9D}" type="presParOf" srcId="{631942E5-4CC1-441A-A524-05A7FF67329B}" destId="{5DDF49D1-0CF2-4CC0-8D14-BE08453B8A21}" srcOrd="1" destOrd="0" presId="urn:microsoft.com/office/officeart/2005/8/layout/hierarchy1"/>
    <dgm:cxn modelId="{16F0DC51-0B5B-4FC7-9060-2C23645589C7}" type="presParOf" srcId="{69541249-18D5-487A-A7C2-F369A3333274}" destId="{426E8833-5BA1-4626-A5C4-9EDADA953CDD}" srcOrd="2" destOrd="0" presId="urn:microsoft.com/office/officeart/2005/8/layout/hierarchy1"/>
    <dgm:cxn modelId="{A7D43075-DC76-4556-A895-FCA42A34747D}" type="presParOf" srcId="{69541249-18D5-487A-A7C2-F369A3333274}" destId="{1A52FE35-BD4D-43BF-94BF-082AD2DB343B}" srcOrd="3" destOrd="0" presId="urn:microsoft.com/office/officeart/2005/8/layout/hierarchy1"/>
    <dgm:cxn modelId="{4941D4D1-791D-4055-B174-D654F9841FD1}" type="presParOf" srcId="{1A52FE35-BD4D-43BF-94BF-082AD2DB343B}" destId="{3E42A3EF-3A40-4FA2-B219-27BD0083DC72}" srcOrd="0" destOrd="0" presId="urn:microsoft.com/office/officeart/2005/8/layout/hierarchy1"/>
    <dgm:cxn modelId="{2D9122F2-6104-4BE9-B9D3-0AD4D043284C}" type="presParOf" srcId="{3E42A3EF-3A40-4FA2-B219-27BD0083DC72}" destId="{2CF28DE3-AAF7-4D54-9AB8-E30EBFA965A5}" srcOrd="0" destOrd="0" presId="urn:microsoft.com/office/officeart/2005/8/layout/hierarchy1"/>
    <dgm:cxn modelId="{B447A317-63ED-4169-A837-21903C250E78}" type="presParOf" srcId="{3E42A3EF-3A40-4FA2-B219-27BD0083DC72}" destId="{2048E6A1-70B8-4213-987E-BDBEB4F8CABA}" srcOrd="1" destOrd="0" presId="urn:microsoft.com/office/officeart/2005/8/layout/hierarchy1"/>
    <dgm:cxn modelId="{2C31059F-9AC2-4A08-B53E-0935B5C14B22}" type="presParOf" srcId="{1A52FE35-BD4D-43BF-94BF-082AD2DB343B}" destId="{ACBF4387-8560-48C3-B6D2-6841F6D88A91}" srcOrd="1" destOrd="0" presId="urn:microsoft.com/office/officeart/2005/8/layout/hierarchy1"/>
    <dgm:cxn modelId="{F31384C4-9A4D-4BE0-8FFC-328681ACAF0C}" type="presParOf" srcId="{52478DB1-4E62-48C0-B6B0-D307C4D10CCD}" destId="{28ABCCAD-3C4C-43CA-9EBB-7EF6E6E764EC}" srcOrd="4" destOrd="0" presId="urn:microsoft.com/office/officeart/2005/8/layout/hierarchy1"/>
    <dgm:cxn modelId="{877D41CE-61F2-4035-A2A7-D2CF83FD2A10}" type="presParOf" srcId="{52478DB1-4E62-48C0-B6B0-D307C4D10CCD}" destId="{7094CD4B-C757-4D2A-9D57-763E7A45D43B}" srcOrd="5" destOrd="0" presId="urn:microsoft.com/office/officeart/2005/8/layout/hierarchy1"/>
    <dgm:cxn modelId="{F0B88189-25B5-4B4D-94FD-2A4B6FDA6978}" type="presParOf" srcId="{7094CD4B-C757-4D2A-9D57-763E7A45D43B}" destId="{5C1FFDA2-003B-4AF0-B4B7-46478087F279}" srcOrd="0" destOrd="0" presId="urn:microsoft.com/office/officeart/2005/8/layout/hierarchy1"/>
    <dgm:cxn modelId="{D8E4D353-3CCB-46A7-87A2-EB5F69068082}" type="presParOf" srcId="{5C1FFDA2-003B-4AF0-B4B7-46478087F279}" destId="{1F831616-8727-4548-8F46-C1185F18E432}" srcOrd="0" destOrd="0" presId="urn:microsoft.com/office/officeart/2005/8/layout/hierarchy1"/>
    <dgm:cxn modelId="{61325613-668E-4CC6-8C3D-2FB7AF705937}" type="presParOf" srcId="{5C1FFDA2-003B-4AF0-B4B7-46478087F279}" destId="{03715386-2FF9-4CEF-959D-607B82665149}" srcOrd="1" destOrd="0" presId="urn:microsoft.com/office/officeart/2005/8/layout/hierarchy1"/>
    <dgm:cxn modelId="{1763ADE5-2627-439F-82D7-F54A35EDDE8E}" type="presParOf" srcId="{7094CD4B-C757-4D2A-9D57-763E7A45D43B}" destId="{ABF27B4C-9DE3-478C-928D-B476507565DA}" srcOrd="1" destOrd="0" presId="urn:microsoft.com/office/officeart/2005/8/layout/hierarchy1"/>
    <dgm:cxn modelId="{D3B4C41A-7EE3-4BF6-AAB7-D5D5A588D602}" type="presParOf" srcId="{ABF27B4C-9DE3-478C-928D-B476507565DA}" destId="{8F04230E-C353-4351-8250-8EC82AC5DB4E}" srcOrd="0" destOrd="0" presId="urn:microsoft.com/office/officeart/2005/8/layout/hierarchy1"/>
    <dgm:cxn modelId="{FEFED6F4-D0AD-439E-B31A-E86ECB8701CE}" type="presParOf" srcId="{ABF27B4C-9DE3-478C-928D-B476507565DA}" destId="{7694E7A1-4CF1-4970-A38A-5DD23BC2C15F}" srcOrd="1" destOrd="0" presId="urn:microsoft.com/office/officeart/2005/8/layout/hierarchy1"/>
    <dgm:cxn modelId="{0A33D6FD-9476-4F4F-B857-C957C03C9513}" type="presParOf" srcId="{7694E7A1-4CF1-4970-A38A-5DD23BC2C15F}" destId="{8648D337-5199-4157-91E3-FDCD39FD8892}" srcOrd="0" destOrd="0" presId="urn:microsoft.com/office/officeart/2005/8/layout/hierarchy1"/>
    <dgm:cxn modelId="{B4A6E31B-1CA1-4C7C-B432-F72835A1F02C}" type="presParOf" srcId="{8648D337-5199-4157-91E3-FDCD39FD8892}" destId="{1BBC64FB-0734-4512-8AAB-4EC2C5DE92D9}" srcOrd="0" destOrd="0" presId="urn:microsoft.com/office/officeart/2005/8/layout/hierarchy1"/>
    <dgm:cxn modelId="{5C823D2E-65BE-4F0C-88FB-6701AEE8AFCF}" type="presParOf" srcId="{8648D337-5199-4157-91E3-FDCD39FD8892}" destId="{F3A72885-64BB-423C-AD34-AC434D34882D}" srcOrd="1" destOrd="0" presId="urn:microsoft.com/office/officeart/2005/8/layout/hierarchy1"/>
    <dgm:cxn modelId="{4773D63D-26AE-4D18-9DD5-3674E2F8668C}" type="presParOf" srcId="{7694E7A1-4CF1-4970-A38A-5DD23BC2C15F}" destId="{624ADCC8-5792-4C40-9A76-BDA27D379EAA}" srcOrd="1" destOrd="0" presId="urn:microsoft.com/office/officeart/2005/8/layout/hierarchy1"/>
    <dgm:cxn modelId="{302688F6-B7CF-40A6-AD60-273033F2966B}" type="presParOf" srcId="{B1E18A61-505B-4B9D-AA7C-9503C6F14F0E}" destId="{FE8535F3-50DB-42B9-BEAC-A2E2FE87774D}" srcOrd="2" destOrd="0" presId="urn:microsoft.com/office/officeart/2005/8/layout/hierarchy1"/>
    <dgm:cxn modelId="{17A12C1F-88C4-447C-B03F-6CCBA6F278AF}" type="presParOf" srcId="{B1E18A61-505B-4B9D-AA7C-9503C6F14F0E}" destId="{FCC9F399-4B1A-417F-8A54-53DC5DB68018}" srcOrd="3" destOrd="0" presId="urn:microsoft.com/office/officeart/2005/8/layout/hierarchy1"/>
    <dgm:cxn modelId="{4C938D46-5630-4F6C-80A8-0628849C64F7}" type="presParOf" srcId="{FCC9F399-4B1A-417F-8A54-53DC5DB68018}" destId="{7D20F875-0197-4FBD-A70C-69FD908438C8}" srcOrd="0" destOrd="0" presId="urn:microsoft.com/office/officeart/2005/8/layout/hierarchy1"/>
    <dgm:cxn modelId="{AEEF6EFA-02FF-4BB1-84D9-865230509A9C}" type="presParOf" srcId="{7D20F875-0197-4FBD-A70C-69FD908438C8}" destId="{47B91AA1-237E-4F88-8C17-8A62AE7477C0}" srcOrd="0" destOrd="0" presId="urn:microsoft.com/office/officeart/2005/8/layout/hierarchy1"/>
    <dgm:cxn modelId="{8F5F613C-2DAE-4169-9BB4-FA10B1355D31}" type="presParOf" srcId="{7D20F875-0197-4FBD-A70C-69FD908438C8}" destId="{91599BD7-E2EA-472B-BC46-C4A96873FC13}" srcOrd="1" destOrd="0" presId="urn:microsoft.com/office/officeart/2005/8/layout/hierarchy1"/>
    <dgm:cxn modelId="{5EB56ADB-5DDB-4BB0-9E54-C68507BF0A4E}" type="presParOf" srcId="{FCC9F399-4B1A-417F-8A54-53DC5DB68018}" destId="{3CF74E86-79D0-4CC1-8147-B3A5C8F5DE37}" srcOrd="1" destOrd="0" presId="urn:microsoft.com/office/officeart/2005/8/layout/hierarchy1"/>
  </dgm:cxnLst>
  <dgm:bg/>
  <dgm:whole/>
  <dgm:extLst>
    <a:ext uri="http://schemas.microsoft.com/office/drawing/2008/diagram">
      <dsp:dataModelExt xmlns:dsp="http://schemas.microsoft.com/office/drawing/2008/diagram" relId="rId1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0E7C701-E0BA-4997-9C71-33D0AA519A00}" type="doc">
      <dgm:prSet loTypeId="urn:microsoft.com/office/officeart/2005/8/layout/vList6" loCatId="process" qsTypeId="urn:microsoft.com/office/officeart/2005/8/quickstyle/simple5" qsCatId="simple" csTypeId="urn:microsoft.com/office/officeart/2005/8/colors/accent0_1" csCatId="mainScheme" phldr="1"/>
      <dgm:spPr/>
      <dgm:t>
        <a:bodyPr/>
        <a:lstStyle/>
        <a:p>
          <a:endParaRPr lang="ru-RU"/>
        </a:p>
      </dgm:t>
    </dgm:pt>
    <dgm:pt modelId="{2528D03E-4BB0-4650-9ECE-776860DCC397}">
      <dgm:prSet phldrT="[Текст]" custT="1"/>
      <dgm:spPr/>
      <dgm:t>
        <a:bodyPr/>
        <a:lstStyle/>
        <a:p>
          <a:r>
            <a:rPr lang="ru-RU" sz="1100" b="0" i="1">
              <a:latin typeface="Times New Roman" panose="02020603050405020304" pitchFamily="18" charset="0"/>
              <a:cs typeface="Times New Roman" panose="02020603050405020304" pitchFamily="18" charset="0"/>
            </a:rPr>
            <a:t>Внутренняя институциональная консолидация </a:t>
          </a:r>
        </a:p>
      </dgm:t>
    </dgm:pt>
    <dgm:pt modelId="{AA7FBC1C-A0C3-4531-B218-E1ED9295CDF7}" type="parTrans" cxnId="{B3488F40-39C6-4473-9A12-0D4AABE0BCA8}">
      <dgm:prSet/>
      <dgm:spPr/>
      <dgm:t>
        <a:bodyPr/>
        <a:lstStyle/>
        <a:p>
          <a:endParaRPr lang="ru-RU" sz="1100">
            <a:latin typeface="Times New Roman" panose="02020603050405020304" pitchFamily="18" charset="0"/>
            <a:cs typeface="Times New Roman" panose="02020603050405020304" pitchFamily="18" charset="0"/>
          </a:endParaRPr>
        </a:p>
      </dgm:t>
    </dgm:pt>
    <dgm:pt modelId="{83204B92-5564-4BA4-A8F3-C146D126F874}" type="sibTrans" cxnId="{B3488F40-39C6-4473-9A12-0D4AABE0BCA8}">
      <dgm:prSet/>
      <dgm:spPr/>
      <dgm:t>
        <a:bodyPr/>
        <a:lstStyle/>
        <a:p>
          <a:endParaRPr lang="ru-RU" sz="1100">
            <a:latin typeface="Times New Roman" panose="02020603050405020304" pitchFamily="18" charset="0"/>
            <a:cs typeface="Times New Roman" panose="02020603050405020304" pitchFamily="18" charset="0"/>
          </a:endParaRPr>
        </a:p>
      </dgm:t>
    </dgm:pt>
    <dgm:pt modelId="{8E574CA1-CCAF-436B-9E39-B7AE98A6AE4A}">
      <dgm:prSet phldrT="[Текст]" custT="1"/>
      <dgm:spPr/>
      <dgm:t>
        <a:bodyPr/>
        <a:lstStyle/>
        <a:p>
          <a:r>
            <a:rPr lang="ru-RU" sz="1100" i="1">
              <a:latin typeface="Times New Roman" panose="02020603050405020304" pitchFamily="18" charset="0"/>
              <a:cs typeface="Times New Roman" panose="02020603050405020304" pitchFamily="18" charset="0"/>
            </a:rPr>
            <a:t>усиление роли национальных демократических институтов, преодоление фрагментации политического пространства, укрепление верховенства права и правового реагирования на радикализм.</a:t>
          </a:r>
        </a:p>
      </dgm:t>
    </dgm:pt>
    <dgm:pt modelId="{E1BA58FF-788A-4480-A47F-D8EEACE627C0}" type="parTrans" cxnId="{509322B5-3FDE-4C30-AF8A-61DCE50A289B}">
      <dgm:prSet/>
      <dgm:spPr/>
      <dgm:t>
        <a:bodyPr/>
        <a:lstStyle/>
        <a:p>
          <a:endParaRPr lang="ru-RU" sz="1100">
            <a:latin typeface="Times New Roman" panose="02020603050405020304" pitchFamily="18" charset="0"/>
            <a:cs typeface="Times New Roman" panose="02020603050405020304" pitchFamily="18" charset="0"/>
          </a:endParaRPr>
        </a:p>
      </dgm:t>
    </dgm:pt>
    <dgm:pt modelId="{2D39B7D0-0DC6-45D1-930D-93E7482DC2D4}" type="sibTrans" cxnId="{509322B5-3FDE-4C30-AF8A-61DCE50A289B}">
      <dgm:prSet/>
      <dgm:spPr/>
      <dgm:t>
        <a:bodyPr/>
        <a:lstStyle/>
        <a:p>
          <a:endParaRPr lang="ru-RU" sz="1100">
            <a:latin typeface="Times New Roman" panose="02020603050405020304" pitchFamily="18" charset="0"/>
            <a:cs typeface="Times New Roman" panose="02020603050405020304" pitchFamily="18" charset="0"/>
          </a:endParaRPr>
        </a:p>
      </dgm:t>
    </dgm:pt>
    <dgm:pt modelId="{BEE1D024-BF8E-4B12-9B90-3968549B6AD6}">
      <dgm:prSet phldrT="[Текст]" custT="1"/>
      <dgm:spPr/>
      <dgm:t>
        <a:bodyPr/>
        <a:lstStyle/>
        <a:p>
          <a:r>
            <a:rPr lang="ru-RU" sz="1100" b="0" i="1">
              <a:latin typeface="Times New Roman" panose="02020603050405020304" pitchFamily="18" charset="0"/>
              <a:cs typeface="Times New Roman" panose="02020603050405020304" pitchFamily="18" charset="0"/>
            </a:rPr>
            <a:t>Цифровая безопасность демократии </a:t>
          </a:r>
        </a:p>
      </dgm:t>
    </dgm:pt>
    <dgm:pt modelId="{8F7D980A-0106-4409-8C92-6790AD745937}" type="parTrans" cxnId="{04476C69-D849-4E99-BA15-B49C00CB6C8F}">
      <dgm:prSet/>
      <dgm:spPr/>
      <dgm:t>
        <a:bodyPr/>
        <a:lstStyle/>
        <a:p>
          <a:endParaRPr lang="ru-RU" sz="1100">
            <a:latin typeface="Times New Roman" panose="02020603050405020304" pitchFamily="18" charset="0"/>
            <a:cs typeface="Times New Roman" panose="02020603050405020304" pitchFamily="18" charset="0"/>
          </a:endParaRPr>
        </a:p>
      </dgm:t>
    </dgm:pt>
    <dgm:pt modelId="{04EDF465-AC9C-496A-B10D-9950D77AD663}" type="sibTrans" cxnId="{04476C69-D849-4E99-BA15-B49C00CB6C8F}">
      <dgm:prSet/>
      <dgm:spPr/>
      <dgm:t>
        <a:bodyPr/>
        <a:lstStyle/>
        <a:p>
          <a:endParaRPr lang="ru-RU" sz="1100">
            <a:latin typeface="Times New Roman" panose="02020603050405020304" pitchFamily="18" charset="0"/>
            <a:cs typeface="Times New Roman" panose="02020603050405020304" pitchFamily="18" charset="0"/>
          </a:endParaRPr>
        </a:p>
      </dgm:t>
    </dgm:pt>
    <dgm:pt modelId="{76D02935-DF80-415B-9282-8D06E7BF9B23}">
      <dgm:prSet phldrT="[Текст]" custT="1"/>
      <dgm:spPr/>
      <dgm:t>
        <a:bodyPr/>
        <a:lstStyle/>
        <a:p>
          <a:r>
            <a:rPr lang="ru-RU" sz="1100" i="1">
              <a:latin typeface="Times New Roman" panose="02020603050405020304" pitchFamily="18" charset="0"/>
              <a:cs typeface="Times New Roman" panose="02020603050405020304" pitchFamily="18" charset="0"/>
            </a:rPr>
            <a:t>развитие Европейского демократического щита как инструмента защиты избирательных систем и цифрового пространства от внешних вмешательств, формирование единых стандартов цифровой этики и информационной ответственности</a:t>
          </a:r>
        </a:p>
      </dgm:t>
    </dgm:pt>
    <dgm:pt modelId="{40694DDA-6C28-4781-B5F7-C26C6BA4C581}" type="parTrans" cxnId="{F2629511-0B6C-437C-B4EE-EE650D7F1C39}">
      <dgm:prSet/>
      <dgm:spPr/>
      <dgm:t>
        <a:bodyPr/>
        <a:lstStyle/>
        <a:p>
          <a:endParaRPr lang="ru-RU" sz="1100">
            <a:latin typeface="Times New Roman" panose="02020603050405020304" pitchFamily="18" charset="0"/>
            <a:cs typeface="Times New Roman" panose="02020603050405020304" pitchFamily="18" charset="0"/>
          </a:endParaRPr>
        </a:p>
      </dgm:t>
    </dgm:pt>
    <dgm:pt modelId="{491B0C53-A054-4A1B-9007-3FAEB17530E5}" type="sibTrans" cxnId="{F2629511-0B6C-437C-B4EE-EE650D7F1C39}">
      <dgm:prSet/>
      <dgm:spPr/>
      <dgm:t>
        <a:bodyPr/>
        <a:lstStyle/>
        <a:p>
          <a:endParaRPr lang="ru-RU" sz="1100">
            <a:latin typeface="Times New Roman" panose="02020603050405020304" pitchFamily="18" charset="0"/>
            <a:cs typeface="Times New Roman" panose="02020603050405020304" pitchFamily="18" charset="0"/>
          </a:endParaRPr>
        </a:p>
      </dgm:t>
    </dgm:pt>
    <dgm:pt modelId="{87500CC5-8001-4E3A-8D8D-DE9F2A0A7225}">
      <dgm:prSet custT="1"/>
      <dgm:spPr/>
      <dgm:t>
        <a:bodyPr/>
        <a:lstStyle/>
        <a:p>
          <a:r>
            <a:rPr lang="ru-RU" sz="1100" b="0" i="1">
              <a:latin typeface="Times New Roman" panose="02020603050405020304" pitchFamily="18" charset="0"/>
              <a:cs typeface="Times New Roman" panose="02020603050405020304" pitchFamily="18" charset="0"/>
            </a:rPr>
            <a:t>Внешнеполитическая переориентация </a:t>
          </a:r>
        </a:p>
      </dgm:t>
    </dgm:pt>
    <dgm:pt modelId="{8C1780BA-F412-4139-9D56-BB357B3ABCCA}" type="parTrans" cxnId="{38BA9FEE-0A95-47D6-954C-D2619C2B9D3A}">
      <dgm:prSet/>
      <dgm:spPr/>
      <dgm:t>
        <a:bodyPr/>
        <a:lstStyle/>
        <a:p>
          <a:endParaRPr lang="ru-RU" sz="1100">
            <a:latin typeface="Times New Roman" panose="02020603050405020304" pitchFamily="18" charset="0"/>
            <a:cs typeface="Times New Roman" panose="02020603050405020304" pitchFamily="18" charset="0"/>
          </a:endParaRPr>
        </a:p>
      </dgm:t>
    </dgm:pt>
    <dgm:pt modelId="{C4EB56BE-8283-4D49-8116-6D5A12A8C514}" type="sibTrans" cxnId="{38BA9FEE-0A95-47D6-954C-D2619C2B9D3A}">
      <dgm:prSet/>
      <dgm:spPr/>
      <dgm:t>
        <a:bodyPr/>
        <a:lstStyle/>
        <a:p>
          <a:endParaRPr lang="ru-RU" sz="1100">
            <a:latin typeface="Times New Roman" panose="02020603050405020304" pitchFamily="18" charset="0"/>
            <a:cs typeface="Times New Roman" panose="02020603050405020304" pitchFamily="18" charset="0"/>
          </a:endParaRPr>
        </a:p>
      </dgm:t>
    </dgm:pt>
    <dgm:pt modelId="{21A20AFE-FF6D-48AB-8431-50DD2C8F4F91}">
      <dgm:prSet custT="1"/>
      <dgm:spPr/>
      <dgm:t>
        <a:bodyPr/>
        <a:lstStyle/>
        <a:p>
          <a:r>
            <a:rPr lang="ru-RU" sz="1100" i="1">
              <a:latin typeface="Times New Roman" panose="02020603050405020304" pitchFamily="18" charset="0"/>
              <a:cs typeface="Times New Roman" panose="02020603050405020304" pitchFamily="18" charset="0"/>
            </a:rPr>
            <a:t>отказ от универсалистского подхода к поддержке демократии в пользу контекстуализированных партнёрств с государствами Глобального Юга, учитывающих политико-культурные особенности и избегающих неоколониального дискурса.</a:t>
          </a:r>
        </a:p>
      </dgm:t>
    </dgm:pt>
    <dgm:pt modelId="{02F1B0B3-8753-41BA-9F7C-989475C4998E}" type="parTrans" cxnId="{F61E0129-746C-4B87-974D-CD5610CC613A}">
      <dgm:prSet/>
      <dgm:spPr/>
      <dgm:t>
        <a:bodyPr/>
        <a:lstStyle/>
        <a:p>
          <a:endParaRPr lang="ru-RU" sz="1100">
            <a:latin typeface="Times New Roman" panose="02020603050405020304" pitchFamily="18" charset="0"/>
            <a:cs typeface="Times New Roman" panose="02020603050405020304" pitchFamily="18" charset="0"/>
          </a:endParaRPr>
        </a:p>
      </dgm:t>
    </dgm:pt>
    <dgm:pt modelId="{5B796A55-51A4-4EB8-83AA-65197631B915}" type="sibTrans" cxnId="{F61E0129-746C-4B87-974D-CD5610CC613A}">
      <dgm:prSet/>
      <dgm:spPr/>
      <dgm:t>
        <a:bodyPr/>
        <a:lstStyle/>
        <a:p>
          <a:endParaRPr lang="ru-RU" sz="1100">
            <a:latin typeface="Times New Roman" panose="02020603050405020304" pitchFamily="18" charset="0"/>
            <a:cs typeface="Times New Roman" panose="02020603050405020304" pitchFamily="18" charset="0"/>
          </a:endParaRPr>
        </a:p>
      </dgm:t>
    </dgm:pt>
    <dgm:pt modelId="{8B857A0E-58AE-44EC-B7B6-13F5FA67A97D}">
      <dgm:prSet custT="1"/>
      <dgm:spPr/>
      <dgm:t>
        <a:bodyPr/>
        <a:lstStyle/>
        <a:p>
          <a:r>
            <a:rPr lang="ru-RU" sz="1100" b="0" i="1">
              <a:latin typeface="Times New Roman" panose="02020603050405020304" pitchFamily="18" charset="0"/>
              <a:cs typeface="Times New Roman" panose="02020603050405020304" pitchFamily="18" charset="0"/>
            </a:rPr>
            <a:t>Политическая условность как инструмент стратегического согласования </a:t>
          </a:r>
        </a:p>
      </dgm:t>
    </dgm:pt>
    <dgm:pt modelId="{85AE673E-C97C-4FBB-BD01-24B9FBC7AA9F}" type="parTrans" cxnId="{A8EF7329-1B03-4690-97E1-C7A47737CBF6}">
      <dgm:prSet/>
      <dgm:spPr/>
      <dgm:t>
        <a:bodyPr/>
        <a:lstStyle/>
        <a:p>
          <a:endParaRPr lang="ru-RU" sz="1100">
            <a:latin typeface="Times New Roman" panose="02020603050405020304" pitchFamily="18" charset="0"/>
            <a:cs typeface="Times New Roman" panose="02020603050405020304" pitchFamily="18" charset="0"/>
          </a:endParaRPr>
        </a:p>
      </dgm:t>
    </dgm:pt>
    <dgm:pt modelId="{ED825536-1DF0-4F85-9C06-BA841BD6A426}" type="sibTrans" cxnId="{A8EF7329-1B03-4690-97E1-C7A47737CBF6}">
      <dgm:prSet/>
      <dgm:spPr/>
      <dgm:t>
        <a:bodyPr/>
        <a:lstStyle/>
        <a:p>
          <a:endParaRPr lang="ru-RU" sz="1100">
            <a:latin typeface="Times New Roman" panose="02020603050405020304" pitchFamily="18" charset="0"/>
            <a:cs typeface="Times New Roman" panose="02020603050405020304" pitchFamily="18" charset="0"/>
          </a:endParaRPr>
        </a:p>
      </dgm:t>
    </dgm:pt>
    <dgm:pt modelId="{129FB57B-0F65-4ADB-B226-C3F46C2292E0}">
      <dgm:prSet custT="1"/>
      <dgm:spPr/>
      <dgm:t>
        <a:bodyPr/>
        <a:lstStyle/>
        <a:p>
          <a:r>
            <a:rPr lang="ru-RU" sz="1100" i="1">
              <a:latin typeface="Times New Roman" panose="02020603050405020304" pitchFamily="18" charset="0"/>
              <a:cs typeface="Times New Roman" panose="02020603050405020304" pitchFamily="18" charset="0"/>
            </a:rPr>
            <a:t>переосмысление механизма </a:t>
          </a:r>
          <a:r>
            <a:rPr lang="en-US" sz="1100" i="1">
              <a:latin typeface="Times New Roman" panose="02020603050405020304" pitchFamily="18" charset="0"/>
              <a:cs typeface="Times New Roman" panose="02020603050405020304" pitchFamily="18" charset="0"/>
            </a:rPr>
            <a:t>conditionality </a:t>
          </a:r>
          <a:r>
            <a:rPr lang="ru-RU" sz="1100" i="1">
              <a:latin typeface="Times New Roman" panose="02020603050405020304" pitchFamily="18" charset="0"/>
              <a:cs typeface="Times New Roman" panose="02020603050405020304" pitchFamily="18" charset="0"/>
            </a:rPr>
            <a:t>в рамках </a:t>
          </a:r>
          <a:r>
            <a:rPr lang="en-US" sz="1100" i="1">
              <a:latin typeface="Times New Roman" panose="02020603050405020304" pitchFamily="18" charset="0"/>
              <a:cs typeface="Times New Roman" panose="02020603050405020304" pitchFamily="18" charset="0"/>
            </a:rPr>
            <a:t>NDICI – Global Europe </a:t>
          </a:r>
          <a:r>
            <a:rPr lang="ru-RU" sz="1100" i="1">
              <a:latin typeface="Times New Roman" panose="02020603050405020304" pitchFamily="18" charset="0"/>
              <a:cs typeface="Times New Roman" panose="02020603050405020304" pitchFamily="18" charset="0"/>
            </a:rPr>
            <a:t>как не санкционного, а институционального ресурса для долгосрочной демократической координации и синергии.</a:t>
          </a:r>
        </a:p>
      </dgm:t>
    </dgm:pt>
    <dgm:pt modelId="{CF4D50D1-FEF5-486D-9555-6D4C23445150}" type="parTrans" cxnId="{E4830994-BE30-4A71-AFFB-378886DFB827}">
      <dgm:prSet/>
      <dgm:spPr/>
      <dgm:t>
        <a:bodyPr/>
        <a:lstStyle/>
        <a:p>
          <a:endParaRPr lang="ru-RU" sz="1100">
            <a:latin typeface="Times New Roman" panose="02020603050405020304" pitchFamily="18" charset="0"/>
            <a:cs typeface="Times New Roman" panose="02020603050405020304" pitchFamily="18" charset="0"/>
          </a:endParaRPr>
        </a:p>
      </dgm:t>
    </dgm:pt>
    <dgm:pt modelId="{14513681-1135-4505-886A-CC64DAD98E01}" type="sibTrans" cxnId="{E4830994-BE30-4A71-AFFB-378886DFB827}">
      <dgm:prSet/>
      <dgm:spPr/>
      <dgm:t>
        <a:bodyPr/>
        <a:lstStyle/>
        <a:p>
          <a:endParaRPr lang="ru-RU" sz="1100">
            <a:latin typeface="Times New Roman" panose="02020603050405020304" pitchFamily="18" charset="0"/>
            <a:cs typeface="Times New Roman" panose="02020603050405020304" pitchFamily="18" charset="0"/>
          </a:endParaRPr>
        </a:p>
      </dgm:t>
    </dgm:pt>
    <dgm:pt modelId="{E74E750D-12BD-446D-84A7-022AA295DE77}" type="pres">
      <dgm:prSet presAssocID="{00E7C701-E0BA-4997-9C71-33D0AA519A00}" presName="Name0" presStyleCnt="0">
        <dgm:presLayoutVars>
          <dgm:dir/>
          <dgm:animLvl val="lvl"/>
          <dgm:resizeHandles/>
        </dgm:presLayoutVars>
      </dgm:prSet>
      <dgm:spPr/>
      <dgm:t>
        <a:bodyPr/>
        <a:lstStyle/>
        <a:p>
          <a:endParaRPr lang="ru-RU"/>
        </a:p>
      </dgm:t>
    </dgm:pt>
    <dgm:pt modelId="{D15B53F1-F07D-4BDA-96EE-86CB11B72FCB}" type="pres">
      <dgm:prSet presAssocID="{2528D03E-4BB0-4650-9ECE-776860DCC397}" presName="linNode" presStyleCnt="0"/>
      <dgm:spPr/>
    </dgm:pt>
    <dgm:pt modelId="{BE74BECE-AC3B-41FE-BCB9-D81D881237C0}" type="pres">
      <dgm:prSet presAssocID="{2528D03E-4BB0-4650-9ECE-776860DCC397}" presName="parentShp" presStyleLbl="node1" presStyleIdx="0" presStyleCnt="4">
        <dgm:presLayoutVars>
          <dgm:bulletEnabled val="1"/>
        </dgm:presLayoutVars>
      </dgm:prSet>
      <dgm:spPr/>
      <dgm:t>
        <a:bodyPr/>
        <a:lstStyle/>
        <a:p>
          <a:endParaRPr lang="ru-RU"/>
        </a:p>
      </dgm:t>
    </dgm:pt>
    <dgm:pt modelId="{DE1AFD44-4396-4357-9489-72F9DD3EE9F3}" type="pres">
      <dgm:prSet presAssocID="{2528D03E-4BB0-4650-9ECE-776860DCC397}" presName="childShp" presStyleLbl="bgAccFollowNode1" presStyleIdx="0" presStyleCnt="4">
        <dgm:presLayoutVars>
          <dgm:bulletEnabled val="1"/>
        </dgm:presLayoutVars>
      </dgm:prSet>
      <dgm:spPr/>
      <dgm:t>
        <a:bodyPr/>
        <a:lstStyle/>
        <a:p>
          <a:endParaRPr lang="ru-RU"/>
        </a:p>
      </dgm:t>
    </dgm:pt>
    <dgm:pt modelId="{9A3F5CFA-506D-49A4-A9E0-0F05EF00F819}" type="pres">
      <dgm:prSet presAssocID="{83204B92-5564-4BA4-A8F3-C146D126F874}" presName="spacing" presStyleCnt="0"/>
      <dgm:spPr/>
    </dgm:pt>
    <dgm:pt modelId="{4F78BC36-346D-4F87-9004-A4080171AE7C}" type="pres">
      <dgm:prSet presAssocID="{BEE1D024-BF8E-4B12-9B90-3968549B6AD6}" presName="linNode" presStyleCnt="0"/>
      <dgm:spPr/>
    </dgm:pt>
    <dgm:pt modelId="{12336146-89D9-4356-9DCC-8110281839C4}" type="pres">
      <dgm:prSet presAssocID="{BEE1D024-BF8E-4B12-9B90-3968549B6AD6}" presName="parentShp" presStyleLbl="node1" presStyleIdx="1" presStyleCnt="4">
        <dgm:presLayoutVars>
          <dgm:bulletEnabled val="1"/>
        </dgm:presLayoutVars>
      </dgm:prSet>
      <dgm:spPr/>
      <dgm:t>
        <a:bodyPr/>
        <a:lstStyle/>
        <a:p>
          <a:endParaRPr lang="ru-RU"/>
        </a:p>
      </dgm:t>
    </dgm:pt>
    <dgm:pt modelId="{7ABA6506-A0FF-4D76-96D9-3C1CA4CFD361}" type="pres">
      <dgm:prSet presAssocID="{BEE1D024-BF8E-4B12-9B90-3968549B6AD6}" presName="childShp" presStyleLbl="bgAccFollowNode1" presStyleIdx="1" presStyleCnt="4">
        <dgm:presLayoutVars>
          <dgm:bulletEnabled val="1"/>
        </dgm:presLayoutVars>
      </dgm:prSet>
      <dgm:spPr/>
      <dgm:t>
        <a:bodyPr/>
        <a:lstStyle/>
        <a:p>
          <a:endParaRPr lang="ru-RU"/>
        </a:p>
      </dgm:t>
    </dgm:pt>
    <dgm:pt modelId="{EE288107-8F1A-4E91-BA32-04180E49C716}" type="pres">
      <dgm:prSet presAssocID="{04EDF465-AC9C-496A-B10D-9950D77AD663}" presName="spacing" presStyleCnt="0"/>
      <dgm:spPr/>
    </dgm:pt>
    <dgm:pt modelId="{162EFEB5-7FC0-40D1-965F-21F26C5BC474}" type="pres">
      <dgm:prSet presAssocID="{87500CC5-8001-4E3A-8D8D-DE9F2A0A7225}" presName="linNode" presStyleCnt="0"/>
      <dgm:spPr/>
    </dgm:pt>
    <dgm:pt modelId="{0FCE5244-7190-4ED4-AEA9-CCF7E21B4FE7}" type="pres">
      <dgm:prSet presAssocID="{87500CC5-8001-4E3A-8D8D-DE9F2A0A7225}" presName="parentShp" presStyleLbl="node1" presStyleIdx="2" presStyleCnt="4">
        <dgm:presLayoutVars>
          <dgm:bulletEnabled val="1"/>
        </dgm:presLayoutVars>
      </dgm:prSet>
      <dgm:spPr/>
      <dgm:t>
        <a:bodyPr/>
        <a:lstStyle/>
        <a:p>
          <a:endParaRPr lang="ru-RU"/>
        </a:p>
      </dgm:t>
    </dgm:pt>
    <dgm:pt modelId="{07890390-E5B0-4843-8E1A-81EAAF455495}" type="pres">
      <dgm:prSet presAssocID="{87500CC5-8001-4E3A-8D8D-DE9F2A0A7225}" presName="childShp" presStyleLbl="bgAccFollowNode1" presStyleIdx="2" presStyleCnt="4" custScaleY="118151">
        <dgm:presLayoutVars>
          <dgm:bulletEnabled val="1"/>
        </dgm:presLayoutVars>
      </dgm:prSet>
      <dgm:spPr/>
      <dgm:t>
        <a:bodyPr/>
        <a:lstStyle/>
        <a:p>
          <a:endParaRPr lang="ru-RU"/>
        </a:p>
      </dgm:t>
    </dgm:pt>
    <dgm:pt modelId="{ED7BC4A0-9525-4105-AACD-601117238550}" type="pres">
      <dgm:prSet presAssocID="{C4EB56BE-8283-4D49-8116-6D5A12A8C514}" presName="spacing" presStyleCnt="0"/>
      <dgm:spPr/>
    </dgm:pt>
    <dgm:pt modelId="{9585139D-56DF-4A8C-B6DA-8D3DF2F966E3}" type="pres">
      <dgm:prSet presAssocID="{8B857A0E-58AE-44EC-B7B6-13F5FA67A97D}" presName="linNode" presStyleCnt="0"/>
      <dgm:spPr/>
    </dgm:pt>
    <dgm:pt modelId="{FF0E9D0F-97C5-41FA-A485-3C5F96A84C35}" type="pres">
      <dgm:prSet presAssocID="{8B857A0E-58AE-44EC-B7B6-13F5FA67A97D}" presName="parentShp" presStyleLbl="node1" presStyleIdx="3" presStyleCnt="4">
        <dgm:presLayoutVars>
          <dgm:bulletEnabled val="1"/>
        </dgm:presLayoutVars>
      </dgm:prSet>
      <dgm:spPr/>
      <dgm:t>
        <a:bodyPr/>
        <a:lstStyle/>
        <a:p>
          <a:endParaRPr lang="ru-RU"/>
        </a:p>
      </dgm:t>
    </dgm:pt>
    <dgm:pt modelId="{4201FDBA-9A82-45CB-B3D0-F81EC9F7EA31}" type="pres">
      <dgm:prSet presAssocID="{8B857A0E-58AE-44EC-B7B6-13F5FA67A97D}" presName="childShp" presStyleLbl="bgAccFollowNode1" presStyleIdx="3" presStyleCnt="4">
        <dgm:presLayoutVars>
          <dgm:bulletEnabled val="1"/>
        </dgm:presLayoutVars>
      </dgm:prSet>
      <dgm:spPr/>
      <dgm:t>
        <a:bodyPr/>
        <a:lstStyle/>
        <a:p>
          <a:endParaRPr lang="ru-RU"/>
        </a:p>
      </dgm:t>
    </dgm:pt>
  </dgm:ptLst>
  <dgm:cxnLst>
    <dgm:cxn modelId="{1709C253-1942-411F-BB2D-D16103683375}" type="presOf" srcId="{21A20AFE-FF6D-48AB-8431-50DD2C8F4F91}" destId="{07890390-E5B0-4843-8E1A-81EAAF455495}" srcOrd="0" destOrd="0" presId="urn:microsoft.com/office/officeart/2005/8/layout/vList6"/>
    <dgm:cxn modelId="{04476C69-D849-4E99-BA15-B49C00CB6C8F}" srcId="{00E7C701-E0BA-4997-9C71-33D0AA519A00}" destId="{BEE1D024-BF8E-4B12-9B90-3968549B6AD6}" srcOrd="1" destOrd="0" parTransId="{8F7D980A-0106-4409-8C92-6790AD745937}" sibTransId="{04EDF465-AC9C-496A-B10D-9950D77AD663}"/>
    <dgm:cxn modelId="{F2629511-0B6C-437C-B4EE-EE650D7F1C39}" srcId="{BEE1D024-BF8E-4B12-9B90-3968549B6AD6}" destId="{76D02935-DF80-415B-9282-8D06E7BF9B23}" srcOrd="0" destOrd="0" parTransId="{40694DDA-6C28-4781-B5F7-C26C6BA4C581}" sibTransId="{491B0C53-A054-4A1B-9007-3FAEB17530E5}"/>
    <dgm:cxn modelId="{4F30B225-9CF7-45FB-9043-CEB39588AC9A}" type="presOf" srcId="{76D02935-DF80-415B-9282-8D06E7BF9B23}" destId="{7ABA6506-A0FF-4D76-96D9-3C1CA4CFD361}" srcOrd="0" destOrd="0" presId="urn:microsoft.com/office/officeart/2005/8/layout/vList6"/>
    <dgm:cxn modelId="{19AFF1C0-2E4D-4095-B332-F17B1B9637B7}" type="presOf" srcId="{8E574CA1-CCAF-436B-9E39-B7AE98A6AE4A}" destId="{DE1AFD44-4396-4357-9489-72F9DD3EE9F3}" srcOrd="0" destOrd="0" presId="urn:microsoft.com/office/officeart/2005/8/layout/vList6"/>
    <dgm:cxn modelId="{E213EBCB-FA13-4E7C-B95D-A811CA0685D0}" type="presOf" srcId="{2528D03E-4BB0-4650-9ECE-776860DCC397}" destId="{BE74BECE-AC3B-41FE-BCB9-D81D881237C0}" srcOrd="0" destOrd="0" presId="urn:microsoft.com/office/officeart/2005/8/layout/vList6"/>
    <dgm:cxn modelId="{E4830994-BE30-4A71-AFFB-378886DFB827}" srcId="{8B857A0E-58AE-44EC-B7B6-13F5FA67A97D}" destId="{129FB57B-0F65-4ADB-B226-C3F46C2292E0}" srcOrd="0" destOrd="0" parTransId="{CF4D50D1-FEF5-486D-9555-6D4C23445150}" sibTransId="{14513681-1135-4505-886A-CC64DAD98E01}"/>
    <dgm:cxn modelId="{E3E28E50-E03E-442E-941D-3C8B1402ED8D}" type="presOf" srcId="{BEE1D024-BF8E-4B12-9B90-3968549B6AD6}" destId="{12336146-89D9-4356-9DCC-8110281839C4}" srcOrd="0" destOrd="0" presId="urn:microsoft.com/office/officeart/2005/8/layout/vList6"/>
    <dgm:cxn modelId="{38BA9FEE-0A95-47D6-954C-D2619C2B9D3A}" srcId="{00E7C701-E0BA-4997-9C71-33D0AA519A00}" destId="{87500CC5-8001-4E3A-8D8D-DE9F2A0A7225}" srcOrd="2" destOrd="0" parTransId="{8C1780BA-F412-4139-9D56-BB357B3ABCCA}" sibTransId="{C4EB56BE-8283-4D49-8116-6D5A12A8C514}"/>
    <dgm:cxn modelId="{EB71417F-F6E6-4E19-8D68-FFCA411B729D}" type="presOf" srcId="{8B857A0E-58AE-44EC-B7B6-13F5FA67A97D}" destId="{FF0E9D0F-97C5-41FA-A485-3C5F96A84C35}" srcOrd="0" destOrd="0" presId="urn:microsoft.com/office/officeart/2005/8/layout/vList6"/>
    <dgm:cxn modelId="{A8EF7329-1B03-4690-97E1-C7A47737CBF6}" srcId="{00E7C701-E0BA-4997-9C71-33D0AA519A00}" destId="{8B857A0E-58AE-44EC-B7B6-13F5FA67A97D}" srcOrd="3" destOrd="0" parTransId="{85AE673E-C97C-4FBB-BD01-24B9FBC7AA9F}" sibTransId="{ED825536-1DF0-4F85-9C06-BA841BD6A426}"/>
    <dgm:cxn modelId="{606EF7D4-B33D-48F1-8DFE-758F3EB409D6}" type="presOf" srcId="{87500CC5-8001-4E3A-8D8D-DE9F2A0A7225}" destId="{0FCE5244-7190-4ED4-AEA9-CCF7E21B4FE7}" srcOrd="0" destOrd="0" presId="urn:microsoft.com/office/officeart/2005/8/layout/vList6"/>
    <dgm:cxn modelId="{1D7FAA80-9DB2-417C-9B3E-610A36DABF05}" type="presOf" srcId="{00E7C701-E0BA-4997-9C71-33D0AA519A00}" destId="{E74E750D-12BD-446D-84A7-022AA295DE77}" srcOrd="0" destOrd="0" presId="urn:microsoft.com/office/officeart/2005/8/layout/vList6"/>
    <dgm:cxn modelId="{073AD0C6-A1AF-4D77-B822-242507C51F74}" type="presOf" srcId="{129FB57B-0F65-4ADB-B226-C3F46C2292E0}" destId="{4201FDBA-9A82-45CB-B3D0-F81EC9F7EA31}" srcOrd="0" destOrd="0" presId="urn:microsoft.com/office/officeart/2005/8/layout/vList6"/>
    <dgm:cxn modelId="{F61E0129-746C-4B87-974D-CD5610CC613A}" srcId="{87500CC5-8001-4E3A-8D8D-DE9F2A0A7225}" destId="{21A20AFE-FF6D-48AB-8431-50DD2C8F4F91}" srcOrd="0" destOrd="0" parTransId="{02F1B0B3-8753-41BA-9F7C-989475C4998E}" sibTransId="{5B796A55-51A4-4EB8-83AA-65197631B915}"/>
    <dgm:cxn modelId="{B3488F40-39C6-4473-9A12-0D4AABE0BCA8}" srcId="{00E7C701-E0BA-4997-9C71-33D0AA519A00}" destId="{2528D03E-4BB0-4650-9ECE-776860DCC397}" srcOrd="0" destOrd="0" parTransId="{AA7FBC1C-A0C3-4531-B218-E1ED9295CDF7}" sibTransId="{83204B92-5564-4BA4-A8F3-C146D126F874}"/>
    <dgm:cxn modelId="{509322B5-3FDE-4C30-AF8A-61DCE50A289B}" srcId="{2528D03E-4BB0-4650-9ECE-776860DCC397}" destId="{8E574CA1-CCAF-436B-9E39-B7AE98A6AE4A}" srcOrd="0" destOrd="0" parTransId="{E1BA58FF-788A-4480-A47F-D8EEACE627C0}" sibTransId="{2D39B7D0-0DC6-45D1-930D-93E7482DC2D4}"/>
    <dgm:cxn modelId="{45083587-6768-43AC-9375-13CE22E67153}" type="presParOf" srcId="{E74E750D-12BD-446D-84A7-022AA295DE77}" destId="{D15B53F1-F07D-4BDA-96EE-86CB11B72FCB}" srcOrd="0" destOrd="0" presId="urn:microsoft.com/office/officeart/2005/8/layout/vList6"/>
    <dgm:cxn modelId="{5836878C-8F64-49EF-B48D-4DCB6D630828}" type="presParOf" srcId="{D15B53F1-F07D-4BDA-96EE-86CB11B72FCB}" destId="{BE74BECE-AC3B-41FE-BCB9-D81D881237C0}" srcOrd="0" destOrd="0" presId="urn:microsoft.com/office/officeart/2005/8/layout/vList6"/>
    <dgm:cxn modelId="{728BFD6C-42F4-463B-8108-208D19AFFA2F}" type="presParOf" srcId="{D15B53F1-F07D-4BDA-96EE-86CB11B72FCB}" destId="{DE1AFD44-4396-4357-9489-72F9DD3EE9F3}" srcOrd="1" destOrd="0" presId="urn:microsoft.com/office/officeart/2005/8/layout/vList6"/>
    <dgm:cxn modelId="{1B748502-38B4-4488-8DC9-71B766136B41}" type="presParOf" srcId="{E74E750D-12BD-446D-84A7-022AA295DE77}" destId="{9A3F5CFA-506D-49A4-A9E0-0F05EF00F819}" srcOrd="1" destOrd="0" presId="urn:microsoft.com/office/officeart/2005/8/layout/vList6"/>
    <dgm:cxn modelId="{E7F3F408-EEA2-402C-996C-9D02C4CC9855}" type="presParOf" srcId="{E74E750D-12BD-446D-84A7-022AA295DE77}" destId="{4F78BC36-346D-4F87-9004-A4080171AE7C}" srcOrd="2" destOrd="0" presId="urn:microsoft.com/office/officeart/2005/8/layout/vList6"/>
    <dgm:cxn modelId="{CD39688A-0B77-4CCA-9ED2-0B2DF5368F21}" type="presParOf" srcId="{4F78BC36-346D-4F87-9004-A4080171AE7C}" destId="{12336146-89D9-4356-9DCC-8110281839C4}" srcOrd="0" destOrd="0" presId="urn:microsoft.com/office/officeart/2005/8/layout/vList6"/>
    <dgm:cxn modelId="{34A722F7-0B45-4D77-ADFE-99489FE1DCE7}" type="presParOf" srcId="{4F78BC36-346D-4F87-9004-A4080171AE7C}" destId="{7ABA6506-A0FF-4D76-96D9-3C1CA4CFD361}" srcOrd="1" destOrd="0" presId="urn:microsoft.com/office/officeart/2005/8/layout/vList6"/>
    <dgm:cxn modelId="{9C923458-CF9C-4C65-A63A-34AC70D71950}" type="presParOf" srcId="{E74E750D-12BD-446D-84A7-022AA295DE77}" destId="{EE288107-8F1A-4E91-BA32-04180E49C716}" srcOrd="3" destOrd="0" presId="urn:microsoft.com/office/officeart/2005/8/layout/vList6"/>
    <dgm:cxn modelId="{6482830B-41E5-451F-97AE-FEE3602FE75C}" type="presParOf" srcId="{E74E750D-12BD-446D-84A7-022AA295DE77}" destId="{162EFEB5-7FC0-40D1-965F-21F26C5BC474}" srcOrd="4" destOrd="0" presId="urn:microsoft.com/office/officeart/2005/8/layout/vList6"/>
    <dgm:cxn modelId="{CA319AD0-E092-43F4-A2EA-3EA28B2DE0F6}" type="presParOf" srcId="{162EFEB5-7FC0-40D1-965F-21F26C5BC474}" destId="{0FCE5244-7190-4ED4-AEA9-CCF7E21B4FE7}" srcOrd="0" destOrd="0" presId="urn:microsoft.com/office/officeart/2005/8/layout/vList6"/>
    <dgm:cxn modelId="{1D7C950A-39D1-4FB7-8648-4B4184DDD36D}" type="presParOf" srcId="{162EFEB5-7FC0-40D1-965F-21F26C5BC474}" destId="{07890390-E5B0-4843-8E1A-81EAAF455495}" srcOrd="1" destOrd="0" presId="urn:microsoft.com/office/officeart/2005/8/layout/vList6"/>
    <dgm:cxn modelId="{375B3506-4960-478F-9130-677672DCEB00}" type="presParOf" srcId="{E74E750D-12BD-446D-84A7-022AA295DE77}" destId="{ED7BC4A0-9525-4105-AACD-601117238550}" srcOrd="5" destOrd="0" presId="urn:microsoft.com/office/officeart/2005/8/layout/vList6"/>
    <dgm:cxn modelId="{B4C7A089-E0DB-42C7-8ABC-F91A2E372398}" type="presParOf" srcId="{E74E750D-12BD-446D-84A7-022AA295DE77}" destId="{9585139D-56DF-4A8C-B6DA-8D3DF2F966E3}" srcOrd="6" destOrd="0" presId="urn:microsoft.com/office/officeart/2005/8/layout/vList6"/>
    <dgm:cxn modelId="{EF59110B-CA92-4BAB-A151-BDDAB7400BB7}" type="presParOf" srcId="{9585139D-56DF-4A8C-B6DA-8D3DF2F966E3}" destId="{FF0E9D0F-97C5-41FA-A485-3C5F96A84C35}" srcOrd="0" destOrd="0" presId="urn:microsoft.com/office/officeart/2005/8/layout/vList6"/>
    <dgm:cxn modelId="{FCD2B06C-4751-4FF9-906C-861A0F582BE6}" type="presParOf" srcId="{9585139D-56DF-4A8C-B6DA-8D3DF2F966E3}" destId="{4201FDBA-9A82-45CB-B3D0-F81EC9F7EA31}" srcOrd="1" destOrd="0" presId="urn:microsoft.com/office/officeart/2005/8/layout/vList6"/>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A1A1B31-F999-42E9-BEA6-9B3113F6A818}"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ru-RU"/>
        </a:p>
      </dgm:t>
    </dgm:pt>
    <dgm:pt modelId="{207E54A7-1694-4077-B305-306C63C37484}">
      <dgm:prSet phldrT="[Текст]" custT="1"/>
      <dgm:spPr/>
      <dgm:t>
        <a:bodyPr/>
        <a:lstStyle/>
        <a:p>
          <a:r>
            <a:rPr lang="ru-RU" sz="1100" b="0" i="1">
              <a:latin typeface="Times New Roman" panose="02020603050405020304" pitchFamily="18" charset="0"/>
              <a:cs typeface="Times New Roman" panose="02020603050405020304" pitchFamily="18" charset="0"/>
            </a:rPr>
            <a:t>EU TAXONOMY      (экологическая   классификация)</a:t>
          </a:r>
        </a:p>
      </dgm:t>
    </dgm:pt>
    <dgm:pt modelId="{03432BEC-99D5-4AA5-91C3-234968B3BE97}" type="parTrans" cxnId="{DD312D54-24D5-46EB-9D69-3BC41A8F16BA}">
      <dgm:prSet/>
      <dgm:spPr/>
      <dgm:t>
        <a:bodyPr/>
        <a:lstStyle/>
        <a:p>
          <a:endParaRPr lang="ru-RU" sz="1100" b="1" i="1">
            <a:latin typeface="Times New Roman" panose="02020603050405020304" pitchFamily="18" charset="0"/>
            <a:cs typeface="Times New Roman" panose="02020603050405020304" pitchFamily="18" charset="0"/>
          </a:endParaRPr>
        </a:p>
      </dgm:t>
    </dgm:pt>
    <dgm:pt modelId="{D0C50D8A-B1B6-4B88-BFFB-A1313464C10B}" type="sibTrans" cxnId="{DD312D54-24D5-46EB-9D69-3BC41A8F16BA}">
      <dgm:prSet custT="1"/>
      <dgm:spPr/>
      <dgm:t>
        <a:bodyPr/>
        <a:lstStyle/>
        <a:p>
          <a:endParaRPr lang="ru-RU" sz="1100" b="1" i="1">
            <a:latin typeface="Times New Roman" panose="02020603050405020304" pitchFamily="18" charset="0"/>
            <a:cs typeface="Times New Roman" panose="02020603050405020304" pitchFamily="18" charset="0"/>
          </a:endParaRPr>
        </a:p>
      </dgm:t>
    </dgm:pt>
    <dgm:pt modelId="{48089144-3D08-46A5-826E-0C02585186BD}">
      <dgm:prSet phldrT="[Текст]" custT="1"/>
      <dgm:spPr/>
      <dgm:t>
        <a:bodyPr/>
        <a:lstStyle/>
        <a:p>
          <a:r>
            <a:rPr lang="ru-RU" sz="1100" b="0" i="1">
              <a:latin typeface="Times New Roman" panose="02020603050405020304" pitchFamily="18" charset="0"/>
              <a:cs typeface="Times New Roman" panose="02020603050405020304" pitchFamily="18" charset="0"/>
            </a:rPr>
            <a:t>CSRD                    (корпоративная отчётность и  социальная двойная материальность)</a:t>
          </a:r>
        </a:p>
      </dgm:t>
    </dgm:pt>
    <dgm:pt modelId="{DE401615-4228-464A-8268-18025EE3A89A}" type="parTrans" cxnId="{EF77C2D5-220D-44B7-82F4-67B1A10A5703}">
      <dgm:prSet/>
      <dgm:spPr/>
      <dgm:t>
        <a:bodyPr/>
        <a:lstStyle/>
        <a:p>
          <a:endParaRPr lang="ru-RU" sz="1100" b="1" i="1">
            <a:latin typeface="Times New Roman" panose="02020603050405020304" pitchFamily="18" charset="0"/>
            <a:cs typeface="Times New Roman" panose="02020603050405020304" pitchFamily="18" charset="0"/>
          </a:endParaRPr>
        </a:p>
      </dgm:t>
    </dgm:pt>
    <dgm:pt modelId="{60078CAB-470C-4A11-A6F9-32CBD7ACDCBE}" type="sibTrans" cxnId="{EF77C2D5-220D-44B7-82F4-67B1A10A5703}">
      <dgm:prSet custT="1"/>
      <dgm:spPr/>
      <dgm:t>
        <a:bodyPr/>
        <a:lstStyle/>
        <a:p>
          <a:endParaRPr lang="ru-RU" sz="1100" b="1" i="1">
            <a:latin typeface="Times New Roman" panose="02020603050405020304" pitchFamily="18" charset="0"/>
            <a:cs typeface="Times New Roman" panose="02020603050405020304" pitchFamily="18" charset="0"/>
          </a:endParaRPr>
        </a:p>
      </dgm:t>
    </dgm:pt>
    <dgm:pt modelId="{3A02A13D-85BD-48F1-B5AE-715239565763}">
      <dgm:prSet phldrT="[Текст]" custT="1"/>
      <dgm:spPr/>
      <dgm:t>
        <a:bodyPr/>
        <a:lstStyle/>
        <a:p>
          <a:r>
            <a:rPr lang="ru-RU" sz="1100" b="0" i="1">
              <a:latin typeface="Times New Roman" panose="02020603050405020304" pitchFamily="18" charset="0"/>
              <a:cs typeface="Times New Roman" panose="02020603050405020304" pitchFamily="18" charset="0"/>
            </a:rPr>
            <a:t>SFDR  (прозрачность ESG-   рисков и инвестиций)</a:t>
          </a:r>
        </a:p>
      </dgm:t>
    </dgm:pt>
    <dgm:pt modelId="{644A1924-BB17-4837-A8B1-51FEF3162FA5}" type="parTrans" cxnId="{C11748FE-57B6-4120-932A-89647713636C}">
      <dgm:prSet/>
      <dgm:spPr/>
      <dgm:t>
        <a:bodyPr/>
        <a:lstStyle/>
        <a:p>
          <a:endParaRPr lang="ru-RU" sz="1100" b="1" i="1">
            <a:latin typeface="Times New Roman" panose="02020603050405020304" pitchFamily="18" charset="0"/>
            <a:cs typeface="Times New Roman" panose="02020603050405020304" pitchFamily="18" charset="0"/>
          </a:endParaRPr>
        </a:p>
      </dgm:t>
    </dgm:pt>
    <dgm:pt modelId="{6408A5DB-51FA-46CE-A08C-B67352FAD23F}" type="sibTrans" cxnId="{C11748FE-57B6-4120-932A-89647713636C}">
      <dgm:prSet custT="1"/>
      <dgm:spPr/>
      <dgm:t>
        <a:bodyPr/>
        <a:lstStyle/>
        <a:p>
          <a:endParaRPr lang="ru-RU" sz="1100" b="1" i="1">
            <a:latin typeface="Times New Roman" panose="02020603050405020304" pitchFamily="18" charset="0"/>
            <a:cs typeface="Times New Roman" panose="02020603050405020304" pitchFamily="18" charset="0"/>
          </a:endParaRPr>
        </a:p>
      </dgm:t>
    </dgm:pt>
    <dgm:pt modelId="{4A9F4577-1EA3-4D09-9192-D4EFB57A6162}">
      <dgm:prSet phldrT="[Текст]" custT="1"/>
      <dgm:spPr/>
      <dgm:t>
        <a:bodyPr/>
        <a:lstStyle/>
        <a:p>
          <a:r>
            <a:rPr lang="ru-RU" sz="1100" b="0" i="1">
              <a:latin typeface="Times New Roman" panose="02020603050405020304" pitchFamily="18" charset="0"/>
              <a:cs typeface="Times New Roman" panose="02020603050405020304" pitchFamily="18" charset="0"/>
            </a:rPr>
            <a:t>Права человека в ЕС и в мире   </a:t>
          </a:r>
        </a:p>
      </dgm:t>
    </dgm:pt>
    <dgm:pt modelId="{AE40E21B-C496-4822-9ED3-3ADA1AA816B8}" type="parTrans" cxnId="{07F9BDFB-C103-472D-AACD-7971D35CC3FC}">
      <dgm:prSet/>
      <dgm:spPr/>
      <dgm:t>
        <a:bodyPr/>
        <a:lstStyle/>
        <a:p>
          <a:endParaRPr lang="ru-RU" sz="1100" b="1" i="1">
            <a:latin typeface="Times New Roman" panose="02020603050405020304" pitchFamily="18" charset="0"/>
            <a:cs typeface="Times New Roman" panose="02020603050405020304" pitchFamily="18" charset="0"/>
          </a:endParaRPr>
        </a:p>
      </dgm:t>
    </dgm:pt>
    <dgm:pt modelId="{DC6274FE-FEEA-4BFF-A67A-436C0C6F002A}" type="sibTrans" cxnId="{07F9BDFB-C103-472D-AACD-7971D35CC3FC}">
      <dgm:prSet/>
      <dgm:spPr/>
      <dgm:t>
        <a:bodyPr/>
        <a:lstStyle/>
        <a:p>
          <a:endParaRPr lang="ru-RU" sz="1100" b="1" i="1">
            <a:latin typeface="Times New Roman" panose="02020603050405020304" pitchFamily="18" charset="0"/>
            <a:cs typeface="Times New Roman" panose="02020603050405020304" pitchFamily="18" charset="0"/>
          </a:endParaRPr>
        </a:p>
      </dgm:t>
    </dgm:pt>
    <dgm:pt modelId="{0C968633-0D8E-4A6D-AE96-CB7DF13329A3}" type="pres">
      <dgm:prSet presAssocID="{DA1A1B31-F999-42E9-BEA6-9B3113F6A818}" presName="Name0" presStyleCnt="0">
        <dgm:presLayoutVars>
          <dgm:dir/>
          <dgm:resizeHandles val="exact"/>
        </dgm:presLayoutVars>
      </dgm:prSet>
      <dgm:spPr/>
      <dgm:t>
        <a:bodyPr/>
        <a:lstStyle/>
        <a:p>
          <a:endParaRPr lang="ru-RU"/>
        </a:p>
      </dgm:t>
    </dgm:pt>
    <dgm:pt modelId="{1AB66E7D-55C5-42C0-90B5-010672F16E47}" type="pres">
      <dgm:prSet presAssocID="{207E54A7-1694-4077-B305-306C63C37484}" presName="node" presStyleLbl="node1" presStyleIdx="0" presStyleCnt="4">
        <dgm:presLayoutVars>
          <dgm:bulletEnabled val="1"/>
        </dgm:presLayoutVars>
      </dgm:prSet>
      <dgm:spPr/>
      <dgm:t>
        <a:bodyPr/>
        <a:lstStyle/>
        <a:p>
          <a:endParaRPr lang="ru-RU"/>
        </a:p>
      </dgm:t>
    </dgm:pt>
    <dgm:pt modelId="{A5A5B7B4-19F8-44C9-9A00-4DD8ADD17EBA}" type="pres">
      <dgm:prSet presAssocID="{D0C50D8A-B1B6-4B88-BFFB-A1313464C10B}" presName="sibTrans" presStyleLbl="sibTrans1D1" presStyleIdx="0" presStyleCnt="3"/>
      <dgm:spPr/>
      <dgm:t>
        <a:bodyPr/>
        <a:lstStyle/>
        <a:p>
          <a:endParaRPr lang="ru-RU"/>
        </a:p>
      </dgm:t>
    </dgm:pt>
    <dgm:pt modelId="{0BBBB5F6-2C5C-4FBD-8A0B-055C82A55516}" type="pres">
      <dgm:prSet presAssocID="{D0C50D8A-B1B6-4B88-BFFB-A1313464C10B}" presName="connectorText" presStyleLbl="sibTrans1D1" presStyleIdx="0" presStyleCnt="3"/>
      <dgm:spPr/>
      <dgm:t>
        <a:bodyPr/>
        <a:lstStyle/>
        <a:p>
          <a:endParaRPr lang="ru-RU"/>
        </a:p>
      </dgm:t>
    </dgm:pt>
    <dgm:pt modelId="{5BDC69B8-2B10-4307-AA74-071D1FBF4A17}" type="pres">
      <dgm:prSet presAssocID="{48089144-3D08-46A5-826E-0C02585186BD}" presName="node" presStyleLbl="node1" presStyleIdx="1" presStyleCnt="4">
        <dgm:presLayoutVars>
          <dgm:bulletEnabled val="1"/>
        </dgm:presLayoutVars>
      </dgm:prSet>
      <dgm:spPr/>
      <dgm:t>
        <a:bodyPr/>
        <a:lstStyle/>
        <a:p>
          <a:endParaRPr lang="ru-RU"/>
        </a:p>
      </dgm:t>
    </dgm:pt>
    <dgm:pt modelId="{EECAAEF7-6E59-436D-935D-03821960593C}" type="pres">
      <dgm:prSet presAssocID="{60078CAB-470C-4A11-A6F9-32CBD7ACDCBE}" presName="sibTrans" presStyleLbl="sibTrans1D1" presStyleIdx="1" presStyleCnt="3"/>
      <dgm:spPr/>
      <dgm:t>
        <a:bodyPr/>
        <a:lstStyle/>
        <a:p>
          <a:endParaRPr lang="ru-RU"/>
        </a:p>
      </dgm:t>
    </dgm:pt>
    <dgm:pt modelId="{BA1739C0-7922-435E-B878-9647802E2862}" type="pres">
      <dgm:prSet presAssocID="{60078CAB-470C-4A11-A6F9-32CBD7ACDCBE}" presName="connectorText" presStyleLbl="sibTrans1D1" presStyleIdx="1" presStyleCnt="3"/>
      <dgm:spPr/>
      <dgm:t>
        <a:bodyPr/>
        <a:lstStyle/>
        <a:p>
          <a:endParaRPr lang="ru-RU"/>
        </a:p>
      </dgm:t>
    </dgm:pt>
    <dgm:pt modelId="{50E127EC-A89B-4866-B3D9-E25AE64D0ADE}" type="pres">
      <dgm:prSet presAssocID="{3A02A13D-85BD-48F1-B5AE-715239565763}" presName="node" presStyleLbl="node1" presStyleIdx="2" presStyleCnt="4">
        <dgm:presLayoutVars>
          <dgm:bulletEnabled val="1"/>
        </dgm:presLayoutVars>
      </dgm:prSet>
      <dgm:spPr/>
      <dgm:t>
        <a:bodyPr/>
        <a:lstStyle/>
        <a:p>
          <a:endParaRPr lang="ru-RU"/>
        </a:p>
      </dgm:t>
    </dgm:pt>
    <dgm:pt modelId="{1BB072E1-4C9B-4A20-8FB7-138F52C19B0F}" type="pres">
      <dgm:prSet presAssocID="{6408A5DB-51FA-46CE-A08C-B67352FAD23F}" presName="sibTrans" presStyleLbl="sibTrans1D1" presStyleIdx="2" presStyleCnt="3"/>
      <dgm:spPr/>
      <dgm:t>
        <a:bodyPr/>
        <a:lstStyle/>
        <a:p>
          <a:endParaRPr lang="ru-RU"/>
        </a:p>
      </dgm:t>
    </dgm:pt>
    <dgm:pt modelId="{2732F7BD-C2C2-496D-A468-074B8F201FB4}" type="pres">
      <dgm:prSet presAssocID="{6408A5DB-51FA-46CE-A08C-B67352FAD23F}" presName="connectorText" presStyleLbl="sibTrans1D1" presStyleIdx="2" presStyleCnt="3"/>
      <dgm:spPr/>
      <dgm:t>
        <a:bodyPr/>
        <a:lstStyle/>
        <a:p>
          <a:endParaRPr lang="ru-RU"/>
        </a:p>
      </dgm:t>
    </dgm:pt>
    <dgm:pt modelId="{1A09A761-5706-4CE3-B85A-7CF0FDAB9BD9}" type="pres">
      <dgm:prSet presAssocID="{4A9F4577-1EA3-4D09-9192-D4EFB57A6162}" presName="node" presStyleLbl="node1" presStyleIdx="3" presStyleCnt="4">
        <dgm:presLayoutVars>
          <dgm:bulletEnabled val="1"/>
        </dgm:presLayoutVars>
      </dgm:prSet>
      <dgm:spPr/>
      <dgm:t>
        <a:bodyPr/>
        <a:lstStyle/>
        <a:p>
          <a:endParaRPr lang="ru-RU"/>
        </a:p>
      </dgm:t>
    </dgm:pt>
  </dgm:ptLst>
  <dgm:cxnLst>
    <dgm:cxn modelId="{8B33DF70-08E8-484D-A9BA-57AACD0EB8E0}" type="presOf" srcId="{DA1A1B31-F999-42E9-BEA6-9B3113F6A818}" destId="{0C968633-0D8E-4A6D-AE96-CB7DF13329A3}" srcOrd="0" destOrd="0" presId="urn:microsoft.com/office/officeart/2005/8/layout/bProcess3"/>
    <dgm:cxn modelId="{EA776AF1-7552-475D-A82C-BC03EB30043A}" type="presOf" srcId="{48089144-3D08-46A5-826E-0C02585186BD}" destId="{5BDC69B8-2B10-4307-AA74-071D1FBF4A17}" srcOrd="0" destOrd="0" presId="urn:microsoft.com/office/officeart/2005/8/layout/bProcess3"/>
    <dgm:cxn modelId="{DD312D54-24D5-46EB-9D69-3BC41A8F16BA}" srcId="{DA1A1B31-F999-42E9-BEA6-9B3113F6A818}" destId="{207E54A7-1694-4077-B305-306C63C37484}" srcOrd="0" destOrd="0" parTransId="{03432BEC-99D5-4AA5-91C3-234968B3BE97}" sibTransId="{D0C50D8A-B1B6-4B88-BFFB-A1313464C10B}"/>
    <dgm:cxn modelId="{97A5664D-35EF-4F27-9DA7-5C1DC45056C9}" type="presOf" srcId="{6408A5DB-51FA-46CE-A08C-B67352FAD23F}" destId="{2732F7BD-C2C2-496D-A468-074B8F201FB4}" srcOrd="1" destOrd="0" presId="urn:microsoft.com/office/officeart/2005/8/layout/bProcess3"/>
    <dgm:cxn modelId="{C3506220-9E60-4848-B94B-98D99B666284}" type="presOf" srcId="{207E54A7-1694-4077-B305-306C63C37484}" destId="{1AB66E7D-55C5-42C0-90B5-010672F16E47}" srcOrd="0" destOrd="0" presId="urn:microsoft.com/office/officeart/2005/8/layout/bProcess3"/>
    <dgm:cxn modelId="{10D3A567-AABC-4EF2-8AF9-D3CFD9616B99}" type="presOf" srcId="{6408A5DB-51FA-46CE-A08C-B67352FAD23F}" destId="{1BB072E1-4C9B-4A20-8FB7-138F52C19B0F}" srcOrd="0" destOrd="0" presId="urn:microsoft.com/office/officeart/2005/8/layout/bProcess3"/>
    <dgm:cxn modelId="{249DED98-4D62-4F3E-B5B0-22A5F593A4D0}" type="presOf" srcId="{3A02A13D-85BD-48F1-B5AE-715239565763}" destId="{50E127EC-A89B-4866-B3D9-E25AE64D0ADE}" srcOrd="0" destOrd="0" presId="urn:microsoft.com/office/officeart/2005/8/layout/bProcess3"/>
    <dgm:cxn modelId="{EF77C2D5-220D-44B7-82F4-67B1A10A5703}" srcId="{DA1A1B31-F999-42E9-BEA6-9B3113F6A818}" destId="{48089144-3D08-46A5-826E-0C02585186BD}" srcOrd="1" destOrd="0" parTransId="{DE401615-4228-464A-8268-18025EE3A89A}" sibTransId="{60078CAB-470C-4A11-A6F9-32CBD7ACDCBE}"/>
    <dgm:cxn modelId="{580F3079-B132-44E5-B86E-A72CE05462BE}" type="presOf" srcId="{4A9F4577-1EA3-4D09-9192-D4EFB57A6162}" destId="{1A09A761-5706-4CE3-B85A-7CF0FDAB9BD9}" srcOrd="0" destOrd="0" presId="urn:microsoft.com/office/officeart/2005/8/layout/bProcess3"/>
    <dgm:cxn modelId="{2291693A-D6AD-4C2B-B881-22A3714FDFD0}" type="presOf" srcId="{60078CAB-470C-4A11-A6F9-32CBD7ACDCBE}" destId="{BA1739C0-7922-435E-B878-9647802E2862}" srcOrd="1" destOrd="0" presId="urn:microsoft.com/office/officeart/2005/8/layout/bProcess3"/>
    <dgm:cxn modelId="{6504B81C-29FC-4FD0-8257-9F3C1C011D8D}" type="presOf" srcId="{D0C50D8A-B1B6-4B88-BFFB-A1313464C10B}" destId="{0BBBB5F6-2C5C-4FBD-8A0B-055C82A55516}" srcOrd="1" destOrd="0" presId="urn:microsoft.com/office/officeart/2005/8/layout/bProcess3"/>
    <dgm:cxn modelId="{C11748FE-57B6-4120-932A-89647713636C}" srcId="{DA1A1B31-F999-42E9-BEA6-9B3113F6A818}" destId="{3A02A13D-85BD-48F1-B5AE-715239565763}" srcOrd="2" destOrd="0" parTransId="{644A1924-BB17-4837-A8B1-51FEF3162FA5}" sibTransId="{6408A5DB-51FA-46CE-A08C-B67352FAD23F}"/>
    <dgm:cxn modelId="{C6DE8F1E-7B25-4EF5-8937-2189890CAC56}" type="presOf" srcId="{60078CAB-470C-4A11-A6F9-32CBD7ACDCBE}" destId="{EECAAEF7-6E59-436D-935D-03821960593C}" srcOrd="0" destOrd="0" presId="urn:microsoft.com/office/officeart/2005/8/layout/bProcess3"/>
    <dgm:cxn modelId="{7447ABCF-48A0-40D9-85F8-A320056DC517}" type="presOf" srcId="{D0C50D8A-B1B6-4B88-BFFB-A1313464C10B}" destId="{A5A5B7B4-19F8-44C9-9A00-4DD8ADD17EBA}" srcOrd="0" destOrd="0" presId="urn:microsoft.com/office/officeart/2005/8/layout/bProcess3"/>
    <dgm:cxn modelId="{07F9BDFB-C103-472D-AACD-7971D35CC3FC}" srcId="{DA1A1B31-F999-42E9-BEA6-9B3113F6A818}" destId="{4A9F4577-1EA3-4D09-9192-D4EFB57A6162}" srcOrd="3" destOrd="0" parTransId="{AE40E21B-C496-4822-9ED3-3ADA1AA816B8}" sibTransId="{DC6274FE-FEEA-4BFF-A67A-436C0C6F002A}"/>
    <dgm:cxn modelId="{DCA30B4B-4F1B-4ADC-BB1D-A4A102CF9220}" type="presParOf" srcId="{0C968633-0D8E-4A6D-AE96-CB7DF13329A3}" destId="{1AB66E7D-55C5-42C0-90B5-010672F16E47}" srcOrd="0" destOrd="0" presId="urn:microsoft.com/office/officeart/2005/8/layout/bProcess3"/>
    <dgm:cxn modelId="{432788AF-E156-42D8-A68D-95BF7E15702A}" type="presParOf" srcId="{0C968633-0D8E-4A6D-AE96-CB7DF13329A3}" destId="{A5A5B7B4-19F8-44C9-9A00-4DD8ADD17EBA}" srcOrd="1" destOrd="0" presId="urn:microsoft.com/office/officeart/2005/8/layout/bProcess3"/>
    <dgm:cxn modelId="{CD22EAE7-C557-4FA7-9AC0-F57657D7A79F}" type="presParOf" srcId="{A5A5B7B4-19F8-44C9-9A00-4DD8ADD17EBA}" destId="{0BBBB5F6-2C5C-4FBD-8A0B-055C82A55516}" srcOrd="0" destOrd="0" presId="urn:microsoft.com/office/officeart/2005/8/layout/bProcess3"/>
    <dgm:cxn modelId="{2355CB78-BBE0-4673-A911-3A3EF155E821}" type="presParOf" srcId="{0C968633-0D8E-4A6D-AE96-CB7DF13329A3}" destId="{5BDC69B8-2B10-4307-AA74-071D1FBF4A17}" srcOrd="2" destOrd="0" presId="urn:microsoft.com/office/officeart/2005/8/layout/bProcess3"/>
    <dgm:cxn modelId="{341E58AD-2CB9-4A5F-9EED-6FBD1BBACCFF}" type="presParOf" srcId="{0C968633-0D8E-4A6D-AE96-CB7DF13329A3}" destId="{EECAAEF7-6E59-436D-935D-03821960593C}" srcOrd="3" destOrd="0" presId="urn:microsoft.com/office/officeart/2005/8/layout/bProcess3"/>
    <dgm:cxn modelId="{12134EC9-767E-4E1A-9526-05CC1B794CA5}" type="presParOf" srcId="{EECAAEF7-6E59-436D-935D-03821960593C}" destId="{BA1739C0-7922-435E-B878-9647802E2862}" srcOrd="0" destOrd="0" presId="urn:microsoft.com/office/officeart/2005/8/layout/bProcess3"/>
    <dgm:cxn modelId="{9AA55C50-DDFB-4C65-9445-F3392B4008A8}" type="presParOf" srcId="{0C968633-0D8E-4A6D-AE96-CB7DF13329A3}" destId="{50E127EC-A89B-4866-B3D9-E25AE64D0ADE}" srcOrd="4" destOrd="0" presId="urn:microsoft.com/office/officeart/2005/8/layout/bProcess3"/>
    <dgm:cxn modelId="{79D2D987-3249-43B1-B102-C0F4C5B2131B}" type="presParOf" srcId="{0C968633-0D8E-4A6D-AE96-CB7DF13329A3}" destId="{1BB072E1-4C9B-4A20-8FB7-138F52C19B0F}" srcOrd="5" destOrd="0" presId="urn:microsoft.com/office/officeart/2005/8/layout/bProcess3"/>
    <dgm:cxn modelId="{9C7BE030-68AD-49DA-B814-EAD38F9E0622}" type="presParOf" srcId="{1BB072E1-4C9B-4A20-8FB7-138F52C19B0F}" destId="{2732F7BD-C2C2-496D-A468-074B8F201FB4}" srcOrd="0" destOrd="0" presId="urn:microsoft.com/office/officeart/2005/8/layout/bProcess3"/>
    <dgm:cxn modelId="{B972F856-EAD9-420F-8434-73AC728F23C2}" type="presParOf" srcId="{0C968633-0D8E-4A6D-AE96-CB7DF13329A3}" destId="{1A09A761-5706-4CE3-B85A-7CF0FDAB9BD9}" srcOrd="6" destOrd="0" presId="urn:microsoft.com/office/officeart/2005/8/layout/bProcess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DAD6CCB-4022-4293-938A-C7F80139D7FF}" type="doc">
      <dgm:prSet loTypeId="urn:microsoft.com/office/officeart/2005/8/layout/hierarchy2" loCatId="hierarchy" qsTypeId="urn:microsoft.com/office/officeart/2005/8/quickstyle/simple5" qsCatId="simple" csTypeId="urn:microsoft.com/office/officeart/2005/8/colors/accent0_1" csCatId="mainScheme" phldr="1"/>
      <dgm:spPr/>
      <dgm:t>
        <a:bodyPr/>
        <a:lstStyle/>
        <a:p>
          <a:endParaRPr lang="ru-RU"/>
        </a:p>
      </dgm:t>
    </dgm:pt>
    <dgm:pt modelId="{4035F161-54C5-4C86-9591-ECBA208C3E7B}">
      <dgm:prSet phldrT="[Текст]" custT="1"/>
      <dgm:spPr/>
      <dgm:t>
        <a:bodyPr/>
        <a:lstStyle/>
        <a:p>
          <a:r>
            <a:rPr lang="ru-RU" sz="1100" b="0" i="1">
              <a:latin typeface="Times New Roman" panose="02020603050405020304" pitchFamily="18" charset="0"/>
              <a:cs typeface="Times New Roman" panose="02020603050405020304" pitchFamily="18" charset="0"/>
            </a:rPr>
            <a:t>ВЕКТОР</a:t>
          </a:r>
        </a:p>
      </dgm:t>
    </dgm:pt>
    <dgm:pt modelId="{43497FCA-800C-42C6-962B-77647FBCEAE9}" type="parTrans" cxnId="{81192AA1-6470-41F8-9A7A-220BF4050CC2}">
      <dgm:prSet/>
      <dgm:spPr/>
      <dgm:t>
        <a:bodyPr/>
        <a:lstStyle/>
        <a:p>
          <a:endParaRPr lang="ru-RU" sz="1100">
            <a:latin typeface="Times New Roman" panose="02020603050405020304" pitchFamily="18" charset="0"/>
            <a:cs typeface="Times New Roman" panose="02020603050405020304" pitchFamily="18" charset="0"/>
          </a:endParaRPr>
        </a:p>
      </dgm:t>
    </dgm:pt>
    <dgm:pt modelId="{78E28544-451E-4B97-B70D-8CDA56099C70}" type="sibTrans" cxnId="{81192AA1-6470-41F8-9A7A-220BF4050CC2}">
      <dgm:prSet/>
      <dgm:spPr/>
      <dgm:t>
        <a:bodyPr/>
        <a:lstStyle/>
        <a:p>
          <a:endParaRPr lang="ru-RU" sz="1100">
            <a:latin typeface="Times New Roman" panose="02020603050405020304" pitchFamily="18" charset="0"/>
            <a:cs typeface="Times New Roman" panose="02020603050405020304" pitchFamily="18" charset="0"/>
          </a:endParaRPr>
        </a:p>
      </dgm:t>
    </dgm:pt>
    <dgm:pt modelId="{ED2CF210-696C-444E-92A1-CEA006782B89}">
      <dgm:prSet phldrT="[Текст]" custT="1"/>
      <dgm:spPr/>
      <dgm:t>
        <a:bodyPr/>
        <a:lstStyle/>
        <a:p>
          <a:r>
            <a:rPr lang="ru-RU" sz="1100" i="1">
              <a:latin typeface="Times New Roman" panose="02020603050405020304" pitchFamily="18" charset="0"/>
              <a:cs typeface="Times New Roman" panose="02020603050405020304" pitchFamily="18" charset="0"/>
            </a:rPr>
            <a:t>Реактивный</a:t>
          </a:r>
        </a:p>
      </dgm:t>
    </dgm:pt>
    <dgm:pt modelId="{3DAFCC9A-807D-4FB8-BFD9-63AB7F5B6AFA}" type="parTrans" cxnId="{D42BDBF6-8931-4FA3-8CE0-085813ED702B}">
      <dgm:prSet custT="1"/>
      <dgm:spPr/>
      <dgm:t>
        <a:bodyPr/>
        <a:lstStyle/>
        <a:p>
          <a:endParaRPr lang="ru-RU" sz="1100">
            <a:latin typeface="Times New Roman" panose="02020603050405020304" pitchFamily="18" charset="0"/>
            <a:cs typeface="Times New Roman" panose="02020603050405020304" pitchFamily="18" charset="0"/>
          </a:endParaRPr>
        </a:p>
      </dgm:t>
    </dgm:pt>
    <dgm:pt modelId="{B3666BFB-76D8-4C93-BFCA-69C69BD8ED27}" type="sibTrans" cxnId="{D42BDBF6-8931-4FA3-8CE0-085813ED702B}">
      <dgm:prSet/>
      <dgm:spPr/>
      <dgm:t>
        <a:bodyPr/>
        <a:lstStyle/>
        <a:p>
          <a:endParaRPr lang="ru-RU" sz="1100">
            <a:latin typeface="Times New Roman" panose="02020603050405020304" pitchFamily="18" charset="0"/>
            <a:cs typeface="Times New Roman" panose="02020603050405020304" pitchFamily="18" charset="0"/>
          </a:endParaRPr>
        </a:p>
      </dgm:t>
    </dgm:pt>
    <dgm:pt modelId="{EE3F2677-2107-4DF8-BE00-CB89102CBA66}">
      <dgm:prSet phldrT="[Текст]" custT="1"/>
      <dgm:spPr/>
      <dgm:t>
        <a:bodyPr/>
        <a:lstStyle/>
        <a:p>
          <a:r>
            <a:rPr lang="ru-RU" sz="1100" b="0" i="1">
              <a:latin typeface="Times New Roman" panose="02020603050405020304" pitchFamily="18" charset="0"/>
              <a:cs typeface="Times New Roman" panose="02020603050405020304" pitchFamily="18" charset="0"/>
            </a:rPr>
            <a:t>Механизм ЕС</a:t>
          </a:r>
        </a:p>
        <a:p>
          <a:r>
            <a:rPr lang="ru-RU" sz="1100">
              <a:latin typeface="Times New Roman" panose="02020603050405020304" pitchFamily="18" charset="0"/>
              <a:cs typeface="Times New Roman" panose="02020603050405020304" pitchFamily="18" charset="0"/>
            </a:rPr>
            <a:t>Санкции EUGHRSR</a:t>
          </a:r>
        </a:p>
      </dgm:t>
    </dgm:pt>
    <dgm:pt modelId="{1E15E1CB-EB3B-4000-BCB2-817F53F983C0}" type="parTrans" cxnId="{85CDDA96-6D91-4892-83DA-9EE67F2F9406}">
      <dgm:prSet custT="1"/>
      <dgm:spPr/>
      <dgm:t>
        <a:bodyPr/>
        <a:lstStyle/>
        <a:p>
          <a:endParaRPr lang="ru-RU" sz="1100">
            <a:latin typeface="Times New Roman" panose="02020603050405020304" pitchFamily="18" charset="0"/>
            <a:cs typeface="Times New Roman" panose="02020603050405020304" pitchFamily="18" charset="0"/>
          </a:endParaRPr>
        </a:p>
      </dgm:t>
    </dgm:pt>
    <dgm:pt modelId="{7E4359B7-55D5-43DF-9C21-7AF10FE5DA0D}" type="sibTrans" cxnId="{85CDDA96-6D91-4892-83DA-9EE67F2F9406}">
      <dgm:prSet/>
      <dgm:spPr/>
      <dgm:t>
        <a:bodyPr/>
        <a:lstStyle/>
        <a:p>
          <a:endParaRPr lang="ru-RU" sz="1100">
            <a:latin typeface="Times New Roman" panose="02020603050405020304" pitchFamily="18" charset="0"/>
            <a:cs typeface="Times New Roman" panose="02020603050405020304" pitchFamily="18" charset="0"/>
          </a:endParaRPr>
        </a:p>
      </dgm:t>
    </dgm:pt>
    <dgm:pt modelId="{A1E1993B-7A34-4E97-AC50-386A76DBFC98}">
      <dgm:prSet phldrT="[Текст]" custT="1"/>
      <dgm:spPr/>
      <dgm:t>
        <a:bodyPr/>
        <a:lstStyle/>
        <a:p>
          <a:r>
            <a:rPr lang="ru-RU" sz="1100" b="0" i="1">
              <a:latin typeface="Times New Roman" panose="02020603050405020304" pitchFamily="18" charset="0"/>
              <a:cs typeface="Times New Roman" panose="02020603050405020304" pitchFamily="18" charset="0"/>
            </a:rPr>
            <a:t>Цель и эффект</a:t>
          </a:r>
        </a:p>
        <a:p>
          <a:r>
            <a:rPr lang="ru-RU" sz="1100">
              <a:latin typeface="Times New Roman" panose="02020603050405020304" pitchFamily="18" charset="0"/>
              <a:cs typeface="Times New Roman" panose="02020603050405020304" pitchFamily="18" charset="0"/>
            </a:rPr>
            <a:t>Наказание и сдерживание нарушителей</a:t>
          </a:r>
        </a:p>
      </dgm:t>
    </dgm:pt>
    <dgm:pt modelId="{0ACF16A2-A57D-4116-9494-E3C3D28F909A}" type="parTrans" cxnId="{9427BE11-D79D-4048-A227-9B385D57D4EB}">
      <dgm:prSet custT="1"/>
      <dgm:spPr/>
      <dgm:t>
        <a:bodyPr/>
        <a:lstStyle/>
        <a:p>
          <a:endParaRPr lang="ru-RU" sz="1100">
            <a:latin typeface="Times New Roman" panose="02020603050405020304" pitchFamily="18" charset="0"/>
            <a:cs typeface="Times New Roman" panose="02020603050405020304" pitchFamily="18" charset="0"/>
          </a:endParaRPr>
        </a:p>
      </dgm:t>
    </dgm:pt>
    <dgm:pt modelId="{565229EF-B723-44F3-AB5E-8AC7A6E48FC1}" type="sibTrans" cxnId="{9427BE11-D79D-4048-A227-9B385D57D4EB}">
      <dgm:prSet/>
      <dgm:spPr/>
      <dgm:t>
        <a:bodyPr/>
        <a:lstStyle/>
        <a:p>
          <a:endParaRPr lang="ru-RU" sz="1100">
            <a:latin typeface="Times New Roman" panose="02020603050405020304" pitchFamily="18" charset="0"/>
            <a:cs typeface="Times New Roman" panose="02020603050405020304" pitchFamily="18" charset="0"/>
          </a:endParaRPr>
        </a:p>
      </dgm:t>
    </dgm:pt>
    <dgm:pt modelId="{8F998AAC-4B78-4E1D-BB02-91A658BC4101}">
      <dgm:prSet phldrT="[Текст]" custT="1"/>
      <dgm:spPr/>
      <dgm:t>
        <a:bodyPr/>
        <a:lstStyle/>
        <a:p>
          <a:r>
            <a:rPr lang="ru-RU" sz="1100" i="1">
              <a:latin typeface="Times New Roman" panose="02020603050405020304" pitchFamily="18" charset="0"/>
              <a:cs typeface="Times New Roman" panose="02020603050405020304" pitchFamily="18" charset="0"/>
            </a:rPr>
            <a:t>Проактивный</a:t>
          </a:r>
        </a:p>
      </dgm:t>
    </dgm:pt>
    <dgm:pt modelId="{C7E85BAD-C201-40D2-9877-50CCCA4A6B2F}" type="parTrans" cxnId="{9B7609C4-6C0D-4F77-8D68-E9E39B50DB90}">
      <dgm:prSet custT="1"/>
      <dgm:spPr/>
      <dgm:t>
        <a:bodyPr/>
        <a:lstStyle/>
        <a:p>
          <a:endParaRPr lang="ru-RU" sz="1100">
            <a:latin typeface="Times New Roman" panose="02020603050405020304" pitchFamily="18" charset="0"/>
            <a:cs typeface="Times New Roman" panose="02020603050405020304" pitchFamily="18" charset="0"/>
          </a:endParaRPr>
        </a:p>
      </dgm:t>
    </dgm:pt>
    <dgm:pt modelId="{EB8725CB-7F8B-4D8A-857E-1FD4B1398AF6}" type="sibTrans" cxnId="{9B7609C4-6C0D-4F77-8D68-E9E39B50DB90}">
      <dgm:prSet/>
      <dgm:spPr/>
      <dgm:t>
        <a:bodyPr/>
        <a:lstStyle/>
        <a:p>
          <a:endParaRPr lang="ru-RU" sz="1100">
            <a:latin typeface="Times New Roman" panose="02020603050405020304" pitchFamily="18" charset="0"/>
            <a:cs typeface="Times New Roman" panose="02020603050405020304" pitchFamily="18" charset="0"/>
          </a:endParaRPr>
        </a:p>
      </dgm:t>
    </dgm:pt>
    <dgm:pt modelId="{177EAFDF-E222-4C0B-9E3D-B55AECA060BC}">
      <dgm:prSet phldrT="[Текст]" custT="1"/>
      <dgm:spPr/>
      <dgm:t>
        <a:bodyPr/>
        <a:lstStyle/>
        <a:p>
          <a:r>
            <a:rPr lang="ru-RU" sz="1100" b="0" i="1">
              <a:latin typeface="Times New Roman" panose="02020603050405020304" pitchFamily="18" charset="0"/>
              <a:cs typeface="Times New Roman" panose="02020603050405020304" pitchFamily="18" charset="0"/>
            </a:rPr>
            <a:t>Механизм ЕС                     </a:t>
          </a:r>
          <a:r>
            <a:rPr lang="ru-RU" sz="1100">
              <a:latin typeface="Times New Roman" panose="02020603050405020304" pitchFamily="18" charset="0"/>
              <a:cs typeface="Times New Roman" panose="02020603050405020304" pitchFamily="18" charset="0"/>
            </a:rPr>
            <a:t>EEAS, NDICI, тематические диалоги</a:t>
          </a:r>
        </a:p>
      </dgm:t>
    </dgm:pt>
    <dgm:pt modelId="{963BD0AB-B361-4BFC-8C6D-DFD4977DB3F7}" type="parTrans" cxnId="{A515D38B-3C35-443B-B2C8-F2C01B2B52C0}">
      <dgm:prSet custT="1"/>
      <dgm:spPr/>
      <dgm:t>
        <a:bodyPr/>
        <a:lstStyle/>
        <a:p>
          <a:endParaRPr lang="ru-RU" sz="1100">
            <a:latin typeface="Times New Roman" panose="02020603050405020304" pitchFamily="18" charset="0"/>
            <a:cs typeface="Times New Roman" panose="02020603050405020304" pitchFamily="18" charset="0"/>
          </a:endParaRPr>
        </a:p>
      </dgm:t>
    </dgm:pt>
    <dgm:pt modelId="{B31E14E7-6D16-4CB3-B599-A908F9DED56C}" type="sibTrans" cxnId="{A515D38B-3C35-443B-B2C8-F2C01B2B52C0}">
      <dgm:prSet/>
      <dgm:spPr/>
      <dgm:t>
        <a:bodyPr/>
        <a:lstStyle/>
        <a:p>
          <a:endParaRPr lang="ru-RU" sz="1100">
            <a:latin typeface="Times New Roman" panose="02020603050405020304" pitchFamily="18" charset="0"/>
            <a:cs typeface="Times New Roman" panose="02020603050405020304" pitchFamily="18" charset="0"/>
          </a:endParaRPr>
        </a:p>
      </dgm:t>
    </dgm:pt>
    <dgm:pt modelId="{1D7571A1-A29D-4B32-9E53-96A69BC36F69}">
      <dgm:prSet custT="1"/>
      <dgm:spPr/>
      <dgm:t>
        <a:bodyPr/>
        <a:lstStyle/>
        <a:p>
          <a:r>
            <a:rPr lang="ru-RU" sz="1100" b="0" i="1">
              <a:latin typeface="Times New Roman" panose="02020603050405020304" pitchFamily="18" charset="0"/>
              <a:cs typeface="Times New Roman" panose="02020603050405020304" pitchFamily="18" charset="0"/>
            </a:rPr>
            <a:t>Цель и эффект</a:t>
          </a:r>
        </a:p>
        <a:p>
          <a:r>
            <a:rPr lang="ru-RU" sz="1100">
              <a:latin typeface="Times New Roman" panose="02020603050405020304" pitchFamily="18" charset="0"/>
              <a:cs typeface="Times New Roman" panose="02020603050405020304" pitchFamily="18" charset="0"/>
            </a:rPr>
            <a:t>Поддержка и вовлечение партнеров</a:t>
          </a:r>
        </a:p>
      </dgm:t>
    </dgm:pt>
    <dgm:pt modelId="{E0566C6D-42E7-4A20-BD3D-01056270840E}" type="parTrans" cxnId="{75E3C74F-55BD-4D04-A798-FDF57B49B8F2}">
      <dgm:prSet custT="1"/>
      <dgm:spPr/>
      <dgm:t>
        <a:bodyPr/>
        <a:lstStyle/>
        <a:p>
          <a:endParaRPr lang="ru-RU" sz="1100">
            <a:latin typeface="Times New Roman" panose="02020603050405020304" pitchFamily="18" charset="0"/>
            <a:cs typeface="Times New Roman" panose="02020603050405020304" pitchFamily="18" charset="0"/>
          </a:endParaRPr>
        </a:p>
      </dgm:t>
    </dgm:pt>
    <dgm:pt modelId="{21905BAC-3DA6-4C88-84E5-CF959209A0CC}" type="sibTrans" cxnId="{75E3C74F-55BD-4D04-A798-FDF57B49B8F2}">
      <dgm:prSet/>
      <dgm:spPr/>
      <dgm:t>
        <a:bodyPr/>
        <a:lstStyle/>
        <a:p>
          <a:endParaRPr lang="ru-RU" sz="1100">
            <a:latin typeface="Times New Roman" panose="02020603050405020304" pitchFamily="18" charset="0"/>
            <a:cs typeface="Times New Roman" panose="02020603050405020304" pitchFamily="18" charset="0"/>
          </a:endParaRPr>
        </a:p>
      </dgm:t>
    </dgm:pt>
    <dgm:pt modelId="{B0F515D6-1849-46EF-821B-A34F4A4E05D9}">
      <dgm:prSet custT="1"/>
      <dgm:spPr/>
      <dgm:t>
        <a:bodyPr/>
        <a:lstStyle/>
        <a:p>
          <a:r>
            <a:rPr lang="ru-RU" sz="1100" b="0" i="1">
              <a:latin typeface="Times New Roman" panose="02020603050405020304" pitchFamily="18" charset="0"/>
              <a:cs typeface="Times New Roman" panose="02020603050405020304" pitchFamily="18" charset="0"/>
            </a:rPr>
            <a:t>Цель и эффект</a:t>
          </a:r>
        </a:p>
        <a:p>
          <a:r>
            <a:rPr lang="ru-RU" sz="1100">
              <a:latin typeface="Times New Roman" panose="02020603050405020304" pitchFamily="18" charset="0"/>
              <a:cs typeface="Times New Roman" panose="02020603050405020304" pitchFamily="18" charset="0"/>
            </a:rPr>
            <a:t>Институционализация стандартов прав человека и устойчивости</a:t>
          </a:r>
        </a:p>
      </dgm:t>
    </dgm:pt>
    <dgm:pt modelId="{64C4CE0A-564E-4801-BEBF-7742905D02DA}" type="parTrans" cxnId="{839A0E43-F596-4DD4-98CE-0E47BDA62C15}">
      <dgm:prSet custT="1"/>
      <dgm:spPr/>
      <dgm:t>
        <a:bodyPr/>
        <a:lstStyle/>
        <a:p>
          <a:endParaRPr lang="ru-RU" sz="1100">
            <a:latin typeface="Times New Roman" panose="02020603050405020304" pitchFamily="18" charset="0"/>
            <a:cs typeface="Times New Roman" panose="02020603050405020304" pitchFamily="18" charset="0"/>
          </a:endParaRPr>
        </a:p>
      </dgm:t>
    </dgm:pt>
    <dgm:pt modelId="{59B83E84-AF1E-474E-A473-132D62E1244A}" type="sibTrans" cxnId="{839A0E43-F596-4DD4-98CE-0E47BDA62C15}">
      <dgm:prSet/>
      <dgm:spPr/>
      <dgm:t>
        <a:bodyPr/>
        <a:lstStyle/>
        <a:p>
          <a:endParaRPr lang="ru-RU" sz="1100">
            <a:latin typeface="Times New Roman" panose="02020603050405020304" pitchFamily="18" charset="0"/>
            <a:cs typeface="Times New Roman" panose="02020603050405020304" pitchFamily="18" charset="0"/>
          </a:endParaRPr>
        </a:p>
      </dgm:t>
    </dgm:pt>
    <dgm:pt modelId="{20ED12B1-1970-4540-8B0D-639FDC1B5F2D}">
      <dgm:prSet custT="1"/>
      <dgm:spPr/>
      <dgm:t>
        <a:bodyPr/>
        <a:lstStyle/>
        <a:p>
          <a:r>
            <a:rPr lang="ru-RU" sz="1100" b="0" i="1">
              <a:latin typeface="Times New Roman" panose="02020603050405020304" pitchFamily="18" charset="0"/>
              <a:cs typeface="Times New Roman" panose="02020603050405020304" pitchFamily="18" charset="0"/>
            </a:rPr>
            <a:t>Механизм ЕС </a:t>
          </a:r>
        </a:p>
        <a:p>
          <a:r>
            <a:rPr lang="ru-RU" sz="1100">
              <a:latin typeface="Times New Roman" panose="02020603050405020304" pitchFamily="18" charset="0"/>
              <a:cs typeface="Times New Roman" panose="02020603050405020304" pitchFamily="18" charset="0"/>
            </a:rPr>
            <a:t>ESG-регулирование (CSRD, SFDR, CSDDD)</a:t>
          </a:r>
        </a:p>
      </dgm:t>
    </dgm:pt>
    <dgm:pt modelId="{86D4D332-499C-4B99-BA72-403EB38A4DB6}" type="parTrans" cxnId="{84184117-1521-4B6F-8B0F-E1BB8017423D}">
      <dgm:prSet custT="1"/>
      <dgm:spPr/>
      <dgm:t>
        <a:bodyPr/>
        <a:lstStyle/>
        <a:p>
          <a:endParaRPr lang="ru-RU" sz="1100">
            <a:latin typeface="Times New Roman" panose="02020603050405020304" pitchFamily="18" charset="0"/>
            <a:cs typeface="Times New Roman" panose="02020603050405020304" pitchFamily="18" charset="0"/>
          </a:endParaRPr>
        </a:p>
      </dgm:t>
    </dgm:pt>
    <dgm:pt modelId="{126DD340-5DD8-40A2-8F14-95C43F046929}" type="sibTrans" cxnId="{84184117-1521-4B6F-8B0F-E1BB8017423D}">
      <dgm:prSet/>
      <dgm:spPr/>
      <dgm:t>
        <a:bodyPr/>
        <a:lstStyle/>
        <a:p>
          <a:endParaRPr lang="ru-RU" sz="1100">
            <a:latin typeface="Times New Roman" panose="02020603050405020304" pitchFamily="18" charset="0"/>
            <a:cs typeface="Times New Roman" panose="02020603050405020304" pitchFamily="18" charset="0"/>
          </a:endParaRPr>
        </a:p>
      </dgm:t>
    </dgm:pt>
    <dgm:pt modelId="{73A76BDF-A39F-4F4C-823F-265D209F4119}">
      <dgm:prSet custT="1"/>
      <dgm:spPr/>
      <dgm:t>
        <a:bodyPr/>
        <a:lstStyle/>
        <a:p>
          <a:r>
            <a:rPr lang="ru-RU" sz="1100" i="1">
              <a:latin typeface="Times New Roman" panose="02020603050405020304" pitchFamily="18" charset="0"/>
              <a:cs typeface="Times New Roman" panose="02020603050405020304" pitchFamily="18" charset="0"/>
            </a:rPr>
            <a:t>Структурный</a:t>
          </a:r>
        </a:p>
      </dgm:t>
    </dgm:pt>
    <dgm:pt modelId="{BE288B63-A51B-4081-92F8-0D7A1109BF92}" type="sibTrans" cxnId="{9B04EDF6-538B-4F4F-938E-87AC35DED79E}">
      <dgm:prSet/>
      <dgm:spPr/>
      <dgm:t>
        <a:bodyPr/>
        <a:lstStyle/>
        <a:p>
          <a:endParaRPr lang="ru-RU" sz="1100">
            <a:latin typeface="Times New Roman" panose="02020603050405020304" pitchFamily="18" charset="0"/>
            <a:cs typeface="Times New Roman" panose="02020603050405020304" pitchFamily="18" charset="0"/>
          </a:endParaRPr>
        </a:p>
      </dgm:t>
    </dgm:pt>
    <dgm:pt modelId="{32B19054-7FEE-4593-BFE1-28BC56353DCB}" type="parTrans" cxnId="{9B04EDF6-538B-4F4F-938E-87AC35DED79E}">
      <dgm:prSet custT="1"/>
      <dgm:spPr/>
      <dgm:t>
        <a:bodyPr/>
        <a:lstStyle/>
        <a:p>
          <a:endParaRPr lang="ru-RU" sz="1100">
            <a:latin typeface="Times New Roman" panose="02020603050405020304" pitchFamily="18" charset="0"/>
            <a:cs typeface="Times New Roman" panose="02020603050405020304" pitchFamily="18" charset="0"/>
          </a:endParaRPr>
        </a:p>
      </dgm:t>
    </dgm:pt>
    <dgm:pt modelId="{1F7ECB42-0771-483A-9754-A63010BD8992}" type="pres">
      <dgm:prSet presAssocID="{9DAD6CCB-4022-4293-938A-C7F80139D7FF}" presName="diagram" presStyleCnt="0">
        <dgm:presLayoutVars>
          <dgm:chPref val="1"/>
          <dgm:dir/>
          <dgm:animOne val="branch"/>
          <dgm:animLvl val="lvl"/>
          <dgm:resizeHandles val="exact"/>
        </dgm:presLayoutVars>
      </dgm:prSet>
      <dgm:spPr/>
      <dgm:t>
        <a:bodyPr/>
        <a:lstStyle/>
        <a:p>
          <a:endParaRPr lang="ru-RU"/>
        </a:p>
      </dgm:t>
    </dgm:pt>
    <dgm:pt modelId="{D6440BCB-CBEE-4E22-A1DA-8404887A4CA6}" type="pres">
      <dgm:prSet presAssocID="{4035F161-54C5-4C86-9591-ECBA208C3E7B}" presName="root1" presStyleCnt="0"/>
      <dgm:spPr/>
    </dgm:pt>
    <dgm:pt modelId="{7DF26864-70C3-4429-89BD-F85BBAF05F1A}" type="pres">
      <dgm:prSet presAssocID="{4035F161-54C5-4C86-9591-ECBA208C3E7B}" presName="LevelOneTextNode" presStyleLbl="node0" presStyleIdx="0" presStyleCnt="1" custLinFactNeighborX="-61577" custLinFactNeighborY="-15052">
        <dgm:presLayoutVars>
          <dgm:chPref val="3"/>
        </dgm:presLayoutVars>
      </dgm:prSet>
      <dgm:spPr/>
      <dgm:t>
        <a:bodyPr/>
        <a:lstStyle/>
        <a:p>
          <a:endParaRPr lang="ru-RU"/>
        </a:p>
      </dgm:t>
    </dgm:pt>
    <dgm:pt modelId="{ADB5AD9C-E0EB-4C59-B35F-3D0A64D99371}" type="pres">
      <dgm:prSet presAssocID="{4035F161-54C5-4C86-9591-ECBA208C3E7B}" presName="level2hierChild" presStyleCnt="0"/>
      <dgm:spPr/>
    </dgm:pt>
    <dgm:pt modelId="{42E65DC5-297E-4689-A94A-F01B6FBE4991}" type="pres">
      <dgm:prSet presAssocID="{3DAFCC9A-807D-4FB8-BFD9-63AB7F5B6AFA}" presName="conn2-1" presStyleLbl="parChTrans1D2" presStyleIdx="0" presStyleCnt="3"/>
      <dgm:spPr/>
      <dgm:t>
        <a:bodyPr/>
        <a:lstStyle/>
        <a:p>
          <a:endParaRPr lang="ru-RU"/>
        </a:p>
      </dgm:t>
    </dgm:pt>
    <dgm:pt modelId="{B423D6DB-1417-423F-BE99-7E01A93964B7}" type="pres">
      <dgm:prSet presAssocID="{3DAFCC9A-807D-4FB8-BFD9-63AB7F5B6AFA}" presName="connTx" presStyleLbl="parChTrans1D2" presStyleIdx="0" presStyleCnt="3"/>
      <dgm:spPr/>
      <dgm:t>
        <a:bodyPr/>
        <a:lstStyle/>
        <a:p>
          <a:endParaRPr lang="ru-RU"/>
        </a:p>
      </dgm:t>
    </dgm:pt>
    <dgm:pt modelId="{E47AAD96-1695-4E8E-84D8-5A8829C8D2E1}" type="pres">
      <dgm:prSet presAssocID="{ED2CF210-696C-444E-92A1-CEA006782B89}" presName="root2" presStyleCnt="0"/>
      <dgm:spPr/>
    </dgm:pt>
    <dgm:pt modelId="{00FB3BB6-01BC-4595-A71C-3F86F4176742}" type="pres">
      <dgm:prSet presAssocID="{ED2CF210-696C-444E-92A1-CEA006782B89}" presName="LevelTwoTextNode" presStyleLbl="node2" presStyleIdx="0" presStyleCnt="3" custScaleY="100545" custLinFactNeighborX="-56475" custLinFactNeighborY="-42783">
        <dgm:presLayoutVars>
          <dgm:chPref val="3"/>
        </dgm:presLayoutVars>
      </dgm:prSet>
      <dgm:spPr/>
      <dgm:t>
        <a:bodyPr/>
        <a:lstStyle/>
        <a:p>
          <a:endParaRPr lang="ru-RU"/>
        </a:p>
      </dgm:t>
    </dgm:pt>
    <dgm:pt modelId="{D5755011-A159-493E-B6FC-43E4D1021AA1}" type="pres">
      <dgm:prSet presAssocID="{ED2CF210-696C-444E-92A1-CEA006782B89}" presName="level3hierChild" presStyleCnt="0"/>
      <dgm:spPr/>
    </dgm:pt>
    <dgm:pt modelId="{786B9F1E-ECDA-4FE0-8A6D-F8D6DBDA1F70}" type="pres">
      <dgm:prSet presAssocID="{1E15E1CB-EB3B-4000-BCB2-817F53F983C0}" presName="conn2-1" presStyleLbl="parChTrans1D3" presStyleIdx="0" presStyleCnt="6"/>
      <dgm:spPr/>
      <dgm:t>
        <a:bodyPr/>
        <a:lstStyle/>
        <a:p>
          <a:endParaRPr lang="ru-RU"/>
        </a:p>
      </dgm:t>
    </dgm:pt>
    <dgm:pt modelId="{B44D5679-10DE-42CC-A40C-DD4BA912384F}" type="pres">
      <dgm:prSet presAssocID="{1E15E1CB-EB3B-4000-BCB2-817F53F983C0}" presName="connTx" presStyleLbl="parChTrans1D3" presStyleIdx="0" presStyleCnt="6"/>
      <dgm:spPr/>
      <dgm:t>
        <a:bodyPr/>
        <a:lstStyle/>
        <a:p>
          <a:endParaRPr lang="ru-RU"/>
        </a:p>
      </dgm:t>
    </dgm:pt>
    <dgm:pt modelId="{1A5B5611-167C-4E44-AE3B-C9C525C6B944}" type="pres">
      <dgm:prSet presAssocID="{EE3F2677-2107-4DF8-BE00-CB89102CBA66}" presName="root2" presStyleCnt="0"/>
      <dgm:spPr/>
    </dgm:pt>
    <dgm:pt modelId="{DE4C12C4-4ED5-4C66-9333-F09174993ADE}" type="pres">
      <dgm:prSet presAssocID="{EE3F2677-2107-4DF8-BE00-CB89102CBA66}" presName="LevelTwoTextNode" presStyleLbl="node3" presStyleIdx="0" presStyleCnt="6" custScaleX="186207" custLinFactNeighborX="-4755" custLinFactNeighborY="-34868">
        <dgm:presLayoutVars>
          <dgm:chPref val="3"/>
        </dgm:presLayoutVars>
      </dgm:prSet>
      <dgm:spPr/>
      <dgm:t>
        <a:bodyPr/>
        <a:lstStyle/>
        <a:p>
          <a:endParaRPr lang="ru-RU"/>
        </a:p>
      </dgm:t>
    </dgm:pt>
    <dgm:pt modelId="{9E3A7AD7-ED1B-4743-B252-779F225071AC}" type="pres">
      <dgm:prSet presAssocID="{EE3F2677-2107-4DF8-BE00-CB89102CBA66}" presName="level3hierChild" presStyleCnt="0"/>
      <dgm:spPr/>
    </dgm:pt>
    <dgm:pt modelId="{1AB3C2A9-74F9-454E-875B-6CE22294077B}" type="pres">
      <dgm:prSet presAssocID="{0ACF16A2-A57D-4116-9494-E3C3D28F909A}" presName="conn2-1" presStyleLbl="parChTrans1D3" presStyleIdx="1" presStyleCnt="6"/>
      <dgm:spPr/>
      <dgm:t>
        <a:bodyPr/>
        <a:lstStyle/>
        <a:p>
          <a:endParaRPr lang="ru-RU"/>
        </a:p>
      </dgm:t>
    </dgm:pt>
    <dgm:pt modelId="{6F44195A-59B4-47A9-9B30-52F08833B1A7}" type="pres">
      <dgm:prSet presAssocID="{0ACF16A2-A57D-4116-9494-E3C3D28F909A}" presName="connTx" presStyleLbl="parChTrans1D3" presStyleIdx="1" presStyleCnt="6"/>
      <dgm:spPr/>
      <dgm:t>
        <a:bodyPr/>
        <a:lstStyle/>
        <a:p>
          <a:endParaRPr lang="ru-RU"/>
        </a:p>
      </dgm:t>
    </dgm:pt>
    <dgm:pt modelId="{49202F87-F314-490A-AAE8-3A2FDFB14AF7}" type="pres">
      <dgm:prSet presAssocID="{A1E1993B-7A34-4E97-AC50-386A76DBFC98}" presName="root2" presStyleCnt="0"/>
      <dgm:spPr/>
    </dgm:pt>
    <dgm:pt modelId="{B05433AA-3088-4DE7-A906-F38CA2AA8EF2}" type="pres">
      <dgm:prSet presAssocID="{A1E1993B-7A34-4E97-AC50-386A76DBFC98}" presName="LevelTwoTextNode" presStyleLbl="node3" presStyleIdx="1" presStyleCnt="6" custScaleX="180584" custLinFactNeighborX="-528" custLinFactNeighborY="-4867">
        <dgm:presLayoutVars>
          <dgm:chPref val="3"/>
        </dgm:presLayoutVars>
      </dgm:prSet>
      <dgm:spPr/>
      <dgm:t>
        <a:bodyPr/>
        <a:lstStyle/>
        <a:p>
          <a:endParaRPr lang="ru-RU"/>
        </a:p>
      </dgm:t>
    </dgm:pt>
    <dgm:pt modelId="{A7297D0D-0C98-45B8-8A46-51E601E6B2C7}" type="pres">
      <dgm:prSet presAssocID="{A1E1993B-7A34-4E97-AC50-386A76DBFC98}" presName="level3hierChild" presStyleCnt="0"/>
      <dgm:spPr/>
    </dgm:pt>
    <dgm:pt modelId="{1B821494-A6AD-4F93-BE82-68BA1284744A}" type="pres">
      <dgm:prSet presAssocID="{C7E85BAD-C201-40D2-9877-50CCCA4A6B2F}" presName="conn2-1" presStyleLbl="parChTrans1D2" presStyleIdx="1" presStyleCnt="3"/>
      <dgm:spPr/>
      <dgm:t>
        <a:bodyPr/>
        <a:lstStyle/>
        <a:p>
          <a:endParaRPr lang="ru-RU"/>
        </a:p>
      </dgm:t>
    </dgm:pt>
    <dgm:pt modelId="{62D52A66-6564-487D-8E43-6B30AF006709}" type="pres">
      <dgm:prSet presAssocID="{C7E85BAD-C201-40D2-9877-50CCCA4A6B2F}" presName="connTx" presStyleLbl="parChTrans1D2" presStyleIdx="1" presStyleCnt="3"/>
      <dgm:spPr/>
      <dgm:t>
        <a:bodyPr/>
        <a:lstStyle/>
        <a:p>
          <a:endParaRPr lang="ru-RU"/>
        </a:p>
      </dgm:t>
    </dgm:pt>
    <dgm:pt modelId="{5682FDD7-3BAB-40C1-99C7-4345974E831D}" type="pres">
      <dgm:prSet presAssocID="{8F998AAC-4B78-4E1D-BB02-91A658BC4101}" presName="root2" presStyleCnt="0"/>
      <dgm:spPr/>
    </dgm:pt>
    <dgm:pt modelId="{8F211D25-5BA7-40B5-B7F7-B6C4B7CB5A94}" type="pres">
      <dgm:prSet presAssocID="{8F998AAC-4B78-4E1D-BB02-91A658BC4101}" presName="LevelTwoTextNode" presStyleLbl="node2" presStyleIdx="1" presStyleCnt="3" custLinFactNeighborX="-42028" custLinFactNeighborY="-13508">
        <dgm:presLayoutVars>
          <dgm:chPref val="3"/>
        </dgm:presLayoutVars>
      </dgm:prSet>
      <dgm:spPr/>
      <dgm:t>
        <a:bodyPr/>
        <a:lstStyle/>
        <a:p>
          <a:endParaRPr lang="ru-RU"/>
        </a:p>
      </dgm:t>
    </dgm:pt>
    <dgm:pt modelId="{BFFB09F8-F235-4718-9716-4C4B4E040918}" type="pres">
      <dgm:prSet presAssocID="{8F998AAC-4B78-4E1D-BB02-91A658BC4101}" presName="level3hierChild" presStyleCnt="0"/>
      <dgm:spPr/>
    </dgm:pt>
    <dgm:pt modelId="{AED9C183-B987-4895-AF20-F697829B1A9D}" type="pres">
      <dgm:prSet presAssocID="{963BD0AB-B361-4BFC-8C6D-DFD4977DB3F7}" presName="conn2-1" presStyleLbl="parChTrans1D3" presStyleIdx="2" presStyleCnt="6"/>
      <dgm:spPr/>
      <dgm:t>
        <a:bodyPr/>
        <a:lstStyle/>
        <a:p>
          <a:endParaRPr lang="ru-RU"/>
        </a:p>
      </dgm:t>
    </dgm:pt>
    <dgm:pt modelId="{D46B1B2A-8DBE-47D0-B530-0810BC73799B}" type="pres">
      <dgm:prSet presAssocID="{963BD0AB-B361-4BFC-8C6D-DFD4977DB3F7}" presName="connTx" presStyleLbl="parChTrans1D3" presStyleIdx="2" presStyleCnt="6"/>
      <dgm:spPr/>
      <dgm:t>
        <a:bodyPr/>
        <a:lstStyle/>
        <a:p>
          <a:endParaRPr lang="ru-RU"/>
        </a:p>
      </dgm:t>
    </dgm:pt>
    <dgm:pt modelId="{6A0EC254-CDE6-467B-8A29-C1BEDA88E2F7}" type="pres">
      <dgm:prSet presAssocID="{177EAFDF-E222-4C0B-9E3D-B55AECA060BC}" presName="root2" presStyleCnt="0"/>
      <dgm:spPr/>
    </dgm:pt>
    <dgm:pt modelId="{51767E6C-1925-432A-9D38-0BBA32A46B9A}" type="pres">
      <dgm:prSet presAssocID="{177EAFDF-E222-4C0B-9E3D-B55AECA060BC}" presName="LevelTwoTextNode" presStyleLbl="node3" presStyleIdx="2" presStyleCnt="6" custScaleX="176138">
        <dgm:presLayoutVars>
          <dgm:chPref val="3"/>
        </dgm:presLayoutVars>
      </dgm:prSet>
      <dgm:spPr/>
      <dgm:t>
        <a:bodyPr/>
        <a:lstStyle/>
        <a:p>
          <a:endParaRPr lang="ru-RU"/>
        </a:p>
      </dgm:t>
    </dgm:pt>
    <dgm:pt modelId="{079528AA-F17A-4D7D-A92C-ECC3479013B8}" type="pres">
      <dgm:prSet presAssocID="{177EAFDF-E222-4C0B-9E3D-B55AECA060BC}" presName="level3hierChild" presStyleCnt="0"/>
      <dgm:spPr/>
    </dgm:pt>
    <dgm:pt modelId="{674240FF-872C-4F98-A324-661D7B706A0E}" type="pres">
      <dgm:prSet presAssocID="{E0566C6D-42E7-4A20-BD3D-01056270840E}" presName="conn2-1" presStyleLbl="parChTrans1D3" presStyleIdx="3" presStyleCnt="6"/>
      <dgm:spPr/>
      <dgm:t>
        <a:bodyPr/>
        <a:lstStyle/>
        <a:p>
          <a:endParaRPr lang="ru-RU"/>
        </a:p>
      </dgm:t>
    </dgm:pt>
    <dgm:pt modelId="{588D5819-B454-4FDD-B12F-1BFD605B6271}" type="pres">
      <dgm:prSet presAssocID="{E0566C6D-42E7-4A20-BD3D-01056270840E}" presName="connTx" presStyleLbl="parChTrans1D3" presStyleIdx="3" presStyleCnt="6"/>
      <dgm:spPr/>
      <dgm:t>
        <a:bodyPr/>
        <a:lstStyle/>
        <a:p>
          <a:endParaRPr lang="ru-RU"/>
        </a:p>
      </dgm:t>
    </dgm:pt>
    <dgm:pt modelId="{EC93B503-D228-43D5-B2A2-116D99F5C290}" type="pres">
      <dgm:prSet presAssocID="{1D7571A1-A29D-4B32-9E53-96A69BC36F69}" presName="root2" presStyleCnt="0"/>
      <dgm:spPr/>
    </dgm:pt>
    <dgm:pt modelId="{F0910D67-4615-4467-8194-D91389BA719A}" type="pres">
      <dgm:prSet presAssocID="{1D7571A1-A29D-4B32-9E53-96A69BC36F69}" presName="LevelTwoTextNode" presStyleLbl="node3" presStyleIdx="3" presStyleCnt="6" custScaleX="177593">
        <dgm:presLayoutVars>
          <dgm:chPref val="3"/>
        </dgm:presLayoutVars>
      </dgm:prSet>
      <dgm:spPr/>
      <dgm:t>
        <a:bodyPr/>
        <a:lstStyle/>
        <a:p>
          <a:endParaRPr lang="ru-RU"/>
        </a:p>
      </dgm:t>
    </dgm:pt>
    <dgm:pt modelId="{2AFD5816-6D4B-466B-A2D6-B7E2943ECC42}" type="pres">
      <dgm:prSet presAssocID="{1D7571A1-A29D-4B32-9E53-96A69BC36F69}" presName="level3hierChild" presStyleCnt="0"/>
      <dgm:spPr/>
    </dgm:pt>
    <dgm:pt modelId="{653F28A3-9196-46ED-AB3F-18C8FE32D007}" type="pres">
      <dgm:prSet presAssocID="{32B19054-7FEE-4593-BFE1-28BC56353DCB}" presName="conn2-1" presStyleLbl="parChTrans1D2" presStyleIdx="2" presStyleCnt="3"/>
      <dgm:spPr/>
      <dgm:t>
        <a:bodyPr/>
        <a:lstStyle/>
        <a:p>
          <a:endParaRPr lang="ru-RU"/>
        </a:p>
      </dgm:t>
    </dgm:pt>
    <dgm:pt modelId="{F76F40E2-24DE-46E4-84F3-9457ED45E171}" type="pres">
      <dgm:prSet presAssocID="{32B19054-7FEE-4593-BFE1-28BC56353DCB}" presName="connTx" presStyleLbl="parChTrans1D2" presStyleIdx="2" presStyleCnt="3"/>
      <dgm:spPr/>
      <dgm:t>
        <a:bodyPr/>
        <a:lstStyle/>
        <a:p>
          <a:endParaRPr lang="ru-RU"/>
        </a:p>
      </dgm:t>
    </dgm:pt>
    <dgm:pt modelId="{FFFF4696-5E44-4655-8D6A-85814BB73F56}" type="pres">
      <dgm:prSet presAssocID="{73A76BDF-A39F-4F4C-823F-265D209F4119}" presName="root2" presStyleCnt="0"/>
      <dgm:spPr/>
    </dgm:pt>
    <dgm:pt modelId="{F89D24CC-E4D6-4906-8441-CB54414F8D21}" type="pres">
      <dgm:prSet presAssocID="{73A76BDF-A39F-4F4C-823F-265D209F4119}" presName="LevelTwoTextNode" presStyleLbl="node2" presStyleIdx="2" presStyleCnt="3" custLinFactNeighborX="-40012">
        <dgm:presLayoutVars>
          <dgm:chPref val="3"/>
        </dgm:presLayoutVars>
      </dgm:prSet>
      <dgm:spPr/>
      <dgm:t>
        <a:bodyPr/>
        <a:lstStyle/>
        <a:p>
          <a:endParaRPr lang="ru-RU"/>
        </a:p>
      </dgm:t>
    </dgm:pt>
    <dgm:pt modelId="{340C6DB7-BFD6-47ED-BCFD-5B3A2A0550DC}" type="pres">
      <dgm:prSet presAssocID="{73A76BDF-A39F-4F4C-823F-265D209F4119}" presName="level3hierChild" presStyleCnt="0"/>
      <dgm:spPr/>
    </dgm:pt>
    <dgm:pt modelId="{0C5A4F73-50CC-4075-A3C3-02D0B1860281}" type="pres">
      <dgm:prSet presAssocID="{86D4D332-499C-4B99-BA72-403EB38A4DB6}" presName="conn2-1" presStyleLbl="parChTrans1D3" presStyleIdx="4" presStyleCnt="6"/>
      <dgm:spPr/>
      <dgm:t>
        <a:bodyPr/>
        <a:lstStyle/>
        <a:p>
          <a:endParaRPr lang="ru-RU"/>
        </a:p>
      </dgm:t>
    </dgm:pt>
    <dgm:pt modelId="{F823C30C-7BCE-49F6-915C-C510C352415B}" type="pres">
      <dgm:prSet presAssocID="{86D4D332-499C-4B99-BA72-403EB38A4DB6}" presName="connTx" presStyleLbl="parChTrans1D3" presStyleIdx="4" presStyleCnt="6"/>
      <dgm:spPr/>
      <dgm:t>
        <a:bodyPr/>
        <a:lstStyle/>
        <a:p>
          <a:endParaRPr lang="ru-RU"/>
        </a:p>
      </dgm:t>
    </dgm:pt>
    <dgm:pt modelId="{72C0B6AB-92C4-4574-979E-066912221037}" type="pres">
      <dgm:prSet presAssocID="{20ED12B1-1970-4540-8B0D-639FDC1B5F2D}" presName="root2" presStyleCnt="0"/>
      <dgm:spPr/>
    </dgm:pt>
    <dgm:pt modelId="{27622DD9-CF5C-4C83-8B5D-9E6A4C88D2CF}" type="pres">
      <dgm:prSet presAssocID="{20ED12B1-1970-4540-8B0D-639FDC1B5F2D}" presName="LevelTwoTextNode" presStyleLbl="node3" presStyleIdx="4" presStyleCnt="6" custScaleX="177115">
        <dgm:presLayoutVars>
          <dgm:chPref val="3"/>
        </dgm:presLayoutVars>
      </dgm:prSet>
      <dgm:spPr/>
      <dgm:t>
        <a:bodyPr/>
        <a:lstStyle/>
        <a:p>
          <a:endParaRPr lang="ru-RU"/>
        </a:p>
      </dgm:t>
    </dgm:pt>
    <dgm:pt modelId="{9E1C0881-3256-4DFD-A574-E6192FAE953A}" type="pres">
      <dgm:prSet presAssocID="{20ED12B1-1970-4540-8B0D-639FDC1B5F2D}" presName="level3hierChild" presStyleCnt="0"/>
      <dgm:spPr/>
    </dgm:pt>
    <dgm:pt modelId="{432A1B56-A549-4230-8505-6203706B99FB}" type="pres">
      <dgm:prSet presAssocID="{64C4CE0A-564E-4801-BEBF-7742905D02DA}" presName="conn2-1" presStyleLbl="parChTrans1D3" presStyleIdx="5" presStyleCnt="6"/>
      <dgm:spPr/>
      <dgm:t>
        <a:bodyPr/>
        <a:lstStyle/>
        <a:p>
          <a:endParaRPr lang="ru-RU"/>
        </a:p>
      </dgm:t>
    </dgm:pt>
    <dgm:pt modelId="{798F300D-4B88-4F1F-B1F5-5D066B266B5E}" type="pres">
      <dgm:prSet presAssocID="{64C4CE0A-564E-4801-BEBF-7742905D02DA}" presName="connTx" presStyleLbl="parChTrans1D3" presStyleIdx="5" presStyleCnt="6"/>
      <dgm:spPr/>
      <dgm:t>
        <a:bodyPr/>
        <a:lstStyle/>
        <a:p>
          <a:endParaRPr lang="ru-RU"/>
        </a:p>
      </dgm:t>
    </dgm:pt>
    <dgm:pt modelId="{31F8A278-179E-4D1B-8D9F-137FD8120151}" type="pres">
      <dgm:prSet presAssocID="{B0F515D6-1849-46EF-821B-A34F4A4E05D9}" presName="root2" presStyleCnt="0"/>
      <dgm:spPr/>
    </dgm:pt>
    <dgm:pt modelId="{0F4B507B-CF15-4892-B1B6-720F06EFB8A9}" type="pres">
      <dgm:prSet presAssocID="{B0F515D6-1849-46EF-821B-A34F4A4E05D9}" presName="LevelTwoTextNode" presStyleLbl="node3" presStyleIdx="5" presStyleCnt="6" custScaleX="185231">
        <dgm:presLayoutVars>
          <dgm:chPref val="3"/>
        </dgm:presLayoutVars>
      </dgm:prSet>
      <dgm:spPr/>
      <dgm:t>
        <a:bodyPr/>
        <a:lstStyle/>
        <a:p>
          <a:endParaRPr lang="ru-RU"/>
        </a:p>
      </dgm:t>
    </dgm:pt>
    <dgm:pt modelId="{78045370-A6BF-4F73-AF41-12D73AA262D5}" type="pres">
      <dgm:prSet presAssocID="{B0F515D6-1849-46EF-821B-A34F4A4E05D9}" presName="level3hierChild" presStyleCnt="0"/>
      <dgm:spPr/>
    </dgm:pt>
  </dgm:ptLst>
  <dgm:cxnLst>
    <dgm:cxn modelId="{F46AE5EE-998E-48C9-A383-7D20491146FC}" type="presOf" srcId="{E0566C6D-42E7-4A20-BD3D-01056270840E}" destId="{674240FF-872C-4F98-A324-661D7B706A0E}" srcOrd="0" destOrd="0" presId="urn:microsoft.com/office/officeart/2005/8/layout/hierarchy2"/>
    <dgm:cxn modelId="{9427BE11-D79D-4048-A227-9B385D57D4EB}" srcId="{ED2CF210-696C-444E-92A1-CEA006782B89}" destId="{A1E1993B-7A34-4E97-AC50-386A76DBFC98}" srcOrd="1" destOrd="0" parTransId="{0ACF16A2-A57D-4116-9494-E3C3D28F909A}" sibTransId="{565229EF-B723-44F3-AB5E-8AC7A6E48FC1}"/>
    <dgm:cxn modelId="{F8024195-DEC4-4510-9E23-FE7569D4BC65}" type="presOf" srcId="{73A76BDF-A39F-4F4C-823F-265D209F4119}" destId="{F89D24CC-E4D6-4906-8441-CB54414F8D21}" srcOrd="0" destOrd="0" presId="urn:microsoft.com/office/officeart/2005/8/layout/hierarchy2"/>
    <dgm:cxn modelId="{71227A6E-D50D-47CE-812A-2DF086AD2166}" type="presOf" srcId="{963BD0AB-B361-4BFC-8C6D-DFD4977DB3F7}" destId="{D46B1B2A-8DBE-47D0-B530-0810BC73799B}" srcOrd="1" destOrd="0" presId="urn:microsoft.com/office/officeart/2005/8/layout/hierarchy2"/>
    <dgm:cxn modelId="{6D1DFA41-1F14-4815-8D30-4397A57C089C}" type="presOf" srcId="{0ACF16A2-A57D-4116-9494-E3C3D28F909A}" destId="{6F44195A-59B4-47A9-9B30-52F08833B1A7}" srcOrd="1" destOrd="0" presId="urn:microsoft.com/office/officeart/2005/8/layout/hierarchy2"/>
    <dgm:cxn modelId="{E12AD02A-F322-4565-BEB1-3274A972FB6A}" type="presOf" srcId="{A1E1993B-7A34-4E97-AC50-386A76DBFC98}" destId="{B05433AA-3088-4DE7-A906-F38CA2AA8EF2}" srcOrd="0" destOrd="0" presId="urn:microsoft.com/office/officeart/2005/8/layout/hierarchy2"/>
    <dgm:cxn modelId="{4E684F52-480F-4DDE-AB69-447EAF85CD71}" type="presOf" srcId="{963BD0AB-B361-4BFC-8C6D-DFD4977DB3F7}" destId="{AED9C183-B987-4895-AF20-F697829B1A9D}" srcOrd="0" destOrd="0" presId="urn:microsoft.com/office/officeart/2005/8/layout/hierarchy2"/>
    <dgm:cxn modelId="{CEDF3B89-65A7-4466-A41E-6B728B97A154}" type="presOf" srcId="{32B19054-7FEE-4593-BFE1-28BC56353DCB}" destId="{F76F40E2-24DE-46E4-84F3-9457ED45E171}" srcOrd="1" destOrd="0" presId="urn:microsoft.com/office/officeart/2005/8/layout/hierarchy2"/>
    <dgm:cxn modelId="{75E3C74F-55BD-4D04-A798-FDF57B49B8F2}" srcId="{8F998AAC-4B78-4E1D-BB02-91A658BC4101}" destId="{1D7571A1-A29D-4B32-9E53-96A69BC36F69}" srcOrd="1" destOrd="0" parTransId="{E0566C6D-42E7-4A20-BD3D-01056270840E}" sibTransId="{21905BAC-3DA6-4C88-84E5-CF959209A0CC}"/>
    <dgm:cxn modelId="{15EBB8E7-965F-494E-8B15-6E0B44808346}" type="presOf" srcId="{3DAFCC9A-807D-4FB8-BFD9-63AB7F5B6AFA}" destId="{B423D6DB-1417-423F-BE99-7E01A93964B7}" srcOrd="1" destOrd="0" presId="urn:microsoft.com/office/officeart/2005/8/layout/hierarchy2"/>
    <dgm:cxn modelId="{A515D38B-3C35-443B-B2C8-F2C01B2B52C0}" srcId="{8F998AAC-4B78-4E1D-BB02-91A658BC4101}" destId="{177EAFDF-E222-4C0B-9E3D-B55AECA060BC}" srcOrd="0" destOrd="0" parTransId="{963BD0AB-B361-4BFC-8C6D-DFD4977DB3F7}" sibTransId="{B31E14E7-6D16-4CB3-B599-A908F9DED56C}"/>
    <dgm:cxn modelId="{B977CFE4-F3D0-4F9B-8985-4839177AA723}" type="presOf" srcId="{64C4CE0A-564E-4801-BEBF-7742905D02DA}" destId="{432A1B56-A549-4230-8505-6203706B99FB}" srcOrd="0" destOrd="0" presId="urn:microsoft.com/office/officeart/2005/8/layout/hierarchy2"/>
    <dgm:cxn modelId="{E7062E46-365C-44EC-A954-9CA79FB4E23F}" type="presOf" srcId="{32B19054-7FEE-4593-BFE1-28BC56353DCB}" destId="{653F28A3-9196-46ED-AB3F-18C8FE32D007}" srcOrd="0" destOrd="0" presId="urn:microsoft.com/office/officeart/2005/8/layout/hierarchy2"/>
    <dgm:cxn modelId="{7FAFAB6F-221C-4F91-9993-F7EE50D75522}" type="presOf" srcId="{177EAFDF-E222-4C0B-9E3D-B55AECA060BC}" destId="{51767E6C-1925-432A-9D38-0BBA32A46B9A}" srcOrd="0" destOrd="0" presId="urn:microsoft.com/office/officeart/2005/8/layout/hierarchy2"/>
    <dgm:cxn modelId="{A69D45D1-36EE-44A3-A761-C8A8F156FD8E}" type="presOf" srcId="{1E15E1CB-EB3B-4000-BCB2-817F53F983C0}" destId="{786B9F1E-ECDA-4FE0-8A6D-F8D6DBDA1F70}" srcOrd="0" destOrd="0" presId="urn:microsoft.com/office/officeart/2005/8/layout/hierarchy2"/>
    <dgm:cxn modelId="{33876EEA-27CD-4073-BEC3-8641CE0E6821}" type="presOf" srcId="{1E15E1CB-EB3B-4000-BCB2-817F53F983C0}" destId="{B44D5679-10DE-42CC-A40C-DD4BA912384F}" srcOrd="1" destOrd="0" presId="urn:microsoft.com/office/officeart/2005/8/layout/hierarchy2"/>
    <dgm:cxn modelId="{9B7609C4-6C0D-4F77-8D68-E9E39B50DB90}" srcId="{4035F161-54C5-4C86-9591-ECBA208C3E7B}" destId="{8F998AAC-4B78-4E1D-BB02-91A658BC4101}" srcOrd="1" destOrd="0" parTransId="{C7E85BAD-C201-40D2-9877-50CCCA4A6B2F}" sibTransId="{EB8725CB-7F8B-4D8A-857E-1FD4B1398AF6}"/>
    <dgm:cxn modelId="{D49060ED-C0D7-496B-84FC-CE32AE1FE357}" type="presOf" srcId="{C7E85BAD-C201-40D2-9877-50CCCA4A6B2F}" destId="{1B821494-A6AD-4F93-BE82-68BA1284744A}" srcOrd="0" destOrd="0" presId="urn:microsoft.com/office/officeart/2005/8/layout/hierarchy2"/>
    <dgm:cxn modelId="{9B04EDF6-538B-4F4F-938E-87AC35DED79E}" srcId="{4035F161-54C5-4C86-9591-ECBA208C3E7B}" destId="{73A76BDF-A39F-4F4C-823F-265D209F4119}" srcOrd="2" destOrd="0" parTransId="{32B19054-7FEE-4593-BFE1-28BC56353DCB}" sibTransId="{BE288B63-A51B-4081-92F8-0D7A1109BF92}"/>
    <dgm:cxn modelId="{D2884480-8C49-497E-BDCE-AFFA9F234B7F}" type="presOf" srcId="{1D7571A1-A29D-4B32-9E53-96A69BC36F69}" destId="{F0910D67-4615-4467-8194-D91389BA719A}" srcOrd="0" destOrd="0" presId="urn:microsoft.com/office/officeart/2005/8/layout/hierarchy2"/>
    <dgm:cxn modelId="{488FA7B2-7384-44F5-8C9A-F7D02A202A96}" type="presOf" srcId="{8F998AAC-4B78-4E1D-BB02-91A658BC4101}" destId="{8F211D25-5BA7-40B5-B7F7-B6C4B7CB5A94}" srcOrd="0" destOrd="0" presId="urn:microsoft.com/office/officeart/2005/8/layout/hierarchy2"/>
    <dgm:cxn modelId="{C112ED79-9759-4571-A0D1-045837B6C63C}" type="presOf" srcId="{9DAD6CCB-4022-4293-938A-C7F80139D7FF}" destId="{1F7ECB42-0771-483A-9754-A63010BD8992}" srcOrd="0" destOrd="0" presId="urn:microsoft.com/office/officeart/2005/8/layout/hierarchy2"/>
    <dgm:cxn modelId="{7A22AD8E-226C-4512-BBD2-11A8CBD25071}" type="presOf" srcId="{E0566C6D-42E7-4A20-BD3D-01056270840E}" destId="{588D5819-B454-4FDD-B12F-1BFD605B6271}" srcOrd="1" destOrd="0" presId="urn:microsoft.com/office/officeart/2005/8/layout/hierarchy2"/>
    <dgm:cxn modelId="{84184117-1521-4B6F-8B0F-E1BB8017423D}" srcId="{73A76BDF-A39F-4F4C-823F-265D209F4119}" destId="{20ED12B1-1970-4540-8B0D-639FDC1B5F2D}" srcOrd="0" destOrd="0" parTransId="{86D4D332-499C-4B99-BA72-403EB38A4DB6}" sibTransId="{126DD340-5DD8-40A2-8F14-95C43F046929}"/>
    <dgm:cxn modelId="{009A5220-FD91-4BBD-BBF0-FC8AD8B8EE7D}" type="presOf" srcId="{20ED12B1-1970-4540-8B0D-639FDC1B5F2D}" destId="{27622DD9-CF5C-4C83-8B5D-9E6A4C88D2CF}" srcOrd="0" destOrd="0" presId="urn:microsoft.com/office/officeart/2005/8/layout/hierarchy2"/>
    <dgm:cxn modelId="{D42BDBF6-8931-4FA3-8CE0-085813ED702B}" srcId="{4035F161-54C5-4C86-9591-ECBA208C3E7B}" destId="{ED2CF210-696C-444E-92A1-CEA006782B89}" srcOrd="0" destOrd="0" parTransId="{3DAFCC9A-807D-4FB8-BFD9-63AB7F5B6AFA}" sibTransId="{B3666BFB-76D8-4C93-BFCA-69C69BD8ED27}"/>
    <dgm:cxn modelId="{81192AA1-6470-41F8-9A7A-220BF4050CC2}" srcId="{9DAD6CCB-4022-4293-938A-C7F80139D7FF}" destId="{4035F161-54C5-4C86-9591-ECBA208C3E7B}" srcOrd="0" destOrd="0" parTransId="{43497FCA-800C-42C6-962B-77647FBCEAE9}" sibTransId="{78E28544-451E-4B97-B70D-8CDA56099C70}"/>
    <dgm:cxn modelId="{85CDDA96-6D91-4892-83DA-9EE67F2F9406}" srcId="{ED2CF210-696C-444E-92A1-CEA006782B89}" destId="{EE3F2677-2107-4DF8-BE00-CB89102CBA66}" srcOrd="0" destOrd="0" parTransId="{1E15E1CB-EB3B-4000-BCB2-817F53F983C0}" sibTransId="{7E4359B7-55D5-43DF-9C21-7AF10FE5DA0D}"/>
    <dgm:cxn modelId="{32529038-6242-4BC9-93DB-12F50F04A207}" type="presOf" srcId="{B0F515D6-1849-46EF-821B-A34F4A4E05D9}" destId="{0F4B507B-CF15-4892-B1B6-720F06EFB8A9}" srcOrd="0" destOrd="0" presId="urn:microsoft.com/office/officeart/2005/8/layout/hierarchy2"/>
    <dgm:cxn modelId="{839A0E43-F596-4DD4-98CE-0E47BDA62C15}" srcId="{73A76BDF-A39F-4F4C-823F-265D209F4119}" destId="{B0F515D6-1849-46EF-821B-A34F4A4E05D9}" srcOrd="1" destOrd="0" parTransId="{64C4CE0A-564E-4801-BEBF-7742905D02DA}" sibTransId="{59B83E84-AF1E-474E-A473-132D62E1244A}"/>
    <dgm:cxn modelId="{6E4B9C5C-A073-4333-9783-88516A5E446B}" type="presOf" srcId="{EE3F2677-2107-4DF8-BE00-CB89102CBA66}" destId="{DE4C12C4-4ED5-4C66-9333-F09174993ADE}" srcOrd="0" destOrd="0" presId="urn:microsoft.com/office/officeart/2005/8/layout/hierarchy2"/>
    <dgm:cxn modelId="{54740BF8-F96C-4FFA-A388-B2A5098D99E8}" type="presOf" srcId="{3DAFCC9A-807D-4FB8-BFD9-63AB7F5B6AFA}" destId="{42E65DC5-297E-4689-A94A-F01B6FBE4991}" srcOrd="0" destOrd="0" presId="urn:microsoft.com/office/officeart/2005/8/layout/hierarchy2"/>
    <dgm:cxn modelId="{6CD5674F-9C1C-4EAD-9553-6DDBB5C73BE7}" type="presOf" srcId="{C7E85BAD-C201-40D2-9877-50CCCA4A6B2F}" destId="{62D52A66-6564-487D-8E43-6B30AF006709}" srcOrd="1" destOrd="0" presId="urn:microsoft.com/office/officeart/2005/8/layout/hierarchy2"/>
    <dgm:cxn modelId="{DD859CCC-88C2-497A-B0F9-F40F5C71442C}" type="presOf" srcId="{86D4D332-499C-4B99-BA72-403EB38A4DB6}" destId="{0C5A4F73-50CC-4075-A3C3-02D0B1860281}" srcOrd="0" destOrd="0" presId="urn:microsoft.com/office/officeart/2005/8/layout/hierarchy2"/>
    <dgm:cxn modelId="{296B0DC2-07BB-4FF3-A678-51A373614EF6}" type="presOf" srcId="{86D4D332-499C-4B99-BA72-403EB38A4DB6}" destId="{F823C30C-7BCE-49F6-915C-C510C352415B}" srcOrd="1" destOrd="0" presId="urn:microsoft.com/office/officeart/2005/8/layout/hierarchy2"/>
    <dgm:cxn modelId="{DDF2AB50-2062-4B06-B180-BF189D42CAFD}" type="presOf" srcId="{ED2CF210-696C-444E-92A1-CEA006782B89}" destId="{00FB3BB6-01BC-4595-A71C-3F86F4176742}" srcOrd="0" destOrd="0" presId="urn:microsoft.com/office/officeart/2005/8/layout/hierarchy2"/>
    <dgm:cxn modelId="{05B08824-7496-4C75-9778-871BF5736591}" type="presOf" srcId="{0ACF16A2-A57D-4116-9494-E3C3D28F909A}" destId="{1AB3C2A9-74F9-454E-875B-6CE22294077B}" srcOrd="0" destOrd="0" presId="urn:microsoft.com/office/officeart/2005/8/layout/hierarchy2"/>
    <dgm:cxn modelId="{CF24E03B-E0E3-476D-B095-9E77FC85DCCD}" type="presOf" srcId="{4035F161-54C5-4C86-9591-ECBA208C3E7B}" destId="{7DF26864-70C3-4429-89BD-F85BBAF05F1A}" srcOrd="0" destOrd="0" presId="urn:microsoft.com/office/officeart/2005/8/layout/hierarchy2"/>
    <dgm:cxn modelId="{C805E554-88F3-476A-8ACD-59366D99DB17}" type="presOf" srcId="{64C4CE0A-564E-4801-BEBF-7742905D02DA}" destId="{798F300D-4B88-4F1F-B1F5-5D066B266B5E}" srcOrd="1" destOrd="0" presId="urn:microsoft.com/office/officeart/2005/8/layout/hierarchy2"/>
    <dgm:cxn modelId="{85E1BAD4-7EB6-4565-8BF3-8F6AD6278BBE}" type="presParOf" srcId="{1F7ECB42-0771-483A-9754-A63010BD8992}" destId="{D6440BCB-CBEE-4E22-A1DA-8404887A4CA6}" srcOrd="0" destOrd="0" presId="urn:microsoft.com/office/officeart/2005/8/layout/hierarchy2"/>
    <dgm:cxn modelId="{07515419-8DAE-4CAF-A3F0-06A49EEE2C99}" type="presParOf" srcId="{D6440BCB-CBEE-4E22-A1DA-8404887A4CA6}" destId="{7DF26864-70C3-4429-89BD-F85BBAF05F1A}" srcOrd="0" destOrd="0" presId="urn:microsoft.com/office/officeart/2005/8/layout/hierarchy2"/>
    <dgm:cxn modelId="{0FE3DE37-AE91-4F76-87F0-27C318C1FF82}" type="presParOf" srcId="{D6440BCB-CBEE-4E22-A1DA-8404887A4CA6}" destId="{ADB5AD9C-E0EB-4C59-B35F-3D0A64D99371}" srcOrd="1" destOrd="0" presId="urn:microsoft.com/office/officeart/2005/8/layout/hierarchy2"/>
    <dgm:cxn modelId="{E35CBD13-9848-4406-8CC7-335E84485863}" type="presParOf" srcId="{ADB5AD9C-E0EB-4C59-B35F-3D0A64D99371}" destId="{42E65DC5-297E-4689-A94A-F01B6FBE4991}" srcOrd="0" destOrd="0" presId="urn:microsoft.com/office/officeart/2005/8/layout/hierarchy2"/>
    <dgm:cxn modelId="{D3B0AE4F-EC06-4FB2-BA27-536BBDB64C8C}" type="presParOf" srcId="{42E65DC5-297E-4689-A94A-F01B6FBE4991}" destId="{B423D6DB-1417-423F-BE99-7E01A93964B7}" srcOrd="0" destOrd="0" presId="urn:microsoft.com/office/officeart/2005/8/layout/hierarchy2"/>
    <dgm:cxn modelId="{43094E1C-103C-4710-AE9F-7C812C55F8D1}" type="presParOf" srcId="{ADB5AD9C-E0EB-4C59-B35F-3D0A64D99371}" destId="{E47AAD96-1695-4E8E-84D8-5A8829C8D2E1}" srcOrd="1" destOrd="0" presId="urn:microsoft.com/office/officeart/2005/8/layout/hierarchy2"/>
    <dgm:cxn modelId="{4F0C4AAD-D80C-4976-A06A-EAB2D1FC4355}" type="presParOf" srcId="{E47AAD96-1695-4E8E-84D8-5A8829C8D2E1}" destId="{00FB3BB6-01BC-4595-A71C-3F86F4176742}" srcOrd="0" destOrd="0" presId="urn:microsoft.com/office/officeart/2005/8/layout/hierarchy2"/>
    <dgm:cxn modelId="{9867BAE8-CAAB-40E2-BC13-FA8822883932}" type="presParOf" srcId="{E47AAD96-1695-4E8E-84D8-5A8829C8D2E1}" destId="{D5755011-A159-493E-B6FC-43E4D1021AA1}" srcOrd="1" destOrd="0" presId="urn:microsoft.com/office/officeart/2005/8/layout/hierarchy2"/>
    <dgm:cxn modelId="{72E102DA-3E56-4803-A9F2-620646B7D0CC}" type="presParOf" srcId="{D5755011-A159-493E-B6FC-43E4D1021AA1}" destId="{786B9F1E-ECDA-4FE0-8A6D-F8D6DBDA1F70}" srcOrd="0" destOrd="0" presId="urn:microsoft.com/office/officeart/2005/8/layout/hierarchy2"/>
    <dgm:cxn modelId="{7E733A01-D6D6-4D4A-82F5-A48FA1392F1C}" type="presParOf" srcId="{786B9F1E-ECDA-4FE0-8A6D-F8D6DBDA1F70}" destId="{B44D5679-10DE-42CC-A40C-DD4BA912384F}" srcOrd="0" destOrd="0" presId="urn:microsoft.com/office/officeart/2005/8/layout/hierarchy2"/>
    <dgm:cxn modelId="{A7F434D0-0F2B-4BC1-B879-E94EE5309AD0}" type="presParOf" srcId="{D5755011-A159-493E-B6FC-43E4D1021AA1}" destId="{1A5B5611-167C-4E44-AE3B-C9C525C6B944}" srcOrd="1" destOrd="0" presId="urn:microsoft.com/office/officeart/2005/8/layout/hierarchy2"/>
    <dgm:cxn modelId="{B3AB10A5-90A9-41E1-B0A9-537DE018B77D}" type="presParOf" srcId="{1A5B5611-167C-4E44-AE3B-C9C525C6B944}" destId="{DE4C12C4-4ED5-4C66-9333-F09174993ADE}" srcOrd="0" destOrd="0" presId="urn:microsoft.com/office/officeart/2005/8/layout/hierarchy2"/>
    <dgm:cxn modelId="{D2C09D99-9EF8-486D-93F3-C96771C431AE}" type="presParOf" srcId="{1A5B5611-167C-4E44-AE3B-C9C525C6B944}" destId="{9E3A7AD7-ED1B-4743-B252-779F225071AC}" srcOrd="1" destOrd="0" presId="urn:microsoft.com/office/officeart/2005/8/layout/hierarchy2"/>
    <dgm:cxn modelId="{DFA040D5-98F6-4194-A4F5-AD9F46369AF7}" type="presParOf" srcId="{D5755011-A159-493E-B6FC-43E4D1021AA1}" destId="{1AB3C2A9-74F9-454E-875B-6CE22294077B}" srcOrd="2" destOrd="0" presId="urn:microsoft.com/office/officeart/2005/8/layout/hierarchy2"/>
    <dgm:cxn modelId="{3A773F80-48EA-4DD7-BF81-5747A5A8E09E}" type="presParOf" srcId="{1AB3C2A9-74F9-454E-875B-6CE22294077B}" destId="{6F44195A-59B4-47A9-9B30-52F08833B1A7}" srcOrd="0" destOrd="0" presId="urn:microsoft.com/office/officeart/2005/8/layout/hierarchy2"/>
    <dgm:cxn modelId="{98674C6D-9408-418D-9D05-170ADC5F8CE2}" type="presParOf" srcId="{D5755011-A159-493E-B6FC-43E4D1021AA1}" destId="{49202F87-F314-490A-AAE8-3A2FDFB14AF7}" srcOrd="3" destOrd="0" presId="urn:microsoft.com/office/officeart/2005/8/layout/hierarchy2"/>
    <dgm:cxn modelId="{F211055D-F30F-4F95-8857-B26780D4289A}" type="presParOf" srcId="{49202F87-F314-490A-AAE8-3A2FDFB14AF7}" destId="{B05433AA-3088-4DE7-A906-F38CA2AA8EF2}" srcOrd="0" destOrd="0" presId="urn:microsoft.com/office/officeart/2005/8/layout/hierarchy2"/>
    <dgm:cxn modelId="{D11DC14A-087D-4EA4-A379-811AE333A389}" type="presParOf" srcId="{49202F87-F314-490A-AAE8-3A2FDFB14AF7}" destId="{A7297D0D-0C98-45B8-8A46-51E601E6B2C7}" srcOrd="1" destOrd="0" presId="urn:microsoft.com/office/officeart/2005/8/layout/hierarchy2"/>
    <dgm:cxn modelId="{11C1C55C-BEE7-4D0C-A78B-A0DE243DD4F8}" type="presParOf" srcId="{ADB5AD9C-E0EB-4C59-B35F-3D0A64D99371}" destId="{1B821494-A6AD-4F93-BE82-68BA1284744A}" srcOrd="2" destOrd="0" presId="urn:microsoft.com/office/officeart/2005/8/layout/hierarchy2"/>
    <dgm:cxn modelId="{5DB573C3-D93F-49F7-A11D-E7852F80A312}" type="presParOf" srcId="{1B821494-A6AD-4F93-BE82-68BA1284744A}" destId="{62D52A66-6564-487D-8E43-6B30AF006709}" srcOrd="0" destOrd="0" presId="urn:microsoft.com/office/officeart/2005/8/layout/hierarchy2"/>
    <dgm:cxn modelId="{D04D9A4E-89C2-42D8-939C-1EA84517444B}" type="presParOf" srcId="{ADB5AD9C-E0EB-4C59-B35F-3D0A64D99371}" destId="{5682FDD7-3BAB-40C1-99C7-4345974E831D}" srcOrd="3" destOrd="0" presId="urn:microsoft.com/office/officeart/2005/8/layout/hierarchy2"/>
    <dgm:cxn modelId="{8D6CBBD8-E9DD-46F6-AD9E-3E41AFBB61CA}" type="presParOf" srcId="{5682FDD7-3BAB-40C1-99C7-4345974E831D}" destId="{8F211D25-5BA7-40B5-B7F7-B6C4B7CB5A94}" srcOrd="0" destOrd="0" presId="urn:microsoft.com/office/officeart/2005/8/layout/hierarchy2"/>
    <dgm:cxn modelId="{5A8BB540-4A8B-4FF2-8387-2508E03F5D02}" type="presParOf" srcId="{5682FDD7-3BAB-40C1-99C7-4345974E831D}" destId="{BFFB09F8-F235-4718-9716-4C4B4E040918}" srcOrd="1" destOrd="0" presId="urn:microsoft.com/office/officeart/2005/8/layout/hierarchy2"/>
    <dgm:cxn modelId="{C0EA95C7-74F3-4288-BE21-8D8BC966D9BA}" type="presParOf" srcId="{BFFB09F8-F235-4718-9716-4C4B4E040918}" destId="{AED9C183-B987-4895-AF20-F697829B1A9D}" srcOrd="0" destOrd="0" presId="urn:microsoft.com/office/officeart/2005/8/layout/hierarchy2"/>
    <dgm:cxn modelId="{C959A3E2-FDA7-4A73-B537-8A2734079954}" type="presParOf" srcId="{AED9C183-B987-4895-AF20-F697829B1A9D}" destId="{D46B1B2A-8DBE-47D0-B530-0810BC73799B}" srcOrd="0" destOrd="0" presId="urn:microsoft.com/office/officeart/2005/8/layout/hierarchy2"/>
    <dgm:cxn modelId="{27D43299-1A83-4AC6-9CC6-CC6B86A34708}" type="presParOf" srcId="{BFFB09F8-F235-4718-9716-4C4B4E040918}" destId="{6A0EC254-CDE6-467B-8A29-C1BEDA88E2F7}" srcOrd="1" destOrd="0" presId="urn:microsoft.com/office/officeart/2005/8/layout/hierarchy2"/>
    <dgm:cxn modelId="{01CC1D4F-3273-4DE8-84F7-F7D9171882D8}" type="presParOf" srcId="{6A0EC254-CDE6-467B-8A29-C1BEDA88E2F7}" destId="{51767E6C-1925-432A-9D38-0BBA32A46B9A}" srcOrd="0" destOrd="0" presId="urn:microsoft.com/office/officeart/2005/8/layout/hierarchy2"/>
    <dgm:cxn modelId="{3D42A712-40AA-46E4-A621-A5BEE4BCFD98}" type="presParOf" srcId="{6A0EC254-CDE6-467B-8A29-C1BEDA88E2F7}" destId="{079528AA-F17A-4D7D-A92C-ECC3479013B8}" srcOrd="1" destOrd="0" presId="urn:microsoft.com/office/officeart/2005/8/layout/hierarchy2"/>
    <dgm:cxn modelId="{6E54352E-34C3-4FD6-A8DF-374E1B2B23C9}" type="presParOf" srcId="{BFFB09F8-F235-4718-9716-4C4B4E040918}" destId="{674240FF-872C-4F98-A324-661D7B706A0E}" srcOrd="2" destOrd="0" presId="urn:microsoft.com/office/officeart/2005/8/layout/hierarchy2"/>
    <dgm:cxn modelId="{A1FD1400-CD60-453F-88FC-1538BE893FCF}" type="presParOf" srcId="{674240FF-872C-4F98-A324-661D7B706A0E}" destId="{588D5819-B454-4FDD-B12F-1BFD605B6271}" srcOrd="0" destOrd="0" presId="urn:microsoft.com/office/officeart/2005/8/layout/hierarchy2"/>
    <dgm:cxn modelId="{308AF478-7AE5-49F0-83D0-2C1B05163856}" type="presParOf" srcId="{BFFB09F8-F235-4718-9716-4C4B4E040918}" destId="{EC93B503-D228-43D5-B2A2-116D99F5C290}" srcOrd="3" destOrd="0" presId="urn:microsoft.com/office/officeart/2005/8/layout/hierarchy2"/>
    <dgm:cxn modelId="{DE5F9437-C29F-4AA9-BC01-50959E2F59E0}" type="presParOf" srcId="{EC93B503-D228-43D5-B2A2-116D99F5C290}" destId="{F0910D67-4615-4467-8194-D91389BA719A}" srcOrd="0" destOrd="0" presId="urn:microsoft.com/office/officeart/2005/8/layout/hierarchy2"/>
    <dgm:cxn modelId="{96F540F0-0976-4A29-9DA5-766E5D95C565}" type="presParOf" srcId="{EC93B503-D228-43D5-B2A2-116D99F5C290}" destId="{2AFD5816-6D4B-466B-A2D6-B7E2943ECC42}" srcOrd="1" destOrd="0" presId="urn:microsoft.com/office/officeart/2005/8/layout/hierarchy2"/>
    <dgm:cxn modelId="{0A05D98D-6D99-4369-89C2-4B1364F3909B}" type="presParOf" srcId="{ADB5AD9C-E0EB-4C59-B35F-3D0A64D99371}" destId="{653F28A3-9196-46ED-AB3F-18C8FE32D007}" srcOrd="4" destOrd="0" presId="urn:microsoft.com/office/officeart/2005/8/layout/hierarchy2"/>
    <dgm:cxn modelId="{2FD2BC73-5E88-489E-AA77-A09761F1AB2A}" type="presParOf" srcId="{653F28A3-9196-46ED-AB3F-18C8FE32D007}" destId="{F76F40E2-24DE-46E4-84F3-9457ED45E171}" srcOrd="0" destOrd="0" presId="urn:microsoft.com/office/officeart/2005/8/layout/hierarchy2"/>
    <dgm:cxn modelId="{3633B002-53B9-49D7-8C2B-E725FBD42B72}" type="presParOf" srcId="{ADB5AD9C-E0EB-4C59-B35F-3D0A64D99371}" destId="{FFFF4696-5E44-4655-8D6A-85814BB73F56}" srcOrd="5" destOrd="0" presId="urn:microsoft.com/office/officeart/2005/8/layout/hierarchy2"/>
    <dgm:cxn modelId="{72716F05-9D2D-4830-AA83-08476659D270}" type="presParOf" srcId="{FFFF4696-5E44-4655-8D6A-85814BB73F56}" destId="{F89D24CC-E4D6-4906-8441-CB54414F8D21}" srcOrd="0" destOrd="0" presId="urn:microsoft.com/office/officeart/2005/8/layout/hierarchy2"/>
    <dgm:cxn modelId="{6CA33662-0746-4D79-BF12-0B866D01B50E}" type="presParOf" srcId="{FFFF4696-5E44-4655-8D6A-85814BB73F56}" destId="{340C6DB7-BFD6-47ED-BCFD-5B3A2A0550DC}" srcOrd="1" destOrd="0" presId="urn:microsoft.com/office/officeart/2005/8/layout/hierarchy2"/>
    <dgm:cxn modelId="{0B656E06-26AA-4EB7-8831-8205512204C5}" type="presParOf" srcId="{340C6DB7-BFD6-47ED-BCFD-5B3A2A0550DC}" destId="{0C5A4F73-50CC-4075-A3C3-02D0B1860281}" srcOrd="0" destOrd="0" presId="urn:microsoft.com/office/officeart/2005/8/layout/hierarchy2"/>
    <dgm:cxn modelId="{F9875E1E-5F57-4426-A3D1-31045433E4B2}" type="presParOf" srcId="{0C5A4F73-50CC-4075-A3C3-02D0B1860281}" destId="{F823C30C-7BCE-49F6-915C-C510C352415B}" srcOrd="0" destOrd="0" presId="urn:microsoft.com/office/officeart/2005/8/layout/hierarchy2"/>
    <dgm:cxn modelId="{4C0ED8EA-4DB7-4767-BE30-7F3525804FF5}" type="presParOf" srcId="{340C6DB7-BFD6-47ED-BCFD-5B3A2A0550DC}" destId="{72C0B6AB-92C4-4574-979E-066912221037}" srcOrd="1" destOrd="0" presId="urn:microsoft.com/office/officeart/2005/8/layout/hierarchy2"/>
    <dgm:cxn modelId="{FB442558-D9DE-4D73-8AA6-3366D8E708BB}" type="presParOf" srcId="{72C0B6AB-92C4-4574-979E-066912221037}" destId="{27622DD9-CF5C-4C83-8B5D-9E6A4C88D2CF}" srcOrd="0" destOrd="0" presId="urn:microsoft.com/office/officeart/2005/8/layout/hierarchy2"/>
    <dgm:cxn modelId="{2136804F-2DE5-4BF6-BCA4-DF539848760C}" type="presParOf" srcId="{72C0B6AB-92C4-4574-979E-066912221037}" destId="{9E1C0881-3256-4DFD-A574-E6192FAE953A}" srcOrd="1" destOrd="0" presId="urn:microsoft.com/office/officeart/2005/8/layout/hierarchy2"/>
    <dgm:cxn modelId="{E8647B08-406A-493E-ABCF-9EAC1A241DEF}" type="presParOf" srcId="{340C6DB7-BFD6-47ED-BCFD-5B3A2A0550DC}" destId="{432A1B56-A549-4230-8505-6203706B99FB}" srcOrd="2" destOrd="0" presId="urn:microsoft.com/office/officeart/2005/8/layout/hierarchy2"/>
    <dgm:cxn modelId="{AF3FB86D-C583-4352-A406-B24BED31B84B}" type="presParOf" srcId="{432A1B56-A549-4230-8505-6203706B99FB}" destId="{798F300D-4B88-4F1F-B1F5-5D066B266B5E}" srcOrd="0" destOrd="0" presId="urn:microsoft.com/office/officeart/2005/8/layout/hierarchy2"/>
    <dgm:cxn modelId="{275F7EE4-4B94-466F-A91D-2C34FEADBAD4}" type="presParOf" srcId="{340C6DB7-BFD6-47ED-BCFD-5B3A2A0550DC}" destId="{31F8A278-179E-4D1B-8D9F-137FD8120151}" srcOrd="3" destOrd="0" presId="urn:microsoft.com/office/officeart/2005/8/layout/hierarchy2"/>
    <dgm:cxn modelId="{2E3DD28E-4D1B-42FF-8FB6-F3DBDBEC59E3}" type="presParOf" srcId="{31F8A278-179E-4D1B-8D9F-137FD8120151}" destId="{0F4B507B-CF15-4892-B1B6-720F06EFB8A9}" srcOrd="0" destOrd="0" presId="urn:microsoft.com/office/officeart/2005/8/layout/hierarchy2"/>
    <dgm:cxn modelId="{58DD0FB3-F8B8-4F07-ACCB-C33EFBCCBEE2}" type="presParOf" srcId="{31F8A278-179E-4D1B-8D9F-137FD8120151}" destId="{78045370-A6BF-4F73-AF41-12D73AA262D5}" srcOrd="1" destOrd="0" presId="urn:microsoft.com/office/officeart/2005/8/layout/hierarchy2"/>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75CAE41-7B13-41F1-90EC-F5D2FA14040F}" type="doc">
      <dgm:prSet loTypeId="urn:microsoft.com/office/officeart/2005/8/layout/venn2" loCatId="relationship" qsTypeId="urn:microsoft.com/office/officeart/2005/8/quickstyle/simple2" qsCatId="simple" csTypeId="urn:microsoft.com/office/officeart/2005/8/colors/accent0_1" csCatId="mainScheme" phldr="1"/>
      <dgm:spPr/>
      <dgm:t>
        <a:bodyPr/>
        <a:lstStyle/>
        <a:p>
          <a:endParaRPr lang="ru-RU"/>
        </a:p>
      </dgm:t>
    </dgm:pt>
    <dgm:pt modelId="{7A121703-89DB-403F-97B0-8E20403B679C}">
      <dgm:prSet phldrT="[Текст]" custT="1"/>
      <dgm:spPr/>
      <dgm:t>
        <a:bodyPr/>
        <a:lstStyle/>
        <a:p>
          <a:r>
            <a:rPr lang="ru-RU" sz="1200" i="1">
              <a:latin typeface="Times New Roman" panose="02020603050405020304" pitchFamily="18" charset="0"/>
              <a:cs typeface="Times New Roman" panose="02020603050405020304" pitchFamily="18" charset="0"/>
            </a:rPr>
            <a:t>Актуализция экономико-регуляторного сближения</a:t>
          </a:r>
        </a:p>
      </dgm:t>
    </dgm:pt>
    <dgm:pt modelId="{5B681E15-B979-4CB8-A28C-77072B48FF28}" type="parTrans" cxnId="{ECF6180E-F010-4FBD-BC2C-ADF821528D52}">
      <dgm:prSet/>
      <dgm:spPr/>
      <dgm:t>
        <a:bodyPr/>
        <a:lstStyle/>
        <a:p>
          <a:endParaRPr lang="ru-RU" sz="1200" i="1">
            <a:latin typeface="Times New Roman" panose="02020603050405020304" pitchFamily="18" charset="0"/>
            <a:cs typeface="Times New Roman" panose="02020603050405020304" pitchFamily="18" charset="0"/>
          </a:endParaRPr>
        </a:p>
      </dgm:t>
    </dgm:pt>
    <dgm:pt modelId="{44524540-BC5F-4DA8-8CD2-5DFFE5FC36C3}" type="sibTrans" cxnId="{ECF6180E-F010-4FBD-BC2C-ADF821528D52}">
      <dgm:prSet/>
      <dgm:spPr/>
      <dgm:t>
        <a:bodyPr/>
        <a:lstStyle/>
        <a:p>
          <a:endParaRPr lang="ru-RU" sz="1200" i="1">
            <a:latin typeface="Times New Roman" panose="02020603050405020304" pitchFamily="18" charset="0"/>
            <a:cs typeface="Times New Roman" panose="02020603050405020304" pitchFamily="18" charset="0"/>
          </a:endParaRPr>
        </a:p>
      </dgm:t>
    </dgm:pt>
    <dgm:pt modelId="{14C31E8C-A6DA-48E3-B180-4C7CDF801F43}">
      <dgm:prSet phldrT="[Текст]" custT="1"/>
      <dgm:spPr/>
      <dgm:t>
        <a:bodyPr/>
        <a:lstStyle/>
        <a:p>
          <a:r>
            <a:rPr lang="ru-RU" sz="1200" i="1">
              <a:latin typeface="Times New Roman" panose="02020603050405020304" pitchFamily="18" charset="0"/>
              <a:cs typeface="Times New Roman" panose="02020603050405020304" pitchFamily="18" charset="0"/>
            </a:rPr>
            <a:t>Предоставление финансово-технической поддержки ЕС через механизм </a:t>
          </a:r>
          <a:r>
            <a:rPr lang="en-US" sz="1200" i="1">
              <a:latin typeface="Times New Roman" panose="02020603050405020304" pitchFamily="18" charset="0"/>
              <a:cs typeface="Times New Roman" panose="02020603050405020304" pitchFamily="18" charset="0"/>
            </a:rPr>
            <a:t>NDICI – Global Europe (2021–2027)</a:t>
          </a:r>
          <a:endParaRPr lang="ru-RU" sz="1200" i="1">
            <a:latin typeface="Times New Roman" panose="02020603050405020304" pitchFamily="18" charset="0"/>
            <a:cs typeface="Times New Roman" panose="02020603050405020304" pitchFamily="18" charset="0"/>
          </a:endParaRPr>
        </a:p>
      </dgm:t>
    </dgm:pt>
    <dgm:pt modelId="{D8212E55-3B43-4CEB-9B8F-536043AF917D}" type="parTrans" cxnId="{D507D36A-A2E7-4098-AD1F-F5E1A1DBF23B}">
      <dgm:prSet/>
      <dgm:spPr/>
      <dgm:t>
        <a:bodyPr/>
        <a:lstStyle/>
        <a:p>
          <a:endParaRPr lang="ru-RU" sz="1200" i="1">
            <a:latin typeface="Times New Roman" panose="02020603050405020304" pitchFamily="18" charset="0"/>
            <a:cs typeface="Times New Roman" panose="02020603050405020304" pitchFamily="18" charset="0"/>
          </a:endParaRPr>
        </a:p>
      </dgm:t>
    </dgm:pt>
    <dgm:pt modelId="{6ED2EE7B-A45F-4E28-8F87-EA7D0FF525C1}" type="sibTrans" cxnId="{D507D36A-A2E7-4098-AD1F-F5E1A1DBF23B}">
      <dgm:prSet/>
      <dgm:spPr/>
      <dgm:t>
        <a:bodyPr/>
        <a:lstStyle/>
        <a:p>
          <a:endParaRPr lang="ru-RU" sz="1200" i="1">
            <a:latin typeface="Times New Roman" panose="02020603050405020304" pitchFamily="18" charset="0"/>
            <a:cs typeface="Times New Roman" panose="02020603050405020304" pitchFamily="18" charset="0"/>
          </a:endParaRPr>
        </a:p>
      </dgm:t>
    </dgm:pt>
    <dgm:pt modelId="{EA3FD394-EEAB-4139-B909-ABB3EDEFEA6F}">
      <dgm:prSet phldrT="[Текст]" custT="1"/>
      <dgm:spPr/>
      <dgm:t>
        <a:bodyPr/>
        <a:lstStyle/>
        <a:p>
          <a:r>
            <a:rPr lang="ru-RU" sz="1200" i="1">
              <a:latin typeface="Times New Roman" panose="02020603050405020304" pitchFamily="18" charset="0"/>
              <a:cs typeface="Times New Roman" panose="02020603050405020304" pitchFamily="18" charset="0"/>
            </a:rPr>
            <a:t>Институционализация политико-правового диалога</a:t>
          </a:r>
        </a:p>
      </dgm:t>
    </dgm:pt>
    <dgm:pt modelId="{8B4EC239-5CAD-4E0A-AB68-1BD7638DE2AE}" type="parTrans" cxnId="{362613C1-53F9-4620-AC25-CE7F5CFD9E83}">
      <dgm:prSet/>
      <dgm:spPr/>
      <dgm:t>
        <a:bodyPr/>
        <a:lstStyle/>
        <a:p>
          <a:endParaRPr lang="ru-RU" sz="1200" i="1">
            <a:latin typeface="Times New Roman" panose="02020603050405020304" pitchFamily="18" charset="0"/>
            <a:cs typeface="Times New Roman" panose="02020603050405020304" pitchFamily="18" charset="0"/>
          </a:endParaRPr>
        </a:p>
      </dgm:t>
    </dgm:pt>
    <dgm:pt modelId="{50393373-4DCF-4F41-9574-2DE9CF4942AD}" type="sibTrans" cxnId="{362613C1-53F9-4620-AC25-CE7F5CFD9E83}">
      <dgm:prSet/>
      <dgm:spPr/>
      <dgm:t>
        <a:bodyPr/>
        <a:lstStyle/>
        <a:p>
          <a:endParaRPr lang="ru-RU" sz="1200" i="1">
            <a:latin typeface="Times New Roman" panose="02020603050405020304" pitchFamily="18" charset="0"/>
            <a:cs typeface="Times New Roman" panose="02020603050405020304" pitchFamily="18" charset="0"/>
          </a:endParaRPr>
        </a:p>
      </dgm:t>
    </dgm:pt>
    <dgm:pt modelId="{0DD0AD3D-1986-47E0-AD21-8683BC2D6B16}" type="pres">
      <dgm:prSet presAssocID="{175CAE41-7B13-41F1-90EC-F5D2FA14040F}" presName="Name0" presStyleCnt="0">
        <dgm:presLayoutVars>
          <dgm:chMax val="7"/>
          <dgm:resizeHandles val="exact"/>
        </dgm:presLayoutVars>
      </dgm:prSet>
      <dgm:spPr/>
      <dgm:t>
        <a:bodyPr/>
        <a:lstStyle/>
        <a:p>
          <a:endParaRPr lang="ru-RU"/>
        </a:p>
      </dgm:t>
    </dgm:pt>
    <dgm:pt modelId="{1A7CBF2B-7987-4D76-9610-3ED990D0055C}" type="pres">
      <dgm:prSet presAssocID="{175CAE41-7B13-41F1-90EC-F5D2FA14040F}" presName="comp1" presStyleCnt="0"/>
      <dgm:spPr/>
    </dgm:pt>
    <dgm:pt modelId="{8C0C3E9A-5F06-4D5A-916F-530FA52482B5}" type="pres">
      <dgm:prSet presAssocID="{175CAE41-7B13-41F1-90EC-F5D2FA14040F}" presName="circle1" presStyleLbl="node1" presStyleIdx="0" presStyleCnt="3" custScaleX="105078" custScaleY="84026"/>
      <dgm:spPr/>
      <dgm:t>
        <a:bodyPr/>
        <a:lstStyle/>
        <a:p>
          <a:endParaRPr lang="ru-RU"/>
        </a:p>
      </dgm:t>
    </dgm:pt>
    <dgm:pt modelId="{2FF15D7C-26F8-4007-9A83-2AE9354294E0}" type="pres">
      <dgm:prSet presAssocID="{175CAE41-7B13-41F1-90EC-F5D2FA14040F}" presName="c1text" presStyleLbl="node1" presStyleIdx="0" presStyleCnt="3">
        <dgm:presLayoutVars>
          <dgm:bulletEnabled val="1"/>
        </dgm:presLayoutVars>
      </dgm:prSet>
      <dgm:spPr/>
      <dgm:t>
        <a:bodyPr/>
        <a:lstStyle/>
        <a:p>
          <a:endParaRPr lang="ru-RU"/>
        </a:p>
      </dgm:t>
    </dgm:pt>
    <dgm:pt modelId="{A71D4F33-E262-4C4A-AC13-5010DAB02588}" type="pres">
      <dgm:prSet presAssocID="{175CAE41-7B13-41F1-90EC-F5D2FA14040F}" presName="comp2" presStyleCnt="0"/>
      <dgm:spPr/>
    </dgm:pt>
    <dgm:pt modelId="{AF29371C-F8D3-4837-88B7-51CCDD392131}" type="pres">
      <dgm:prSet presAssocID="{175CAE41-7B13-41F1-90EC-F5D2FA14040F}" presName="circle2" presStyleLbl="node1" presStyleIdx="1" presStyleCnt="3" custScaleX="123536" custScaleY="87753"/>
      <dgm:spPr/>
      <dgm:t>
        <a:bodyPr/>
        <a:lstStyle/>
        <a:p>
          <a:endParaRPr lang="ru-RU"/>
        </a:p>
      </dgm:t>
    </dgm:pt>
    <dgm:pt modelId="{D15EF4A6-D028-49A3-96C7-E211D0DB34B3}" type="pres">
      <dgm:prSet presAssocID="{175CAE41-7B13-41F1-90EC-F5D2FA14040F}" presName="c2text" presStyleLbl="node1" presStyleIdx="1" presStyleCnt="3">
        <dgm:presLayoutVars>
          <dgm:bulletEnabled val="1"/>
        </dgm:presLayoutVars>
      </dgm:prSet>
      <dgm:spPr/>
      <dgm:t>
        <a:bodyPr/>
        <a:lstStyle/>
        <a:p>
          <a:endParaRPr lang="ru-RU"/>
        </a:p>
      </dgm:t>
    </dgm:pt>
    <dgm:pt modelId="{3E5B654D-3385-47D2-9AAC-4F86D514526E}" type="pres">
      <dgm:prSet presAssocID="{175CAE41-7B13-41F1-90EC-F5D2FA14040F}" presName="comp3" presStyleCnt="0"/>
      <dgm:spPr/>
    </dgm:pt>
    <dgm:pt modelId="{A31B6DBD-9D29-41FD-9599-7BB3B64418AA}" type="pres">
      <dgm:prSet presAssocID="{175CAE41-7B13-41F1-90EC-F5D2FA14040F}" presName="circle3" presStyleLbl="node1" presStyleIdx="2" presStyleCnt="3" custScaleX="110419" custScaleY="85299"/>
      <dgm:spPr/>
      <dgm:t>
        <a:bodyPr/>
        <a:lstStyle/>
        <a:p>
          <a:endParaRPr lang="ru-RU"/>
        </a:p>
      </dgm:t>
    </dgm:pt>
    <dgm:pt modelId="{2D029486-441B-4947-B23A-D05F39B0EEA4}" type="pres">
      <dgm:prSet presAssocID="{175CAE41-7B13-41F1-90EC-F5D2FA14040F}" presName="c3text" presStyleLbl="node1" presStyleIdx="2" presStyleCnt="3">
        <dgm:presLayoutVars>
          <dgm:bulletEnabled val="1"/>
        </dgm:presLayoutVars>
      </dgm:prSet>
      <dgm:spPr/>
      <dgm:t>
        <a:bodyPr/>
        <a:lstStyle/>
        <a:p>
          <a:endParaRPr lang="ru-RU"/>
        </a:p>
      </dgm:t>
    </dgm:pt>
  </dgm:ptLst>
  <dgm:cxnLst>
    <dgm:cxn modelId="{E4102544-A569-4B67-9DD2-FDD5B2210A7F}" type="presOf" srcId="{14C31E8C-A6DA-48E3-B180-4C7CDF801F43}" destId="{D15EF4A6-D028-49A3-96C7-E211D0DB34B3}" srcOrd="1" destOrd="0" presId="urn:microsoft.com/office/officeart/2005/8/layout/venn2"/>
    <dgm:cxn modelId="{ECF6180E-F010-4FBD-BC2C-ADF821528D52}" srcId="{175CAE41-7B13-41F1-90EC-F5D2FA14040F}" destId="{7A121703-89DB-403F-97B0-8E20403B679C}" srcOrd="0" destOrd="0" parTransId="{5B681E15-B979-4CB8-A28C-77072B48FF28}" sibTransId="{44524540-BC5F-4DA8-8CD2-5DFFE5FC36C3}"/>
    <dgm:cxn modelId="{D507D36A-A2E7-4098-AD1F-F5E1A1DBF23B}" srcId="{175CAE41-7B13-41F1-90EC-F5D2FA14040F}" destId="{14C31E8C-A6DA-48E3-B180-4C7CDF801F43}" srcOrd="1" destOrd="0" parTransId="{D8212E55-3B43-4CEB-9B8F-536043AF917D}" sibTransId="{6ED2EE7B-A45F-4E28-8F87-EA7D0FF525C1}"/>
    <dgm:cxn modelId="{A2C8FAB4-E51A-4290-8EEF-023CD20772F6}" type="presOf" srcId="{EA3FD394-EEAB-4139-B909-ABB3EDEFEA6F}" destId="{A31B6DBD-9D29-41FD-9599-7BB3B64418AA}" srcOrd="0" destOrd="0" presId="urn:microsoft.com/office/officeart/2005/8/layout/venn2"/>
    <dgm:cxn modelId="{9558B87F-1B03-4054-9837-EA73B813F70E}" type="presOf" srcId="{7A121703-89DB-403F-97B0-8E20403B679C}" destId="{8C0C3E9A-5F06-4D5A-916F-530FA52482B5}" srcOrd="0" destOrd="0" presId="urn:microsoft.com/office/officeart/2005/8/layout/venn2"/>
    <dgm:cxn modelId="{CD1AFC90-DBE4-4833-8723-5C3A74252A42}" type="presOf" srcId="{7A121703-89DB-403F-97B0-8E20403B679C}" destId="{2FF15D7C-26F8-4007-9A83-2AE9354294E0}" srcOrd="1" destOrd="0" presId="urn:microsoft.com/office/officeart/2005/8/layout/venn2"/>
    <dgm:cxn modelId="{362613C1-53F9-4620-AC25-CE7F5CFD9E83}" srcId="{175CAE41-7B13-41F1-90EC-F5D2FA14040F}" destId="{EA3FD394-EEAB-4139-B909-ABB3EDEFEA6F}" srcOrd="2" destOrd="0" parTransId="{8B4EC239-5CAD-4E0A-AB68-1BD7638DE2AE}" sibTransId="{50393373-4DCF-4F41-9574-2DE9CF4942AD}"/>
    <dgm:cxn modelId="{BB2BF9F2-5CAC-4C24-8E11-0753E949F3B5}" type="presOf" srcId="{EA3FD394-EEAB-4139-B909-ABB3EDEFEA6F}" destId="{2D029486-441B-4947-B23A-D05F39B0EEA4}" srcOrd="1" destOrd="0" presId="urn:microsoft.com/office/officeart/2005/8/layout/venn2"/>
    <dgm:cxn modelId="{EDD98DD8-18FE-4C7C-831E-0714998AE1E8}" type="presOf" srcId="{175CAE41-7B13-41F1-90EC-F5D2FA14040F}" destId="{0DD0AD3D-1986-47E0-AD21-8683BC2D6B16}" srcOrd="0" destOrd="0" presId="urn:microsoft.com/office/officeart/2005/8/layout/venn2"/>
    <dgm:cxn modelId="{B0BA0310-0980-4008-ADBC-41EB1F6A8C6C}" type="presOf" srcId="{14C31E8C-A6DA-48E3-B180-4C7CDF801F43}" destId="{AF29371C-F8D3-4837-88B7-51CCDD392131}" srcOrd="0" destOrd="0" presId="urn:microsoft.com/office/officeart/2005/8/layout/venn2"/>
    <dgm:cxn modelId="{624BC289-5EB2-4C4A-AD50-AC02FBED8F1C}" type="presParOf" srcId="{0DD0AD3D-1986-47E0-AD21-8683BC2D6B16}" destId="{1A7CBF2B-7987-4D76-9610-3ED990D0055C}" srcOrd="0" destOrd="0" presId="urn:microsoft.com/office/officeart/2005/8/layout/venn2"/>
    <dgm:cxn modelId="{6B4473AF-2DD3-4726-824A-25B44E7D40CA}" type="presParOf" srcId="{1A7CBF2B-7987-4D76-9610-3ED990D0055C}" destId="{8C0C3E9A-5F06-4D5A-916F-530FA52482B5}" srcOrd="0" destOrd="0" presId="urn:microsoft.com/office/officeart/2005/8/layout/venn2"/>
    <dgm:cxn modelId="{959BC3DE-E67C-48CC-8EDC-6C3D033A0876}" type="presParOf" srcId="{1A7CBF2B-7987-4D76-9610-3ED990D0055C}" destId="{2FF15D7C-26F8-4007-9A83-2AE9354294E0}" srcOrd="1" destOrd="0" presId="urn:microsoft.com/office/officeart/2005/8/layout/venn2"/>
    <dgm:cxn modelId="{25EC8462-8B2F-4184-A784-7B415F117FE8}" type="presParOf" srcId="{0DD0AD3D-1986-47E0-AD21-8683BC2D6B16}" destId="{A71D4F33-E262-4C4A-AC13-5010DAB02588}" srcOrd="1" destOrd="0" presId="urn:microsoft.com/office/officeart/2005/8/layout/venn2"/>
    <dgm:cxn modelId="{A353F512-9F16-4396-9416-34871B600EE0}" type="presParOf" srcId="{A71D4F33-E262-4C4A-AC13-5010DAB02588}" destId="{AF29371C-F8D3-4837-88B7-51CCDD392131}" srcOrd="0" destOrd="0" presId="urn:microsoft.com/office/officeart/2005/8/layout/venn2"/>
    <dgm:cxn modelId="{4F891EA6-5BB3-469C-8B4C-362422AF726B}" type="presParOf" srcId="{A71D4F33-E262-4C4A-AC13-5010DAB02588}" destId="{D15EF4A6-D028-49A3-96C7-E211D0DB34B3}" srcOrd="1" destOrd="0" presId="urn:microsoft.com/office/officeart/2005/8/layout/venn2"/>
    <dgm:cxn modelId="{FDBD37E4-3B5E-49E9-88A2-8E73D27B7848}" type="presParOf" srcId="{0DD0AD3D-1986-47E0-AD21-8683BC2D6B16}" destId="{3E5B654D-3385-47D2-9AAC-4F86D514526E}" srcOrd="2" destOrd="0" presId="urn:microsoft.com/office/officeart/2005/8/layout/venn2"/>
    <dgm:cxn modelId="{F63EE9FA-DF4A-4826-9E00-6B11E8EDC0DD}" type="presParOf" srcId="{3E5B654D-3385-47D2-9AAC-4F86D514526E}" destId="{A31B6DBD-9D29-41FD-9599-7BB3B64418AA}" srcOrd="0" destOrd="0" presId="urn:microsoft.com/office/officeart/2005/8/layout/venn2"/>
    <dgm:cxn modelId="{7BBDC7F7-E96A-4357-AD5C-73F5B8E53C45}" type="presParOf" srcId="{3E5B654D-3385-47D2-9AAC-4F86D514526E}" destId="{2D029486-441B-4947-B23A-D05F39B0EEA4}" srcOrd="1" destOrd="0" presId="urn:microsoft.com/office/officeart/2005/8/layout/venn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78D008C-0001-4C0D-B842-E07A5D90E199}" type="doc">
      <dgm:prSet loTypeId="urn:microsoft.com/office/officeart/2005/8/layout/process4" loCatId="list" qsTypeId="urn:microsoft.com/office/officeart/2005/8/quickstyle/simple2" qsCatId="simple" csTypeId="urn:microsoft.com/office/officeart/2005/8/colors/accent0_1" csCatId="mainScheme" phldr="1"/>
      <dgm:spPr/>
      <dgm:t>
        <a:bodyPr/>
        <a:lstStyle/>
        <a:p>
          <a:endParaRPr lang="ru-RU"/>
        </a:p>
      </dgm:t>
    </dgm:pt>
    <dgm:pt modelId="{E42D492E-8ECC-4F44-B799-AEB4A1C30858}">
      <dgm:prSet phldrT="[Текст]" custT="1"/>
      <dgm:spPr/>
      <dgm:t>
        <a:bodyPr/>
        <a:lstStyle/>
        <a:p>
          <a:r>
            <a:rPr lang="ru-RU" sz="1050" b="0" i="1">
              <a:latin typeface="Times New Roman" panose="02020603050405020304" pitchFamily="18" charset="0"/>
              <a:cs typeface="Times New Roman" panose="02020603050405020304" pitchFamily="18" charset="0"/>
            </a:rPr>
            <a:t>Нормативная конвергенция</a:t>
          </a:r>
        </a:p>
        <a:p>
          <a:endParaRPr lang="ru-RU" sz="1050" b="0" i="1">
            <a:latin typeface="Times New Roman" panose="02020603050405020304" pitchFamily="18" charset="0"/>
            <a:cs typeface="Times New Roman" panose="02020603050405020304" pitchFamily="18" charset="0"/>
          </a:endParaRPr>
        </a:p>
      </dgm:t>
    </dgm:pt>
    <dgm:pt modelId="{7ADDF715-AC6A-4291-83F9-12756D413FBF}" type="parTrans" cxnId="{F340C866-8F49-4072-AC5A-FFC43043B737}">
      <dgm:prSet/>
      <dgm:spPr/>
      <dgm:t>
        <a:bodyPr/>
        <a:lstStyle/>
        <a:p>
          <a:endParaRPr lang="ru-RU" sz="1000">
            <a:latin typeface="Times New Roman" panose="02020603050405020304" pitchFamily="18" charset="0"/>
            <a:cs typeface="Times New Roman" panose="02020603050405020304" pitchFamily="18" charset="0"/>
          </a:endParaRPr>
        </a:p>
      </dgm:t>
    </dgm:pt>
    <dgm:pt modelId="{10A72EF0-651A-4384-BEC2-0A7D0E5A40F4}" type="sibTrans" cxnId="{F340C866-8F49-4072-AC5A-FFC43043B737}">
      <dgm:prSet/>
      <dgm:spPr/>
      <dgm:t>
        <a:bodyPr/>
        <a:lstStyle/>
        <a:p>
          <a:endParaRPr lang="ru-RU" sz="1000">
            <a:latin typeface="Times New Roman" panose="02020603050405020304" pitchFamily="18" charset="0"/>
            <a:cs typeface="Times New Roman" panose="02020603050405020304" pitchFamily="18" charset="0"/>
          </a:endParaRPr>
        </a:p>
      </dgm:t>
    </dgm:pt>
    <dgm:pt modelId="{36047FA2-7114-4DE7-8630-A4C917CC2386}">
      <dgm:prSet phldrT="[Текст]" custT="1"/>
      <dgm:spPr/>
      <dgm:t>
        <a:bodyPr/>
        <a:lstStyle/>
        <a:p>
          <a:r>
            <a:rPr lang="ru-RU" sz="1000">
              <a:latin typeface="Times New Roman" panose="02020603050405020304" pitchFamily="18" charset="0"/>
              <a:cs typeface="Times New Roman" panose="02020603050405020304" pitchFamily="18" charset="0"/>
            </a:rPr>
            <a:t>▪ Совместный мониторинг на основе Соглашения о расширенном партнёрстве и сотрудничестве</a:t>
          </a:r>
        </a:p>
      </dgm:t>
    </dgm:pt>
    <dgm:pt modelId="{6CAC59D6-9EA2-44D4-851C-F4A7DBD6D8BC}" type="parTrans" cxnId="{F7C488D5-5A86-465F-8F0E-E7623BBF2B60}">
      <dgm:prSet/>
      <dgm:spPr/>
      <dgm:t>
        <a:bodyPr/>
        <a:lstStyle/>
        <a:p>
          <a:endParaRPr lang="ru-RU" sz="1000">
            <a:latin typeface="Times New Roman" panose="02020603050405020304" pitchFamily="18" charset="0"/>
            <a:cs typeface="Times New Roman" panose="02020603050405020304" pitchFamily="18" charset="0"/>
          </a:endParaRPr>
        </a:p>
      </dgm:t>
    </dgm:pt>
    <dgm:pt modelId="{1A8DD39B-DCED-4B47-81A7-EBA4D19E9B8D}" type="sibTrans" cxnId="{F7C488D5-5A86-465F-8F0E-E7623BBF2B60}">
      <dgm:prSet/>
      <dgm:spPr/>
      <dgm:t>
        <a:bodyPr/>
        <a:lstStyle/>
        <a:p>
          <a:endParaRPr lang="ru-RU" sz="1000">
            <a:latin typeface="Times New Roman" panose="02020603050405020304" pitchFamily="18" charset="0"/>
            <a:cs typeface="Times New Roman" panose="02020603050405020304" pitchFamily="18" charset="0"/>
          </a:endParaRPr>
        </a:p>
      </dgm:t>
    </dgm:pt>
    <dgm:pt modelId="{EB36CAC6-63F5-4CC9-A31A-8868B9F41891}">
      <dgm:prSet phldrT="[Текст]" custT="1"/>
      <dgm:spPr/>
      <dgm:t>
        <a:bodyPr/>
        <a:lstStyle/>
        <a:p>
          <a:r>
            <a:rPr lang="ru-RU" sz="1000">
              <a:latin typeface="Times New Roman" panose="02020603050405020304" pitchFamily="18" charset="0"/>
              <a:cs typeface="Times New Roman" panose="02020603050405020304" pitchFamily="18" charset="0"/>
            </a:rPr>
            <a:t>▪ Фиксация направлений сближения национального законодательства с правовыми стандартами ЕС</a:t>
          </a:r>
        </a:p>
      </dgm:t>
    </dgm:pt>
    <dgm:pt modelId="{8EC1CF03-C920-4AFE-8807-248B4372988E}" type="parTrans" cxnId="{FB9E70A9-832D-4256-9B9E-7FDF6EADB13C}">
      <dgm:prSet/>
      <dgm:spPr/>
      <dgm:t>
        <a:bodyPr/>
        <a:lstStyle/>
        <a:p>
          <a:endParaRPr lang="ru-RU" sz="1000">
            <a:latin typeface="Times New Roman" panose="02020603050405020304" pitchFamily="18" charset="0"/>
            <a:cs typeface="Times New Roman" panose="02020603050405020304" pitchFamily="18" charset="0"/>
          </a:endParaRPr>
        </a:p>
      </dgm:t>
    </dgm:pt>
    <dgm:pt modelId="{B38BF7CF-7E1A-412F-BB61-477AFEA98A0B}" type="sibTrans" cxnId="{FB9E70A9-832D-4256-9B9E-7FDF6EADB13C}">
      <dgm:prSet/>
      <dgm:spPr/>
      <dgm:t>
        <a:bodyPr/>
        <a:lstStyle/>
        <a:p>
          <a:endParaRPr lang="ru-RU" sz="1000">
            <a:latin typeface="Times New Roman" panose="02020603050405020304" pitchFamily="18" charset="0"/>
            <a:cs typeface="Times New Roman" panose="02020603050405020304" pitchFamily="18" charset="0"/>
          </a:endParaRPr>
        </a:p>
      </dgm:t>
    </dgm:pt>
    <dgm:pt modelId="{7A1D2381-CE50-4561-B0F3-F8CCE83CEACF}">
      <dgm:prSet phldrT="[Текст]" custT="1"/>
      <dgm:spPr/>
      <dgm:t>
        <a:bodyPr/>
        <a:lstStyle/>
        <a:p>
          <a:r>
            <a:rPr lang="ru-RU" sz="1050" b="0" i="1">
              <a:latin typeface="Times New Roman" panose="02020603050405020304" pitchFamily="18" charset="0"/>
              <a:cs typeface="Times New Roman" panose="02020603050405020304" pitchFamily="18" charset="0"/>
            </a:rPr>
            <a:t>Трансфер инструментов</a:t>
          </a:r>
        </a:p>
        <a:p>
          <a:endParaRPr lang="ru-RU" sz="1050" b="0" i="1">
            <a:latin typeface="Times New Roman" panose="02020603050405020304" pitchFamily="18" charset="0"/>
            <a:cs typeface="Times New Roman" panose="02020603050405020304" pitchFamily="18" charset="0"/>
          </a:endParaRPr>
        </a:p>
      </dgm:t>
    </dgm:pt>
    <dgm:pt modelId="{9069E032-E8AE-4A58-B9C8-CCE39FAF49AC}" type="parTrans" cxnId="{6DFDF924-A6EC-497F-8C5D-52E9DA4D4BE9}">
      <dgm:prSet/>
      <dgm:spPr/>
      <dgm:t>
        <a:bodyPr/>
        <a:lstStyle/>
        <a:p>
          <a:endParaRPr lang="ru-RU" sz="1000">
            <a:latin typeface="Times New Roman" panose="02020603050405020304" pitchFamily="18" charset="0"/>
            <a:cs typeface="Times New Roman" panose="02020603050405020304" pitchFamily="18" charset="0"/>
          </a:endParaRPr>
        </a:p>
      </dgm:t>
    </dgm:pt>
    <dgm:pt modelId="{CCA9B63F-1C93-43CA-98EF-2DF1756A7315}" type="sibTrans" cxnId="{6DFDF924-A6EC-497F-8C5D-52E9DA4D4BE9}">
      <dgm:prSet/>
      <dgm:spPr/>
      <dgm:t>
        <a:bodyPr/>
        <a:lstStyle/>
        <a:p>
          <a:endParaRPr lang="ru-RU" sz="1000">
            <a:latin typeface="Times New Roman" panose="02020603050405020304" pitchFamily="18" charset="0"/>
            <a:cs typeface="Times New Roman" panose="02020603050405020304" pitchFamily="18" charset="0"/>
          </a:endParaRPr>
        </a:p>
      </dgm:t>
    </dgm:pt>
    <dgm:pt modelId="{18E55280-0A04-4E14-BF38-75FD77533005}">
      <dgm:prSet phldrT="[Текст]" custT="1"/>
      <dgm:spPr/>
      <dgm:t>
        <a:bodyPr/>
        <a:lstStyle/>
        <a:p>
          <a:r>
            <a:rPr lang="ru-RU" sz="900">
              <a:latin typeface="Times New Roman" panose="02020603050405020304" pitchFamily="18" charset="0"/>
              <a:cs typeface="Times New Roman" panose="02020603050405020304" pitchFamily="18" charset="0"/>
            </a:rPr>
            <a:t>▪ Интеграция подхода, основанного на правах человека (</a:t>
          </a:r>
          <a:r>
            <a:rPr lang="en-US" sz="900">
              <a:latin typeface="Times New Roman" panose="02020603050405020304" pitchFamily="18" charset="0"/>
              <a:cs typeface="Times New Roman" panose="02020603050405020304" pitchFamily="18" charset="0"/>
            </a:rPr>
            <a:t>HRBA), </a:t>
          </a:r>
          <a:r>
            <a:rPr lang="ru-RU" sz="900">
              <a:latin typeface="Times New Roman" panose="02020603050405020304" pitchFamily="18" charset="0"/>
              <a:cs typeface="Times New Roman" panose="02020603050405020304" pitchFamily="18" charset="0"/>
            </a:rPr>
            <a:t>системы ключевых показателей эффективности (</a:t>
          </a:r>
          <a:r>
            <a:rPr lang="en-US" sz="900">
              <a:latin typeface="Times New Roman" panose="02020603050405020304" pitchFamily="18" charset="0"/>
              <a:cs typeface="Times New Roman" panose="02020603050405020304" pitchFamily="18" charset="0"/>
            </a:rPr>
            <a:t>KPI) </a:t>
          </a:r>
          <a:r>
            <a:rPr lang="ru-RU" sz="900">
              <a:latin typeface="Times New Roman" panose="02020603050405020304" pitchFamily="18" charset="0"/>
              <a:cs typeface="Times New Roman" panose="02020603050405020304" pitchFamily="18" charset="0"/>
            </a:rPr>
            <a:t>и тематических индикаторов</a:t>
          </a:r>
        </a:p>
      </dgm:t>
    </dgm:pt>
    <dgm:pt modelId="{63A16038-BB96-4136-B757-FA03198ED59C}" type="parTrans" cxnId="{5FD93F70-E671-4CF8-86D8-CC6FF749C558}">
      <dgm:prSet/>
      <dgm:spPr/>
      <dgm:t>
        <a:bodyPr/>
        <a:lstStyle/>
        <a:p>
          <a:endParaRPr lang="ru-RU" sz="1000">
            <a:latin typeface="Times New Roman" panose="02020603050405020304" pitchFamily="18" charset="0"/>
            <a:cs typeface="Times New Roman" panose="02020603050405020304" pitchFamily="18" charset="0"/>
          </a:endParaRPr>
        </a:p>
      </dgm:t>
    </dgm:pt>
    <dgm:pt modelId="{D40B5208-D493-4CEE-B358-2B8374AF41C7}" type="sibTrans" cxnId="{5FD93F70-E671-4CF8-86D8-CC6FF749C558}">
      <dgm:prSet/>
      <dgm:spPr/>
      <dgm:t>
        <a:bodyPr/>
        <a:lstStyle/>
        <a:p>
          <a:endParaRPr lang="ru-RU" sz="1000">
            <a:latin typeface="Times New Roman" panose="02020603050405020304" pitchFamily="18" charset="0"/>
            <a:cs typeface="Times New Roman" panose="02020603050405020304" pitchFamily="18" charset="0"/>
          </a:endParaRPr>
        </a:p>
      </dgm:t>
    </dgm:pt>
    <dgm:pt modelId="{EE1813AD-0A6D-4517-8E14-0DB97BD3FE6D}">
      <dgm:prSet phldrT="[Текст]" custT="1"/>
      <dgm:spPr/>
      <dgm:t>
        <a:bodyPr/>
        <a:lstStyle/>
        <a:p>
          <a:pPr algn="just">
            <a:lnSpc>
              <a:spcPct val="100000"/>
            </a:lnSpc>
            <a:spcAft>
              <a:spcPts val="0"/>
            </a:spcAft>
          </a:pPr>
          <a:r>
            <a:rPr lang="ru-RU" sz="900">
              <a:latin typeface="Times New Roman" panose="02020603050405020304" pitchFamily="18" charset="0"/>
              <a:cs typeface="Times New Roman" panose="02020603050405020304" pitchFamily="18" charset="0"/>
            </a:rPr>
            <a:t>▪ Адаптация европейских инструментов в </a:t>
          </a:r>
        </a:p>
        <a:p>
          <a:pPr algn="l">
            <a:lnSpc>
              <a:spcPct val="100000"/>
            </a:lnSpc>
            <a:spcAft>
              <a:spcPts val="0"/>
            </a:spcAft>
          </a:pPr>
          <a:r>
            <a:rPr lang="ru-RU" sz="900">
              <a:latin typeface="Times New Roman" panose="02020603050405020304" pitchFamily="18" charset="0"/>
              <a:cs typeface="Times New Roman" panose="02020603050405020304" pitchFamily="18" charset="0"/>
            </a:rPr>
            <a:t>соответст вии с:</a:t>
          </a:r>
          <a:br>
            <a:rPr lang="ru-RU" sz="900">
              <a:latin typeface="Times New Roman" panose="02020603050405020304" pitchFamily="18" charset="0"/>
              <a:cs typeface="Times New Roman" panose="02020603050405020304" pitchFamily="18" charset="0"/>
            </a:rPr>
          </a:br>
          <a:r>
            <a:rPr lang="ru-RU" sz="900">
              <a:latin typeface="Times New Roman" panose="02020603050405020304" pitchFamily="18" charset="0"/>
              <a:cs typeface="Times New Roman" panose="02020603050405020304" pitchFamily="18" charset="0"/>
            </a:rPr>
            <a:t>→ Национальным планом действий в области прав человека № 258 (2022)</a:t>
          </a:r>
          <a:br>
            <a:rPr lang="ru-RU" sz="900">
              <a:latin typeface="Times New Roman" panose="02020603050405020304" pitchFamily="18" charset="0"/>
              <a:cs typeface="Times New Roman" panose="02020603050405020304" pitchFamily="18" charset="0"/>
            </a:rPr>
          </a:br>
          <a:r>
            <a:rPr lang="ru-RU" sz="900">
              <a:latin typeface="Times New Roman" panose="02020603050405020304" pitchFamily="18" charset="0"/>
              <a:cs typeface="Times New Roman" panose="02020603050405020304" pitchFamily="18" charset="0"/>
            </a:rPr>
            <a:t>→ Целевыми показателями и индикаторными оценками на 2025 год</a:t>
          </a:r>
        </a:p>
      </dgm:t>
    </dgm:pt>
    <dgm:pt modelId="{F0D0E550-AE30-49B6-9A5B-E89921FBE96C}" type="parTrans" cxnId="{B2B491B1-0AE3-4655-BE79-D46BF4F72ABC}">
      <dgm:prSet/>
      <dgm:spPr/>
      <dgm:t>
        <a:bodyPr/>
        <a:lstStyle/>
        <a:p>
          <a:endParaRPr lang="ru-RU" sz="1000">
            <a:latin typeface="Times New Roman" panose="02020603050405020304" pitchFamily="18" charset="0"/>
            <a:cs typeface="Times New Roman" panose="02020603050405020304" pitchFamily="18" charset="0"/>
          </a:endParaRPr>
        </a:p>
      </dgm:t>
    </dgm:pt>
    <dgm:pt modelId="{1550C2D9-B12E-4394-93BE-A65265F538F9}" type="sibTrans" cxnId="{B2B491B1-0AE3-4655-BE79-D46BF4F72ABC}">
      <dgm:prSet/>
      <dgm:spPr/>
      <dgm:t>
        <a:bodyPr/>
        <a:lstStyle/>
        <a:p>
          <a:endParaRPr lang="ru-RU" sz="1000">
            <a:latin typeface="Times New Roman" panose="02020603050405020304" pitchFamily="18" charset="0"/>
            <a:cs typeface="Times New Roman" panose="02020603050405020304" pitchFamily="18" charset="0"/>
          </a:endParaRPr>
        </a:p>
      </dgm:t>
    </dgm:pt>
    <dgm:pt modelId="{080388C9-547B-4057-BD1F-A7146777574B}">
      <dgm:prSet phldrT="[Текст]" custT="1"/>
      <dgm:spPr/>
      <dgm:t>
        <a:bodyPr/>
        <a:lstStyle/>
        <a:p>
          <a:r>
            <a:rPr lang="ru-RU" sz="1050" b="0" i="1">
              <a:latin typeface="Times New Roman" panose="02020603050405020304" pitchFamily="18" charset="0"/>
              <a:cs typeface="Times New Roman" panose="02020603050405020304" pitchFamily="18" charset="0"/>
            </a:rPr>
            <a:t>Институциональная имплементация</a:t>
          </a:r>
          <a:r>
            <a:rPr lang="ru-RU" sz="900" b="0" i="1">
              <a:latin typeface="Times New Roman" panose="02020603050405020304" pitchFamily="18" charset="0"/>
              <a:cs typeface="Times New Roman" panose="02020603050405020304" pitchFamily="18" charset="0"/>
            </a:rPr>
            <a:t/>
          </a:r>
          <a:br>
            <a:rPr lang="ru-RU" sz="900" b="0" i="1">
              <a:latin typeface="Times New Roman" panose="02020603050405020304" pitchFamily="18" charset="0"/>
              <a:cs typeface="Times New Roman" panose="02020603050405020304" pitchFamily="18" charset="0"/>
            </a:rPr>
          </a:br>
          <a:endParaRPr lang="ru-RU" sz="900" b="0" i="1">
            <a:latin typeface="Times New Roman" panose="02020603050405020304" pitchFamily="18" charset="0"/>
            <a:cs typeface="Times New Roman" panose="02020603050405020304" pitchFamily="18" charset="0"/>
          </a:endParaRPr>
        </a:p>
      </dgm:t>
    </dgm:pt>
    <dgm:pt modelId="{C0C6A235-E2B7-40CF-AA97-0AD7099E1A08}" type="parTrans" cxnId="{29DB978C-5C4A-433C-9E1B-458286C92E7B}">
      <dgm:prSet/>
      <dgm:spPr/>
      <dgm:t>
        <a:bodyPr/>
        <a:lstStyle/>
        <a:p>
          <a:endParaRPr lang="ru-RU" sz="1000">
            <a:latin typeface="Times New Roman" panose="02020603050405020304" pitchFamily="18" charset="0"/>
            <a:cs typeface="Times New Roman" panose="02020603050405020304" pitchFamily="18" charset="0"/>
          </a:endParaRPr>
        </a:p>
      </dgm:t>
    </dgm:pt>
    <dgm:pt modelId="{9320D721-BD98-4038-BC7A-313C18769137}" type="sibTrans" cxnId="{29DB978C-5C4A-433C-9E1B-458286C92E7B}">
      <dgm:prSet/>
      <dgm:spPr/>
      <dgm:t>
        <a:bodyPr/>
        <a:lstStyle/>
        <a:p>
          <a:endParaRPr lang="ru-RU" sz="1000">
            <a:latin typeface="Times New Roman" panose="02020603050405020304" pitchFamily="18" charset="0"/>
            <a:cs typeface="Times New Roman" panose="02020603050405020304" pitchFamily="18" charset="0"/>
          </a:endParaRPr>
        </a:p>
      </dgm:t>
    </dgm:pt>
    <dgm:pt modelId="{45A65BAF-B3C7-4492-8D07-9D9A43761800}">
      <dgm:prSet phldrT="[Текст]" custT="1"/>
      <dgm:spPr/>
      <dgm:t>
        <a:bodyPr/>
        <a:lstStyle/>
        <a:p>
          <a:r>
            <a:rPr lang="ru-RU" sz="900">
              <a:latin typeface="Times New Roman" panose="02020603050405020304" pitchFamily="18" charset="0"/>
              <a:cs typeface="Times New Roman" panose="02020603050405020304" pitchFamily="18" charset="0"/>
            </a:rPr>
            <a:t>▪ Формирование совместных механизмов оценки эффективности правозащитной политики</a:t>
          </a:r>
        </a:p>
      </dgm:t>
    </dgm:pt>
    <dgm:pt modelId="{61AD00E9-41F2-4425-B537-7BDF36182B2C}" type="parTrans" cxnId="{5C50F8F4-D45F-450C-925A-140511727A27}">
      <dgm:prSet/>
      <dgm:spPr/>
      <dgm:t>
        <a:bodyPr/>
        <a:lstStyle/>
        <a:p>
          <a:endParaRPr lang="ru-RU" sz="1000">
            <a:latin typeface="Times New Roman" panose="02020603050405020304" pitchFamily="18" charset="0"/>
            <a:cs typeface="Times New Roman" panose="02020603050405020304" pitchFamily="18" charset="0"/>
          </a:endParaRPr>
        </a:p>
      </dgm:t>
    </dgm:pt>
    <dgm:pt modelId="{A7C1A153-AB45-40F8-BD12-5DEA9282A6EE}" type="sibTrans" cxnId="{5C50F8F4-D45F-450C-925A-140511727A27}">
      <dgm:prSet/>
      <dgm:spPr/>
      <dgm:t>
        <a:bodyPr/>
        <a:lstStyle/>
        <a:p>
          <a:endParaRPr lang="ru-RU" sz="1000">
            <a:latin typeface="Times New Roman" panose="02020603050405020304" pitchFamily="18" charset="0"/>
            <a:cs typeface="Times New Roman" panose="02020603050405020304" pitchFamily="18" charset="0"/>
          </a:endParaRPr>
        </a:p>
      </dgm:t>
    </dgm:pt>
    <dgm:pt modelId="{80CB55E3-D4D4-40CA-81BA-2CF6FC56C26A}">
      <dgm:prSet phldrT="[Текст]" custT="1"/>
      <dgm:spPr/>
      <dgm:t>
        <a:bodyPr/>
        <a:lstStyle/>
        <a:p>
          <a:r>
            <a:rPr lang="ru-RU" sz="900">
              <a:latin typeface="Times New Roman" panose="02020603050405020304" pitchFamily="18" charset="0"/>
              <a:cs typeface="Times New Roman" panose="02020603050405020304" pitchFamily="18" charset="0"/>
            </a:rPr>
            <a:t>▪ Повышение роли институтов гражданского общества в процессе мониторинга и консультирования</a:t>
          </a:r>
          <a:br>
            <a:rPr lang="ru-RU" sz="900">
              <a:latin typeface="Times New Roman" panose="02020603050405020304" pitchFamily="18" charset="0"/>
              <a:cs typeface="Times New Roman" panose="02020603050405020304" pitchFamily="18" charset="0"/>
            </a:rPr>
          </a:br>
          <a:endParaRPr lang="ru-RU" sz="900">
            <a:latin typeface="Times New Roman" panose="02020603050405020304" pitchFamily="18" charset="0"/>
            <a:cs typeface="Times New Roman" panose="02020603050405020304" pitchFamily="18" charset="0"/>
          </a:endParaRPr>
        </a:p>
      </dgm:t>
    </dgm:pt>
    <dgm:pt modelId="{237901B5-578E-4B0E-A4AA-FA143790A7B6}" type="parTrans" cxnId="{4DDC4BE1-D48F-437C-B69F-AE3F74F08C4D}">
      <dgm:prSet/>
      <dgm:spPr/>
      <dgm:t>
        <a:bodyPr/>
        <a:lstStyle/>
        <a:p>
          <a:endParaRPr lang="ru-RU" sz="1000">
            <a:latin typeface="Times New Roman" panose="02020603050405020304" pitchFamily="18" charset="0"/>
            <a:cs typeface="Times New Roman" panose="02020603050405020304" pitchFamily="18" charset="0"/>
          </a:endParaRPr>
        </a:p>
      </dgm:t>
    </dgm:pt>
    <dgm:pt modelId="{6B7B414E-7731-4B0F-88D6-12C9FE0E37F7}" type="sibTrans" cxnId="{4DDC4BE1-D48F-437C-B69F-AE3F74F08C4D}">
      <dgm:prSet/>
      <dgm:spPr/>
      <dgm:t>
        <a:bodyPr/>
        <a:lstStyle/>
        <a:p>
          <a:endParaRPr lang="ru-RU" sz="1000">
            <a:latin typeface="Times New Roman" panose="02020603050405020304" pitchFamily="18" charset="0"/>
            <a:cs typeface="Times New Roman" panose="02020603050405020304" pitchFamily="18" charset="0"/>
          </a:endParaRPr>
        </a:p>
      </dgm:t>
    </dgm:pt>
    <dgm:pt modelId="{7BFB66F7-109E-41ED-9413-F5F3D6910914}">
      <dgm:prSet phldrT="[Текст]" custT="1"/>
      <dgm:spPr/>
      <dgm:t>
        <a:bodyPr/>
        <a:lstStyle/>
        <a:p>
          <a:r>
            <a:rPr lang="ru-RU" sz="1000">
              <a:latin typeface="Times New Roman" panose="02020603050405020304" pitchFamily="18" charset="0"/>
              <a:cs typeface="Times New Roman" panose="02020603050405020304" pitchFamily="18" charset="0"/>
            </a:rPr>
            <a:t>▪ Переход к обобщённым оценкам прогресса реформ и выполнения обязательств в области прав человека</a:t>
          </a:r>
        </a:p>
      </dgm:t>
    </dgm:pt>
    <dgm:pt modelId="{627F2C39-D013-4BDF-9BB0-F5F883F01088}" type="parTrans" cxnId="{D9D09DB1-E4FC-46F7-859A-3598067A4C0C}">
      <dgm:prSet/>
      <dgm:spPr/>
      <dgm:t>
        <a:bodyPr/>
        <a:lstStyle/>
        <a:p>
          <a:endParaRPr lang="ru-RU" sz="1000">
            <a:latin typeface="Times New Roman" panose="02020603050405020304" pitchFamily="18" charset="0"/>
            <a:cs typeface="Times New Roman" panose="02020603050405020304" pitchFamily="18" charset="0"/>
          </a:endParaRPr>
        </a:p>
      </dgm:t>
    </dgm:pt>
    <dgm:pt modelId="{B526ED70-6220-415E-BC09-BE3807409F39}" type="sibTrans" cxnId="{D9D09DB1-E4FC-46F7-859A-3598067A4C0C}">
      <dgm:prSet/>
      <dgm:spPr/>
      <dgm:t>
        <a:bodyPr/>
        <a:lstStyle/>
        <a:p>
          <a:endParaRPr lang="ru-RU" sz="1000">
            <a:latin typeface="Times New Roman" panose="02020603050405020304" pitchFamily="18" charset="0"/>
            <a:cs typeface="Times New Roman" panose="02020603050405020304" pitchFamily="18" charset="0"/>
          </a:endParaRPr>
        </a:p>
      </dgm:t>
    </dgm:pt>
    <dgm:pt modelId="{16AFBD91-309F-4513-AB4E-23D910AC5589}">
      <dgm:prSet phldrT="[Текст]" custT="1"/>
      <dgm:spPr/>
      <dgm:t>
        <a:bodyPr/>
        <a:lstStyle/>
        <a:p>
          <a:r>
            <a:rPr lang="ru-RU" sz="900">
              <a:latin typeface="Times New Roman" panose="02020603050405020304" pitchFamily="18" charset="0"/>
              <a:cs typeface="Times New Roman" panose="02020603050405020304" pitchFamily="18" charset="0"/>
            </a:rPr>
            <a:t>▪ Техническая и экспертная поддержка со стороны Европейского союза, в том числе в рамках программы </a:t>
          </a:r>
          <a:r>
            <a:rPr lang="en-US" sz="900">
              <a:latin typeface="Times New Roman" panose="02020603050405020304" pitchFamily="18" charset="0"/>
              <a:cs typeface="Times New Roman" panose="02020603050405020304" pitchFamily="18" charset="0"/>
            </a:rPr>
            <a:t>NDICI – Global Europe</a:t>
          </a:r>
          <a:endParaRPr lang="ru-RU" sz="900">
            <a:latin typeface="Times New Roman" panose="02020603050405020304" pitchFamily="18" charset="0"/>
            <a:cs typeface="Times New Roman" panose="02020603050405020304" pitchFamily="18" charset="0"/>
          </a:endParaRPr>
        </a:p>
      </dgm:t>
    </dgm:pt>
    <dgm:pt modelId="{32BEA9EC-613C-48A0-94F6-4665A4D48DA7}" type="parTrans" cxnId="{BF4EBA51-7E95-4252-95FF-C9B223BAF0CC}">
      <dgm:prSet/>
      <dgm:spPr/>
      <dgm:t>
        <a:bodyPr/>
        <a:lstStyle/>
        <a:p>
          <a:endParaRPr lang="ru-RU" sz="1000">
            <a:latin typeface="Times New Roman" panose="02020603050405020304" pitchFamily="18" charset="0"/>
            <a:cs typeface="Times New Roman" panose="02020603050405020304" pitchFamily="18" charset="0"/>
          </a:endParaRPr>
        </a:p>
      </dgm:t>
    </dgm:pt>
    <dgm:pt modelId="{E5C55355-210A-41B9-8C25-5E5A0F4F6F48}" type="sibTrans" cxnId="{BF4EBA51-7E95-4252-95FF-C9B223BAF0CC}">
      <dgm:prSet/>
      <dgm:spPr/>
      <dgm:t>
        <a:bodyPr/>
        <a:lstStyle/>
        <a:p>
          <a:endParaRPr lang="ru-RU" sz="1000">
            <a:latin typeface="Times New Roman" panose="02020603050405020304" pitchFamily="18" charset="0"/>
            <a:cs typeface="Times New Roman" panose="02020603050405020304" pitchFamily="18" charset="0"/>
          </a:endParaRPr>
        </a:p>
      </dgm:t>
    </dgm:pt>
    <dgm:pt modelId="{11535656-A03F-4346-825A-2F0380B88A2C}" type="pres">
      <dgm:prSet presAssocID="{278D008C-0001-4C0D-B842-E07A5D90E199}" presName="Name0" presStyleCnt="0">
        <dgm:presLayoutVars>
          <dgm:dir/>
          <dgm:animLvl val="lvl"/>
          <dgm:resizeHandles val="exact"/>
        </dgm:presLayoutVars>
      </dgm:prSet>
      <dgm:spPr/>
      <dgm:t>
        <a:bodyPr/>
        <a:lstStyle/>
        <a:p>
          <a:endParaRPr lang="ru-RU"/>
        </a:p>
      </dgm:t>
    </dgm:pt>
    <dgm:pt modelId="{494AE3E4-0052-46FB-B443-D3693468B306}" type="pres">
      <dgm:prSet presAssocID="{080388C9-547B-4057-BD1F-A7146777574B}" presName="boxAndChildren" presStyleCnt="0"/>
      <dgm:spPr/>
    </dgm:pt>
    <dgm:pt modelId="{EADC6254-EC92-439D-BB8D-FEFE816A3BB4}" type="pres">
      <dgm:prSet presAssocID="{080388C9-547B-4057-BD1F-A7146777574B}" presName="parentTextBox" presStyleLbl="node1" presStyleIdx="0" presStyleCnt="3"/>
      <dgm:spPr/>
      <dgm:t>
        <a:bodyPr/>
        <a:lstStyle/>
        <a:p>
          <a:endParaRPr lang="ru-RU"/>
        </a:p>
      </dgm:t>
    </dgm:pt>
    <dgm:pt modelId="{6B4A3445-7E87-4732-B415-F5A2EC6F53B7}" type="pres">
      <dgm:prSet presAssocID="{080388C9-547B-4057-BD1F-A7146777574B}" presName="entireBox" presStyleLbl="node1" presStyleIdx="0" presStyleCnt="3" custScaleY="73393"/>
      <dgm:spPr/>
      <dgm:t>
        <a:bodyPr/>
        <a:lstStyle/>
        <a:p>
          <a:endParaRPr lang="ru-RU"/>
        </a:p>
      </dgm:t>
    </dgm:pt>
    <dgm:pt modelId="{097F54E6-196A-4F72-89DA-2AA20A5B9FDC}" type="pres">
      <dgm:prSet presAssocID="{080388C9-547B-4057-BD1F-A7146777574B}" presName="descendantBox" presStyleCnt="0"/>
      <dgm:spPr/>
    </dgm:pt>
    <dgm:pt modelId="{E7603D9D-8984-43DD-8388-89425DD3C480}" type="pres">
      <dgm:prSet presAssocID="{45A65BAF-B3C7-4492-8D07-9D9A43761800}" presName="childTextBox" presStyleLbl="fgAccFollowNode1" presStyleIdx="0" presStyleCnt="8" custScaleY="136960">
        <dgm:presLayoutVars>
          <dgm:bulletEnabled val="1"/>
        </dgm:presLayoutVars>
      </dgm:prSet>
      <dgm:spPr/>
      <dgm:t>
        <a:bodyPr/>
        <a:lstStyle/>
        <a:p>
          <a:endParaRPr lang="ru-RU"/>
        </a:p>
      </dgm:t>
    </dgm:pt>
    <dgm:pt modelId="{DDFE34A7-EBA3-465C-A5A1-D79B36C2A013}" type="pres">
      <dgm:prSet presAssocID="{80CB55E3-D4D4-40CA-81BA-2CF6FC56C26A}" presName="childTextBox" presStyleLbl="fgAccFollowNode1" presStyleIdx="1" presStyleCnt="8" custScaleY="137505">
        <dgm:presLayoutVars>
          <dgm:bulletEnabled val="1"/>
        </dgm:presLayoutVars>
      </dgm:prSet>
      <dgm:spPr/>
      <dgm:t>
        <a:bodyPr/>
        <a:lstStyle/>
        <a:p>
          <a:endParaRPr lang="ru-RU"/>
        </a:p>
      </dgm:t>
    </dgm:pt>
    <dgm:pt modelId="{2FE4BB81-92C5-480F-BCE8-9607F7930108}" type="pres">
      <dgm:prSet presAssocID="{16AFBD91-309F-4513-AB4E-23D910AC5589}" presName="childTextBox" presStyleLbl="fgAccFollowNode1" presStyleIdx="2" presStyleCnt="8" custScaleY="137232">
        <dgm:presLayoutVars>
          <dgm:bulletEnabled val="1"/>
        </dgm:presLayoutVars>
      </dgm:prSet>
      <dgm:spPr/>
      <dgm:t>
        <a:bodyPr/>
        <a:lstStyle/>
        <a:p>
          <a:endParaRPr lang="ru-RU"/>
        </a:p>
      </dgm:t>
    </dgm:pt>
    <dgm:pt modelId="{EB42450C-A51E-4BBF-BCFA-63AB1B4F8BB5}" type="pres">
      <dgm:prSet presAssocID="{CCA9B63F-1C93-43CA-98EF-2DF1756A7315}" presName="sp" presStyleCnt="0"/>
      <dgm:spPr/>
    </dgm:pt>
    <dgm:pt modelId="{52F7135D-611E-447C-95D7-D315B1761218}" type="pres">
      <dgm:prSet presAssocID="{7A1D2381-CE50-4561-B0F3-F8CCE83CEACF}" presName="arrowAndChildren" presStyleCnt="0"/>
      <dgm:spPr/>
    </dgm:pt>
    <dgm:pt modelId="{EF98AEB6-C96D-4E96-8498-4247CE585381}" type="pres">
      <dgm:prSet presAssocID="{7A1D2381-CE50-4561-B0F3-F8CCE83CEACF}" presName="parentTextArrow" presStyleLbl="node1" presStyleIdx="0" presStyleCnt="3"/>
      <dgm:spPr/>
      <dgm:t>
        <a:bodyPr/>
        <a:lstStyle/>
        <a:p>
          <a:endParaRPr lang="ru-RU"/>
        </a:p>
      </dgm:t>
    </dgm:pt>
    <dgm:pt modelId="{EB7D1DD6-F980-4A40-B254-A8DF8A0765AE}" type="pres">
      <dgm:prSet presAssocID="{7A1D2381-CE50-4561-B0F3-F8CCE83CEACF}" presName="arrow" presStyleLbl="node1" presStyleIdx="1" presStyleCnt="3" custScaleY="76375"/>
      <dgm:spPr/>
      <dgm:t>
        <a:bodyPr/>
        <a:lstStyle/>
        <a:p>
          <a:endParaRPr lang="ru-RU"/>
        </a:p>
      </dgm:t>
    </dgm:pt>
    <dgm:pt modelId="{E89BD057-D15B-4C55-BBE1-3FDC46FC18A0}" type="pres">
      <dgm:prSet presAssocID="{7A1D2381-CE50-4561-B0F3-F8CCE83CEACF}" presName="descendantArrow" presStyleCnt="0"/>
      <dgm:spPr/>
    </dgm:pt>
    <dgm:pt modelId="{E6C8DDF7-0BF8-47B8-BA72-142EE71EE091}" type="pres">
      <dgm:prSet presAssocID="{18E55280-0A04-4E14-BF38-75FD77533005}" presName="childTextArrow" presStyleLbl="fgAccFollowNode1" presStyleIdx="3" presStyleCnt="8" custScaleY="146014">
        <dgm:presLayoutVars>
          <dgm:bulletEnabled val="1"/>
        </dgm:presLayoutVars>
      </dgm:prSet>
      <dgm:spPr/>
      <dgm:t>
        <a:bodyPr/>
        <a:lstStyle/>
        <a:p>
          <a:endParaRPr lang="ru-RU"/>
        </a:p>
      </dgm:t>
    </dgm:pt>
    <dgm:pt modelId="{21163C2E-8CD6-4A5B-B39F-BCAD95A61AEF}" type="pres">
      <dgm:prSet presAssocID="{EE1813AD-0A6D-4517-8E14-0DB97BD3FE6D}" presName="childTextArrow" presStyleLbl="fgAccFollowNode1" presStyleIdx="4" presStyleCnt="8" custScaleX="142053" custScaleY="146014">
        <dgm:presLayoutVars>
          <dgm:bulletEnabled val="1"/>
        </dgm:presLayoutVars>
      </dgm:prSet>
      <dgm:spPr/>
      <dgm:t>
        <a:bodyPr/>
        <a:lstStyle/>
        <a:p>
          <a:endParaRPr lang="ru-RU"/>
        </a:p>
      </dgm:t>
    </dgm:pt>
    <dgm:pt modelId="{45C5E7FB-D556-47E7-A387-BF6A54EA9607}" type="pres">
      <dgm:prSet presAssocID="{10A72EF0-651A-4384-BEC2-0A7D0E5A40F4}" presName="sp" presStyleCnt="0"/>
      <dgm:spPr/>
    </dgm:pt>
    <dgm:pt modelId="{7E13DD06-E7D1-4F55-B7CF-9E4AC565D229}" type="pres">
      <dgm:prSet presAssocID="{E42D492E-8ECC-4F44-B799-AEB4A1C30858}" presName="arrowAndChildren" presStyleCnt="0"/>
      <dgm:spPr/>
    </dgm:pt>
    <dgm:pt modelId="{631EF271-8946-4BB8-9600-389DF48AD894}" type="pres">
      <dgm:prSet presAssocID="{E42D492E-8ECC-4F44-B799-AEB4A1C30858}" presName="parentTextArrow" presStyleLbl="node1" presStyleIdx="1" presStyleCnt="3"/>
      <dgm:spPr/>
      <dgm:t>
        <a:bodyPr/>
        <a:lstStyle/>
        <a:p>
          <a:endParaRPr lang="ru-RU"/>
        </a:p>
      </dgm:t>
    </dgm:pt>
    <dgm:pt modelId="{966D8FAB-287E-467A-9BCB-D96932CA3CEB}" type="pres">
      <dgm:prSet presAssocID="{E42D492E-8ECC-4F44-B799-AEB4A1C30858}" presName="arrow" presStyleLbl="node1" presStyleIdx="2" presStyleCnt="3" custScaleY="66858"/>
      <dgm:spPr/>
      <dgm:t>
        <a:bodyPr/>
        <a:lstStyle/>
        <a:p>
          <a:endParaRPr lang="ru-RU"/>
        </a:p>
      </dgm:t>
    </dgm:pt>
    <dgm:pt modelId="{CDBB057A-49A3-4CE1-85A9-0C83C038B4B3}" type="pres">
      <dgm:prSet presAssocID="{E42D492E-8ECC-4F44-B799-AEB4A1C30858}" presName="descendantArrow" presStyleCnt="0"/>
      <dgm:spPr/>
    </dgm:pt>
    <dgm:pt modelId="{C92F6890-A319-419E-A12F-4BD794FDB954}" type="pres">
      <dgm:prSet presAssocID="{36047FA2-7114-4DE7-8630-A4C917CC2386}" presName="childTextArrow" presStyleLbl="fgAccFollowNode1" presStyleIdx="5" presStyleCnt="8" custScaleY="104626">
        <dgm:presLayoutVars>
          <dgm:bulletEnabled val="1"/>
        </dgm:presLayoutVars>
      </dgm:prSet>
      <dgm:spPr/>
      <dgm:t>
        <a:bodyPr/>
        <a:lstStyle/>
        <a:p>
          <a:endParaRPr lang="ru-RU"/>
        </a:p>
      </dgm:t>
    </dgm:pt>
    <dgm:pt modelId="{A866DA78-FB6F-4FBF-B946-6CB42C8E3FD0}" type="pres">
      <dgm:prSet presAssocID="{EB36CAC6-63F5-4CC9-A31A-8868B9F41891}" presName="childTextArrow" presStyleLbl="fgAccFollowNode1" presStyleIdx="6" presStyleCnt="8" custScaleY="104493">
        <dgm:presLayoutVars>
          <dgm:bulletEnabled val="1"/>
        </dgm:presLayoutVars>
      </dgm:prSet>
      <dgm:spPr/>
      <dgm:t>
        <a:bodyPr/>
        <a:lstStyle/>
        <a:p>
          <a:endParaRPr lang="ru-RU"/>
        </a:p>
      </dgm:t>
    </dgm:pt>
    <dgm:pt modelId="{1991CD4D-152C-49DA-A6B5-0CB0FDE11E5D}" type="pres">
      <dgm:prSet presAssocID="{7BFB66F7-109E-41ED-9413-F5F3D6910914}" presName="childTextArrow" presStyleLbl="fgAccFollowNode1" presStyleIdx="7" presStyleCnt="8" custScaleY="104493">
        <dgm:presLayoutVars>
          <dgm:bulletEnabled val="1"/>
        </dgm:presLayoutVars>
      </dgm:prSet>
      <dgm:spPr/>
      <dgm:t>
        <a:bodyPr/>
        <a:lstStyle/>
        <a:p>
          <a:endParaRPr lang="ru-RU"/>
        </a:p>
      </dgm:t>
    </dgm:pt>
  </dgm:ptLst>
  <dgm:cxnLst>
    <dgm:cxn modelId="{6DFDF924-A6EC-497F-8C5D-52E9DA4D4BE9}" srcId="{278D008C-0001-4C0D-B842-E07A5D90E199}" destId="{7A1D2381-CE50-4561-B0F3-F8CCE83CEACF}" srcOrd="1" destOrd="0" parTransId="{9069E032-E8AE-4A58-B9C8-CCE39FAF49AC}" sibTransId="{CCA9B63F-1C93-43CA-98EF-2DF1756A7315}"/>
    <dgm:cxn modelId="{43B383F4-7E87-4E98-AD4F-C55B9B3A112A}" type="presOf" srcId="{E42D492E-8ECC-4F44-B799-AEB4A1C30858}" destId="{966D8FAB-287E-467A-9BCB-D96932CA3CEB}" srcOrd="1" destOrd="0" presId="urn:microsoft.com/office/officeart/2005/8/layout/process4"/>
    <dgm:cxn modelId="{BF4EBA51-7E95-4252-95FF-C9B223BAF0CC}" srcId="{080388C9-547B-4057-BD1F-A7146777574B}" destId="{16AFBD91-309F-4513-AB4E-23D910AC5589}" srcOrd="2" destOrd="0" parTransId="{32BEA9EC-613C-48A0-94F6-4665A4D48DA7}" sibTransId="{E5C55355-210A-41B9-8C25-5E5A0F4F6F48}"/>
    <dgm:cxn modelId="{5C50F8F4-D45F-450C-925A-140511727A27}" srcId="{080388C9-547B-4057-BD1F-A7146777574B}" destId="{45A65BAF-B3C7-4492-8D07-9D9A43761800}" srcOrd="0" destOrd="0" parTransId="{61AD00E9-41F2-4425-B537-7BDF36182B2C}" sibTransId="{A7C1A153-AB45-40F8-BD12-5DEA9282A6EE}"/>
    <dgm:cxn modelId="{29DB978C-5C4A-433C-9E1B-458286C92E7B}" srcId="{278D008C-0001-4C0D-B842-E07A5D90E199}" destId="{080388C9-547B-4057-BD1F-A7146777574B}" srcOrd="2" destOrd="0" parTransId="{C0C6A235-E2B7-40CF-AA97-0AD7099E1A08}" sibTransId="{9320D721-BD98-4038-BC7A-313C18769137}"/>
    <dgm:cxn modelId="{3B71AFE5-1362-43FF-9967-300F323DC462}" type="presOf" srcId="{080388C9-547B-4057-BD1F-A7146777574B}" destId="{EADC6254-EC92-439D-BB8D-FEFE816A3BB4}" srcOrd="0" destOrd="0" presId="urn:microsoft.com/office/officeart/2005/8/layout/process4"/>
    <dgm:cxn modelId="{59EDC0E3-6970-40A1-8C4F-205141871EC0}" type="presOf" srcId="{18E55280-0A04-4E14-BF38-75FD77533005}" destId="{E6C8DDF7-0BF8-47B8-BA72-142EE71EE091}" srcOrd="0" destOrd="0" presId="urn:microsoft.com/office/officeart/2005/8/layout/process4"/>
    <dgm:cxn modelId="{B2B491B1-0AE3-4655-BE79-D46BF4F72ABC}" srcId="{7A1D2381-CE50-4561-B0F3-F8CCE83CEACF}" destId="{EE1813AD-0A6D-4517-8E14-0DB97BD3FE6D}" srcOrd="1" destOrd="0" parTransId="{F0D0E550-AE30-49B6-9A5B-E89921FBE96C}" sibTransId="{1550C2D9-B12E-4394-93BE-A65265F538F9}"/>
    <dgm:cxn modelId="{807E0DB9-7B8F-40C5-808D-D0C6C1E61C5A}" type="presOf" srcId="{16AFBD91-309F-4513-AB4E-23D910AC5589}" destId="{2FE4BB81-92C5-480F-BCE8-9607F7930108}" srcOrd="0" destOrd="0" presId="urn:microsoft.com/office/officeart/2005/8/layout/process4"/>
    <dgm:cxn modelId="{283D5EE4-FC3C-45BE-89F6-2F19FA35775A}" type="presOf" srcId="{7BFB66F7-109E-41ED-9413-F5F3D6910914}" destId="{1991CD4D-152C-49DA-A6B5-0CB0FDE11E5D}" srcOrd="0" destOrd="0" presId="urn:microsoft.com/office/officeart/2005/8/layout/process4"/>
    <dgm:cxn modelId="{FB433C0E-4903-4592-AA72-9DF93C0F842A}" type="presOf" srcId="{7A1D2381-CE50-4561-B0F3-F8CCE83CEACF}" destId="{EF98AEB6-C96D-4E96-8498-4247CE585381}" srcOrd="0" destOrd="0" presId="urn:microsoft.com/office/officeart/2005/8/layout/process4"/>
    <dgm:cxn modelId="{F7C488D5-5A86-465F-8F0E-E7623BBF2B60}" srcId="{E42D492E-8ECC-4F44-B799-AEB4A1C30858}" destId="{36047FA2-7114-4DE7-8630-A4C917CC2386}" srcOrd="0" destOrd="0" parTransId="{6CAC59D6-9EA2-44D4-851C-F4A7DBD6D8BC}" sibTransId="{1A8DD39B-DCED-4B47-81A7-EBA4D19E9B8D}"/>
    <dgm:cxn modelId="{F6C796E9-E866-445B-B081-E69A89D1CB74}" type="presOf" srcId="{EE1813AD-0A6D-4517-8E14-0DB97BD3FE6D}" destId="{21163C2E-8CD6-4A5B-B39F-BCAD95A61AEF}" srcOrd="0" destOrd="0" presId="urn:microsoft.com/office/officeart/2005/8/layout/process4"/>
    <dgm:cxn modelId="{5FD93F70-E671-4CF8-86D8-CC6FF749C558}" srcId="{7A1D2381-CE50-4561-B0F3-F8CCE83CEACF}" destId="{18E55280-0A04-4E14-BF38-75FD77533005}" srcOrd="0" destOrd="0" parTransId="{63A16038-BB96-4136-B757-FA03198ED59C}" sibTransId="{D40B5208-D493-4CEE-B358-2B8374AF41C7}"/>
    <dgm:cxn modelId="{0427D4E4-EE52-4384-A874-491B49CA8AB8}" type="presOf" srcId="{7A1D2381-CE50-4561-B0F3-F8CCE83CEACF}" destId="{EB7D1DD6-F980-4A40-B254-A8DF8A0765AE}" srcOrd="1" destOrd="0" presId="urn:microsoft.com/office/officeart/2005/8/layout/process4"/>
    <dgm:cxn modelId="{44FB4D7B-CBBB-4EF6-B3AA-168598F778ED}" type="presOf" srcId="{278D008C-0001-4C0D-B842-E07A5D90E199}" destId="{11535656-A03F-4346-825A-2F0380B88A2C}" srcOrd="0" destOrd="0" presId="urn:microsoft.com/office/officeart/2005/8/layout/process4"/>
    <dgm:cxn modelId="{39D56115-3D92-4D00-A9F1-C75FCC140758}" type="presOf" srcId="{36047FA2-7114-4DE7-8630-A4C917CC2386}" destId="{C92F6890-A319-419E-A12F-4BD794FDB954}" srcOrd="0" destOrd="0" presId="urn:microsoft.com/office/officeart/2005/8/layout/process4"/>
    <dgm:cxn modelId="{DCB4D0EC-9CDD-404B-A583-45F8A8587D94}" type="presOf" srcId="{EB36CAC6-63F5-4CC9-A31A-8868B9F41891}" destId="{A866DA78-FB6F-4FBF-B946-6CB42C8E3FD0}" srcOrd="0" destOrd="0" presId="urn:microsoft.com/office/officeart/2005/8/layout/process4"/>
    <dgm:cxn modelId="{D9D09DB1-E4FC-46F7-859A-3598067A4C0C}" srcId="{E42D492E-8ECC-4F44-B799-AEB4A1C30858}" destId="{7BFB66F7-109E-41ED-9413-F5F3D6910914}" srcOrd="2" destOrd="0" parTransId="{627F2C39-D013-4BDF-9BB0-F5F883F01088}" sibTransId="{B526ED70-6220-415E-BC09-BE3807409F39}"/>
    <dgm:cxn modelId="{E878A6BA-1E05-4846-92C2-09E7FCB4DF59}" type="presOf" srcId="{45A65BAF-B3C7-4492-8D07-9D9A43761800}" destId="{E7603D9D-8984-43DD-8388-89425DD3C480}" srcOrd="0" destOrd="0" presId="urn:microsoft.com/office/officeart/2005/8/layout/process4"/>
    <dgm:cxn modelId="{C0C08A58-FF7B-4504-BEF5-D8A95AF4CA45}" type="presOf" srcId="{80CB55E3-D4D4-40CA-81BA-2CF6FC56C26A}" destId="{DDFE34A7-EBA3-465C-A5A1-D79B36C2A013}" srcOrd="0" destOrd="0" presId="urn:microsoft.com/office/officeart/2005/8/layout/process4"/>
    <dgm:cxn modelId="{F340C866-8F49-4072-AC5A-FFC43043B737}" srcId="{278D008C-0001-4C0D-B842-E07A5D90E199}" destId="{E42D492E-8ECC-4F44-B799-AEB4A1C30858}" srcOrd="0" destOrd="0" parTransId="{7ADDF715-AC6A-4291-83F9-12756D413FBF}" sibTransId="{10A72EF0-651A-4384-BEC2-0A7D0E5A40F4}"/>
    <dgm:cxn modelId="{4DDC4BE1-D48F-437C-B69F-AE3F74F08C4D}" srcId="{080388C9-547B-4057-BD1F-A7146777574B}" destId="{80CB55E3-D4D4-40CA-81BA-2CF6FC56C26A}" srcOrd="1" destOrd="0" parTransId="{237901B5-578E-4B0E-A4AA-FA143790A7B6}" sibTransId="{6B7B414E-7731-4B0F-88D6-12C9FE0E37F7}"/>
    <dgm:cxn modelId="{A3756FB9-7B54-46D6-8A57-DE2356062ED7}" type="presOf" srcId="{080388C9-547B-4057-BD1F-A7146777574B}" destId="{6B4A3445-7E87-4732-B415-F5A2EC6F53B7}" srcOrd="1" destOrd="0" presId="urn:microsoft.com/office/officeart/2005/8/layout/process4"/>
    <dgm:cxn modelId="{FB9E70A9-832D-4256-9B9E-7FDF6EADB13C}" srcId="{E42D492E-8ECC-4F44-B799-AEB4A1C30858}" destId="{EB36CAC6-63F5-4CC9-A31A-8868B9F41891}" srcOrd="1" destOrd="0" parTransId="{8EC1CF03-C920-4AFE-8807-248B4372988E}" sibTransId="{B38BF7CF-7E1A-412F-BB61-477AFEA98A0B}"/>
    <dgm:cxn modelId="{AC7E48FC-FA5D-4EDF-9355-DCF06AE0816C}" type="presOf" srcId="{E42D492E-8ECC-4F44-B799-AEB4A1C30858}" destId="{631EF271-8946-4BB8-9600-389DF48AD894}" srcOrd="0" destOrd="0" presId="urn:microsoft.com/office/officeart/2005/8/layout/process4"/>
    <dgm:cxn modelId="{6C8F95F2-1880-4B2F-B990-54258EB809BD}" type="presParOf" srcId="{11535656-A03F-4346-825A-2F0380B88A2C}" destId="{494AE3E4-0052-46FB-B443-D3693468B306}" srcOrd="0" destOrd="0" presId="urn:microsoft.com/office/officeart/2005/8/layout/process4"/>
    <dgm:cxn modelId="{985267CA-759F-4CB6-9326-14D37D1C2E00}" type="presParOf" srcId="{494AE3E4-0052-46FB-B443-D3693468B306}" destId="{EADC6254-EC92-439D-BB8D-FEFE816A3BB4}" srcOrd="0" destOrd="0" presId="urn:microsoft.com/office/officeart/2005/8/layout/process4"/>
    <dgm:cxn modelId="{71856D9C-3C98-4EAF-BF4D-5A3F871C59D3}" type="presParOf" srcId="{494AE3E4-0052-46FB-B443-D3693468B306}" destId="{6B4A3445-7E87-4732-B415-F5A2EC6F53B7}" srcOrd="1" destOrd="0" presId="urn:microsoft.com/office/officeart/2005/8/layout/process4"/>
    <dgm:cxn modelId="{A20A3190-3E93-4C56-A71F-CDEB0A25B4A7}" type="presParOf" srcId="{494AE3E4-0052-46FB-B443-D3693468B306}" destId="{097F54E6-196A-4F72-89DA-2AA20A5B9FDC}" srcOrd="2" destOrd="0" presId="urn:microsoft.com/office/officeart/2005/8/layout/process4"/>
    <dgm:cxn modelId="{85B57875-F93D-4703-8993-FBEB6388EA0E}" type="presParOf" srcId="{097F54E6-196A-4F72-89DA-2AA20A5B9FDC}" destId="{E7603D9D-8984-43DD-8388-89425DD3C480}" srcOrd="0" destOrd="0" presId="urn:microsoft.com/office/officeart/2005/8/layout/process4"/>
    <dgm:cxn modelId="{42B31455-C0BA-461D-A9EB-B55E582774E6}" type="presParOf" srcId="{097F54E6-196A-4F72-89DA-2AA20A5B9FDC}" destId="{DDFE34A7-EBA3-465C-A5A1-D79B36C2A013}" srcOrd="1" destOrd="0" presId="urn:microsoft.com/office/officeart/2005/8/layout/process4"/>
    <dgm:cxn modelId="{028B6864-5316-443E-BD00-D48B2D2ADF8D}" type="presParOf" srcId="{097F54E6-196A-4F72-89DA-2AA20A5B9FDC}" destId="{2FE4BB81-92C5-480F-BCE8-9607F7930108}" srcOrd="2" destOrd="0" presId="urn:microsoft.com/office/officeart/2005/8/layout/process4"/>
    <dgm:cxn modelId="{75FF94B6-9049-41DA-82B3-25A6ECEB51D3}" type="presParOf" srcId="{11535656-A03F-4346-825A-2F0380B88A2C}" destId="{EB42450C-A51E-4BBF-BCFA-63AB1B4F8BB5}" srcOrd="1" destOrd="0" presId="urn:microsoft.com/office/officeart/2005/8/layout/process4"/>
    <dgm:cxn modelId="{43283727-1E6D-4268-AF90-46BC73DD4B7F}" type="presParOf" srcId="{11535656-A03F-4346-825A-2F0380B88A2C}" destId="{52F7135D-611E-447C-95D7-D315B1761218}" srcOrd="2" destOrd="0" presId="urn:microsoft.com/office/officeart/2005/8/layout/process4"/>
    <dgm:cxn modelId="{D94B2F4F-6E23-41F9-A1C5-699703C88BCC}" type="presParOf" srcId="{52F7135D-611E-447C-95D7-D315B1761218}" destId="{EF98AEB6-C96D-4E96-8498-4247CE585381}" srcOrd="0" destOrd="0" presId="urn:microsoft.com/office/officeart/2005/8/layout/process4"/>
    <dgm:cxn modelId="{580F1D6E-1414-45AC-BCB8-C5FED2FB4AF6}" type="presParOf" srcId="{52F7135D-611E-447C-95D7-D315B1761218}" destId="{EB7D1DD6-F980-4A40-B254-A8DF8A0765AE}" srcOrd="1" destOrd="0" presId="urn:microsoft.com/office/officeart/2005/8/layout/process4"/>
    <dgm:cxn modelId="{6D1D8348-D688-466F-A63D-9C1D0C266329}" type="presParOf" srcId="{52F7135D-611E-447C-95D7-D315B1761218}" destId="{E89BD057-D15B-4C55-BBE1-3FDC46FC18A0}" srcOrd="2" destOrd="0" presId="urn:microsoft.com/office/officeart/2005/8/layout/process4"/>
    <dgm:cxn modelId="{0A597B2F-B73C-4A30-A88B-6AE668F23E7C}" type="presParOf" srcId="{E89BD057-D15B-4C55-BBE1-3FDC46FC18A0}" destId="{E6C8DDF7-0BF8-47B8-BA72-142EE71EE091}" srcOrd="0" destOrd="0" presId="urn:microsoft.com/office/officeart/2005/8/layout/process4"/>
    <dgm:cxn modelId="{9B9F0F35-50B6-496E-A575-AEDB8D46427C}" type="presParOf" srcId="{E89BD057-D15B-4C55-BBE1-3FDC46FC18A0}" destId="{21163C2E-8CD6-4A5B-B39F-BCAD95A61AEF}" srcOrd="1" destOrd="0" presId="urn:microsoft.com/office/officeart/2005/8/layout/process4"/>
    <dgm:cxn modelId="{90EDBB7A-5F38-45B5-BC21-F55ABD33001D}" type="presParOf" srcId="{11535656-A03F-4346-825A-2F0380B88A2C}" destId="{45C5E7FB-D556-47E7-A387-BF6A54EA9607}" srcOrd="3" destOrd="0" presId="urn:microsoft.com/office/officeart/2005/8/layout/process4"/>
    <dgm:cxn modelId="{A918C4DB-C23C-4B21-8295-9C3172A16FDF}" type="presParOf" srcId="{11535656-A03F-4346-825A-2F0380B88A2C}" destId="{7E13DD06-E7D1-4F55-B7CF-9E4AC565D229}" srcOrd="4" destOrd="0" presId="urn:microsoft.com/office/officeart/2005/8/layout/process4"/>
    <dgm:cxn modelId="{AD3CA67A-3C77-4CEB-B423-43BB7FF4936A}" type="presParOf" srcId="{7E13DD06-E7D1-4F55-B7CF-9E4AC565D229}" destId="{631EF271-8946-4BB8-9600-389DF48AD894}" srcOrd="0" destOrd="0" presId="urn:microsoft.com/office/officeart/2005/8/layout/process4"/>
    <dgm:cxn modelId="{751A79AE-8B58-4211-84C7-5468DB60ABDC}" type="presParOf" srcId="{7E13DD06-E7D1-4F55-B7CF-9E4AC565D229}" destId="{966D8FAB-287E-467A-9BCB-D96932CA3CEB}" srcOrd="1" destOrd="0" presId="urn:microsoft.com/office/officeart/2005/8/layout/process4"/>
    <dgm:cxn modelId="{0568D55E-5B2D-4C34-A5B1-5B76171FD88D}" type="presParOf" srcId="{7E13DD06-E7D1-4F55-B7CF-9E4AC565D229}" destId="{CDBB057A-49A3-4CE1-85A9-0C83C038B4B3}" srcOrd="2" destOrd="0" presId="urn:microsoft.com/office/officeart/2005/8/layout/process4"/>
    <dgm:cxn modelId="{F97B1A68-66F9-4B90-AAC0-400A099C4EA3}" type="presParOf" srcId="{CDBB057A-49A3-4CE1-85A9-0C83C038B4B3}" destId="{C92F6890-A319-419E-A12F-4BD794FDB954}" srcOrd="0" destOrd="0" presId="urn:microsoft.com/office/officeart/2005/8/layout/process4"/>
    <dgm:cxn modelId="{BE5F003C-041B-4AF5-952C-7879D95AE6F7}" type="presParOf" srcId="{CDBB057A-49A3-4CE1-85A9-0C83C038B4B3}" destId="{A866DA78-FB6F-4FBF-B946-6CB42C8E3FD0}" srcOrd="1" destOrd="0" presId="urn:microsoft.com/office/officeart/2005/8/layout/process4"/>
    <dgm:cxn modelId="{11D8C171-D622-4225-94A1-1665007025C4}" type="presParOf" srcId="{CDBB057A-49A3-4CE1-85A9-0C83C038B4B3}" destId="{1991CD4D-152C-49DA-A6B5-0CB0FDE11E5D}" srcOrd="2" destOrd="0" presId="urn:microsoft.com/office/officeart/2005/8/layout/process4"/>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6C7F81C-9F56-4879-B105-D67A3D3AADF4}" type="doc">
      <dgm:prSet loTypeId="urn:microsoft.com/office/officeart/2005/8/layout/radial4" loCatId="relationship" qsTypeId="urn:microsoft.com/office/officeart/2005/8/quickstyle/simple1" qsCatId="simple" csTypeId="urn:microsoft.com/office/officeart/2005/8/colors/accent0_1" csCatId="mainScheme" phldr="1"/>
      <dgm:spPr/>
      <dgm:t>
        <a:bodyPr/>
        <a:lstStyle/>
        <a:p>
          <a:endParaRPr lang="uk-UA"/>
        </a:p>
      </dgm:t>
    </dgm:pt>
    <dgm:pt modelId="{74294EAE-C380-4E8A-BEF2-8589A7E848D5}">
      <dgm:prSet phldrT="[Текст]" custT="1"/>
      <dgm:spPr/>
      <dgm:t>
        <a:bodyPr/>
        <a:lstStyle/>
        <a:p>
          <a:r>
            <a:rPr lang="uk-UA" sz="1100" b="0" i="1">
              <a:latin typeface="Times New Roman" panose="02020603050405020304" pitchFamily="18" charset="0"/>
              <a:cs typeface="Times New Roman" panose="02020603050405020304" pitchFamily="18" charset="0"/>
            </a:rPr>
            <a:t>RIGHTS</a:t>
          </a:r>
        </a:p>
      </dgm:t>
    </dgm:pt>
    <dgm:pt modelId="{E0256C26-FCDC-4F2A-BAA1-92A2869B880E}" type="parTrans" cxnId="{6C22E046-BEE7-4429-A4AF-7030217FBCF3}">
      <dgm:prSet/>
      <dgm:spPr/>
      <dgm:t>
        <a:bodyPr/>
        <a:lstStyle/>
        <a:p>
          <a:endParaRPr lang="uk-UA" sz="1100">
            <a:latin typeface="Times New Roman" panose="02020603050405020304" pitchFamily="18" charset="0"/>
            <a:cs typeface="Times New Roman" panose="02020603050405020304" pitchFamily="18" charset="0"/>
          </a:endParaRPr>
        </a:p>
      </dgm:t>
    </dgm:pt>
    <dgm:pt modelId="{BF92F2C9-0C28-4799-8DAD-86C2A70CE51D}" type="sibTrans" cxnId="{6C22E046-BEE7-4429-A4AF-7030217FBCF3}">
      <dgm:prSet/>
      <dgm:spPr/>
      <dgm:t>
        <a:bodyPr/>
        <a:lstStyle/>
        <a:p>
          <a:endParaRPr lang="uk-UA" sz="1100">
            <a:latin typeface="Times New Roman" panose="02020603050405020304" pitchFamily="18" charset="0"/>
            <a:cs typeface="Times New Roman" panose="02020603050405020304" pitchFamily="18" charset="0"/>
          </a:endParaRPr>
        </a:p>
      </dgm:t>
    </dgm:pt>
    <dgm:pt modelId="{BF8B2FE8-6836-4D4B-85C4-A203427D216C}">
      <dgm:prSet phldrT="[Текст]" custT="1"/>
      <dgm:spPr/>
      <dgm:t>
        <a:bodyPr/>
        <a:lstStyle/>
        <a:p>
          <a:r>
            <a:rPr lang="en-US" sz="1100">
              <a:latin typeface="Times New Roman" panose="02020603050405020304" pitchFamily="18" charset="0"/>
              <a:cs typeface="Times New Roman" panose="02020603050405020304" pitchFamily="18" charset="0"/>
            </a:rPr>
            <a:t>R </a:t>
          </a:r>
          <a:endParaRPr lang="uk-UA" sz="1100">
            <a:latin typeface="Times New Roman" panose="02020603050405020304" pitchFamily="18" charset="0"/>
            <a:cs typeface="Times New Roman" panose="02020603050405020304" pitchFamily="18" charset="0"/>
          </a:endParaRPr>
        </a:p>
        <a:p>
          <a:r>
            <a:rPr lang="en-US" sz="1100">
              <a:latin typeface="Times New Roman" panose="02020603050405020304" pitchFamily="18" charset="0"/>
              <a:cs typeface="Times New Roman" panose="02020603050405020304" pitchFamily="18" charset="0"/>
            </a:rPr>
            <a:t>Relevant – </a:t>
          </a:r>
          <a:r>
            <a:rPr lang="uk-UA" sz="1100">
              <a:latin typeface="Times New Roman" panose="02020603050405020304" pitchFamily="18" charset="0"/>
              <a:cs typeface="Times New Roman" panose="02020603050405020304" pitchFamily="18" charset="0"/>
            </a:rPr>
            <a:t>релевантность и надежность</a:t>
          </a:r>
        </a:p>
      </dgm:t>
    </dgm:pt>
    <dgm:pt modelId="{F1835600-5950-4252-8E71-8BF22AF6B49E}" type="parTrans" cxnId="{3CF08B9C-D229-4187-946E-C9E19DF1B58B}">
      <dgm:prSet/>
      <dgm:spPr/>
      <dgm:t>
        <a:bodyPr/>
        <a:lstStyle/>
        <a:p>
          <a:endParaRPr lang="uk-UA" sz="1100">
            <a:latin typeface="Times New Roman" panose="02020603050405020304" pitchFamily="18" charset="0"/>
            <a:cs typeface="Times New Roman" panose="02020603050405020304" pitchFamily="18" charset="0"/>
          </a:endParaRPr>
        </a:p>
      </dgm:t>
    </dgm:pt>
    <dgm:pt modelId="{070FB212-8C3F-4701-9DD1-B4DC2DFE5A2C}" type="sibTrans" cxnId="{3CF08B9C-D229-4187-946E-C9E19DF1B58B}">
      <dgm:prSet/>
      <dgm:spPr/>
      <dgm:t>
        <a:bodyPr/>
        <a:lstStyle/>
        <a:p>
          <a:endParaRPr lang="uk-UA" sz="1100">
            <a:latin typeface="Times New Roman" panose="02020603050405020304" pitchFamily="18" charset="0"/>
            <a:cs typeface="Times New Roman" panose="02020603050405020304" pitchFamily="18" charset="0"/>
          </a:endParaRPr>
        </a:p>
      </dgm:t>
    </dgm:pt>
    <dgm:pt modelId="{1462B337-8C9A-4DC5-B254-8D5725331E6F}">
      <dgm:prSet/>
      <dgm:spPr/>
      <dgm:t>
        <a:bodyPr/>
        <a:lstStyle/>
        <a:p>
          <a:endParaRPr lang="uk-UA" sz="1100">
            <a:latin typeface="Times New Roman" panose="02020603050405020304" pitchFamily="18" charset="0"/>
            <a:cs typeface="Times New Roman" panose="02020603050405020304" pitchFamily="18" charset="0"/>
          </a:endParaRPr>
        </a:p>
      </dgm:t>
    </dgm:pt>
    <dgm:pt modelId="{4E4D1160-ED71-4BC4-A4BF-3903300C991F}" type="parTrans" cxnId="{57E54F2C-96D5-4594-9D30-7316CCCECF60}">
      <dgm:prSet/>
      <dgm:spPr/>
      <dgm:t>
        <a:bodyPr/>
        <a:lstStyle/>
        <a:p>
          <a:endParaRPr lang="uk-UA" sz="1100">
            <a:latin typeface="Times New Roman" panose="02020603050405020304" pitchFamily="18" charset="0"/>
            <a:cs typeface="Times New Roman" panose="02020603050405020304" pitchFamily="18" charset="0"/>
          </a:endParaRPr>
        </a:p>
      </dgm:t>
    </dgm:pt>
    <dgm:pt modelId="{D8293233-3AA7-4965-BA88-73196222AACE}" type="sibTrans" cxnId="{57E54F2C-96D5-4594-9D30-7316CCCECF60}">
      <dgm:prSet/>
      <dgm:spPr/>
      <dgm:t>
        <a:bodyPr/>
        <a:lstStyle/>
        <a:p>
          <a:endParaRPr lang="uk-UA" sz="1100">
            <a:latin typeface="Times New Roman" panose="02020603050405020304" pitchFamily="18" charset="0"/>
            <a:cs typeface="Times New Roman" panose="02020603050405020304" pitchFamily="18" charset="0"/>
          </a:endParaRPr>
        </a:p>
      </dgm:t>
    </dgm:pt>
    <dgm:pt modelId="{ABD24911-322C-4C30-B437-5BBD5573F38A}">
      <dgm:prSet/>
      <dgm:spPr/>
      <dgm:t>
        <a:bodyPr/>
        <a:lstStyle/>
        <a:p>
          <a:endParaRPr lang="uk-UA" sz="1100">
            <a:latin typeface="Times New Roman" panose="02020603050405020304" pitchFamily="18" charset="0"/>
            <a:cs typeface="Times New Roman" panose="02020603050405020304" pitchFamily="18" charset="0"/>
          </a:endParaRPr>
        </a:p>
      </dgm:t>
    </dgm:pt>
    <dgm:pt modelId="{78CC9D20-5E63-4D03-ABC8-45BC567133B1}" type="parTrans" cxnId="{1DD8B9FE-D8D0-41A5-81E6-3037965C8A55}">
      <dgm:prSet/>
      <dgm:spPr/>
      <dgm:t>
        <a:bodyPr/>
        <a:lstStyle/>
        <a:p>
          <a:endParaRPr lang="uk-UA" sz="1100">
            <a:latin typeface="Times New Roman" panose="02020603050405020304" pitchFamily="18" charset="0"/>
            <a:cs typeface="Times New Roman" panose="02020603050405020304" pitchFamily="18" charset="0"/>
          </a:endParaRPr>
        </a:p>
      </dgm:t>
    </dgm:pt>
    <dgm:pt modelId="{9E273D1D-B8D9-4CCD-BAF9-7BBDE9D778A6}" type="sibTrans" cxnId="{1DD8B9FE-D8D0-41A5-81E6-3037965C8A55}">
      <dgm:prSet/>
      <dgm:spPr/>
      <dgm:t>
        <a:bodyPr/>
        <a:lstStyle/>
        <a:p>
          <a:endParaRPr lang="uk-UA" sz="1100">
            <a:latin typeface="Times New Roman" panose="02020603050405020304" pitchFamily="18" charset="0"/>
            <a:cs typeface="Times New Roman" panose="02020603050405020304" pitchFamily="18" charset="0"/>
          </a:endParaRPr>
        </a:p>
      </dgm:t>
    </dgm:pt>
    <dgm:pt modelId="{2A906CA9-B47E-41C6-87B1-514D1A504CEB}">
      <dgm:prSet custT="1"/>
      <dgm:spPr/>
      <dgm:t>
        <a:bodyPr/>
        <a:lstStyle/>
        <a:p>
          <a:r>
            <a:rPr lang="en-US" sz="1100">
              <a:latin typeface="Times New Roman" panose="02020603050405020304" pitchFamily="18" charset="0"/>
              <a:cs typeface="Times New Roman" panose="02020603050405020304" pitchFamily="18" charset="0"/>
            </a:rPr>
            <a:t>I</a:t>
          </a:r>
          <a:endParaRPr lang="uk-UA" sz="1100">
            <a:latin typeface="Times New Roman" panose="02020603050405020304" pitchFamily="18" charset="0"/>
            <a:cs typeface="Times New Roman" panose="02020603050405020304" pitchFamily="18" charset="0"/>
          </a:endParaRPr>
        </a:p>
        <a:p>
          <a:r>
            <a:rPr lang="en-US" sz="1100">
              <a:latin typeface="Times New Roman" panose="02020603050405020304" pitchFamily="18" charset="0"/>
              <a:cs typeface="Times New Roman" panose="02020603050405020304" pitchFamily="18" charset="0"/>
            </a:rPr>
            <a:t> Independent – </a:t>
          </a:r>
          <a:r>
            <a:rPr lang="uk-UA" sz="1100">
              <a:latin typeface="Times New Roman" panose="02020603050405020304" pitchFamily="18" charset="0"/>
              <a:cs typeface="Times New Roman" panose="02020603050405020304" pitchFamily="18" charset="0"/>
            </a:rPr>
            <a:t>независимость от рассматриваемых субъектов в методах сбора данных</a:t>
          </a:r>
        </a:p>
      </dgm:t>
    </dgm:pt>
    <dgm:pt modelId="{F0055F1B-30E8-4929-A8EF-82074B26CC52}" type="parTrans" cxnId="{6D18DEF9-91FC-4244-8511-B167F7E106A5}">
      <dgm:prSet/>
      <dgm:spPr/>
      <dgm:t>
        <a:bodyPr/>
        <a:lstStyle/>
        <a:p>
          <a:endParaRPr lang="uk-UA" sz="1100">
            <a:latin typeface="Times New Roman" panose="02020603050405020304" pitchFamily="18" charset="0"/>
            <a:cs typeface="Times New Roman" panose="02020603050405020304" pitchFamily="18" charset="0"/>
          </a:endParaRPr>
        </a:p>
      </dgm:t>
    </dgm:pt>
    <dgm:pt modelId="{617F7079-20EE-4551-9084-BD22248169AD}" type="sibTrans" cxnId="{6D18DEF9-91FC-4244-8511-B167F7E106A5}">
      <dgm:prSet/>
      <dgm:spPr/>
      <dgm:t>
        <a:bodyPr/>
        <a:lstStyle/>
        <a:p>
          <a:endParaRPr lang="uk-UA" sz="1100">
            <a:latin typeface="Times New Roman" panose="02020603050405020304" pitchFamily="18" charset="0"/>
            <a:cs typeface="Times New Roman" panose="02020603050405020304" pitchFamily="18" charset="0"/>
          </a:endParaRPr>
        </a:p>
      </dgm:t>
    </dgm:pt>
    <dgm:pt modelId="{014A9CE8-213D-4D46-9C7B-8B74B4A39FB4}">
      <dgm:prSet custT="1"/>
      <dgm:spPr/>
      <dgm:t>
        <a:bodyPr/>
        <a:lstStyle/>
        <a:p>
          <a:r>
            <a:rPr lang="en-US" sz="1100">
              <a:latin typeface="Times New Roman" panose="02020603050405020304" pitchFamily="18" charset="0"/>
              <a:cs typeface="Times New Roman" panose="02020603050405020304" pitchFamily="18" charset="0"/>
            </a:rPr>
            <a:t>G</a:t>
          </a:r>
          <a:endParaRPr lang="uk-UA" sz="1100">
            <a:latin typeface="Times New Roman" panose="02020603050405020304" pitchFamily="18" charset="0"/>
            <a:cs typeface="Times New Roman" panose="02020603050405020304" pitchFamily="18" charset="0"/>
          </a:endParaRPr>
        </a:p>
        <a:p>
          <a:r>
            <a:rPr lang="en-US" sz="1100">
              <a:latin typeface="Times New Roman" panose="02020603050405020304" pitchFamily="18" charset="0"/>
              <a:cs typeface="Times New Roman" panose="02020603050405020304" pitchFamily="18" charset="0"/>
            </a:rPr>
            <a:t>Global – </a:t>
          </a:r>
          <a:r>
            <a:rPr lang="uk-UA" sz="1100">
              <a:latin typeface="Times New Roman" panose="02020603050405020304" pitchFamily="18" charset="0"/>
              <a:cs typeface="Times New Roman" panose="02020603050405020304" pitchFamily="18" charset="0"/>
            </a:rPr>
            <a:t>глобальный и универсально значимый, при этом поддающийся контекстуализации и дезагрегированию по запрещенным основаниям дискриминации</a:t>
          </a:r>
        </a:p>
      </dgm:t>
    </dgm:pt>
    <dgm:pt modelId="{8D388710-77E5-42FD-9B92-9F60F6615B99}" type="parTrans" cxnId="{9E1575FA-FA7A-416A-995E-81E887F2828B}">
      <dgm:prSet/>
      <dgm:spPr/>
      <dgm:t>
        <a:bodyPr/>
        <a:lstStyle/>
        <a:p>
          <a:endParaRPr lang="uk-UA" sz="1100">
            <a:latin typeface="Times New Roman" panose="02020603050405020304" pitchFamily="18" charset="0"/>
            <a:cs typeface="Times New Roman" panose="02020603050405020304" pitchFamily="18" charset="0"/>
          </a:endParaRPr>
        </a:p>
      </dgm:t>
    </dgm:pt>
    <dgm:pt modelId="{91DF3E51-A8C1-4144-86AF-30BAFB2AE910}" type="sibTrans" cxnId="{9E1575FA-FA7A-416A-995E-81E887F2828B}">
      <dgm:prSet/>
      <dgm:spPr/>
      <dgm:t>
        <a:bodyPr/>
        <a:lstStyle/>
        <a:p>
          <a:endParaRPr lang="uk-UA" sz="1100">
            <a:latin typeface="Times New Roman" panose="02020603050405020304" pitchFamily="18" charset="0"/>
            <a:cs typeface="Times New Roman" panose="02020603050405020304" pitchFamily="18" charset="0"/>
          </a:endParaRPr>
        </a:p>
      </dgm:t>
    </dgm:pt>
    <dgm:pt modelId="{86E2E931-99A2-45C8-B2C8-B80A73278B93}">
      <dgm:prSet custT="1"/>
      <dgm:spPr/>
      <dgm:t>
        <a:bodyPr/>
        <a:lstStyle/>
        <a:p>
          <a:r>
            <a:rPr lang="en-US" sz="1100">
              <a:latin typeface="Times New Roman" panose="02020603050405020304" pitchFamily="18" charset="0"/>
              <a:cs typeface="Times New Roman" panose="02020603050405020304" pitchFamily="18" charset="0"/>
            </a:rPr>
            <a:t>H</a:t>
          </a:r>
        </a:p>
        <a:p>
          <a:r>
            <a:rPr lang="en-US" sz="1100">
              <a:latin typeface="Times New Roman" panose="02020603050405020304" pitchFamily="18" charset="0"/>
              <a:cs typeface="Times New Roman" panose="02020603050405020304" pitchFamily="18" charset="0"/>
            </a:rPr>
            <a:t>Human rights – </a:t>
          </a:r>
          <a:r>
            <a:rPr lang="uk-UA" sz="1100">
              <a:latin typeface="Times New Roman" panose="02020603050405020304" pitchFamily="18" charset="0"/>
              <a:cs typeface="Times New Roman" panose="02020603050405020304" pitchFamily="18" charset="0"/>
            </a:rPr>
            <a:t>ориентированость  на стандарты в области прав человека;</a:t>
          </a:r>
          <a:endParaRPr lang="en-US" sz="1100">
            <a:latin typeface="Times New Roman" panose="02020603050405020304" pitchFamily="18" charset="0"/>
            <a:cs typeface="Times New Roman" panose="02020603050405020304" pitchFamily="18" charset="0"/>
          </a:endParaRPr>
        </a:p>
      </dgm:t>
    </dgm:pt>
    <dgm:pt modelId="{F988A854-765C-46D0-8A8E-6943A0310B40}" type="parTrans" cxnId="{67D5D798-2811-4F78-B53F-AD705973AC35}">
      <dgm:prSet/>
      <dgm:spPr/>
      <dgm:t>
        <a:bodyPr/>
        <a:lstStyle/>
        <a:p>
          <a:endParaRPr lang="uk-UA" sz="1100">
            <a:latin typeface="Times New Roman" panose="02020603050405020304" pitchFamily="18" charset="0"/>
            <a:cs typeface="Times New Roman" panose="02020603050405020304" pitchFamily="18" charset="0"/>
          </a:endParaRPr>
        </a:p>
      </dgm:t>
    </dgm:pt>
    <dgm:pt modelId="{B92B219B-D009-4D05-8217-A80CA1E899F0}" type="sibTrans" cxnId="{67D5D798-2811-4F78-B53F-AD705973AC35}">
      <dgm:prSet/>
      <dgm:spPr/>
      <dgm:t>
        <a:bodyPr/>
        <a:lstStyle/>
        <a:p>
          <a:endParaRPr lang="uk-UA" sz="1100">
            <a:latin typeface="Times New Roman" panose="02020603050405020304" pitchFamily="18" charset="0"/>
            <a:cs typeface="Times New Roman" panose="02020603050405020304" pitchFamily="18" charset="0"/>
          </a:endParaRPr>
        </a:p>
      </dgm:t>
    </dgm:pt>
    <dgm:pt modelId="{E1FC0F93-F256-4944-AA5C-79A720342B26}">
      <dgm:prSet custT="1"/>
      <dgm:spPr/>
      <dgm:t>
        <a:bodyPr/>
        <a:lstStyle/>
        <a:p>
          <a:r>
            <a:rPr lang="en-US" sz="1100">
              <a:latin typeface="Times New Roman" panose="02020603050405020304" pitchFamily="18" charset="0"/>
              <a:cs typeface="Times New Roman" panose="02020603050405020304" pitchFamily="18" charset="0"/>
            </a:rPr>
            <a:t>T </a:t>
          </a:r>
        </a:p>
        <a:p>
          <a:r>
            <a:rPr lang="en-US" sz="1100">
              <a:latin typeface="Times New Roman" panose="02020603050405020304" pitchFamily="18" charset="0"/>
              <a:cs typeface="Times New Roman" panose="02020603050405020304" pitchFamily="18" charset="0"/>
            </a:rPr>
            <a:t>Transparent – </a:t>
          </a:r>
          <a:r>
            <a:rPr lang="uk-UA" sz="1100">
              <a:latin typeface="Times New Roman" panose="02020603050405020304" pitchFamily="18" charset="0"/>
              <a:cs typeface="Times New Roman" panose="02020603050405020304" pitchFamily="18" charset="0"/>
            </a:rPr>
            <a:t>прозрачность в своих методах, своевременность, ограниченость по времени</a:t>
          </a:r>
        </a:p>
      </dgm:t>
    </dgm:pt>
    <dgm:pt modelId="{6B5B80BD-8C12-4272-B748-D564E9BC6A35}" type="parTrans" cxnId="{02DCF37D-25F0-4EBF-ABE4-60E440592724}">
      <dgm:prSet/>
      <dgm:spPr/>
      <dgm:t>
        <a:bodyPr/>
        <a:lstStyle/>
        <a:p>
          <a:endParaRPr lang="uk-UA" sz="1100">
            <a:latin typeface="Times New Roman" panose="02020603050405020304" pitchFamily="18" charset="0"/>
            <a:cs typeface="Times New Roman" panose="02020603050405020304" pitchFamily="18" charset="0"/>
          </a:endParaRPr>
        </a:p>
      </dgm:t>
    </dgm:pt>
    <dgm:pt modelId="{B1BC4615-71E7-4481-93A8-0DC581C8B78A}" type="sibTrans" cxnId="{02DCF37D-25F0-4EBF-ABE4-60E440592724}">
      <dgm:prSet/>
      <dgm:spPr/>
      <dgm:t>
        <a:bodyPr/>
        <a:lstStyle/>
        <a:p>
          <a:endParaRPr lang="uk-UA" sz="1100">
            <a:latin typeface="Times New Roman" panose="02020603050405020304" pitchFamily="18" charset="0"/>
            <a:cs typeface="Times New Roman" panose="02020603050405020304" pitchFamily="18" charset="0"/>
          </a:endParaRPr>
        </a:p>
      </dgm:t>
    </dgm:pt>
    <dgm:pt modelId="{B9952D19-D33E-4A1F-8E30-13C287137C00}">
      <dgm:prSet custT="1"/>
      <dgm:spPr/>
      <dgm:t>
        <a:bodyPr/>
        <a:lstStyle/>
        <a:p>
          <a:r>
            <a:rPr lang="en-US" sz="1100">
              <a:latin typeface="Times New Roman" panose="02020603050405020304" pitchFamily="18" charset="0"/>
              <a:cs typeface="Times New Roman" panose="02020603050405020304" pitchFamily="18" charset="0"/>
            </a:rPr>
            <a:t>S </a:t>
          </a:r>
        </a:p>
        <a:p>
          <a:r>
            <a:rPr lang="en-US" sz="1100">
              <a:latin typeface="Times New Roman" panose="02020603050405020304" pitchFamily="18" charset="0"/>
              <a:cs typeface="Times New Roman" panose="02020603050405020304" pitchFamily="18" charset="0"/>
            </a:rPr>
            <a:t>Simple – </a:t>
          </a:r>
          <a:r>
            <a:rPr lang="uk-UA" sz="1100">
              <a:latin typeface="Times New Roman" panose="02020603050405020304" pitchFamily="18" charset="0"/>
              <a:cs typeface="Times New Roman" panose="02020603050405020304" pitchFamily="18" charset="0"/>
            </a:rPr>
            <a:t>простота и конкретика</a:t>
          </a:r>
        </a:p>
      </dgm:t>
    </dgm:pt>
    <dgm:pt modelId="{068C45C5-2C19-47EB-9DF4-06D4B6663C4C}" type="parTrans" cxnId="{1AD7DF17-16E3-4D95-A6FD-153CEDF81935}">
      <dgm:prSet/>
      <dgm:spPr/>
      <dgm:t>
        <a:bodyPr/>
        <a:lstStyle/>
        <a:p>
          <a:endParaRPr lang="uk-UA" sz="1100">
            <a:latin typeface="Times New Roman" panose="02020603050405020304" pitchFamily="18" charset="0"/>
            <a:cs typeface="Times New Roman" panose="02020603050405020304" pitchFamily="18" charset="0"/>
          </a:endParaRPr>
        </a:p>
      </dgm:t>
    </dgm:pt>
    <dgm:pt modelId="{523FA75A-1D6F-4E45-8172-2F3E72E7B8FF}" type="sibTrans" cxnId="{1AD7DF17-16E3-4D95-A6FD-153CEDF81935}">
      <dgm:prSet/>
      <dgm:spPr/>
      <dgm:t>
        <a:bodyPr/>
        <a:lstStyle/>
        <a:p>
          <a:endParaRPr lang="uk-UA" sz="1100">
            <a:latin typeface="Times New Roman" panose="02020603050405020304" pitchFamily="18" charset="0"/>
            <a:cs typeface="Times New Roman" panose="02020603050405020304" pitchFamily="18" charset="0"/>
          </a:endParaRPr>
        </a:p>
      </dgm:t>
    </dgm:pt>
    <dgm:pt modelId="{41671A1E-7024-4558-BB98-39466104D4AE}" type="pres">
      <dgm:prSet presAssocID="{C6C7F81C-9F56-4879-B105-D67A3D3AADF4}" presName="cycle" presStyleCnt="0">
        <dgm:presLayoutVars>
          <dgm:chMax val="1"/>
          <dgm:dir/>
          <dgm:animLvl val="ctr"/>
          <dgm:resizeHandles val="exact"/>
        </dgm:presLayoutVars>
      </dgm:prSet>
      <dgm:spPr/>
      <dgm:t>
        <a:bodyPr/>
        <a:lstStyle/>
        <a:p>
          <a:endParaRPr lang="ru-RU"/>
        </a:p>
      </dgm:t>
    </dgm:pt>
    <dgm:pt modelId="{4B0E8506-C18B-46E6-A069-FDE71A8DA014}" type="pres">
      <dgm:prSet presAssocID="{74294EAE-C380-4E8A-BEF2-8589A7E848D5}" presName="centerShape" presStyleLbl="node0" presStyleIdx="0" presStyleCnt="1" custLinFactNeighborX="-146" custLinFactNeighborY="437"/>
      <dgm:spPr/>
      <dgm:t>
        <a:bodyPr/>
        <a:lstStyle/>
        <a:p>
          <a:endParaRPr lang="ru-RU"/>
        </a:p>
      </dgm:t>
    </dgm:pt>
    <dgm:pt modelId="{0A9077F8-BCA6-4D7B-8036-07A042903D86}" type="pres">
      <dgm:prSet presAssocID="{F1835600-5950-4252-8E71-8BF22AF6B49E}" presName="parTrans" presStyleLbl="bgSibTrans2D1" presStyleIdx="0" presStyleCnt="6"/>
      <dgm:spPr/>
      <dgm:t>
        <a:bodyPr/>
        <a:lstStyle/>
        <a:p>
          <a:endParaRPr lang="ru-RU"/>
        </a:p>
      </dgm:t>
    </dgm:pt>
    <dgm:pt modelId="{10B006CD-299A-4C89-9D83-90814E2D8672}" type="pres">
      <dgm:prSet presAssocID="{BF8B2FE8-6836-4D4B-85C4-A203427D216C}" presName="node" presStyleLbl="node1" presStyleIdx="0" presStyleCnt="6">
        <dgm:presLayoutVars>
          <dgm:bulletEnabled val="1"/>
        </dgm:presLayoutVars>
      </dgm:prSet>
      <dgm:spPr/>
      <dgm:t>
        <a:bodyPr/>
        <a:lstStyle/>
        <a:p>
          <a:endParaRPr lang="ru-RU"/>
        </a:p>
      </dgm:t>
    </dgm:pt>
    <dgm:pt modelId="{1F427D25-47AB-4856-8CA1-49A664C946FA}" type="pres">
      <dgm:prSet presAssocID="{F0055F1B-30E8-4929-A8EF-82074B26CC52}" presName="parTrans" presStyleLbl="bgSibTrans2D1" presStyleIdx="1" presStyleCnt="6"/>
      <dgm:spPr/>
      <dgm:t>
        <a:bodyPr/>
        <a:lstStyle/>
        <a:p>
          <a:endParaRPr lang="ru-RU"/>
        </a:p>
      </dgm:t>
    </dgm:pt>
    <dgm:pt modelId="{396B1121-6F24-446F-9DD2-9A7920CE5022}" type="pres">
      <dgm:prSet presAssocID="{2A906CA9-B47E-41C6-87B1-514D1A504CEB}" presName="node" presStyleLbl="node1" presStyleIdx="1" presStyleCnt="6" custScaleX="122571" custScaleY="141779" custRadScaleRad="102219" custRadScaleInc="-24258">
        <dgm:presLayoutVars>
          <dgm:bulletEnabled val="1"/>
        </dgm:presLayoutVars>
      </dgm:prSet>
      <dgm:spPr/>
      <dgm:t>
        <a:bodyPr/>
        <a:lstStyle/>
        <a:p>
          <a:endParaRPr lang="ru-RU"/>
        </a:p>
      </dgm:t>
    </dgm:pt>
    <dgm:pt modelId="{6F8D1918-D13C-48E1-9025-3C6F5616B51C}" type="pres">
      <dgm:prSet presAssocID="{8D388710-77E5-42FD-9B92-9F60F6615B99}" presName="parTrans" presStyleLbl="bgSibTrans2D1" presStyleIdx="2" presStyleCnt="6"/>
      <dgm:spPr/>
      <dgm:t>
        <a:bodyPr/>
        <a:lstStyle/>
        <a:p>
          <a:endParaRPr lang="ru-RU"/>
        </a:p>
      </dgm:t>
    </dgm:pt>
    <dgm:pt modelId="{2677C8E9-0596-43C5-ACC7-8609BC407531}" type="pres">
      <dgm:prSet presAssocID="{014A9CE8-213D-4D46-9C7B-8B74B4A39FB4}" presName="node" presStyleLbl="node1" presStyleIdx="2" presStyleCnt="6" custScaleX="137463" custScaleY="214977" custRadScaleRad="93935" custRadScaleInc="1590">
        <dgm:presLayoutVars>
          <dgm:bulletEnabled val="1"/>
        </dgm:presLayoutVars>
      </dgm:prSet>
      <dgm:spPr/>
      <dgm:t>
        <a:bodyPr/>
        <a:lstStyle/>
        <a:p>
          <a:endParaRPr lang="ru-RU"/>
        </a:p>
      </dgm:t>
    </dgm:pt>
    <dgm:pt modelId="{7FB3DCDF-4480-4002-8A60-2A7AC19E1BB4}" type="pres">
      <dgm:prSet presAssocID="{F988A854-765C-46D0-8A8E-6943A0310B40}" presName="parTrans" presStyleLbl="bgSibTrans2D1" presStyleIdx="3" presStyleCnt="6"/>
      <dgm:spPr/>
      <dgm:t>
        <a:bodyPr/>
        <a:lstStyle/>
        <a:p>
          <a:endParaRPr lang="ru-RU"/>
        </a:p>
      </dgm:t>
    </dgm:pt>
    <dgm:pt modelId="{257F0070-6CF5-4B1A-95D8-92D7283C6E6F}" type="pres">
      <dgm:prSet presAssocID="{86E2E931-99A2-45C8-B2C8-B80A73278B93}" presName="node" presStyleLbl="node1" presStyleIdx="3" presStyleCnt="6" custScaleX="124587" custScaleY="132075" custRadScaleRad="99619" custRadScaleInc="9353">
        <dgm:presLayoutVars>
          <dgm:bulletEnabled val="1"/>
        </dgm:presLayoutVars>
      </dgm:prSet>
      <dgm:spPr/>
      <dgm:t>
        <a:bodyPr/>
        <a:lstStyle/>
        <a:p>
          <a:endParaRPr lang="ru-RU"/>
        </a:p>
      </dgm:t>
    </dgm:pt>
    <dgm:pt modelId="{DB34E414-A25C-4249-9152-1EF7C7C1E6CF}" type="pres">
      <dgm:prSet presAssocID="{6B5B80BD-8C12-4272-B748-D564E9BC6A35}" presName="parTrans" presStyleLbl="bgSibTrans2D1" presStyleIdx="4" presStyleCnt="6"/>
      <dgm:spPr/>
      <dgm:t>
        <a:bodyPr/>
        <a:lstStyle/>
        <a:p>
          <a:endParaRPr lang="ru-RU"/>
        </a:p>
      </dgm:t>
    </dgm:pt>
    <dgm:pt modelId="{A11A9018-EF09-44EB-A5B8-91BA38E33BAE}" type="pres">
      <dgm:prSet presAssocID="{E1FC0F93-F256-4944-AA5C-79A720342B26}" presName="node" presStyleLbl="node1" presStyleIdx="4" presStyleCnt="6" custScaleX="114152" custScaleY="135725" custRadScaleRad="105899" custRadScaleInc="29978">
        <dgm:presLayoutVars>
          <dgm:bulletEnabled val="1"/>
        </dgm:presLayoutVars>
      </dgm:prSet>
      <dgm:spPr/>
      <dgm:t>
        <a:bodyPr/>
        <a:lstStyle/>
        <a:p>
          <a:endParaRPr lang="ru-RU"/>
        </a:p>
      </dgm:t>
    </dgm:pt>
    <dgm:pt modelId="{E9EE9943-EC91-44FB-BD74-ED9CF459BC54}" type="pres">
      <dgm:prSet presAssocID="{068C45C5-2C19-47EB-9DF4-06D4B6663C4C}" presName="parTrans" presStyleLbl="bgSibTrans2D1" presStyleIdx="5" presStyleCnt="6"/>
      <dgm:spPr/>
      <dgm:t>
        <a:bodyPr/>
        <a:lstStyle/>
        <a:p>
          <a:endParaRPr lang="ru-RU"/>
        </a:p>
      </dgm:t>
    </dgm:pt>
    <dgm:pt modelId="{C19782B0-64D3-4A68-B940-8A76E4A39E06}" type="pres">
      <dgm:prSet presAssocID="{B9952D19-D33E-4A1F-8E30-13C287137C00}" presName="node" presStyleLbl="node1" presStyleIdx="5" presStyleCnt="6" custRadScaleRad="97970" custRadScaleInc="5378">
        <dgm:presLayoutVars>
          <dgm:bulletEnabled val="1"/>
        </dgm:presLayoutVars>
      </dgm:prSet>
      <dgm:spPr/>
      <dgm:t>
        <a:bodyPr/>
        <a:lstStyle/>
        <a:p>
          <a:endParaRPr lang="ru-RU"/>
        </a:p>
      </dgm:t>
    </dgm:pt>
  </dgm:ptLst>
  <dgm:cxnLst>
    <dgm:cxn modelId="{1DD8B9FE-D8D0-41A5-81E6-3037965C8A55}" srcId="{C6C7F81C-9F56-4879-B105-D67A3D3AADF4}" destId="{ABD24911-322C-4C30-B437-5BBD5573F38A}" srcOrd="1" destOrd="0" parTransId="{78CC9D20-5E63-4D03-ABC8-45BC567133B1}" sibTransId="{9E273D1D-B8D9-4CCD-BAF9-7BBDE9D778A6}"/>
    <dgm:cxn modelId="{FDE3C45D-0D88-4017-9EEB-6CB2ED53DF6D}" type="presOf" srcId="{014A9CE8-213D-4D46-9C7B-8B74B4A39FB4}" destId="{2677C8E9-0596-43C5-ACC7-8609BC407531}" srcOrd="0" destOrd="0" presId="urn:microsoft.com/office/officeart/2005/8/layout/radial4"/>
    <dgm:cxn modelId="{67D5D798-2811-4F78-B53F-AD705973AC35}" srcId="{74294EAE-C380-4E8A-BEF2-8589A7E848D5}" destId="{86E2E931-99A2-45C8-B2C8-B80A73278B93}" srcOrd="3" destOrd="0" parTransId="{F988A854-765C-46D0-8A8E-6943A0310B40}" sibTransId="{B92B219B-D009-4D05-8217-A80CA1E899F0}"/>
    <dgm:cxn modelId="{6C22E046-BEE7-4429-A4AF-7030217FBCF3}" srcId="{C6C7F81C-9F56-4879-B105-D67A3D3AADF4}" destId="{74294EAE-C380-4E8A-BEF2-8589A7E848D5}" srcOrd="0" destOrd="0" parTransId="{E0256C26-FCDC-4F2A-BAA1-92A2869B880E}" sibTransId="{BF92F2C9-0C28-4799-8DAD-86C2A70CE51D}"/>
    <dgm:cxn modelId="{02E17181-DBEA-44CD-B7AC-3D39D9694E7C}" type="presOf" srcId="{068C45C5-2C19-47EB-9DF4-06D4B6663C4C}" destId="{E9EE9943-EC91-44FB-BD74-ED9CF459BC54}" srcOrd="0" destOrd="0" presId="urn:microsoft.com/office/officeart/2005/8/layout/radial4"/>
    <dgm:cxn modelId="{1AD7DF17-16E3-4D95-A6FD-153CEDF81935}" srcId="{74294EAE-C380-4E8A-BEF2-8589A7E848D5}" destId="{B9952D19-D33E-4A1F-8E30-13C287137C00}" srcOrd="5" destOrd="0" parTransId="{068C45C5-2C19-47EB-9DF4-06D4B6663C4C}" sibTransId="{523FA75A-1D6F-4E45-8172-2F3E72E7B8FF}"/>
    <dgm:cxn modelId="{3CF08B9C-D229-4187-946E-C9E19DF1B58B}" srcId="{74294EAE-C380-4E8A-BEF2-8589A7E848D5}" destId="{BF8B2FE8-6836-4D4B-85C4-A203427D216C}" srcOrd="0" destOrd="0" parTransId="{F1835600-5950-4252-8E71-8BF22AF6B49E}" sibTransId="{070FB212-8C3F-4701-9DD1-B4DC2DFE5A2C}"/>
    <dgm:cxn modelId="{6D18DEF9-91FC-4244-8511-B167F7E106A5}" srcId="{74294EAE-C380-4E8A-BEF2-8589A7E848D5}" destId="{2A906CA9-B47E-41C6-87B1-514D1A504CEB}" srcOrd="1" destOrd="0" parTransId="{F0055F1B-30E8-4929-A8EF-82074B26CC52}" sibTransId="{617F7079-20EE-4551-9084-BD22248169AD}"/>
    <dgm:cxn modelId="{BDFDB91D-BB67-4C21-B214-1356AEAC9B18}" type="presOf" srcId="{F0055F1B-30E8-4929-A8EF-82074B26CC52}" destId="{1F427D25-47AB-4856-8CA1-49A664C946FA}" srcOrd="0" destOrd="0" presId="urn:microsoft.com/office/officeart/2005/8/layout/radial4"/>
    <dgm:cxn modelId="{C53006FE-3F15-49EC-9B17-E579C5A56BD2}" type="presOf" srcId="{C6C7F81C-9F56-4879-B105-D67A3D3AADF4}" destId="{41671A1E-7024-4558-BB98-39466104D4AE}" srcOrd="0" destOrd="0" presId="urn:microsoft.com/office/officeart/2005/8/layout/radial4"/>
    <dgm:cxn modelId="{57E54F2C-96D5-4594-9D30-7316CCCECF60}" srcId="{C6C7F81C-9F56-4879-B105-D67A3D3AADF4}" destId="{1462B337-8C9A-4DC5-B254-8D5725331E6F}" srcOrd="2" destOrd="0" parTransId="{4E4D1160-ED71-4BC4-A4BF-3903300C991F}" sibTransId="{D8293233-3AA7-4965-BA88-73196222AACE}"/>
    <dgm:cxn modelId="{1AFD01FF-93AC-4204-9AA7-0FB138A4001C}" type="presOf" srcId="{2A906CA9-B47E-41C6-87B1-514D1A504CEB}" destId="{396B1121-6F24-446F-9DD2-9A7920CE5022}" srcOrd="0" destOrd="0" presId="urn:microsoft.com/office/officeart/2005/8/layout/radial4"/>
    <dgm:cxn modelId="{8D6D3BEA-4C08-4524-BCFF-6E6B76C20F5A}" type="presOf" srcId="{F988A854-765C-46D0-8A8E-6943A0310B40}" destId="{7FB3DCDF-4480-4002-8A60-2A7AC19E1BB4}" srcOrd="0" destOrd="0" presId="urn:microsoft.com/office/officeart/2005/8/layout/radial4"/>
    <dgm:cxn modelId="{EFC569C8-3E30-49A7-B831-6E00420875AE}" type="presOf" srcId="{86E2E931-99A2-45C8-B2C8-B80A73278B93}" destId="{257F0070-6CF5-4B1A-95D8-92D7283C6E6F}" srcOrd="0" destOrd="0" presId="urn:microsoft.com/office/officeart/2005/8/layout/radial4"/>
    <dgm:cxn modelId="{ED37785F-E8BF-426C-ADC5-C210ACBEB938}" type="presOf" srcId="{B9952D19-D33E-4A1F-8E30-13C287137C00}" destId="{C19782B0-64D3-4A68-B940-8A76E4A39E06}" srcOrd="0" destOrd="0" presId="urn:microsoft.com/office/officeart/2005/8/layout/radial4"/>
    <dgm:cxn modelId="{C75913E4-E056-47CA-9536-9A80E48CE990}" type="presOf" srcId="{F1835600-5950-4252-8E71-8BF22AF6B49E}" destId="{0A9077F8-BCA6-4D7B-8036-07A042903D86}" srcOrd="0" destOrd="0" presId="urn:microsoft.com/office/officeart/2005/8/layout/radial4"/>
    <dgm:cxn modelId="{8FB11726-A653-4639-8F9A-B699E3287E96}" type="presOf" srcId="{8D388710-77E5-42FD-9B92-9F60F6615B99}" destId="{6F8D1918-D13C-48E1-9025-3C6F5616B51C}" srcOrd="0" destOrd="0" presId="urn:microsoft.com/office/officeart/2005/8/layout/radial4"/>
    <dgm:cxn modelId="{02DCF37D-25F0-4EBF-ABE4-60E440592724}" srcId="{74294EAE-C380-4E8A-BEF2-8589A7E848D5}" destId="{E1FC0F93-F256-4944-AA5C-79A720342B26}" srcOrd="4" destOrd="0" parTransId="{6B5B80BD-8C12-4272-B748-D564E9BC6A35}" sibTransId="{B1BC4615-71E7-4481-93A8-0DC581C8B78A}"/>
    <dgm:cxn modelId="{E30843BB-DCE7-463B-B31F-48B1AD77A63C}" type="presOf" srcId="{BF8B2FE8-6836-4D4B-85C4-A203427D216C}" destId="{10B006CD-299A-4C89-9D83-90814E2D8672}" srcOrd="0" destOrd="0" presId="urn:microsoft.com/office/officeart/2005/8/layout/radial4"/>
    <dgm:cxn modelId="{AFBE5215-4464-4E9A-A019-D1C0E9A05B32}" type="presOf" srcId="{E1FC0F93-F256-4944-AA5C-79A720342B26}" destId="{A11A9018-EF09-44EB-A5B8-91BA38E33BAE}" srcOrd="0" destOrd="0" presId="urn:microsoft.com/office/officeart/2005/8/layout/radial4"/>
    <dgm:cxn modelId="{9E1575FA-FA7A-416A-995E-81E887F2828B}" srcId="{74294EAE-C380-4E8A-BEF2-8589A7E848D5}" destId="{014A9CE8-213D-4D46-9C7B-8B74B4A39FB4}" srcOrd="2" destOrd="0" parTransId="{8D388710-77E5-42FD-9B92-9F60F6615B99}" sibTransId="{91DF3E51-A8C1-4144-86AF-30BAFB2AE910}"/>
    <dgm:cxn modelId="{F4C2F197-301A-466E-820A-40B9F714F365}" type="presOf" srcId="{74294EAE-C380-4E8A-BEF2-8589A7E848D5}" destId="{4B0E8506-C18B-46E6-A069-FDE71A8DA014}" srcOrd="0" destOrd="0" presId="urn:microsoft.com/office/officeart/2005/8/layout/radial4"/>
    <dgm:cxn modelId="{7133E01D-5C46-4368-B42A-B61A720191C0}" type="presOf" srcId="{6B5B80BD-8C12-4272-B748-D564E9BC6A35}" destId="{DB34E414-A25C-4249-9152-1EF7C7C1E6CF}" srcOrd="0" destOrd="0" presId="urn:microsoft.com/office/officeart/2005/8/layout/radial4"/>
    <dgm:cxn modelId="{A1858E54-6F62-4C43-90F3-E2C3B433787B}" type="presParOf" srcId="{41671A1E-7024-4558-BB98-39466104D4AE}" destId="{4B0E8506-C18B-46E6-A069-FDE71A8DA014}" srcOrd="0" destOrd="0" presId="urn:microsoft.com/office/officeart/2005/8/layout/radial4"/>
    <dgm:cxn modelId="{C6A81B16-3752-4083-9CEC-19DFCF5D1124}" type="presParOf" srcId="{41671A1E-7024-4558-BB98-39466104D4AE}" destId="{0A9077F8-BCA6-4D7B-8036-07A042903D86}" srcOrd="1" destOrd="0" presId="urn:microsoft.com/office/officeart/2005/8/layout/radial4"/>
    <dgm:cxn modelId="{F6DC9404-0EA9-43C6-AC39-A3CB2CA6B9BC}" type="presParOf" srcId="{41671A1E-7024-4558-BB98-39466104D4AE}" destId="{10B006CD-299A-4C89-9D83-90814E2D8672}" srcOrd="2" destOrd="0" presId="urn:microsoft.com/office/officeart/2005/8/layout/radial4"/>
    <dgm:cxn modelId="{0CCA71BA-5B30-490B-868B-E88E5C8F9997}" type="presParOf" srcId="{41671A1E-7024-4558-BB98-39466104D4AE}" destId="{1F427D25-47AB-4856-8CA1-49A664C946FA}" srcOrd="3" destOrd="0" presId="urn:microsoft.com/office/officeart/2005/8/layout/radial4"/>
    <dgm:cxn modelId="{DC417FBB-97AD-44F4-9B6E-344D56799346}" type="presParOf" srcId="{41671A1E-7024-4558-BB98-39466104D4AE}" destId="{396B1121-6F24-446F-9DD2-9A7920CE5022}" srcOrd="4" destOrd="0" presId="urn:microsoft.com/office/officeart/2005/8/layout/radial4"/>
    <dgm:cxn modelId="{D9BF34B7-5CDC-481C-A5E1-961ECC6945D2}" type="presParOf" srcId="{41671A1E-7024-4558-BB98-39466104D4AE}" destId="{6F8D1918-D13C-48E1-9025-3C6F5616B51C}" srcOrd="5" destOrd="0" presId="urn:microsoft.com/office/officeart/2005/8/layout/radial4"/>
    <dgm:cxn modelId="{D14CE7F6-9D68-4956-8B42-F706D4D29B01}" type="presParOf" srcId="{41671A1E-7024-4558-BB98-39466104D4AE}" destId="{2677C8E9-0596-43C5-ACC7-8609BC407531}" srcOrd="6" destOrd="0" presId="urn:microsoft.com/office/officeart/2005/8/layout/radial4"/>
    <dgm:cxn modelId="{99B9A8BC-3ECD-4943-B8D8-0C9081B2D4F6}" type="presParOf" srcId="{41671A1E-7024-4558-BB98-39466104D4AE}" destId="{7FB3DCDF-4480-4002-8A60-2A7AC19E1BB4}" srcOrd="7" destOrd="0" presId="urn:microsoft.com/office/officeart/2005/8/layout/radial4"/>
    <dgm:cxn modelId="{98523555-44AB-4328-B57A-C1724FA12055}" type="presParOf" srcId="{41671A1E-7024-4558-BB98-39466104D4AE}" destId="{257F0070-6CF5-4B1A-95D8-92D7283C6E6F}" srcOrd="8" destOrd="0" presId="urn:microsoft.com/office/officeart/2005/8/layout/radial4"/>
    <dgm:cxn modelId="{DE27E0EF-6553-4CD7-A482-18DE362CF13C}" type="presParOf" srcId="{41671A1E-7024-4558-BB98-39466104D4AE}" destId="{DB34E414-A25C-4249-9152-1EF7C7C1E6CF}" srcOrd="9" destOrd="0" presId="urn:microsoft.com/office/officeart/2005/8/layout/radial4"/>
    <dgm:cxn modelId="{49976175-B0AE-4E42-BD98-9D40A6D88171}" type="presParOf" srcId="{41671A1E-7024-4558-BB98-39466104D4AE}" destId="{A11A9018-EF09-44EB-A5B8-91BA38E33BAE}" srcOrd="10" destOrd="0" presId="urn:microsoft.com/office/officeart/2005/8/layout/radial4"/>
    <dgm:cxn modelId="{B23D9FD6-2FA5-4C78-B622-EFF82494446C}" type="presParOf" srcId="{41671A1E-7024-4558-BB98-39466104D4AE}" destId="{E9EE9943-EC91-44FB-BD74-ED9CF459BC54}" srcOrd="11" destOrd="0" presId="urn:microsoft.com/office/officeart/2005/8/layout/radial4"/>
    <dgm:cxn modelId="{43141D41-E491-4992-8FBC-03D709052EFF}" type="presParOf" srcId="{41671A1E-7024-4558-BB98-39466104D4AE}" destId="{C19782B0-64D3-4A68-B940-8A76E4A39E06}" srcOrd="12" destOrd="0" presId="urn:microsoft.com/office/officeart/2005/8/layout/radial4"/>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58F06D3-391E-408E-97D1-F149473694A8}" type="doc">
      <dgm:prSet loTypeId="urn:microsoft.com/office/officeart/2005/8/layout/vList6" loCatId="list" qsTypeId="urn:microsoft.com/office/officeart/2005/8/quickstyle/simple2" qsCatId="simple" csTypeId="urn:microsoft.com/office/officeart/2005/8/colors/accent0_1" csCatId="mainScheme" phldr="1"/>
      <dgm:spPr/>
      <dgm:t>
        <a:bodyPr/>
        <a:lstStyle/>
        <a:p>
          <a:endParaRPr lang="ru-RU"/>
        </a:p>
      </dgm:t>
    </dgm:pt>
    <dgm:pt modelId="{69951634-8C95-4128-AF4F-C6570887A183}">
      <dgm:prSet phldrT="[Текст]" custT="1"/>
      <dgm:spPr/>
      <dgm:t>
        <a:bodyPr/>
        <a:lstStyle/>
        <a:p>
          <a:endParaRPr lang="ru-RU" sz="1100">
            <a:latin typeface="Times New Roman" panose="02020603050405020304" pitchFamily="18" charset="0"/>
            <a:cs typeface="Times New Roman" panose="02020603050405020304" pitchFamily="18" charset="0"/>
          </a:endParaRPr>
        </a:p>
        <a:p>
          <a:endParaRPr lang="ru-RU" sz="1100">
            <a:latin typeface="Times New Roman" panose="02020603050405020304" pitchFamily="18" charset="0"/>
            <a:cs typeface="Times New Roman" panose="02020603050405020304" pitchFamily="18" charset="0"/>
          </a:endParaRPr>
        </a:p>
        <a:p>
          <a:r>
            <a:rPr lang="ru-RU" sz="1100">
              <a:latin typeface="Times New Roman" panose="02020603050405020304" pitchFamily="18" charset="0"/>
              <a:cs typeface="Times New Roman" panose="02020603050405020304" pitchFamily="18" charset="0"/>
            </a:rPr>
            <a:t>ФАЗА 0 – Нормативно-ценностное картирование
</a:t>
          </a:r>
          <a:r>
            <a:rPr lang="en-US" sz="1100">
              <a:latin typeface="Times New Roman" panose="02020603050405020304" pitchFamily="18" charset="0"/>
              <a:cs typeface="Times New Roman" panose="02020603050405020304" pitchFamily="18" charset="0"/>
            </a:rPr>
            <a:t>
</a:t>
          </a:r>
          <a:endParaRPr lang="ru-RU" sz="1100">
            <a:latin typeface="Times New Roman" panose="02020603050405020304" pitchFamily="18" charset="0"/>
            <a:cs typeface="Times New Roman" panose="02020603050405020304" pitchFamily="18" charset="0"/>
          </a:endParaRPr>
        </a:p>
      </dgm:t>
    </dgm:pt>
    <dgm:pt modelId="{7DB0632C-74B4-48FE-B2BF-0CA3A2D5443F}" type="parTrans" cxnId="{A496E1DE-A2F9-4AE9-86D7-E0B9CA35D6F1}">
      <dgm:prSet/>
      <dgm:spPr/>
      <dgm:t>
        <a:bodyPr/>
        <a:lstStyle/>
        <a:p>
          <a:endParaRPr lang="ru-RU" sz="1100">
            <a:latin typeface="Times New Roman" panose="02020603050405020304" pitchFamily="18" charset="0"/>
            <a:cs typeface="Times New Roman" panose="02020603050405020304" pitchFamily="18" charset="0"/>
          </a:endParaRPr>
        </a:p>
      </dgm:t>
    </dgm:pt>
    <dgm:pt modelId="{532AA648-91C2-4437-937B-C78D3991F153}" type="sibTrans" cxnId="{A496E1DE-A2F9-4AE9-86D7-E0B9CA35D6F1}">
      <dgm:prSet/>
      <dgm:spPr/>
      <dgm:t>
        <a:bodyPr/>
        <a:lstStyle/>
        <a:p>
          <a:endParaRPr lang="ru-RU" sz="1100">
            <a:latin typeface="Times New Roman" panose="02020603050405020304" pitchFamily="18" charset="0"/>
            <a:cs typeface="Times New Roman" panose="02020603050405020304" pitchFamily="18" charset="0"/>
          </a:endParaRPr>
        </a:p>
      </dgm:t>
    </dgm:pt>
    <dgm:pt modelId="{53B5A429-4810-4ACE-890E-754D82ADA83D}">
      <dgm:prSet phldrT="[Текст]" custT="1"/>
      <dgm:spPr/>
      <dgm:t>
        <a:bodyPr/>
        <a:lstStyle/>
        <a:p>
          <a:r>
            <a:rPr lang="ru-RU" sz="1100">
              <a:latin typeface="Times New Roman" panose="02020603050405020304" pitchFamily="18" charset="0"/>
              <a:cs typeface="Times New Roman" panose="02020603050405020304" pitchFamily="18" charset="0"/>
            </a:rPr>
            <a:t>ФАЗА 1 – Индикаторная операционализация
</a:t>
          </a:r>
        </a:p>
      </dgm:t>
    </dgm:pt>
    <dgm:pt modelId="{F1B850DC-A638-4342-BD4A-6B7E96E366EF}" type="parTrans" cxnId="{AB8D2767-9F9B-40D3-9F9E-71CBF638D100}">
      <dgm:prSet/>
      <dgm:spPr/>
      <dgm:t>
        <a:bodyPr/>
        <a:lstStyle/>
        <a:p>
          <a:endParaRPr lang="ru-RU" sz="1100">
            <a:latin typeface="Times New Roman" panose="02020603050405020304" pitchFamily="18" charset="0"/>
            <a:cs typeface="Times New Roman" panose="02020603050405020304" pitchFamily="18" charset="0"/>
          </a:endParaRPr>
        </a:p>
      </dgm:t>
    </dgm:pt>
    <dgm:pt modelId="{87C6207D-0FDC-45AE-9B72-F1A6AFE54709}" type="sibTrans" cxnId="{AB8D2767-9F9B-40D3-9F9E-71CBF638D100}">
      <dgm:prSet/>
      <dgm:spPr/>
      <dgm:t>
        <a:bodyPr/>
        <a:lstStyle/>
        <a:p>
          <a:endParaRPr lang="ru-RU" sz="1100">
            <a:latin typeface="Times New Roman" panose="02020603050405020304" pitchFamily="18" charset="0"/>
            <a:cs typeface="Times New Roman" panose="02020603050405020304" pitchFamily="18" charset="0"/>
          </a:endParaRPr>
        </a:p>
      </dgm:t>
    </dgm:pt>
    <dgm:pt modelId="{B0D567EC-2C24-4AC9-AB91-DC98FA64631F}">
      <dgm:prSet phldrT="[Текст]" custT="1"/>
      <dgm:spPr/>
      <dgm:t>
        <a:bodyPr/>
        <a:lstStyle/>
        <a:p>
          <a:r>
            <a:rPr lang="ru-RU" sz="1100">
              <a:latin typeface="Times New Roman" panose="02020603050405020304" pitchFamily="18" charset="0"/>
              <a:cs typeface="Times New Roman" panose="02020603050405020304" pitchFamily="18" charset="0"/>
            </a:rPr>
            <a:t>          ФАЗА 2 – Сбор и верификация данных       </a:t>
          </a:r>
        </a:p>
      </dgm:t>
    </dgm:pt>
    <dgm:pt modelId="{487E1494-D341-443B-8995-FDA277040678}" type="parTrans" cxnId="{9B518DEA-9022-4A39-A37F-2C5091912F2D}">
      <dgm:prSet/>
      <dgm:spPr/>
      <dgm:t>
        <a:bodyPr/>
        <a:lstStyle/>
        <a:p>
          <a:endParaRPr lang="ru-RU" sz="1100">
            <a:latin typeface="Times New Roman" panose="02020603050405020304" pitchFamily="18" charset="0"/>
            <a:cs typeface="Times New Roman" panose="02020603050405020304" pitchFamily="18" charset="0"/>
          </a:endParaRPr>
        </a:p>
      </dgm:t>
    </dgm:pt>
    <dgm:pt modelId="{6ECAB5EF-F252-4CAE-A945-DAEE9BEE5426}" type="sibTrans" cxnId="{9B518DEA-9022-4A39-A37F-2C5091912F2D}">
      <dgm:prSet/>
      <dgm:spPr/>
      <dgm:t>
        <a:bodyPr/>
        <a:lstStyle/>
        <a:p>
          <a:endParaRPr lang="ru-RU" sz="1100">
            <a:latin typeface="Times New Roman" panose="02020603050405020304" pitchFamily="18" charset="0"/>
            <a:cs typeface="Times New Roman" panose="02020603050405020304" pitchFamily="18" charset="0"/>
          </a:endParaRPr>
        </a:p>
      </dgm:t>
    </dgm:pt>
    <dgm:pt modelId="{228FFA44-A57F-4478-85CC-324A7140A678}">
      <dgm:prSet custT="1"/>
      <dgm:spPr/>
      <dgm:t>
        <a:bodyPr/>
        <a:lstStyle/>
        <a:p>
          <a:r>
            <a:rPr lang="ru-RU" sz="1100">
              <a:latin typeface="Times New Roman" panose="02020603050405020304" pitchFamily="18" charset="0"/>
              <a:cs typeface="Times New Roman" panose="02020603050405020304" pitchFamily="18" charset="0"/>
            </a:rPr>
            <a:t>Выбор ядра </a:t>
          </a:r>
          <a:r>
            <a:rPr lang="en-US" sz="1100">
              <a:latin typeface="Times New Roman" panose="02020603050405020304" pitchFamily="18" charset="0"/>
              <a:cs typeface="Times New Roman" panose="02020603050405020304" pitchFamily="18" charset="0"/>
            </a:rPr>
            <a:t>KPI </a:t>
          </a:r>
          <a:r>
            <a:rPr lang="ru-RU" sz="1100">
              <a:latin typeface="Times New Roman" panose="02020603050405020304" pitchFamily="18" charset="0"/>
              <a:cs typeface="Times New Roman" panose="02020603050405020304" pitchFamily="18" charset="0"/>
            </a:rPr>
            <a:t>по критериям </a:t>
          </a:r>
          <a:r>
            <a:rPr lang="en-US" sz="1100">
              <a:latin typeface="Times New Roman" panose="02020603050405020304" pitchFamily="18" charset="0"/>
              <a:cs typeface="Times New Roman" panose="02020603050405020304" pitchFamily="18" charset="0"/>
            </a:rPr>
            <a:t>RIGHTS (R-I-G-H-T-S)
</a:t>
          </a:r>
          <a:r>
            <a:rPr lang="ru-RU" sz="1100">
              <a:latin typeface="Times New Roman" panose="02020603050405020304" pitchFamily="18" charset="0"/>
              <a:cs typeface="Times New Roman" panose="02020603050405020304" pitchFamily="18" charset="0"/>
            </a:rPr>
            <a:t>Описание метаданных (источник, частота, ответственный орган)
Инструмент: «Паспорт индикатора» (</a:t>
          </a:r>
          <a:r>
            <a:rPr lang="en-US" sz="1100">
              <a:latin typeface="Times New Roman" panose="02020603050405020304" pitchFamily="18" charset="0"/>
              <a:cs typeface="Times New Roman" panose="02020603050405020304" pitchFamily="18" charset="0"/>
            </a:rPr>
            <a:t>Indicator Passport</a:t>
          </a:r>
          <a:endParaRPr lang="ru-RU" sz="1100">
            <a:latin typeface="Times New Roman" panose="02020603050405020304" pitchFamily="18" charset="0"/>
            <a:cs typeface="Times New Roman" panose="02020603050405020304" pitchFamily="18" charset="0"/>
          </a:endParaRPr>
        </a:p>
      </dgm:t>
    </dgm:pt>
    <dgm:pt modelId="{3B183EED-D037-46E4-99FA-ABB25895A7C3}" type="parTrans" cxnId="{0B585087-78DA-4AAA-A504-BF84C686168B}">
      <dgm:prSet/>
      <dgm:spPr/>
      <dgm:t>
        <a:bodyPr/>
        <a:lstStyle/>
        <a:p>
          <a:endParaRPr lang="ru-RU" sz="1100">
            <a:latin typeface="Times New Roman" panose="02020603050405020304" pitchFamily="18" charset="0"/>
            <a:cs typeface="Times New Roman" panose="02020603050405020304" pitchFamily="18" charset="0"/>
          </a:endParaRPr>
        </a:p>
      </dgm:t>
    </dgm:pt>
    <dgm:pt modelId="{BCBEFDD1-FE91-4780-952E-CDF24AC3D6EC}" type="sibTrans" cxnId="{0B585087-78DA-4AAA-A504-BF84C686168B}">
      <dgm:prSet/>
      <dgm:spPr/>
      <dgm:t>
        <a:bodyPr/>
        <a:lstStyle/>
        <a:p>
          <a:endParaRPr lang="ru-RU" sz="1100">
            <a:latin typeface="Times New Roman" panose="02020603050405020304" pitchFamily="18" charset="0"/>
            <a:cs typeface="Times New Roman" panose="02020603050405020304" pitchFamily="18" charset="0"/>
          </a:endParaRPr>
        </a:p>
      </dgm:t>
    </dgm:pt>
    <dgm:pt modelId="{6096D331-4AB6-4D30-9099-09217FADC245}">
      <dgm:prSet custT="1"/>
      <dgm:spPr/>
      <dgm:t>
        <a:bodyPr/>
        <a:lstStyle/>
        <a:p>
          <a:r>
            <a:rPr lang="ru-RU" sz="1100">
              <a:latin typeface="Times New Roman" panose="02020603050405020304" pitchFamily="18" charset="0"/>
              <a:cs typeface="Times New Roman" panose="02020603050405020304" pitchFamily="18" charset="0"/>
            </a:rPr>
            <a:t>Трёхсторонняя система данных: (а) события/жалобы, (б) административная статистика, (в) социально-экономические панели
Алгоритм проверки достоверности (</a:t>
          </a:r>
          <a:r>
            <a:rPr lang="en-US" sz="1100">
              <a:latin typeface="Times New Roman" panose="02020603050405020304" pitchFamily="18" charset="0"/>
              <a:cs typeface="Times New Roman" panose="02020603050405020304" pitchFamily="18" charset="0"/>
            </a:rPr>
            <a:t>Data Validation Loop)</a:t>
          </a:r>
          <a:endParaRPr lang="ru-RU" sz="1100">
            <a:latin typeface="Times New Roman" panose="02020603050405020304" pitchFamily="18" charset="0"/>
            <a:cs typeface="Times New Roman" panose="02020603050405020304" pitchFamily="18" charset="0"/>
          </a:endParaRPr>
        </a:p>
      </dgm:t>
    </dgm:pt>
    <dgm:pt modelId="{7C7F1376-D79E-434E-8868-A20453FCF66B}" type="parTrans" cxnId="{4718C564-EFDE-48F8-8D69-D57DEB681FF5}">
      <dgm:prSet/>
      <dgm:spPr/>
      <dgm:t>
        <a:bodyPr/>
        <a:lstStyle/>
        <a:p>
          <a:endParaRPr lang="ru-RU" sz="1100">
            <a:latin typeface="Times New Roman" panose="02020603050405020304" pitchFamily="18" charset="0"/>
            <a:cs typeface="Times New Roman" panose="02020603050405020304" pitchFamily="18" charset="0"/>
          </a:endParaRPr>
        </a:p>
      </dgm:t>
    </dgm:pt>
    <dgm:pt modelId="{6F6E1FAA-29F6-48EA-8BD8-1DF9E1E3BE2D}" type="sibTrans" cxnId="{4718C564-EFDE-48F8-8D69-D57DEB681FF5}">
      <dgm:prSet/>
      <dgm:spPr/>
      <dgm:t>
        <a:bodyPr/>
        <a:lstStyle/>
        <a:p>
          <a:endParaRPr lang="ru-RU" sz="1100">
            <a:latin typeface="Times New Roman" panose="02020603050405020304" pitchFamily="18" charset="0"/>
            <a:cs typeface="Times New Roman" panose="02020603050405020304" pitchFamily="18" charset="0"/>
          </a:endParaRPr>
        </a:p>
      </dgm:t>
    </dgm:pt>
    <dgm:pt modelId="{1EA6B276-C1FD-4F3D-AD7C-2CE586A4BF18}">
      <dgm:prSet custT="1"/>
      <dgm:spPr/>
      <dgm:t>
        <a:bodyPr/>
        <a:lstStyle/>
        <a:p>
          <a:r>
            <a:rPr lang="ru-RU" sz="1100">
              <a:latin typeface="Times New Roman" panose="02020603050405020304" pitchFamily="18" charset="0"/>
              <a:cs typeface="Times New Roman" panose="02020603050405020304" pitchFamily="18" charset="0"/>
            </a:rPr>
            <a:t>  ФАЗА 3 – Аналитическая интерпретация
</a:t>
          </a:r>
        </a:p>
      </dgm:t>
    </dgm:pt>
    <dgm:pt modelId="{1C4E1ACF-40B5-44D8-9E41-912D543644B6}" type="parTrans" cxnId="{2ABF15D9-1B0A-4749-8367-3CC8B3BD05C0}">
      <dgm:prSet/>
      <dgm:spPr/>
      <dgm:t>
        <a:bodyPr/>
        <a:lstStyle/>
        <a:p>
          <a:endParaRPr lang="ru-RU" sz="1100">
            <a:latin typeface="Times New Roman" panose="02020603050405020304" pitchFamily="18" charset="0"/>
            <a:cs typeface="Times New Roman" panose="02020603050405020304" pitchFamily="18" charset="0"/>
          </a:endParaRPr>
        </a:p>
      </dgm:t>
    </dgm:pt>
    <dgm:pt modelId="{43784857-8740-48A1-8B3F-B8230DC79F33}" type="sibTrans" cxnId="{2ABF15D9-1B0A-4749-8367-3CC8B3BD05C0}">
      <dgm:prSet/>
      <dgm:spPr/>
      <dgm:t>
        <a:bodyPr/>
        <a:lstStyle/>
        <a:p>
          <a:endParaRPr lang="ru-RU" sz="1100">
            <a:latin typeface="Times New Roman" panose="02020603050405020304" pitchFamily="18" charset="0"/>
            <a:cs typeface="Times New Roman" panose="02020603050405020304" pitchFamily="18" charset="0"/>
          </a:endParaRPr>
        </a:p>
      </dgm:t>
    </dgm:pt>
    <dgm:pt modelId="{32461119-9236-46B5-ACB1-FDFC87AB0394}">
      <dgm:prSet custT="1"/>
      <dgm:spPr/>
      <dgm:t>
        <a:bodyPr/>
        <a:lstStyle/>
        <a:p>
          <a:r>
            <a:rPr lang="ru-RU" sz="1100">
              <a:latin typeface="Times New Roman" panose="02020603050405020304" pitchFamily="18" charset="0"/>
              <a:cs typeface="Times New Roman" panose="02020603050405020304" pitchFamily="18" charset="0"/>
            </a:rPr>
            <a:t> ФАЗА 4 – Институциональная адаптация</a:t>
          </a:r>
        </a:p>
      </dgm:t>
    </dgm:pt>
    <dgm:pt modelId="{70E3D38D-222C-4911-BD1F-262471A6292F}" type="parTrans" cxnId="{71FD5D02-A707-41E2-A47E-AA5AABBDF0E9}">
      <dgm:prSet/>
      <dgm:spPr/>
      <dgm:t>
        <a:bodyPr/>
        <a:lstStyle/>
        <a:p>
          <a:endParaRPr lang="ru-RU" sz="1100">
            <a:latin typeface="Times New Roman" panose="02020603050405020304" pitchFamily="18" charset="0"/>
            <a:cs typeface="Times New Roman" panose="02020603050405020304" pitchFamily="18" charset="0"/>
          </a:endParaRPr>
        </a:p>
      </dgm:t>
    </dgm:pt>
    <dgm:pt modelId="{65E66D1C-19C2-463D-A7EB-DDCD9A8214A9}" type="sibTrans" cxnId="{71FD5D02-A707-41E2-A47E-AA5AABBDF0E9}">
      <dgm:prSet/>
      <dgm:spPr/>
      <dgm:t>
        <a:bodyPr/>
        <a:lstStyle/>
        <a:p>
          <a:endParaRPr lang="ru-RU" sz="1100">
            <a:latin typeface="Times New Roman" panose="02020603050405020304" pitchFamily="18" charset="0"/>
            <a:cs typeface="Times New Roman" panose="02020603050405020304" pitchFamily="18" charset="0"/>
          </a:endParaRPr>
        </a:p>
      </dgm:t>
    </dgm:pt>
    <dgm:pt modelId="{D9D0B251-E8AD-42D1-9F26-F0978AF7DB4D}">
      <dgm:prSet custT="1"/>
      <dgm:spPr/>
      <dgm:t>
        <a:bodyPr/>
        <a:lstStyle/>
        <a:p>
          <a:r>
            <a:rPr lang="ru-RU" sz="1100">
              <a:latin typeface="Times New Roman" panose="02020603050405020304" pitchFamily="18" charset="0"/>
              <a:cs typeface="Times New Roman" panose="02020603050405020304" pitchFamily="18" charset="0"/>
            </a:rPr>
            <a:t> ФАЗА 5 – Публичная отчётность и внешняя верификация</a:t>
          </a:r>
        </a:p>
      </dgm:t>
    </dgm:pt>
    <dgm:pt modelId="{309DA7F4-F139-4FA1-A088-8C459759963F}" type="parTrans" cxnId="{30B55037-0A7E-44DC-BE92-8494B6C6505E}">
      <dgm:prSet/>
      <dgm:spPr/>
      <dgm:t>
        <a:bodyPr/>
        <a:lstStyle/>
        <a:p>
          <a:endParaRPr lang="ru-RU" sz="1100">
            <a:latin typeface="Times New Roman" panose="02020603050405020304" pitchFamily="18" charset="0"/>
            <a:cs typeface="Times New Roman" panose="02020603050405020304" pitchFamily="18" charset="0"/>
          </a:endParaRPr>
        </a:p>
      </dgm:t>
    </dgm:pt>
    <dgm:pt modelId="{FD30BE06-4580-40C5-B51B-658575636A63}" type="sibTrans" cxnId="{30B55037-0A7E-44DC-BE92-8494B6C6505E}">
      <dgm:prSet/>
      <dgm:spPr/>
      <dgm:t>
        <a:bodyPr/>
        <a:lstStyle/>
        <a:p>
          <a:endParaRPr lang="ru-RU" sz="1100">
            <a:latin typeface="Times New Roman" panose="02020603050405020304" pitchFamily="18" charset="0"/>
            <a:cs typeface="Times New Roman" panose="02020603050405020304" pitchFamily="18" charset="0"/>
          </a:endParaRPr>
        </a:p>
      </dgm:t>
    </dgm:pt>
    <dgm:pt modelId="{1A5B58B1-64A6-489C-BA74-7A2A807D98F2}">
      <dgm:prSet custT="1"/>
      <dgm:spPr/>
      <dgm:t>
        <a:bodyPr/>
        <a:lstStyle/>
        <a:p>
          <a:r>
            <a:rPr lang="ru-RU" sz="1100">
              <a:latin typeface="Times New Roman" panose="02020603050405020304" pitchFamily="18" charset="0"/>
              <a:cs typeface="Times New Roman" panose="02020603050405020304" pitchFamily="18" charset="0"/>
            </a:rPr>
            <a:t>Методы: сравнительная динамика, кросс-секторальный анализ
Выход: «Профиль соответствия» (</a:t>
          </a:r>
          <a:r>
            <a:rPr lang="en-US" sz="1100">
              <a:latin typeface="Times New Roman" panose="02020603050405020304" pitchFamily="18" charset="0"/>
              <a:cs typeface="Times New Roman" panose="02020603050405020304" pitchFamily="18" charset="0"/>
            </a:rPr>
            <a:t>Compliance Dashboard)</a:t>
          </a:r>
          <a:endParaRPr lang="ru-RU" sz="1100">
            <a:latin typeface="Times New Roman" panose="02020603050405020304" pitchFamily="18" charset="0"/>
            <a:cs typeface="Times New Roman" panose="02020603050405020304" pitchFamily="18" charset="0"/>
          </a:endParaRPr>
        </a:p>
      </dgm:t>
    </dgm:pt>
    <dgm:pt modelId="{3B708C78-7A05-4082-97EF-57CEC7049F68}" type="parTrans" cxnId="{87656BD5-07A1-4CE1-A987-9C2557003C2A}">
      <dgm:prSet/>
      <dgm:spPr/>
      <dgm:t>
        <a:bodyPr/>
        <a:lstStyle/>
        <a:p>
          <a:endParaRPr lang="ru-RU" sz="1100">
            <a:latin typeface="Times New Roman" panose="02020603050405020304" pitchFamily="18" charset="0"/>
            <a:cs typeface="Times New Roman" panose="02020603050405020304" pitchFamily="18" charset="0"/>
          </a:endParaRPr>
        </a:p>
      </dgm:t>
    </dgm:pt>
    <dgm:pt modelId="{F67A730E-FB86-4929-84B7-9F42E3CA7EB3}" type="sibTrans" cxnId="{87656BD5-07A1-4CE1-A987-9C2557003C2A}">
      <dgm:prSet/>
      <dgm:spPr/>
      <dgm:t>
        <a:bodyPr/>
        <a:lstStyle/>
        <a:p>
          <a:endParaRPr lang="ru-RU" sz="1100">
            <a:latin typeface="Times New Roman" panose="02020603050405020304" pitchFamily="18" charset="0"/>
            <a:cs typeface="Times New Roman" panose="02020603050405020304" pitchFamily="18" charset="0"/>
          </a:endParaRPr>
        </a:p>
      </dgm:t>
    </dgm:pt>
    <dgm:pt modelId="{BA4D2F5D-A044-46C6-AC64-B2F07BBA71FD}">
      <dgm:prSet custT="1"/>
      <dgm:spPr/>
      <dgm:t>
        <a:bodyPr/>
        <a:lstStyle/>
        <a:p>
          <a:endParaRPr lang="ru-RU" sz="1100">
            <a:latin typeface="Times New Roman" panose="02020603050405020304" pitchFamily="18" charset="0"/>
            <a:cs typeface="Times New Roman" panose="02020603050405020304" pitchFamily="18" charset="0"/>
          </a:endParaRPr>
        </a:p>
      </dgm:t>
    </dgm:pt>
    <dgm:pt modelId="{68AF1083-8583-486C-9BE9-99B6277DCB31}" type="parTrans" cxnId="{456842C6-20C7-4498-928B-C3E785C8BE15}">
      <dgm:prSet/>
      <dgm:spPr/>
      <dgm:t>
        <a:bodyPr/>
        <a:lstStyle/>
        <a:p>
          <a:endParaRPr lang="ru-RU" sz="1100">
            <a:latin typeface="Times New Roman" panose="02020603050405020304" pitchFamily="18" charset="0"/>
            <a:cs typeface="Times New Roman" panose="02020603050405020304" pitchFamily="18" charset="0"/>
          </a:endParaRPr>
        </a:p>
      </dgm:t>
    </dgm:pt>
    <dgm:pt modelId="{78CD21F8-2850-46D1-99CD-66866B9BE064}" type="sibTrans" cxnId="{456842C6-20C7-4498-928B-C3E785C8BE15}">
      <dgm:prSet/>
      <dgm:spPr/>
      <dgm:t>
        <a:bodyPr/>
        <a:lstStyle/>
        <a:p>
          <a:endParaRPr lang="ru-RU" sz="1100">
            <a:latin typeface="Times New Roman" panose="02020603050405020304" pitchFamily="18" charset="0"/>
            <a:cs typeface="Times New Roman" panose="02020603050405020304" pitchFamily="18" charset="0"/>
          </a:endParaRPr>
        </a:p>
      </dgm:t>
    </dgm:pt>
    <dgm:pt modelId="{809D36ED-8B86-4102-8B60-F56D8FD9A3E7}">
      <dgm:prSet custT="1"/>
      <dgm:spPr/>
      <dgm:t>
        <a:bodyPr/>
        <a:lstStyle/>
        <a:p>
          <a:r>
            <a:rPr lang="ru-RU" sz="1100">
              <a:latin typeface="Times New Roman" panose="02020603050405020304" pitchFamily="18" charset="0"/>
              <a:cs typeface="Times New Roman" panose="02020603050405020304" pitchFamily="18" charset="0"/>
            </a:rPr>
            <a:t> Приоритизация реформ (</a:t>
          </a:r>
          <a:r>
            <a:rPr lang="en-US" sz="1100">
              <a:latin typeface="Times New Roman" panose="02020603050405020304" pitchFamily="18" charset="0"/>
              <a:cs typeface="Times New Roman" panose="02020603050405020304" pitchFamily="18" charset="0"/>
            </a:rPr>
            <a:t>Policy Prioritisation Grid)
</a:t>
          </a:r>
          <a:r>
            <a:rPr lang="ru-RU" sz="1100">
              <a:latin typeface="Times New Roman" panose="02020603050405020304" pitchFamily="18" charset="0"/>
              <a:cs typeface="Times New Roman" panose="02020603050405020304" pitchFamily="18" charset="0"/>
            </a:rPr>
            <a:t>Распределение ответственности: правительство – парламент – НПО
Встроенный цикл обратной связи (</a:t>
          </a:r>
          <a:r>
            <a:rPr lang="en-US" sz="1100">
              <a:latin typeface="Times New Roman" panose="02020603050405020304" pitchFamily="18" charset="0"/>
              <a:cs typeface="Times New Roman" panose="02020603050405020304" pitchFamily="18" charset="0"/>
            </a:rPr>
            <a:t>Feed-back Loop)
</a:t>
          </a:r>
          <a:endParaRPr lang="ru-RU" sz="1100">
            <a:latin typeface="Times New Roman" panose="02020603050405020304" pitchFamily="18" charset="0"/>
            <a:cs typeface="Times New Roman" panose="02020603050405020304" pitchFamily="18" charset="0"/>
          </a:endParaRPr>
        </a:p>
      </dgm:t>
    </dgm:pt>
    <dgm:pt modelId="{AF8F7333-C8D2-4990-BC1B-0386878B09CA}" type="parTrans" cxnId="{261D2EAB-199A-481D-B4D7-2984F5545278}">
      <dgm:prSet/>
      <dgm:spPr/>
      <dgm:t>
        <a:bodyPr/>
        <a:lstStyle/>
        <a:p>
          <a:endParaRPr lang="ru-RU" sz="1100">
            <a:latin typeface="Times New Roman" panose="02020603050405020304" pitchFamily="18" charset="0"/>
            <a:cs typeface="Times New Roman" panose="02020603050405020304" pitchFamily="18" charset="0"/>
          </a:endParaRPr>
        </a:p>
      </dgm:t>
    </dgm:pt>
    <dgm:pt modelId="{E0749F55-BBA1-43F1-98DC-032B01959193}" type="sibTrans" cxnId="{261D2EAB-199A-481D-B4D7-2984F5545278}">
      <dgm:prSet/>
      <dgm:spPr/>
      <dgm:t>
        <a:bodyPr/>
        <a:lstStyle/>
        <a:p>
          <a:endParaRPr lang="ru-RU" sz="1100">
            <a:latin typeface="Times New Roman" panose="02020603050405020304" pitchFamily="18" charset="0"/>
            <a:cs typeface="Times New Roman" panose="02020603050405020304" pitchFamily="18" charset="0"/>
          </a:endParaRPr>
        </a:p>
      </dgm:t>
    </dgm:pt>
    <dgm:pt modelId="{7BCD398B-3738-48F7-BE49-964C2F78AAA4}">
      <dgm:prSet custT="1"/>
      <dgm:spPr/>
      <dgm:t>
        <a:bodyPr/>
        <a:lstStyle/>
        <a:p>
          <a:r>
            <a:rPr lang="ru-RU" sz="1100">
              <a:latin typeface="Times New Roman" panose="02020603050405020304" pitchFamily="18" charset="0"/>
              <a:cs typeface="Times New Roman" panose="02020603050405020304" pitchFamily="18" charset="0"/>
            </a:rPr>
            <a:t>Форматы: </a:t>
          </a:r>
          <a:r>
            <a:rPr lang="en-US" sz="1100">
              <a:latin typeface="Times New Roman" panose="02020603050405020304" pitchFamily="18" charset="0"/>
              <a:cs typeface="Times New Roman" panose="02020603050405020304" pitchFamily="18" charset="0"/>
            </a:rPr>
            <a:t>UPR-</a:t>
          </a:r>
          <a:r>
            <a:rPr lang="ru-RU" sz="1100">
              <a:latin typeface="Times New Roman" panose="02020603050405020304" pitchFamily="18" charset="0"/>
              <a:cs typeface="Times New Roman" panose="02020603050405020304" pitchFamily="18" charset="0"/>
            </a:rPr>
            <a:t>отчёт, </a:t>
          </a:r>
          <a:r>
            <a:rPr lang="en-US" sz="1100">
              <a:latin typeface="Times New Roman" panose="02020603050405020304" pitchFamily="18" charset="0"/>
              <a:cs typeface="Times New Roman" panose="02020603050405020304" pitchFamily="18" charset="0"/>
            </a:rPr>
            <a:t>EU Dialogue Brief, </a:t>
          </a:r>
          <a:r>
            <a:rPr lang="ru-RU" sz="1100">
              <a:latin typeface="Times New Roman" panose="02020603050405020304" pitchFamily="18" charset="0"/>
              <a:cs typeface="Times New Roman" panose="02020603050405020304" pitchFamily="18" charset="0"/>
            </a:rPr>
            <a:t>нац. отчётность
Механизм общественной валидации (</a:t>
          </a:r>
          <a:r>
            <a:rPr lang="en-US" sz="1100">
              <a:latin typeface="Times New Roman" panose="02020603050405020304" pitchFamily="18" charset="0"/>
              <a:cs typeface="Times New Roman" panose="02020603050405020304" pitchFamily="18" charset="0"/>
            </a:rPr>
            <a:t>Civil Society Hearing)</a:t>
          </a:r>
          <a:endParaRPr lang="ru-RU" sz="1100">
            <a:latin typeface="Times New Roman" panose="02020603050405020304" pitchFamily="18" charset="0"/>
            <a:cs typeface="Times New Roman" panose="02020603050405020304" pitchFamily="18" charset="0"/>
          </a:endParaRPr>
        </a:p>
      </dgm:t>
    </dgm:pt>
    <dgm:pt modelId="{C0F02E38-A058-4A7A-9133-E52095D80109}" type="parTrans" cxnId="{49608748-9DDD-454F-B9FB-4B9A75D3B7C2}">
      <dgm:prSet/>
      <dgm:spPr/>
      <dgm:t>
        <a:bodyPr/>
        <a:lstStyle/>
        <a:p>
          <a:endParaRPr lang="ru-RU" sz="1100">
            <a:latin typeface="Times New Roman" panose="02020603050405020304" pitchFamily="18" charset="0"/>
            <a:cs typeface="Times New Roman" panose="02020603050405020304" pitchFamily="18" charset="0"/>
          </a:endParaRPr>
        </a:p>
      </dgm:t>
    </dgm:pt>
    <dgm:pt modelId="{E7AB09D5-8A9D-4767-AE70-00640A6ED951}" type="sibTrans" cxnId="{49608748-9DDD-454F-B9FB-4B9A75D3B7C2}">
      <dgm:prSet/>
      <dgm:spPr/>
      <dgm:t>
        <a:bodyPr/>
        <a:lstStyle/>
        <a:p>
          <a:endParaRPr lang="ru-RU" sz="1100">
            <a:latin typeface="Times New Roman" panose="02020603050405020304" pitchFamily="18" charset="0"/>
            <a:cs typeface="Times New Roman" panose="02020603050405020304" pitchFamily="18" charset="0"/>
          </a:endParaRPr>
        </a:p>
      </dgm:t>
    </dgm:pt>
    <dgm:pt modelId="{548B9667-ED78-423E-AAEF-C52D9104E817}">
      <dgm:prSet custT="1"/>
      <dgm:spPr/>
      <dgm:t>
        <a:bodyPr/>
        <a:lstStyle/>
        <a:p>
          <a:endParaRPr lang="ru-RU" sz="1100">
            <a:latin typeface="Times New Roman" panose="02020603050405020304" pitchFamily="18" charset="0"/>
            <a:cs typeface="Times New Roman" panose="02020603050405020304" pitchFamily="18" charset="0"/>
          </a:endParaRPr>
        </a:p>
      </dgm:t>
    </dgm:pt>
    <dgm:pt modelId="{7A9792F0-9F1C-4FFF-A4F5-43999D610EC7}" type="parTrans" cxnId="{4F20512E-4367-4274-A7F6-9D1104A75A53}">
      <dgm:prSet/>
      <dgm:spPr/>
      <dgm:t>
        <a:bodyPr/>
        <a:lstStyle/>
        <a:p>
          <a:endParaRPr lang="ru-RU" sz="1100">
            <a:latin typeface="Times New Roman" panose="02020603050405020304" pitchFamily="18" charset="0"/>
            <a:cs typeface="Times New Roman" panose="02020603050405020304" pitchFamily="18" charset="0"/>
          </a:endParaRPr>
        </a:p>
      </dgm:t>
    </dgm:pt>
    <dgm:pt modelId="{749E7C3E-9CF9-4BF4-9AB7-731635CBF765}" type="sibTrans" cxnId="{4F20512E-4367-4274-A7F6-9D1104A75A53}">
      <dgm:prSet/>
      <dgm:spPr/>
      <dgm:t>
        <a:bodyPr/>
        <a:lstStyle/>
        <a:p>
          <a:endParaRPr lang="ru-RU" sz="1100">
            <a:latin typeface="Times New Roman" panose="02020603050405020304" pitchFamily="18" charset="0"/>
            <a:cs typeface="Times New Roman" panose="02020603050405020304" pitchFamily="18" charset="0"/>
          </a:endParaRPr>
        </a:p>
      </dgm:t>
    </dgm:pt>
    <dgm:pt modelId="{73293953-B90E-40FA-A176-FCD5362C47C6}">
      <dgm:prSet custT="1"/>
      <dgm:spPr/>
      <dgm:t>
        <a:bodyPr/>
        <a:lstStyle/>
        <a:p>
          <a:r>
            <a:rPr lang="ru-RU" sz="1100">
              <a:latin typeface="Times New Roman" panose="02020603050405020304" pitchFamily="18" charset="0"/>
              <a:cs typeface="Times New Roman" panose="02020603050405020304" pitchFamily="18" charset="0"/>
            </a:rPr>
            <a:t>Карта соответствий: Стандарт ЕС → статьи Конституции РК
Выход: Реестр «нормативных пробелов» (</a:t>
          </a:r>
          <a:r>
            <a:rPr lang="en-US" sz="1100">
              <a:latin typeface="Times New Roman" panose="02020603050405020304" pitchFamily="18" charset="0"/>
              <a:cs typeface="Times New Roman" panose="02020603050405020304" pitchFamily="18" charset="0"/>
            </a:rPr>
            <a:t>Gap Matrix)</a:t>
          </a:r>
          <a:endParaRPr lang="ru-RU" sz="1100">
            <a:latin typeface="Times New Roman" panose="02020603050405020304" pitchFamily="18" charset="0"/>
            <a:cs typeface="Times New Roman" panose="02020603050405020304" pitchFamily="18" charset="0"/>
          </a:endParaRPr>
        </a:p>
      </dgm:t>
    </dgm:pt>
    <dgm:pt modelId="{8D58CCF5-90A2-4E00-8AE2-4A4D994E4486}" type="parTrans" cxnId="{4A1095B5-F613-4DF4-B405-8BE7974498AC}">
      <dgm:prSet/>
      <dgm:spPr/>
      <dgm:t>
        <a:bodyPr/>
        <a:lstStyle/>
        <a:p>
          <a:endParaRPr lang="ru-RU"/>
        </a:p>
      </dgm:t>
    </dgm:pt>
    <dgm:pt modelId="{31CAC22A-3D60-4269-867B-6B5A3B118342}" type="sibTrans" cxnId="{4A1095B5-F613-4DF4-B405-8BE7974498AC}">
      <dgm:prSet/>
      <dgm:spPr/>
      <dgm:t>
        <a:bodyPr/>
        <a:lstStyle/>
        <a:p>
          <a:endParaRPr lang="ru-RU"/>
        </a:p>
      </dgm:t>
    </dgm:pt>
    <dgm:pt modelId="{360F53E4-C2BA-4D35-9DA4-DA667C375BDB}">
      <dgm:prSet custT="1"/>
      <dgm:spPr/>
      <dgm:t>
        <a:bodyPr/>
        <a:lstStyle/>
        <a:p>
          <a:endParaRPr lang="ru-RU" sz="1100">
            <a:latin typeface="Times New Roman" panose="02020603050405020304" pitchFamily="18" charset="0"/>
            <a:cs typeface="Times New Roman" panose="02020603050405020304" pitchFamily="18" charset="0"/>
          </a:endParaRPr>
        </a:p>
      </dgm:t>
    </dgm:pt>
    <dgm:pt modelId="{35C594B6-1CBB-4E7B-87D7-CE4D32C5DC0F}" type="parTrans" cxnId="{ECFCC94E-7F03-48C0-86B2-49486558C3E9}">
      <dgm:prSet/>
      <dgm:spPr/>
      <dgm:t>
        <a:bodyPr/>
        <a:lstStyle/>
        <a:p>
          <a:endParaRPr lang="ru-RU"/>
        </a:p>
      </dgm:t>
    </dgm:pt>
    <dgm:pt modelId="{4C5903AF-3385-4C1C-8D4B-7BBDF1646CE3}" type="sibTrans" cxnId="{ECFCC94E-7F03-48C0-86B2-49486558C3E9}">
      <dgm:prSet/>
      <dgm:spPr/>
      <dgm:t>
        <a:bodyPr/>
        <a:lstStyle/>
        <a:p>
          <a:endParaRPr lang="ru-RU"/>
        </a:p>
      </dgm:t>
    </dgm:pt>
    <dgm:pt modelId="{2C409D82-FA65-4A4A-A5F1-3AB7B1B6C04F}">
      <dgm:prSet custT="1"/>
      <dgm:spPr/>
      <dgm:t>
        <a:bodyPr/>
        <a:lstStyle/>
        <a:p>
          <a:endParaRPr lang="ru-RU" sz="1100">
            <a:latin typeface="Times New Roman" panose="02020603050405020304" pitchFamily="18" charset="0"/>
            <a:cs typeface="Times New Roman" panose="02020603050405020304" pitchFamily="18" charset="0"/>
          </a:endParaRPr>
        </a:p>
      </dgm:t>
    </dgm:pt>
    <dgm:pt modelId="{CB240C2A-0097-49C3-AD9B-3A1E3B81702D}" type="parTrans" cxnId="{02C1F9D9-9111-4072-B293-B2932D91A140}">
      <dgm:prSet/>
      <dgm:spPr/>
      <dgm:t>
        <a:bodyPr/>
        <a:lstStyle/>
        <a:p>
          <a:endParaRPr lang="ru-RU"/>
        </a:p>
      </dgm:t>
    </dgm:pt>
    <dgm:pt modelId="{3E3EA0AA-4869-4711-861D-2320CB4188F4}" type="sibTrans" cxnId="{02C1F9D9-9111-4072-B293-B2932D91A140}">
      <dgm:prSet/>
      <dgm:spPr/>
      <dgm:t>
        <a:bodyPr/>
        <a:lstStyle/>
        <a:p>
          <a:endParaRPr lang="ru-RU"/>
        </a:p>
      </dgm:t>
    </dgm:pt>
    <dgm:pt modelId="{6FBEF206-4DA4-46E0-B74E-C3C3B8EA265E}" type="pres">
      <dgm:prSet presAssocID="{858F06D3-391E-408E-97D1-F149473694A8}" presName="Name0" presStyleCnt="0">
        <dgm:presLayoutVars>
          <dgm:dir/>
          <dgm:animLvl val="lvl"/>
          <dgm:resizeHandles/>
        </dgm:presLayoutVars>
      </dgm:prSet>
      <dgm:spPr/>
      <dgm:t>
        <a:bodyPr/>
        <a:lstStyle/>
        <a:p>
          <a:endParaRPr lang="ru-RU"/>
        </a:p>
      </dgm:t>
    </dgm:pt>
    <dgm:pt modelId="{F342A59B-6B98-4D8A-9F55-1BA1088A47F6}" type="pres">
      <dgm:prSet presAssocID="{69951634-8C95-4128-AF4F-C6570887A183}" presName="linNode" presStyleCnt="0"/>
      <dgm:spPr/>
    </dgm:pt>
    <dgm:pt modelId="{A63A35CC-BFEA-4E6E-9DAD-BD4B0E9E2BAA}" type="pres">
      <dgm:prSet presAssocID="{69951634-8C95-4128-AF4F-C6570887A183}" presName="parentShp" presStyleLbl="node1" presStyleIdx="0" presStyleCnt="6" custScaleX="90650">
        <dgm:presLayoutVars>
          <dgm:bulletEnabled val="1"/>
        </dgm:presLayoutVars>
      </dgm:prSet>
      <dgm:spPr/>
      <dgm:t>
        <a:bodyPr/>
        <a:lstStyle/>
        <a:p>
          <a:endParaRPr lang="ru-RU"/>
        </a:p>
      </dgm:t>
    </dgm:pt>
    <dgm:pt modelId="{09EA7C18-945B-4CAD-BFA9-12CAD951FF63}" type="pres">
      <dgm:prSet presAssocID="{69951634-8C95-4128-AF4F-C6570887A183}" presName="childShp" presStyleLbl="bgAccFollowNode1" presStyleIdx="0" presStyleCnt="6" custScaleX="107885">
        <dgm:presLayoutVars>
          <dgm:bulletEnabled val="1"/>
        </dgm:presLayoutVars>
      </dgm:prSet>
      <dgm:spPr/>
      <dgm:t>
        <a:bodyPr/>
        <a:lstStyle/>
        <a:p>
          <a:endParaRPr lang="ru-RU"/>
        </a:p>
      </dgm:t>
    </dgm:pt>
    <dgm:pt modelId="{53EBEDF6-EEEA-4458-BEFA-9D78F9553C01}" type="pres">
      <dgm:prSet presAssocID="{532AA648-91C2-4437-937B-C78D3991F153}" presName="spacing" presStyleCnt="0"/>
      <dgm:spPr/>
    </dgm:pt>
    <dgm:pt modelId="{CE03A798-004C-48FD-A18F-44465FA8B40C}" type="pres">
      <dgm:prSet presAssocID="{53B5A429-4810-4ACE-890E-754D82ADA83D}" presName="linNode" presStyleCnt="0"/>
      <dgm:spPr/>
    </dgm:pt>
    <dgm:pt modelId="{3703DB18-467A-48C2-8D8C-5DBF2509C074}" type="pres">
      <dgm:prSet presAssocID="{53B5A429-4810-4ACE-890E-754D82ADA83D}" presName="parentShp" presStyleLbl="node1" presStyleIdx="1" presStyleCnt="6" custScaleX="91458">
        <dgm:presLayoutVars>
          <dgm:bulletEnabled val="1"/>
        </dgm:presLayoutVars>
      </dgm:prSet>
      <dgm:spPr/>
      <dgm:t>
        <a:bodyPr/>
        <a:lstStyle/>
        <a:p>
          <a:endParaRPr lang="ru-RU"/>
        </a:p>
      </dgm:t>
    </dgm:pt>
    <dgm:pt modelId="{E7461D90-2B2A-4093-AB33-A71F1EA06848}" type="pres">
      <dgm:prSet presAssocID="{53B5A429-4810-4ACE-890E-754D82ADA83D}" presName="childShp" presStyleLbl="bgAccFollowNode1" presStyleIdx="1" presStyleCnt="6" custScaleX="107346" custScaleY="108698">
        <dgm:presLayoutVars>
          <dgm:bulletEnabled val="1"/>
        </dgm:presLayoutVars>
      </dgm:prSet>
      <dgm:spPr/>
      <dgm:t>
        <a:bodyPr/>
        <a:lstStyle/>
        <a:p>
          <a:endParaRPr lang="ru-RU"/>
        </a:p>
      </dgm:t>
    </dgm:pt>
    <dgm:pt modelId="{939C386A-E474-40B4-884E-727705A18520}" type="pres">
      <dgm:prSet presAssocID="{87C6207D-0FDC-45AE-9B72-F1A6AFE54709}" presName="spacing" presStyleCnt="0"/>
      <dgm:spPr/>
    </dgm:pt>
    <dgm:pt modelId="{9D1CB3C7-61F4-4F55-8706-743CC0AFE80E}" type="pres">
      <dgm:prSet presAssocID="{B0D567EC-2C24-4AC9-AB91-DC98FA64631F}" presName="linNode" presStyleCnt="0"/>
      <dgm:spPr/>
    </dgm:pt>
    <dgm:pt modelId="{7DF88011-3E7E-4B89-A720-6B6658E5BB03}" type="pres">
      <dgm:prSet presAssocID="{B0D567EC-2C24-4AC9-AB91-DC98FA64631F}" presName="parentShp" presStyleLbl="node1" presStyleIdx="2" presStyleCnt="6" custScaleX="92266">
        <dgm:presLayoutVars>
          <dgm:bulletEnabled val="1"/>
        </dgm:presLayoutVars>
      </dgm:prSet>
      <dgm:spPr/>
      <dgm:t>
        <a:bodyPr/>
        <a:lstStyle/>
        <a:p>
          <a:endParaRPr lang="ru-RU"/>
        </a:p>
      </dgm:t>
    </dgm:pt>
    <dgm:pt modelId="{BB2CFE3A-AC0B-43B2-8A1A-7EBD6A23F254}" type="pres">
      <dgm:prSet presAssocID="{B0D567EC-2C24-4AC9-AB91-DC98FA64631F}" presName="childShp" presStyleLbl="bgAccFollowNode1" presStyleIdx="2" presStyleCnt="6" custScaleX="107346" custScaleY="132642">
        <dgm:presLayoutVars>
          <dgm:bulletEnabled val="1"/>
        </dgm:presLayoutVars>
      </dgm:prSet>
      <dgm:spPr/>
      <dgm:t>
        <a:bodyPr/>
        <a:lstStyle/>
        <a:p>
          <a:endParaRPr lang="ru-RU"/>
        </a:p>
      </dgm:t>
    </dgm:pt>
    <dgm:pt modelId="{905E8CD0-971F-4BD9-A61C-E6FD80641FF8}" type="pres">
      <dgm:prSet presAssocID="{6ECAB5EF-F252-4CAE-A945-DAEE9BEE5426}" presName="spacing" presStyleCnt="0"/>
      <dgm:spPr/>
    </dgm:pt>
    <dgm:pt modelId="{6BAFD717-7705-4756-B8B1-C761AAA1901B}" type="pres">
      <dgm:prSet presAssocID="{1EA6B276-C1FD-4F3D-AD7C-2CE586A4BF18}" presName="linNode" presStyleCnt="0"/>
      <dgm:spPr/>
    </dgm:pt>
    <dgm:pt modelId="{C7A83C95-166B-4924-B3F2-1FCFCAC5C026}" type="pres">
      <dgm:prSet presAssocID="{1EA6B276-C1FD-4F3D-AD7C-2CE586A4BF18}" presName="parentShp" presStyleLbl="node1" presStyleIdx="3" presStyleCnt="6" custScaleX="89035">
        <dgm:presLayoutVars>
          <dgm:bulletEnabled val="1"/>
        </dgm:presLayoutVars>
      </dgm:prSet>
      <dgm:spPr/>
      <dgm:t>
        <a:bodyPr/>
        <a:lstStyle/>
        <a:p>
          <a:endParaRPr lang="ru-RU"/>
        </a:p>
      </dgm:t>
    </dgm:pt>
    <dgm:pt modelId="{57D98AD6-8BFD-4339-847E-A32CC21E6C1E}" type="pres">
      <dgm:prSet presAssocID="{1EA6B276-C1FD-4F3D-AD7C-2CE586A4BF18}" presName="childShp" presStyleLbl="bgAccFollowNode1" presStyleIdx="3" presStyleCnt="6" custScaleX="108942">
        <dgm:presLayoutVars>
          <dgm:bulletEnabled val="1"/>
        </dgm:presLayoutVars>
      </dgm:prSet>
      <dgm:spPr/>
      <dgm:t>
        <a:bodyPr/>
        <a:lstStyle/>
        <a:p>
          <a:endParaRPr lang="ru-RU"/>
        </a:p>
      </dgm:t>
    </dgm:pt>
    <dgm:pt modelId="{0E3686A5-5E91-400C-8F60-566712C13432}" type="pres">
      <dgm:prSet presAssocID="{43784857-8740-48A1-8B3F-B8230DC79F33}" presName="spacing" presStyleCnt="0"/>
      <dgm:spPr/>
    </dgm:pt>
    <dgm:pt modelId="{94368B2C-F13B-4D89-850C-978687370E06}" type="pres">
      <dgm:prSet presAssocID="{32461119-9236-46B5-ACB1-FDFC87AB0394}" presName="linNode" presStyleCnt="0"/>
      <dgm:spPr/>
    </dgm:pt>
    <dgm:pt modelId="{8C9A36BD-38C7-45C3-890B-0711F6E98A29}" type="pres">
      <dgm:prSet presAssocID="{32461119-9236-46B5-ACB1-FDFC87AB0394}" presName="parentShp" presStyleLbl="node1" presStyleIdx="4" presStyleCnt="6" custScaleX="86611">
        <dgm:presLayoutVars>
          <dgm:bulletEnabled val="1"/>
        </dgm:presLayoutVars>
      </dgm:prSet>
      <dgm:spPr/>
      <dgm:t>
        <a:bodyPr/>
        <a:lstStyle/>
        <a:p>
          <a:endParaRPr lang="ru-RU"/>
        </a:p>
      </dgm:t>
    </dgm:pt>
    <dgm:pt modelId="{AAF307A3-1EE3-49DE-BB73-30B91F055179}" type="pres">
      <dgm:prSet presAssocID="{32461119-9236-46B5-ACB1-FDFC87AB0394}" presName="childShp" presStyleLbl="bgAccFollowNode1" presStyleIdx="4" presStyleCnt="6" custScaleX="107866" custScaleY="121891">
        <dgm:presLayoutVars>
          <dgm:bulletEnabled val="1"/>
        </dgm:presLayoutVars>
      </dgm:prSet>
      <dgm:spPr/>
      <dgm:t>
        <a:bodyPr/>
        <a:lstStyle/>
        <a:p>
          <a:endParaRPr lang="ru-RU"/>
        </a:p>
      </dgm:t>
    </dgm:pt>
    <dgm:pt modelId="{6EBBB31F-D823-4EE9-AA7B-2EC0EA9A3D0F}" type="pres">
      <dgm:prSet presAssocID="{65E66D1C-19C2-463D-A7EB-DDCD9A8214A9}" presName="spacing" presStyleCnt="0"/>
      <dgm:spPr/>
    </dgm:pt>
    <dgm:pt modelId="{CDE4E744-E468-45CA-B69F-D855384593F8}" type="pres">
      <dgm:prSet presAssocID="{D9D0B251-E8AD-42D1-9F26-F0978AF7DB4D}" presName="linNode" presStyleCnt="0"/>
      <dgm:spPr/>
    </dgm:pt>
    <dgm:pt modelId="{6C3D6C76-5FD4-48D0-80B2-A4B7CE5A9D87}" type="pres">
      <dgm:prSet presAssocID="{D9D0B251-E8AD-42D1-9F26-F0978AF7DB4D}" presName="parentShp" presStyleLbl="node1" presStyleIdx="5" presStyleCnt="6" custScaleX="89842">
        <dgm:presLayoutVars>
          <dgm:bulletEnabled val="1"/>
        </dgm:presLayoutVars>
      </dgm:prSet>
      <dgm:spPr/>
      <dgm:t>
        <a:bodyPr/>
        <a:lstStyle/>
        <a:p>
          <a:endParaRPr lang="ru-RU"/>
        </a:p>
      </dgm:t>
    </dgm:pt>
    <dgm:pt modelId="{8C5AACFF-A754-4B63-B348-8B55F11BDEF7}" type="pres">
      <dgm:prSet presAssocID="{D9D0B251-E8AD-42D1-9F26-F0978AF7DB4D}" presName="childShp" presStyleLbl="bgAccFollowNode1" presStyleIdx="5" presStyleCnt="6" custScaleX="105173" custScaleY="110198">
        <dgm:presLayoutVars>
          <dgm:bulletEnabled val="1"/>
        </dgm:presLayoutVars>
      </dgm:prSet>
      <dgm:spPr/>
      <dgm:t>
        <a:bodyPr/>
        <a:lstStyle/>
        <a:p>
          <a:endParaRPr lang="ru-RU"/>
        </a:p>
      </dgm:t>
    </dgm:pt>
  </dgm:ptLst>
  <dgm:cxnLst>
    <dgm:cxn modelId="{52573866-620E-47C3-B8CB-9BBB6A2A66A6}" type="presOf" srcId="{1EA6B276-C1FD-4F3D-AD7C-2CE586A4BF18}" destId="{C7A83C95-166B-4924-B3F2-1FCFCAC5C026}" srcOrd="0" destOrd="0" presId="urn:microsoft.com/office/officeart/2005/8/layout/vList6"/>
    <dgm:cxn modelId="{7B0C653F-2940-42A8-B1F8-CC0A5765DC3D}" type="presOf" srcId="{53B5A429-4810-4ACE-890E-754D82ADA83D}" destId="{3703DB18-467A-48C2-8D8C-5DBF2509C074}" srcOrd="0" destOrd="0" presId="urn:microsoft.com/office/officeart/2005/8/layout/vList6"/>
    <dgm:cxn modelId="{0B585087-78DA-4AAA-A504-BF84C686168B}" srcId="{53B5A429-4810-4ACE-890E-754D82ADA83D}" destId="{228FFA44-A57F-4478-85CC-324A7140A678}" srcOrd="0" destOrd="0" parTransId="{3B183EED-D037-46E4-99FA-ABB25895A7C3}" sibTransId="{BCBEFDD1-FE91-4780-952E-CDF24AC3D6EC}"/>
    <dgm:cxn modelId="{D51BF9DE-5C6B-4D37-8F71-D639C02B3238}" type="presOf" srcId="{32461119-9236-46B5-ACB1-FDFC87AB0394}" destId="{8C9A36BD-38C7-45C3-890B-0711F6E98A29}" srcOrd="0" destOrd="0" presId="urn:microsoft.com/office/officeart/2005/8/layout/vList6"/>
    <dgm:cxn modelId="{2DBA23E7-C8FD-4255-9AF2-E910F0D0D07E}" type="presOf" srcId="{858F06D3-391E-408E-97D1-F149473694A8}" destId="{6FBEF206-4DA4-46E0-B74E-C3C3B8EA265E}" srcOrd="0" destOrd="0" presId="urn:microsoft.com/office/officeart/2005/8/layout/vList6"/>
    <dgm:cxn modelId="{30B55037-0A7E-44DC-BE92-8494B6C6505E}" srcId="{858F06D3-391E-408E-97D1-F149473694A8}" destId="{D9D0B251-E8AD-42D1-9F26-F0978AF7DB4D}" srcOrd="5" destOrd="0" parTransId="{309DA7F4-F139-4FA1-A088-8C459759963F}" sibTransId="{FD30BE06-4580-40C5-B51B-658575636A63}"/>
    <dgm:cxn modelId="{2ABF15D9-1B0A-4749-8367-3CC8B3BD05C0}" srcId="{858F06D3-391E-408E-97D1-F149473694A8}" destId="{1EA6B276-C1FD-4F3D-AD7C-2CE586A4BF18}" srcOrd="3" destOrd="0" parTransId="{1C4E1ACF-40B5-44D8-9E41-912D543644B6}" sibTransId="{43784857-8740-48A1-8B3F-B8230DC79F33}"/>
    <dgm:cxn modelId="{3CF0A6FD-9A45-4BF4-8273-ED1C1678D667}" type="presOf" srcId="{73293953-B90E-40FA-A176-FCD5362C47C6}" destId="{09EA7C18-945B-4CAD-BFA9-12CAD951FF63}" srcOrd="0" destOrd="0" presId="urn:microsoft.com/office/officeart/2005/8/layout/vList6"/>
    <dgm:cxn modelId="{ECFCC94E-7F03-48C0-86B2-49486558C3E9}" srcId="{69951634-8C95-4128-AF4F-C6570887A183}" destId="{360F53E4-C2BA-4D35-9DA4-DA667C375BDB}" srcOrd="1" destOrd="0" parTransId="{35C594B6-1CBB-4E7B-87D7-CE4D32C5DC0F}" sibTransId="{4C5903AF-3385-4C1C-8D4B-7BBDF1646CE3}"/>
    <dgm:cxn modelId="{71FD5D02-A707-41E2-A47E-AA5AABBDF0E9}" srcId="{858F06D3-391E-408E-97D1-F149473694A8}" destId="{32461119-9236-46B5-ACB1-FDFC87AB0394}" srcOrd="4" destOrd="0" parTransId="{70E3D38D-222C-4911-BD1F-262471A6292F}" sibTransId="{65E66D1C-19C2-463D-A7EB-DDCD9A8214A9}"/>
    <dgm:cxn modelId="{87656BD5-07A1-4CE1-A987-9C2557003C2A}" srcId="{1EA6B276-C1FD-4F3D-AD7C-2CE586A4BF18}" destId="{1A5B58B1-64A6-489C-BA74-7A2A807D98F2}" srcOrd="0" destOrd="0" parTransId="{3B708C78-7A05-4082-97EF-57CEC7049F68}" sibTransId="{F67A730E-FB86-4929-84B7-9F42E3CA7EB3}"/>
    <dgm:cxn modelId="{6176FE63-3A67-4BF7-AD96-254648EAF743}" type="presOf" srcId="{69951634-8C95-4128-AF4F-C6570887A183}" destId="{A63A35CC-BFEA-4E6E-9DAD-BD4B0E9E2BAA}" srcOrd="0" destOrd="0" presId="urn:microsoft.com/office/officeart/2005/8/layout/vList6"/>
    <dgm:cxn modelId="{0AD7ADAD-B0B6-4972-B2D3-F8C08B7662D3}" type="presOf" srcId="{360F53E4-C2BA-4D35-9DA4-DA667C375BDB}" destId="{09EA7C18-945B-4CAD-BFA9-12CAD951FF63}" srcOrd="0" destOrd="1" presId="urn:microsoft.com/office/officeart/2005/8/layout/vList6"/>
    <dgm:cxn modelId="{49608748-9DDD-454F-B9FB-4B9A75D3B7C2}" srcId="{D9D0B251-E8AD-42D1-9F26-F0978AF7DB4D}" destId="{7BCD398B-3738-48F7-BE49-964C2F78AAA4}" srcOrd="0" destOrd="0" parTransId="{C0F02E38-A058-4A7A-9133-E52095D80109}" sibTransId="{E7AB09D5-8A9D-4767-AE70-00640A6ED951}"/>
    <dgm:cxn modelId="{C042423E-9DD6-4CFB-A90F-AF14779FA5D8}" type="presOf" srcId="{1A5B58B1-64A6-489C-BA74-7A2A807D98F2}" destId="{57D98AD6-8BFD-4339-847E-A32CC21E6C1E}" srcOrd="0" destOrd="0" presId="urn:microsoft.com/office/officeart/2005/8/layout/vList6"/>
    <dgm:cxn modelId="{E0BD9133-0F07-4F1D-BFE9-238B52D773BD}" type="presOf" srcId="{2C409D82-FA65-4A4A-A5F1-3AB7B1B6C04F}" destId="{E7461D90-2B2A-4093-AB33-A71F1EA06848}" srcOrd="0" destOrd="1" presId="urn:microsoft.com/office/officeart/2005/8/layout/vList6"/>
    <dgm:cxn modelId="{456842C6-20C7-4498-928B-C3E785C8BE15}" srcId="{1EA6B276-C1FD-4F3D-AD7C-2CE586A4BF18}" destId="{BA4D2F5D-A044-46C6-AC64-B2F07BBA71FD}" srcOrd="1" destOrd="0" parTransId="{68AF1083-8583-486C-9BE9-99B6277DCB31}" sibTransId="{78CD21F8-2850-46D1-99CD-66866B9BE064}"/>
    <dgm:cxn modelId="{261D2EAB-199A-481D-B4D7-2984F5545278}" srcId="{32461119-9236-46B5-ACB1-FDFC87AB0394}" destId="{809D36ED-8B86-4102-8B60-F56D8FD9A3E7}" srcOrd="0" destOrd="0" parTransId="{AF8F7333-C8D2-4990-BC1B-0386878B09CA}" sibTransId="{E0749F55-BBA1-43F1-98DC-032B01959193}"/>
    <dgm:cxn modelId="{490C0DFA-CBB3-4A8F-9A54-B82C49ACA991}" type="presOf" srcId="{6096D331-4AB6-4D30-9099-09217FADC245}" destId="{BB2CFE3A-AC0B-43B2-8A1A-7EBD6A23F254}" srcOrd="0" destOrd="0" presId="urn:microsoft.com/office/officeart/2005/8/layout/vList6"/>
    <dgm:cxn modelId="{68128677-0C71-4EAF-ADFC-E12F0B71A05C}" type="presOf" srcId="{548B9667-ED78-423E-AAEF-C52D9104E817}" destId="{8C5AACFF-A754-4B63-B348-8B55F11BDEF7}" srcOrd="0" destOrd="1" presId="urn:microsoft.com/office/officeart/2005/8/layout/vList6"/>
    <dgm:cxn modelId="{4F20512E-4367-4274-A7F6-9D1104A75A53}" srcId="{D9D0B251-E8AD-42D1-9F26-F0978AF7DB4D}" destId="{548B9667-ED78-423E-AAEF-C52D9104E817}" srcOrd="1" destOrd="0" parTransId="{7A9792F0-9F1C-4FFF-A4F5-43999D610EC7}" sibTransId="{749E7C3E-9CF9-4BF4-9AB7-731635CBF765}"/>
    <dgm:cxn modelId="{6E116584-09AD-45D2-B73C-431A8ABC2B97}" type="presOf" srcId="{7BCD398B-3738-48F7-BE49-964C2F78AAA4}" destId="{8C5AACFF-A754-4B63-B348-8B55F11BDEF7}" srcOrd="0" destOrd="0" presId="urn:microsoft.com/office/officeart/2005/8/layout/vList6"/>
    <dgm:cxn modelId="{DEA2A37A-B083-44A5-BE62-15D33079DB7D}" type="presOf" srcId="{809D36ED-8B86-4102-8B60-F56D8FD9A3E7}" destId="{AAF307A3-1EE3-49DE-BB73-30B91F055179}" srcOrd="0" destOrd="0" presId="urn:microsoft.com/office/officeart/2005/8/layout/vList6"/>
    <dgm:cxn modelId="{02C1F9D9-9111-4072-B293-B2932D91A140}" srcId="{53B5A429-4810-4ACE-890E-754D82ADA83D}" destId="{2C409D82-FA65-4A4A-A5F1-3AB7B1B6C04F}" srcOrd="1" destOrd="0" parTransId="{CB240C2A-0097-49C3-AD9B-3A1E3B81702D}" sibTransId="{3E3EA0AA-4869-4711-861D-2320CB4188F4}"/>
    <dgm:cxn modelId="{A496E1DE-A2F9-4AE9-86D7-E0B9CA35D6F1}" srcId="{858F06D3-391E-408E-97D1-F149473694A8}" destId="{69951634-8C95-4128-AF4F-C6570887A183}" srcOrd="0" destOrd="0" parTransId="{7DB0632C-74B4-48FE-B2BF-0CA3A2D5443F}" sibTransId="{532AA648-91C2-4437-937B-C78D3991F153}"/>
    <dgm:cxn modelId="{AB8D2767-9F9B-40D3-9F9E-71CBF638D100}" srcId="{858F06D3-391E-408E-97D1-F149473694A8}" destId="{53B5A429-4810-4ACE-890E-754D82ADA83D}" srcOrd="1" destOrd="0" parTransId="{F1B850DC-A638-4342-BD4A-6B7E96E366EF}" sibTransId="{87C6207D-0FDC-45AE-9B72-F1A6AFE54709}"/>
    <dgm:cxn modelId="{4718C564-EFDE-48F8-8D69-D57DEB681FF5}" srcId="{B0D567EC-2C24-4AC9-AB91-DC98FA64631F}" destId="{6096D331-4AB6-4D30-9099-09217FADC245}" srcOrd="0" destOrd="0" parTransId="{7C7F1376-D79E-434E-8868-A20453FCF66B}" sibTransId="{6F6E1FAA-29F6-48EA-8BD8-1DF9E1E3BE2D}"/>
    <dgm:cxn modelId="{9B518DEA-9022-4A39-A37F-2C5091912F2D}" srcId="{858F06D3-391E-408E-97D1-F149473694A8}" destId="{B0D567EC-2C24-4AC9-AB91-DC98FA64631F}" srcOrd="2" destOrd="0" parTransId="{487E1494-D341-443B-8995-FDA277040678}" sibTransId="{6ECAB5EF-F252-4CAE-A945-DAEE9BEE5426}"/>
    <dgm:cxn modelId="{5E08B4BF-9E7C-4E97-8046-A1D629332193}" type="presOf" srcId="{D9D0B251-E8AD-42D1-9F26-F0978AF7DB4D}" destId="{6C3D6C76-5FD4-48D0-80B2-A4B7CE5A9D87}" srcOrd="0" destOrd="0" presId="urn:microsoft.com/office/officeart/2005/8/layout/vList6"/>
    <dgm:cxn modelId="{A65A2620-532A-479B-B076-C750FE4F3A61}" type="presOf" srcId="{B0D567EC-2C24-4AC9-AB91-DC98FA64631F}" destId="{7DF88011-3E7E-4B89-A720-6B6658E5BB03}" srcOrd="0" destOrd="0" presId="urn:microsoft.com/office/officeart/2005/8/layout/vList6"/>
    <dgm:cxn modelId="{1BDD9513-0F97-4416-A3A0-323427A6F61B}" type="presOf" srcId="{228FFA44-A57F-4478-85CC-324A7140A678}" destId="{E7461D90-2B2A-4093-AB33-A71F1EA06848}" srcOrd="0" destOrd="0" presId="urn:microsoft.com/office/officeart/2005/8/layout/vList6"/>
    <dgm:cxn modelId="{4A1095B5-F613-4DF4-B405-8BE7974498AC}" srcId="{69951634-8C95-4128-AF4F-C6570887A183}" destId="{73293953-B90E-40FA-A176-FCD5362C47C6}" srcOrd="0" destOrd="0" parTransId="{8D58CCF5-90A2-4E00-8AE2-4A4D994E4486}" sibTransId="{31CAC22A-3D60-4269-867B-6B5A3B118342}"/>
    <dgm:cxn modelId="{8C578C0B-D46E-4940-B5AE-1B750622354E}" type="presOf" srcId="{BA4D2F5D-A044-46C6-AC64-B2F07BBA71FD}" destId="{57D98AD6-8BFD-4339-847E-A32CC21E6C1E}" srcOrd="0" destOrd="1" presId="urn:microsoft.com/office/officeart/2005/8/layout/vList6"/>
    <dgm:cxn modelId="{8F8842A9-8ABD-45E3-A0FE-E01CE5CE3983}" type="presParOf" srcId="{6FBEF206-4DA4-46E0-B74E-C3C3B8EA265E}" destId="{F342A59B-6B98-4D8A-9F55-1BA1088A47F6}" srcOrd="0" destOrd="0" presId="urn:microsoft.com/office/officeart/2005/8/layout/vList6"/>
    <dgm:cxn modelId="{B8ED56C9-1550-41E4-AB99-18EEAAF42BAB}" type="presParOf" srcId="{F342A59B-6B98-4D8A-9F55-1BA1088A47F6}" destId="{A63A35CC-BFEA-4E6E-9DAD-BD4B0E9E2BAA}" srcOrd="0" destOrd="0" presId="urn:microsoft.com/office/officeart/2005/8/layout/vList6"/>
    <dgm:cxn modelId="{7955D858-C2B2-4343-B1E5-EA0AD7D97941}" type="presParOf" srcId="{F342A59B-6B98-4D8A-9F55-1BA1088A47F6}" destId="{09EA7C18-945B-4CAD-BFA9-12CAD951FF63}" srcOrd="1" destOrd="0" presId="urn:microsoft.com/office/officeart/2005/8/layout/vList6"/>
    <dgm:cxn modelId="{408B90A8-F4AF-46E7-A227-A391247FA72A}" type="presParOf" srcId="{6FBEF206-4DA4-46E0-B74E-C3C3B8EA265E}" destId="{53EBEDF6-EEEA-4458-BEFA-9D78F9553C01}" srcOrd="1" destOrd="0" presId="urn:microsoft.com/office/officeart/2005/8/layout/vList6"/>
    <dgm:cxn modelId="{350BB670-C363-4BDF-B54A-310352C16877}" type="presParOf" srcId="{6FBEF206-4DA4-46E0-B74E-C3C3B8EA265E}" destId="{CE03A798-004C-48FD-A18F-44465FA8B40C}" srcOrd="2" destOrd="0" presId="urn:microsoft.com/office/officeart/2005/8/layout/vList6"/>
    <dgm:cxn modelId="{F8CA5FCF-A087-490C-AF05-92092FE4DAA4}" type="presParOf" srcId="{CE03A798-004C-48FD-A18F-44465FA8B40C}" destId="{3703DB18-467A-48C2-8D8C-5DBF2509C074}" srcOrd="0" destOrd="0" presId="urn:microsoft.com/office/officeart/2005/8/layout/vList6"/>
    <dgm:cxn modelId="{4C4CFA38-1168-4B08-AB55-B118F53261DA}" type="presParOf" srcId="{CE03A798-004C-48FD-A18F-44465FA8B40C}" destId="{E7461D90-2B2A-4093-AB33-A71F1EA06848}" srcOrd="1" destOrd="0" presId="urn:microsoft.com/office/officeart/2005/8/layout/vList6"/>
    <dgm:cxn modelId="{1AFA2CA6-D776-482B-A7AB-ABD30437E692}" type="presParOf" srcId="{6FBEF206-4DA4-46E0-B74E-C3C3B8EA265E}" destId="{939C386A-E474-40B4-884E-727705A18520}" srcOrd="3" destOrd="0" presId="urn:microsoft.com/office/officeart/2005/8/layout/vList6"/>
    <dgm:cxn modelId="{A30A1512-A8F5-4461-827E-084C590C5ABD}" type="presParOf" srcId="{6FBEF206-4DA4-46E0-B74E-C3C3B8EA265E}" destId="{9D1CB3C7-61F4-4F55-8706-743CC0AFE80E}" srcOrd="4" destOrd="0" presId="urn:microsoft.com/office/officeart/2005/8/layout/vList6"/>
    <dgm:cxn modelId="{DD2D7D80-8CF3-450A-A6D9-809B637618DC}" type="presParOf" srcId="{9D1CB3C7-61F4-4F55-8706-743CC0AFE80E}" destId="{7DF88011-3E7E-4B89-A720-6B6658E5BB03}" srcOrd="0" destOrd="0" presId="urn:microsoft.com/office/officeart/2005/8/layout/vList6"/>
    <dgm:cxn modelId="{3F301A4E-E7CE-4C4D-B53C-DCB0DD5EFC68}" type="presParOf" srcId="{9D1CB3C7-61F4-4F55-8706-743CC0AFE80E}" destId="{BB2CFE3A-AC0B-43B2-8A1A-7EBD6A23F254}" srcOrd="1" destOrd="0" presId="urn:microsoft.com/office/officeart/2005/8/layout/vList6"/>
    <dgm:cxn modelId="{C618A5CD-4A38-4FB3-806B-2C550B1A2243}" type="presParOf" srcId="{6FBEF206-4DA4-46E0-B74E-C3C3B8EA265E}" destId="{905E8CD0-971F-4BD9-A61C-E6FD80641FF8}" srcOrd="5" destOrd="0" presId="urn:microsoft.com/office/officeart/2005/8/layout/vList6"/>
    <dgm:cxn modelId="{B9B524EF-8957-415D-BEB2-5EB861A78F3D}" type="presParOf" srcId="{6FBEF206-4DA4-46E0-B74E-C3C3B8EA265E}" destId="{6BAFD717-7705-4756-B8B1-C761AAA1901B}" srcOrd="6" destOrd="0" presId="urn:microsoft.com/office/officeart/2005/8/layout/vList6"/>
    <dgm:cxn modelId="{11C3367C-5C3B-410E-BC6E-7602EACE397F}" type="presParOf" srcId="{6BAFD717-7705-4756-B8B1-C761AAA1901B}" destId="{C7A83C95-166B-4924-B3F2-1FCFCAC5C026}" srcOrd="0" destOrd="0" presId="urn:microsoft.com/office/officeart/2005/8/layout/vList6"/>
    <dgm:cxn modelId="{47D00688-F0D6-4C76-A031-BA41E72360E1}" type="presParOf" srcId="{6BAFD717-7705-4756-B8B1-C761AAA1901B}" destId="{57D98AD6-8BFD-4339-847E-A32CC21E6C1E}" srcOrd="1" destOrd="0" presId="urn:microsoft.com/office/officeart/2005/8/layout/vList6"/>
    <dgm:cxn modelId="{9D121E60-5CAB-4541-AEB1-3562E35A6008}" type="presParOf" srcId="{6FBEF206-4DA4-46E0-B74E-C3C3B8EA265E}" destId="{0E3686A5-5E91-400C-8F60-566712C13432}" srcOrd="7" destOrd="0" presId="urn:microsoft.com/office/officeart/2005/8/layout/vList6"/>
    <dgm:cxn modelId="{3C9B883C-AB7B-490F-A6D6-1E35420858E2}" type="presParOf" srcId="{6FBEF206-4DA4-46E0-B74E-C3C3B8EA265E}" destId="{94368B2C-F13B-4D89-850C-978687370E06}" srcOrd="8" destOrd="0" presId="urn:microsoft.com/office/officeart/2005/8/layout/vList6"/>
    <dgm:cxn modelId="{008D880B-8B5A-48DD-A42E-BAA17F5F8DAC}" type="presParOf" srcId="{94368B2C-F13B-4D89-850C-978687370E06}" destId="{8C9A36BD-38C7-45C3-890B-0711F6E98A29}" srcOrd="0" destOrd="0" presId="urn:microsoft.com/office/officeart/2005/8/layout/vList6"/>
    <dgm:cxn modelId="{1655C834-3589-46C2-A51A-FE46BF3B34D2}" type="presParOf" srcId="{94368B2C-F13B-4D89-850C-978687370E06}" destId="{AAF307A3-1EE3-49DE-BB73-30B91F055179}" srcOrd="1" destOrd="0" presId="urn:microsoft.com/office/officeart/2005/8/layout/vList6"/>
    <dgm:cxn modelId="{0501CFDE-290B-4B5A-A806-DD5A00B80BB2}" type="presParOf" srcId="{6FBEF206-4DA4-46E0-B74E-C3C3B8EA265E}" destId="{6EBBB31F-D823-4EE9-AA7B-2EC0EA9A3D0F}" srcOrd="9" destOrd="0" presId="urn:microsoft.com/office/officeart/2005/8/layout/vList6"/>
    <dgm:cxn modelId="{7A3B14D5-9B2D-476D-A621-5EAE0C0F77AC}" type="presParOf" srcId="{6FBEF206-4DA4-46E0-B74E-C3C3B8EA265E}" destId="{CDE4E744-E468-45CA-B69F-D855384593F8}" srcOrd="10" destOrd="0" presId="urn:microsoft.com/office/officeart/2005/8/layout/vList6"/>
    <dgm:cxn modelId="{3B313F7F-DE1C-4458-895E-F7CF5CD06CE6}" type="presParOf" srcId="{CDE4E744-E468-45CA-B69F-D855384593F8}" destId="{6C3D6C76-5FD4-48D0-80B2-A4B7CE5A9D87}" srcOrd="0" destOrd="0" presId="urn:microsoft.com/office/officeart/2005/8/layout/vList6"/>
    <dgm:cxn modelId="{22679097-717E-4DF5-A211-0CEF64EFA7EE}" type="presParOf" srcId="{CDE4E744-E468-45CA-B69F-D855384593F8}" destId="{8C5AACFF-A754-4B63-B348-8B55F11BDEF7}" srcOrd="1" destOrd="0" presId="urn:microsoft.com/office/officeart/2005/8/layout/vList6"/>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8F52AC-3BAE-4CA5-BC67-FB35D8C149E5}">
      <dsp:nvSpPr>
        <dsp:cNvPr id="0" name=""/>
        <dsp:cNvSpPr/>
      </dsp:nvSpPr>
      <dsp:spPr>
        <a:xfrm>
          <a:off x="0" y="1723478"/>
          <a:ext cx="5486400" cy="895112"/>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ru-RU" sz="1050" b="0" kern="1200">
              <a:latin typeface="Times New Roman" panose="02020603050405020304" pitchFamily="18" charset="0"/>
              <a:cs typeface="Times New Roman" panose="02020603050405020304" pitchFamily="18" charset="0"/>
            </a:rPr>
            <a:t>Геостратегический уровень –  проекция ценностей во внешний мир</a:t>
          </a:r>
        </a:p>
      </dsp:txBody>
      <dsp:txXfrm>
        <a:off x="0" y="1723478"/>
        <a:ext cx="5486400" cy="483360"/>
      </dsp:txXfrm>
    </dsp:sp>
    <dsp:sp modelId="{13320CBC-FA7A-44B7-AA7C-1B8514218C18}">
      <dsp:nvSpPr>
        <dsp:cNvPr id="0" name=""/>
        <dsp:cNvSpPr/>
      </dsp:nvSpPr>
      <dsp:spPr>
        <a:xfrm>
          <a:off x="0" y="2129076"/>
          <a:ext cx="5486400" cy="411751"/>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ru-RU" sz="1050" i="1" kern="1200">
              <a:latin typeface="Times New Roman" panose="02020603050405020304" pitchFamily="18" charset="0"/>
              <a:cs typeface="Times New Roman" panose="02020603050405020304" pitchFamily="18" charset="0"/>
            </a:rPr>
            <a:t>Права человека как способ внешней идентификации ЕС в международных отношениях</a:t>
          </a:r>
        </a:p>
      </dsp:txBody>
      <dsp:txXfrm>
        <a:off x="0" y="2129076"/>
        <a:ext cx="5486400" cy="411751"/>
      </dsp:txXfrm>
    </dsp:sp>
    <dsp:sp modelId="{C203B96C-749C-4D77-B3FA-1E0453D28528}">
      <dsp:nvSpPr>
        <dsp:cNvPr id="0" name=""/>
        <dsp:cNvSpPr/>
      </dsp:nvSpPr>
      <dsp:spPr>
        <a:xfrm rot="10800000">
          <a:off x="0" y="883664"/>
          <a:ext cx="5486400" cy="853240"/>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ru-RU" sz="1050" b="0" kern="1200">
              <a:latin typeface="Times New Roman" panose="02020603050405020304" pitchFamily="18" charset="0"/>
              <a:cs typeface="Times New Roman" panose="02020603050405020304" pitchFamily="18" charset="0"/>
            </a:rPr>
            <a:t>Институционно-операционный уровень – механизмы воспроизводства</a:t>
          </a:r>
        </a:p>
      </dsp:txBody>
      <dsp:txXfrm rot="-10800000">
        <a:off x="0" y="883664"/>
        <a:ext cx="5486400" cy="299487"/>
      </dsp:txXfrm>
    </dsp:sp>
    <dsp:sp modelId="{76EFE7D4-BA17-43E8-8DD3-A69DD0C7F175}">
      <dsp:nvSpPr>
        <dsp:cNvPr id="0" name=""/>
        <dsp:cNvSpPr/>
      </dsp:nvSpPr>
      <dsp:spPr>
        <a:xfrm>
          <a:off x="0" y="1105159"/>
          <a:ext cx="5486400" cy="411627"/>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ru-RU" sz="1050" i="1" kern="1200">
              <a:latin typeface="Times New Roman" panose="02020603050405020304" pitchFamily="18" charset="0"/>
              <a:cs typeface="Times New Roman" panose="02020603050405020304" pitchFamily="18" charset="0"/>
            </a:rPr>
            <a:t>Европейский суд, Европейский парламент, агентства по правам человека, Специальный представитель ЕС по правам человека.</a:t>
          </a:r>
        </a:p>
      </dsp:txBody>
      <dsp:txXfrm>
        <a:off x="0" y="1105159"/>
        <a:ext cx="5486400" cy="411627"/>
      </dsp:txXfrm>
    </dsp:sp>
    <dsp:sp modelId="{918CF2A2-28AC-4B89-A525-BE3E5900DAE1}">
      <dsp:nvSpPr>
        <dsp:cNvPr id="0" name=""/>
        <dsp:cNvSpPr/>
      </dsp:nvSpPr>
      <dsp:spPr>
        <a:xfrm rot="10800000">
          <a:off x="0" y="0"/>
          <a:ext cx="5486400" cy="896839"/>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ru-RU" sz="1050" b="0" i="0" kern="1200">
              <a:latin typeface="Times New Roman" panose="02020603050405020304" pitchFamily="18" charset="0"/>
              <a:cs typeface="Times New Roman" panose="02020603050405020304" pitchFamily="18" charset="0"/>
            </a:rPr>
            <a:t>Ценностно-нормативный уровень – ядро идентичности</a:t>
          </a:r>
        </a:p>
      </dsp:txBody>
      <dsp:txXfrm rot="-10800000">
        <a:off x="0" y="0"/>
        <a:ext cx="5486400" cy="314790"/>
      </dsp:txXfrm>
    </dsp:sp>
    <dsp:sp modelId="{84694244-8F4C-4C3C-81C9-02D42F845E9E}">
      <dsp:nvSpPr>
        <dsp:cNvPr id="0" name=""/>
        <dsp:cNvSpPr/>
      </dsp:nvSpPr>
      <dsp:spPr>
        <a:xfrm>
          <a:off x="0" y="243545"/>
          <a:ext cx="5486400" cy="411627"/>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ru-RU" sz="1050" i="1" kern="1200">
              <a:latin typeface="Times New Roman" panose="02020603050405020304" pitchFamily="18" charset="0"/>
              <a:cs typeface="Times New Roman" panose="02020603050405020304" pitchFamily="18" charset="0"/>
            </a:rPr>
            <a:t>Права человека, достоинство, демократия, равенство, солидарность не как риторические формулы, а как онтологические основы существования ЕС.</a:t>
          </a:r>
        </a:p>
      </dsp:txBody>
      <dsp:txXfrm>
        <a:off x="0" y="243545"/>
        <a:ext cx="5486400" cy="41162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0D924A-FB3B-4F7E-8AA5-5CBB4A56D119}">
      <dsp:nvSpPr>
        <dsp:cNvPr id="0" name=""/>
        <dsp:cNvSpPr/>
      </dsp:nvSpPr>
      <dsp:spPr>
        <a:xfrm rot="5400000">
          <a:off x="3245234" y="-1613176"/>
          <a:ext cx="1241106" cy="4470169"/>
        </a:xfrm>
        <a:prstGeom prst="round2SameRect">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ru-RU" sz="1100" kern="1200">
              <a:solidFill>
                <a:sysClr val="windowText" lastClr="000000"/>
              </a:solidFill>
              <a:latin typeface="Times New Roman" panose="02020603050405020304" pitchFamily="18" charset="0"/>
              <a:cs typeface="Times New Roman" panose="02020603050405020304" pitchFamily="18" charset="0"/>
            </a:rPr>
            <a:t>Статья 2 </a:t>
          </a:r>
          <a:r>
            <a:rPr lang="ru-RU" sz="1100" kern="1200"/>
            <a:t>–</a:t>
          </a:r>
          <a:r>
            <a:rPr lang="ru-RU" sz="1100" kern="1200">
              <a:solidFill>
                <a:sysClr val="windowText" lastClr="000000"/>
              </a:solidFill>
              <a:latin typeface="Times New Roman" panose="02020603050405020304" pitchFamily="18" charset="0"/>
              <a:cs typeface="Times New Roman" panose="02020603050405020304" pitchFamily="18" charset="0"/>
            </a:rPr>
            <a:t> Право на жизнь: Гарантирует защиту жизни законом; имеет значение для регулирования применения силы государством.</a:t>
          </a:r>
        </a:p>
        <a:p>
          <a:pPr marL="57150" lvl="1" indent="-57150" algn="just" defTabSz="488950">
            <a:lnSpc>
              <a:spcPct val="90000"/>
            </a:lnSpc>
            <a:spcBef>
              <a:spcPct val="0"/>
            </a:spcBef>
            <a:spcAft>
              <a:spcPct val="15000"/>
            </a:spcAft>
            <a:buChar char="••"/>
          </a:pPr>
          <a:r>
            <a:rPr lang="ru-RU" sz="1100" kern="1200">
              <a:solidFill>
                <a:sysClr val="windowText" lastClr="000000"/>
              </a:solidFill>
              <a:latin typeface="Times New Roman" panose="02020603050405020304" pitchFamily="18" charset="0"/>
              <a:cs typeface="Times New Roman" panose="02020603050405020304" pitchFamily="18" charset="0"/>
            </a:rPr>
            <a:t>Статья 3 </a:t>
          </a:r>
          <a:r>
            <a:rPr lang="ru-RU" sz="1100" kern="1200"/>
            <a:t>–</a:t>
          </a:r>
          <a:r>
            <a:rPr lang="ru-RU" sz="1100" kern="1200">
              <a:solidFill>
                <a:sysClr val="windowText" lastClr="000000"/>
              </a:solidFill>
              <a:latin typeface="Times New Roman" panose="02020603050405020304" pitchFamily="18" charset="0"/>
              <a:cs typeface="Times New Roman" panose="02020603050405020304" pitchFamily="18" charset="0"/>
            </a:rPr>
            <a:t> Запрет пыток: Абсолютный запрет пыток, бесчеловечного и унижающего достоинство обращения; не допускает отступлений даже в условиях чрезвычайного положения.</a:t>
          </a:r>
        </a:p>
      </dsp:txBody>
      <dsp:txXfrm rot="-5400000">
        <a:off x="1630703" y="61941"/>
        <a:ext cx="4409583" cy="1119934"/>
      </dsp:txXfrm>
    </dsp:sp>
    <dsp:sp modelId="{A5140EEF-5C21-4757-8731-F2A816602A2E}">
      <dsp:nvSpPr>
        <dsp:cNvPr id="0" name=""/>
        <dsp:cNvSpPr/>
      </dsp:nvSpPr>
      <dsp:spPr>
        <a:xfrm>
          <a:off x="0" y="446419"/>
          <a:ext cx="1578262" cy="823410"/>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0" i="1" kern="1200">
              <a:solidFill>
                <a:sysClr val="windowText" lastClr="000000"/>
              </a:solidFill>
              <a:latin typeface="Times New Roman" panose="02020603050405020304" pitchFamily="18" charset="0"/>
              <a:cs typeface="Times New Roman" panose="02020603050405020304" pitchFamily="18" charset="0"/>
            </a:rPr>
            <a:t>1. Базовые права человека</a:t>
          </a:r>
        </a:p>
      </dsp:txBody>
      <dsp:txXfrm>
        <a:off x="40196" y="486615"/>
        <a:ext cx="1497870" cy="743018"/>
      </dsp:txXfrm>
    </dsp:sp>
    <dsp:sp modelId="{6A0C51C2-AB1A-4B3A-883D-C927D0958670}">
      <dsp:nvSpPr>
        <dsp:cNvPr id="0" name=""/>
        <dsp:cNvSpPr/>
      </dsp:nvSpPr>
      <dsp:spPr>
        <a:xfrm rot="5400000">
          <a:off x="3302206" y="-367313"/>
          <a:ext cx="1098554" cy="4472061"/>
        </a:xfrm>
        <a:prstGeom prst="round2SameRect">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ru-RU" sz="1100" kern="1200">
              <a:solidFill>
                <a:sysClr val="windowText" lastClr="000000"/>
              </a:solidFill>
              <a:latin typeface="Times New Roman" panose="02020603050405020304" pitchFamily="18" charset="0"/>
              <a:cs typeface="Times New Roman" panose="02020603050405020304" pitchFamily="18" charset="0"/>
            </a:rPr>
            <a:t>Статья 5 </a:t>
          </a:r>
          <a:r>
            <a:rPr lang="ru-RU" sz="1100" kern="1200"/>
            <a:t>–</a:t>
          </a:r>
          <a:r>
            <a:rPr lang="ru-RU" sz="1100" kern="1200">
              <a:solidFill>
                <a:sysClr val="windowText" lastClr="000000"/>
              </a:solidFill>
              <a:latin typeface="Times New Roman" panose="02020603050405020304" pitchFamily="18" charset="0"/>
              <a:cs typeface="Times New Roman" panose="02020603050405020304" pitchFamily="18" charset="0"/>
            </a:rPr>
            <a:t> Свобода и личная неприкосновенность: Устанавливает допустимые основания для задержания и ареста, закрепляет право на судебный контроль.</a:t>
          </a:r>
          <a:endParaRPr lang="uk-UA" sz="11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88950">
            <a:lnSpc>
              <a:spcPct val="90000"/>
            </a:lnSpc>
            <a:spcBef>
              <a:spcPct val="0"/>
            </a:spcBef>
            <a:spcAft>
              <a:spcPct val="15000"/>
            </a:spcAft>
            <a:buChar char="••"/>
          </a:pPr>
          <a:r>
            <a:rPr lang="ru-RU" sz="1100" kern="1200">
              <a:solidFill>
                <a:sysClr val="windowText" lastClr="000000"/>
              </a:solidFill>
              <a:latin typeface="Times New Roman" panose="02020603050405020304" pitchFamily="18" charset="0"/>
              <a:cs typeface="Times New Roman" panose="02020603050405020304" pitchFamily="18" charset="0"/>
            </a:rPr>
            <a:t>Статья 6 </a:t>
          </a:r>
          <a:r>
            <a:rPr lang="ru-RU" sz="1100" kern="1200"/>
            <a:t>–</a:t>
          </a:r>
          <a:r>
            <a:rPr lang="ru-RU" sz="1100" kern="1200">
              <a:solidFill>
                <a:sysClr val="windowText" lastClr="000000"/>
              </a:solidFill>
              <a:latin typeface="Times New Roman" panose="02020603050405020304" pitchFamily="18" charset="0"/>
              <a:cs typeface="Times New Roman" panose="02020603050405020304" pitchFamily="18" charset="0"/>
            </a:rPr>
            <a:t> Право на справедливый суд: Охватывает принципы независимости суда, презумпции невиновности, права на защиту и гласность процесса</a:t>
          </a:r>
          <a:endParaRPr lang="uk-UA" sz="11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615453" y="1373067"/>
        <a:ext cx="4418434" cy="991300"/>
      </dsp:txXfrm>
    </dsp:sp>
    <dsp:sp modelId="{2EB62AD0-FB31-46DA-8531-4795B4C41A1F}">
      <dsp:nvSpPr>
        <dsp:cNvPr id="0" name=""/>
        <dsp:cNvSpPr/>
      </dsp:nvSpPr>
      <dsp:spPr>
        <a:xfrm>
          <a:off x="44834" y="1389547"/>
          <a:ext cx="1563013" cy="958339"/>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0" i="1" kern="1200">
              <a:solidFill>
                <a:sysClr val="windowText" lastClr="000000"/>
              </a:solidFill>
              <a:latin typeface="Times New Roman" panose="02020603050405020304" pitchFamily="18" charset="0"/>
              <a:cs typeface="Times New Roman" panose="02020603050405020304" pitchFamily="18" charset="0"/>
            </a:rPr>
            <a:t>2. Процедурные гарантии</a:t>
          </a:r>
        </a:p>
      </dsp:txBody>
      <dsp:txXfrm>
        <a:off x="91616" y="1436329"/>
        <a:ext cx="1469449" cy="864775"/>
      </dsp:txXfrm>
    </dsp:sp>
    <dsp:sp modelId="{27831E10-990C-4FED-9807-7C5524110992}">
      <dsp:nvSpPr>
        <dsp:cNvPr id="0" name=""/>
        <dsp:cNvSpPr/>
      </dsp:nvSpPr>
      <dsp:spPr>
        <a:xfrm rot="5400000">
          <a:off x="3125317" y="998496"/>
          <a:ext cx="1480960" cy="4473913"/>
        </a:xfrm>
        <a:prstGeom prst="round2SameRect">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ru-RU" sz="1100" kern="1200">
              <a:solidFill>
                <a:sysClr val="windowText" lastClr="000000"/>
              </a:solidFill>
              <a:latin typeface="Times New Roman" panose="02020603050405020304" pitchFamily="18" charset="0"/>
              <a:cs typeface="Times New Roman" panose="02020603050405020304" pitchFamily="18" charset="0"/>
            </a:rPr>
            <a:t>Статья 8 </a:t>
          </a:r>
          <a:r>
            <a:rPr lang="ru-RU" sz="1100" kern="1200"/>
            <a:t>–</a:t>
          </a:r>
          <a:r>
            <a:rPr lang="ru-RU" sz="1100" kern="1200">
              <a:solidFill>
                <a:sysClr val="windowText" lastClr="000000"/>
              </a:solidFill>
              <a:latin typeface="Times New Roman" panose="02020603050405020304" pitchFamily="18" charset="0"/>
              <a:cs typeface="Times New Roman" panose="02020603050405020304" pitchFamily="18" charset="0"/>
            </a:rPr>
            <a:t> Право на уважение частной и семейной жизни: Обеспечивает защиту личной сферы, корреспонденции, жилища; применяется в цифровом контексте</a:t>
          </a:r>
          <a:endParaRPr lang="uk-UA" sz="110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88950">
            <a:lnSpc>
              <a:spcPct val="90000"/>
            </a:lnSpc>
            <a:spcBef>
              <a:spcPct val="0"/>
            </a:spcBef>
            <a:spcAft>
              <a:spcPct val="15000"/>
            </a:spcAft>
            <a:buChar char="••"/>
          </a:pPr>
          <a:r>
            <a:rPr lang="uk-UA" sz="1100" kern="1200">
              <a:solidFill>
                <a:sysClr val="windowText" lastClr="000000"/>
              </a:solidFill>
              <a:latin typeface="Times New Roman" panose="02020603050405020304" pitchFamily="18" charset="0"/>
              <a:cs typeface="Times New Roman" panose="02020603050405020304" pitchFamily="18" charset="0"/>
            </a:rPr>
            <a:t>Статья 10 </a:t>
          </a:r>
          <a:r>
            <a:rPr lang="ru-RU" sz="1100" kern="1200"/>
            <a:t>–</a:t>
          </a:r>
          <a:r>
            <a:rPr lang="uk-UA" sz="1100" kern="1200">
              <a:solidFill>
                <a:sysClr val="windowText" lastClr="000000"/>
              </a:solidFill>
              <a:latin typeface="Times New Roman" panose="02020603050405020304" pitchFamily="18" charset="0"/>
              <a:cs typeface="Times New Roman" panose="02020603050405020304" pitchFamily="18" charset="0"/>
            </a:rPr>
            <a:t> Свобода выражения мнений: Гарантирует свободу информации и мнений; допускает ограничения лишь в демократически обоснованных целях</a:t>
          </a:r>
        </a:p>
        <a:p>
          <a:pPr marL="57150" lvl="1" indent="-57150" algn="just" defTabSz="488950">
            <a:lnSpc>
              <a:spcPct val="90000"/>
            </a:lnSpc>
            <a:spcBef>
              <a:spcPct val="0"/>
            </a:spcBef>
            <a:spcAft>
              <a:spcPct val="15000"/>
            </a:spcAft>
            <a:buChar char="••"/>
          </a:pPr>
          <a:r>
            <a:rPr lang="ru-RU" sz="1100" kern="1200">
              <a:solidFill>
                <a:sysClr val="windowText" lastClr="000000"/>
              </a:solidFill>
              <a:latin typeface="Times New Roman" panose="02020603050405020304" pitchFamily="18" charset="0"/>
              <a:cs typeface="Times New Roman" panose="02020603050405020304" pitchFamily="18" charset="0"/>
            </a:rPr>
            <a:t>Статья 11 </a:t>
          </a:r>
          <a:r>
            <a:rPr lang="ru-RU" sz="1100" kern="1200"/>
            <a:t>–</a:t>
          </a:r>
          <a:r>
            <a:rPr lang="ru-RU" sz="1100" kern="1200">
              <a:solidFill>
                <a:sysClr val="windowText" lastClr="000000"/>
              </a:solidFill>
              <a:latin typeface="Times New Roman" panose="02020603050405020304" pitchFamily="18" charset="0"/>
              <a:cs typeface="Times New Roman" panose="02020603050405020304" pitchFamily="18" charset="0"/>
            </a:rPr>
            <a:t> Свобода собраний и ассоциаций: Закрепляет право на мирные собрания и создание организаций, включая профсоюзы</a:t>
          </a:r>
          <a:endParaRPr lang="uk-UA" sz="11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628841" y="2567268"/>
        <a:ext cx="4401618" cy="1336370"/>
      </dsp:txXfrm>
    </dsp:sp>
    <dsp:sp modelId="{11CD61F3-BD92-478E-B553-99B48F5903B5}">
      <dsp:nvSpPr>
        <dsp:cNvPr id="0" name=""/>
        <dsp:cNvSpPr/>
      </dsp:nvSpPr>
      <dsp:spPr>
        <a:xfrm>
          <a:off x="52440" y="2855478"/>
          <a:ext cx="1576400" cy="759949"/>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0" i="1" kern="1200">
              <a:solidFill>
                <a:sysClr val="windowText" lastClr="000000"/>
              </a:solidFill>
              <a:latin typeface="Times New Roman" panose="02020603050405020304" pitchFamily="18" charset="0"/>
              <a:cs typeface="Times New Roman" panose="02020603050405020304" pitchFamily="18" charset="0"/>
            </a:rPr>
            <a:t>3. Гражданские свободы</a:t>
          </a:r>
        </a:p>
      </dsp:txBody>
      <dsp:txXfrm>
        <a:off x="89538" y="2892576"/>
        <a:ext cx="1502204" cy="685753"/>
      </dsp:txXfrm>
    </dsp:sp>
    <dsp:sp modelId="{59478207-B03D-41A1-9D54-E200D68178CB}">
      <dsp:nvSpPr>
        <dsp:cNvPr id="0" name=""/>
        <dsp:cNvSpPr/>
      </dsp:nvSpPr>
      <dsp:spPr>
        <a:xfrm rot="5400000">
          <a:off x="3486821" y="2151066"/>
          <a:ext cx="715853" cy="4519543"/>
        </a:xfrm>
        <a:prstGeom prst="round2SameRect">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ru-RU" sz="1100" kern="1200">
              <a:solidFill>
                <a:sysClr val="windowText" lastClr="000000"/>
              </a:solidFill>
              <a:latin typeface="Times New Roman" panose="02020603050405020304" pitchFamily="18" charset="0"/>
              <a:cs typeface="Times New Roman" panose="02020603050405020304" pitchFamily="18" charset="0"/>
            </a:rPr>
            <a:t>Статья 14 </a:t>
          </a:r>
          <a:r>
            <a:rPr lang="ru-RU" sz="1100" kern="1200"/>
            <a:t>–</a:t>
          </a:r>
          <a:r>
            <a:rPr lang="ru-RU" sz="1100" kern="1200">
              <a:solidFill>
                <a:sysClr val="windowText" lastClr="000000"/>
              </a:solidFill>
              <a:latin typeface="Times New Roman" panose="02020603050405020304" pitchFamily="18" charset="0"/>
              <a:cs typeface="Times New Roman" panose="02020603050405020304" pitchFamily="18" charset="0"/>
            </a:rPr>
            <a:t> Запрет дискриминации: Обеспечивает равное осуществление всех прав Конвенции независимо от пола, расы, религии и других признаков.</a:t>
          </a:r>
          <a:endParaRPr lang="uk-UA" sz="11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584977" y="4087856"/>
        <a:ext cx="4484598" cy="645963"/>
      </dsp:txXfrm>
    </dsp:sp>
    <dsp:sp modelId="{4E1A24A3-1E85-40F9-8291-42EC4D650864}">
      <dsp:nvSpPr>
        <dsp:cNvPr id="0" name=""/>
        <dsp:cNvSpPr/>
      </dsp:nvSpPr>
      <dsp:spPr>
        <a:xfrm>
          <a:off x="52440" y="4069869"/>
          <a:ext cx="1532536" cy="681939"/>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uk-UA" sz="1100" b="0" i="1" kern="1200">
              <a:solidFill>
                <a:sysClr val="windowText" lastClr="000000"/>
              </a:solidFill>
              <a:latin typeface="Times New Roman" panose="02020603050405020304" pitchFamily="18" charset="0"/>
              <a:cs typeface="Times New Roman" panose="02020603050405020304" pitchFamily="18" charset="0"/>
            </a:rPr>
            <a:t>4. Принцип равенства</a:t>
          </a:r>
        </a:p>
      </dsp:txBody>
      <dsp:txXfrm>
        <a:off x="85730" y="4103159"/>
        <a:ext cx="1465956" cy="61535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C5D5F3-041E-452C-8BD3-05BB79AEE7D9}">
      <dsp:nvSpPr>
        <dsp:cNvPr id="0" name=""/>
        <dsp:cNvSpPr/>
      </dsp:nvSpPr>
      <dsp:spPr>
        <a:xfrm>
          <a:off x="8" y="0"/>
          <a:ext cx="1441251" cy="9207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отсутствие системного мониторинга применения Хартии в национальных правопорядках</a:t>
          </a:r>
        </a:p>
      </dsp:txBody>
      <dsp:txXfrm>
        <a:off x="26976" y="26968"/>
        <a:ext cx="1387315" cy="866814"/>
      </dsp:txXfrm>
    </dsp:sp>
    <dsp:sp modelId="{56D1539E-4712-4DC6-912E-E139A981C33B}">
      <dsp:nvSpPr>
        <dsp:cNvPr id="0" name=""/>
        <dsp:cNvSpPr/>
      </dsp:nvSpPr>
      <dsp:spPr>
        <a:xfrm>
          <a:off x="1586588" y="281659"/>
          <a:ext cx="308096" cy="35743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1586588" y="353145"/>
        <a:ext cx="215667" cy="214458"/>
      </dsp:txXfrm>
    </dsp:sp>
    <dsp:sp modelId="{EA0EA56C-0139-403E-B6F7-0C1A1AAAC203}">
      <dsp:nvSpPr>
        <dsp:cNvPr id="0" name=""/>
        <dsp:cNvSpPr/>
      </dsp:nvSpPr>
      <dsp:spPr>
        <a:xfrm>
          <a:off x="2022574" y="0"/>
          <a:ext cx="1441251" cy="9207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недостаток образовательных программ по её внедрению в судебную и административную практику</a:t>
          </a:r>
          <a:endParaRPr lang="uk-UA" sz="1000" kern="1200">
            <a:latin typeface="Times New Roman" panose="02020603050405020304" pitchFamily="18" charset="0"/>
            <a:cs typeface="Times New Roman" panose="02020603050405020304" pitchFamily="18" charset="0"/>
          </a:endParaRPr>
        </a:p>
      </dsp:txBody>
      <dsp:txXfrm>
        <a:off x="2049542" y="26968"/>
        <a:ext cx="1387315" cy="866814"/>
      </dsp:txXfrm>
    </dsp:sp>
    <dsp:sp modelId="{E33E2249-13B9-422D-BCBE-A2596ED3F7EA}">
      <dsp:nvSpPr>
        <dsp:cNvPr id="0" name=""/>
        <dsp:cNvSpPr/>
      </dsp:nvSpPr>
      <dsp:spPr>
        <a:xfrm>
          <a:off x="3607950" y="281659"/>
          <a:ext cx="305545" cy="35743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uk-UA" sz="800" kern="1200"/>
        </a:p>
      </dsp:txBody>
      <dsp:txXfrm>
        <a:off x="3607950" y="353145"/>
        <a:ext cx="213882" cy="214458"/>
      </dsp:txXfrm>
    </dsp:sp>
    <dsp:sp modelId="{70B0A8A5-DFC9-48E7-A0FC-CDE88BEE642B}">
      <dsp:nvSpPr>
        <dsp:cNvPr id="0" name=""/>
        <dsp:cNvSpPr/>
      </dsp:nvSpPr>
      <dsp:spPr>
        <a:xfrm>
          <a:off x="4040326" y="0"/>
          <a:ext cx="1441251" cy="92075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ограниченное внимание к Хартии в национальных стратегиях по правам человека</a:t>
          </a:r>
        </a:p>
      </dsp:txBody>
      <dsp:txXfrm>
        <a:off x="4067294" y="26968"/>
        <a:ext cx="1387315" cy="86681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71D1A-20E1-4B26-B21E-4A4A9BBC0448}">
      <dsp:nvSpPr>
        <dsp:cNvPr id="0" name=""/>
        <dsp:cNvSpPr/>
      </dsp:nvSpPr>
      <dsp:spPr>
        <a:xfrm>
          <a:off x="1586768" y="549010"/>
          <a:ext cx="333188" cy="91440"/>
        </a:xfrm>
        <a:custGeom>
          <a:avLst/>
          <a:gdLst/>
          <a:ahLst/>
          <a:cxnLst/>
          <a:rect l="0" t="0" r="0" b="0"/>
          <a:pathLst>
            <a:path>
              <a:moveTo>
                <a:pt x="0" y="45720"/>
              </a:moveTo>
              <a:lnTo>
                <a:pt x="333188"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latin typeface="Times New Roman" panose="02020603050405020304" pitchFamily="18" charset="0"/>
            <a:cs typeface="Times New Roman" panose="02020603050405020304" pitchFamily="18" charset="0"/>
          </a:endParaRPr>
        </a:p>
      </dsp:txBody>
      <dsp:txXfrm>
        <a:off x="1744267" y="592910"/>
        <a:ext cx="18189" cy="3641"/>
      </dsp:txXfrm>
    </dsp:sp>
    <dsp:sp modelId="{6E3CF335-5B4E-4CD1-A463-A9D439DC74AA}">
      <dsp:nvSpPr>
        <dsp:cNvPr id="0" name=""/>
        <dsp:cNvSpPr/>
      </dsp:nvSpPr>
      <dsp:spPr>
        <a:xfrm>
          <a:off x="6880" y="120224"/>
          <a:ext cx="1581687" cy="9490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внедрение механизмов оценки влияния Хартии на национальное законодательство</a:t>
          </a:r>
        </a:p>
      </dsp:txBody>
      <dsp:txXfrm>
        <a:off x="6880" y="120224"/>
        <a:ext cx="1581687" cy="949012"/>
      </dsp:txXfrm>
    </dsp:sp>
    <dsp:sp modelId="{FD7491DD-5ACC-4A5A-BF18-6E32120DC05E}">
      <dsp:nvSpPr>
        <dsp:cNvPr id="0" name=""/>
        <dsp:cNvSpPr/>
      </dsp:nvSpPr>
      <dsp:spPr>
        <a:xfrm>
          <a:off x="3532243" y="549010"/>
          <a:ext cx="333188" cy="91440"/>
        </a:xfrm>
        <a:custGeom>
          <a:avLst/>
          <a:gdLst/>
          <a:ahLst/>
          <a:cxnLst/>
          <a:rect l="0" t="0" r="0" b="0"/>
          <a:pathLst>
            <a:path>
              <a:moveTo>
                <a:pt x="0" y="45720"/>
              </a:moveTo>
              <a:lnTo>
                <a:pt x="333188"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latin typeface="Times New Roman" panose="02020603050405020304" pitchFamily="18" charset="0"/>
            <a:cs typeface="Times New Roman" panose="02020603050405020304" pitchFamily="18" charset="0"/>
          </a:endParaRPr>
        </a:p>
      </dsp:txBody>
      <dsp:txXfrm>
        <a:off x="3689743" y="592910"/>
        <a:ext cx="18189" cy="3641"/>
      </dsp:txXfrm>
    </dsp:sp>
    <dsp:sp modelId="{E857FF48-0496-4111-A9B9-B04455C20F0B}">
      <dsp:nvSpPr>
        <dsp:cNvPr id="0" name=""/>
        <dsp:cNvSpPr/>
      </dsp:nvSpPr>
      <dsp:spPr>
        <a:xfrm>
          <a:off x="1952356" y="120224"/>
          <a:ext cx="1581687" cy="9490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проведение регулярных тренингов для судей, прокуроров и чиновников</a:t>
          </a:r>
        </a:p>
      </dsp:txBody>
      <dsp:txXfrm>
        <a:off x="1952356" y="120224"/>
        <a:ext cx="1581687" cy="949012"/>
      </dsp:txXfrm>
    </dsp:sp>
    <dsp:sp modelId="{A2014678-AE92-4C70-B1C6-DE50D4FE0DC6}">
      <dsp:nvSpPr>
        <dsp:cNvPr id="0" name=""/>
        <dsp:cNvSpPr/>
      </dsp:nvSpPr>
      <dsp:spPr>
        <a:xfrm>
          <a:off x="1135944" y="1067437"/>
          <a:ext cx="3552731" cy="333188"/>
        </a:xfrm>
        <a:custGeom>
          <a:avLst/>
          <a:gdLst/>
          <a:ahLst/>
          <a:cxnLst/>
          <a:rect l="0" t="0" r="0" b="0"/>
          <a:pathLst>
            <a:path>
              <a:moveTo>
                <a:pt x="3552731" y="0"/>
              </a:moveTo>
              <a:lnTo>
                <a:pt x="3552731" y="183694"/>
              </a:lnTo>
              <a:lnTo>
                <a:pt x="0" y="183694"/>
              </a:lnTo>
              <a:lnTo>
                <a:pt x="0" y="333188"/>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latin typeface="Times New Roman" panose="02020603050405020304" pitchFamily="18" charset="0"/>
            <a:cs typeface="Times New Roman" panose="02020603050405020304" pitchFamily="18" charset="0"/>
          </a:endParaRPr>
        </a:p>
      </dsp:txBody>
      <dsp:txXfrm>
        <a:off x="2823027" y="1232210"/>
        <a:ext cx="178565" cy="3641"/>
      </dsp:txXfrm>
    </dsp:sp>
    <dsp:sp modelId="{084952A5-8431-4A69-80C5-19C6AA712F5D}">
      <dsp:nvSpPr>
        <dsp:cNvPr id="0" name=""/>
        <dsp:cNvSpPr/>
      </dsp:nvSpPr>
      <dsp:spPr>
        <a:xfrm>
          <a:off x="3897831" y="120224"/>
          <a:ext cx="1581687" cy="94901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SzPts val="1000"/>
            <a:buFont typeface="Symbol" panose="05050102010706020507" pitchFamily="18" charset="2"/>
            <a:buChar char=""/>
          </a:pPr>
          <a:r>
            <a:rPr lang="ru-RU" sz="1100" kern="1200">
              <a:latin typeface="Times New Roman" panose="02020603050405020304" pitchFamily="18" charset="0"/>
              <a:cs typeface="Times New Roman" panose="02020603050405020304" pitchFamily="18" charset="0"/>
            </a:rPr>
            <a:t>разработку методических пособий и практических руководств по применению Хартии;</a:t>
          </a:r>
          <a:endParaRPr lang="uk-UA" sz="1100" kern="1200">
            <a:latin typeface="Times New Roman" panose="02020603050405020304" pitchFamily="18" charset="0"/>
            <a:cs typeface="Times New Roman" panose="02020603050405020304" pitchFamily="18" charset="0"/>
          </a:endParaRPr>
        </a:p>
      </dsp:txBody>
      <dsp:txXfrm>
        <a:off x="3897831" y="120224"/>
        <a:ext cx="1581687" cy="949012"/>
      </dsp:txXfrm>
    </dsp:sp>
    <dsp:sp modelId="{496DE19C-F3F7-4A57-9C80-FBB89B64A28E}">
      <dsp:nvSpPr>
        <dsp:cNvPr id="0" name=""/>
        <dsp:cNvSpPr/>
      </dsp:nvSpPr>
      <dsp:spPr>
        <a:xfrm>
          <a:off x="6880" y="1433025"/>
          <a:ext cx="2258127" cy="63115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buSzPts val="1000"/>
            <a:buFont typeface="Symbol" panose="05050102010706020507" pitchFamily="18" charset="2"/>
            <a:buChar char=""/>
          </a:pPr>
          <a:r>
            <a:rPr lang="ru-RU" sz="1100" kern="1200">
              <a:latin typeface="Times New Roman" panose="02020603050405020304" pitchFamily="18" charset="0"/>
              <a:cs typeface="Times New Roman" panose="02020603050405020304" pitchFamily="18" charset="0"/>
            </a:rPr>
            <a:t>институциональное включение Хартии в стратегические документы и планы действий в области прав человека.</a:t>
          </a:r>
          <a:endParaRPr lang="uk-UA" sz="1100" kern="1200">
            <a:latin typeface="Times New Roman" panose="02020603050405020304" pitchFamily="18" charset="0"/>
            <a:cs typeface="Times New Roman" panose="02020603050405020304" pitchFamily="18" charset="0"/>
          </a:endParaRPr>
        </a:p>
      </dsp:txBody>
      <dsp:txXfrm>
        <a:off x="6880" y="1433025"/>
        <a:ext cx="2258127" cy="63115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086878-F0F1-4FA6-A431-A9B567F1B015}">
      <dsp:nvSpPr>
        <dsp:cNvPr id="0" name=""/>
        <dsp:cNvSpPr/>
      </dsp:nvSpPr>
      <dsp:spPr>
        <a:xfrm>
          <a:off x="1898850" y="364753"/>
          <a:ext cx="283877" cy="91440"/>
        </a:xfrm>
        <a:custGeom>
          <a:avLst/>
          <a:gdLst/>
          <a:ahLst/>
          <a:cxnLst/>
          <a:rect l="0" t="0" r="0" b="0"/>
          <a:pathLst>
            <a:path>
              <a:moveTo>
                <a:pt x="0" y="45720"/>
              </a:moveTo>
              <a:lnTo>
                <a:pt x="28387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2032927" y="408900"/>
        <a:ext cx="15723" cy="3144"/>
      </dsp:txXfrm>
    </dsp:sp>
    <dsp:sp modelId="{B7AE71DE-61A1-49BC-8912-DEC3BEE27706}">
      <dsp:nvSpPr>
        <dsp:cNvPr id="0" name=""/>
        <dsp:cNvSpPr/>
      </dsp:nvSpPr>
      <dsp:spPr>
        <a:xfrm>
          <a:off x="533357" y="285"/>
          <a:ext cx="1367293" cy="8203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Методология мониторинга ЕС</a:t>
          </a:r>
        </a:p>
      </dsp:txBody>
      <dsp:txXfrm>
        <a:off x="533357" y="285"/>
        <a:ext cx="1367293" cy="820375"/>
      </dsp:txXfrm>
    </dsp:sp>
    <dsp:sp modelId="{D7D1D264-758E-4127-B91D-24733D2FFD62}">
      <dsp:nvSpPr>
        <dsp:cNvPr id="0" name=""/>
        <dsp:cNvSpPr/>
      </dsp:nvSpPr>
      <dsp:spPr>
        <a:xfrm>
          <a:off x="3580621" y="364753"/>
          <a:ext cx="283877" cy="91440"/>
        </a:xfrm>
        <a:custGeom>
          <a:avLst/>
          <a:gdLst/>
          <a:ahLst/>
          <a:cxnLst/>
          <a:rect l="0" t="0" r="0" b="0"/>
          <a:pathLst>
            <a:path>
              <a:moveTo>
                <a:pt x="0" y="45720"/>
              </a:moveTo>
              <a:lnTo>
                <a:pt x="28387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3714698" y="408900"/>
        <a:ext cx="15723" cy="3144"/>
      </dsp:txXfrm>
    </dsp:sp>
    <dsp:sp modelId="{CB23373F-27C0-4A41-9AFB-8F35AEC48155}">
      <dsp:nvSpPr>
        <dsp:cNvPr id="0" name=""/>
        <dsp:cNvSpPr/>
      </dsp:nvSpPr>
      <dsp:spPr>
        <a:xfrm>
          <a:off x="2215128" y="285"/>
          <a:ext cx="1367293" cy="8203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Адаптация к национальным условиям</a:t>
          </a:r>
        </a:p>
      </dsp:txBody>
      <dsp:txXfrm>
        <a:off x="2215128" y="285"/>
        <a:ext cx="1367293" cy="820375"/>
      </dsp:txXfrm>
    </dsp:sp>
    <dsp:sp modelId="{9C3690FD-7DCE-44FB-86B6-7AAFB2150292}">
      <dsp:nvSpPr>
        <dsp:cNvPr id="0" name=""/>
        <dsp:cNvSpPr/>
      </dsp:nvSpPr>
      <dsp:spPr>
        <a:xfrm>
          <a:off x="1217004" y="818861"/>
          <a:ext cx="3363541" cy="283877"/>
        </a:xfrm>
        <a:custGeom>
          <a:avLst/>
          <a:gdLst/>
          <a:ahLst/>
          <a:cxnLst/>
          <a:rect l="0" t="0" r="0" b="0"/>
          <a:pathLst>
            <a:path>
              <a:moveTo>
                <a:pt x="3363541" y="0"/>
              </a:moveTo>
              <a:lnTo>
                <a:pt x="3363541" y="159038"/>
              </a:lnTo>
              <a:lnTo>
                <a:pt x="0" y="159038"/>
              </a:lnTo>
              <a:lnTo>
                <a:pt x="0" y="283877"/>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2814319" y="959227"/>
        <a:ext cx="168910" cy="3144"/>
      </dsp:txXfrm>
    </dsp:sp>
    <dsp:sp modelId="{5AFFA08A-001C-4ED2-B5AA-25012E7A66BF}">
      <dsp:nvSpPr>
        <dsp:cNvPr id="0" name=""/>
        <dsp:cNvSpPr/>
      </dsp:nvSpPr>
      <dsp:spPr>
        <a:xfrm>
          <a:off x="3896899" y="285"/>
          <a:ext cx="1367293" cy="8203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Формирование единого отчетного шаблона </a:t>
          </a:r>
        </a:p>
      </dsp:txBody>
      <dsp:txXfrm>
        <a:off x="3896899" y="285"/>
        <a:ext cx="1367293" cy="820375"/>
      </dsp:txXfrm>
    </dsp:sp>
    <dsp:sp modelId="{14CFC39C-3E7C-4DBC-B9C1-166BF4C45C4D}">
      <dsp:nvSpPr>
        <dsp:cNvPr id="0" name=""/>
        <dsp:cNvSpPr/>
      </dsp:nvSpPr>
      <dsp:spPr>
        <a:xfrm>
          <a:off x="1898850" y="1499606"/>
          <a:ext cx="283877" cy="91440"/>
        </a:xfrm>
        <a:custGeom>
          <a:avLst/>
          <a:gdLst/>
          <a:ahLst/>
          <a:cxnLst/>
          <a:rect l="0" t="0" r="0" b="0"/>
          <a:pathLst>
            <a:path>
              <a:moveTo>
                <a:pt x="0" y="45720"/>
              </a:moveTo>
              <a:lnTo>
                <a:pt x="283877"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kern="1200">
            <a:latin typeface="Times New Roman" panose="02020603050405020304" pitchFamily="18" charset="0"/>
            <a:cs typeface="Times New Roman" panose="02020603050405020304" pitchFamily="18" charset="0"/>
          </a:endParaRPr>
        </a:p>
      </dsp:txBody>
      <dsp:txXfrm>
        <a:off x="2032927" y="1543754"/>
        <a:ext cx="15723" cy="3144"/>
      </dsp:txXfrm>
    </dsp:sp>
    <dsp:sp modelId="{A3AE89AF-6C4D-4BBC-8EDD-40425E4B81E4}">
      <dsp:nvSpPr>
        <dsp:cNvPr id="0" name=""/>
        <dsp:cNvSpPr/>
      </dsp:nvSpPr>
      <dsp:spPr>
        <a:xfrm>
          <a:off x="533357" y="1135138"/>
          <a:ext cx="1367293" cy="8203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Публикация ежегодного национального отчета</a:t>
          </a:r>
        </a:p>
      </dsp:txBody>
      <dsp:txXfrm>
        <a:off x="533357" y="1135138"/>
        <a:ext cx="1367293" cy="820375"/>
      </dsp:txXfrm>
    </dsp:sp>
    <dsp:sp modelId="{95AB7865-62D1-45E8-A263-78400B5FE5AC}">
      <dsp:nvSpPr>
        <dsp:cNvPr id="0" name=""/>
        <dsp:cNvSpPr/>
      </dsp:nvSpPr>
      <dsp:spPr>
        <a:xfrm>
          <a:off x="2215128" y="1135138"/>
          <a:ext cx="1367293" cy="8203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Разработка дорожной карты правовых инициатив</a:t>
          </a:r>
        </a:p>
      </dsp:txBody>
      <dsp:txXfrm>
        <a:off x="2215128" y="1135138"/>
        <a:ext cx="1367293" cy="820375"/>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6A5437-0D89-46B1-85C7-CF046AC1057E}">
      <dsp:nvSpPr>
        <dsp:cNvPr id="0" name=""/>
        <dsp:cNvSpPr/>
      </dsp:nvSpPr>
      <dsp:spPr>
        <a:xfrm>
          <a:off x="1965962" y="1680565"/>
          <a:ext cx="1554475" cy="153827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b="0" i="1" kern="1200">
              <a:latin typeface="Times New Roman" panose="02020603050405020304" pitchFamily="18" charset="0"/>
              <a:cs typeface="Times New Roman" panose="02020603050405020304" pitchFamily="18" charset="0"/>
            </a:rPr>
            <a:t>Уполномоченый по правам человека</a:t>
          </a:r>
        </a:p>
      </dsp:txBody>
      <dsp:txXfrm>
        <a:off x="2193610" y="1905840"/>
        <a:ext cx="1099179" cy="1087723"/>
      </dsp:txXfrm>
    </dsp:sp>
    <dsp:sp modelId="{D0C7235F-03F7-4A28-BF90-7412E1A82B91}">
      <dsp:nvSpPr>
        <dsp:cNvPr id="0" name=""/>
        <dsp:cNvSpPr/>
      </dsp:nvSpPr>
      <dsp:spPr>
        <a:xfrm rot="18223464" flipH="1">
          <a:off x="1694619" y="1436046"/>
          <a:ext cx="335804" cy="700600"/>
        </a:xfrm>
        <a:prstGeom prst="upDown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A9B10CA-FBFC-48D3-B19A-96C5A3A417C6}">
      <dsp:nvSpPr>
        <dsp:cNvPr id="0" name=""/>
        <dsp:cNvSpPr/>
      </dsp:nvSpPr>
      <dsp:spPr>
        <a:xfrm>
          <a:off x="260186" y="568914"/>
          <a:ext cx="1386647" cy="110931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Создание экспертного центра на базе действующего института</a:t>
          </a:r>
        </a:p>
      </dsp:txBody>
      <dsp:txXfrm>
        <a:off x="292677" y="601405"/>
        <a:ext cx="1321665" cy="1044335"/>
      </dsp:txXfrm>
    </dsp:sp>
    <dsp:sp modelId="{8845B4DD-5A23-4C95-BF48-14449A624E3B}">
      <dsp:nvSpPr>
        <dsp:cNvPr id="0" name=""/>
        <dsp:cNvSpPr/>
      </dsp:nvSpPr>
      <dsp:spPr>
        <a:xfrm rot="5400000">
          <a:off x="2371071" y="1199125"/>
          <a:ext cx="756520" cy="415994"/>
        </a:xfrm>
        <a:prstGeom prst="leftRight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91723A2-F0E6-4398-AE92-A8CF8851FC0D}">
      <dsp:nvSpPr>
        <dsp:cNvPr id="0" name=""/>
        <dsp:cNvSpPr/>
      </dsp:nvSpPr>
      <dsp:spPr>
        <a:xfrm>
          <a:off x="2049876" y="-18439"/>
          <a:ext cx="1386647" cy="110931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Формирование независимого совета и консультативной платформы</a:t>
          </a:r>
        </a:p>
      </dsp:txBody>
      <dsp:txXfrm>
        <a:off x="2082367" y="14052"/>
        <a:ext cx="1321665" cy="1044335"/>
      </dsp:txXfrm>
    </dsp:sp>
    <dsp:sp modelId="{CDEC228D-80F3-4236-AA3B-98EE870672FE}">
      <dsp:nvSpPr>
        <dsp:cNvPr id="0" name=""/>
        <dsp:cNvSpPr/>
      </dsp:nvSpPr>
      <dsp:spPr>
        <a:xfrm rot="8906369">
          <a:off x="3244297" y="1631610"/>
          <a:ext cx="738160" cy="415994"/>
        </a:xfrm>
        <a:prstGeom prst="leftRightArrow">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234BDD3-DC6A-42DE-AFE2-A7BD711442CD}">
      <dsp:nvSpPr>
        <dsp:cNvPr id="0" name=""/>
        <dsp:cNvSpPr/>
      </dsp:nvSpPr>
      <dsp:spPr>
        <a:xfrm>
          <a:off x="3839547" y="642684"/>
          <a:ext cx="1386647" cy="1109317"/>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Проведение регуляторных аналитических обзоров и общественных консультаций</a:t>
          </a:r>
        </a:p>
      </dsp:txBody>
      <dsp:txXfrm>
        <a:off x="3872038" y="675175"/>
        <a:ext cx="1321665" cy="1044335"/>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6B6017-962D-473D-97E2-368307DB5AD5}">
      <dsp:nvSpPr>
        <dsp:cNvPr id="0" name=""/>
        <dsp:cNvSpPr/>
      </dsp:nvSpPr>
      <dsp:spPr>
        <a:xfrm>
          <a:off x="57149" y="0"/>
          <a:ext cx="5791200" cy="3619500"/>
        </a:xfrm>
        <a:prstGeom prst="swooshArrow">
          <a:avLst>
            <a:gd name="adj1" fmla="val 25000"/>
            <a:gd name="adj2" fmla="val 25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C67778B-8B3C-4ECC-9994-C598F0A7719B}">
      <dsp:nvSpPr>
        <dsp:cNvPr id="0" name=""/>
        <dsp:cNvSpPr/>
      </dsp:nvSpPr>
      <dsp:spPr>
        <a:xfrm>
          <a:off x="627583" y="2691460"/>
          <a:ext cx="133197" cy="133197"/>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A77B79E4-643A-4692-BB0D-1A5DE8A9E11A}">
      <dsp:nvSpPr>
        <dsp:cNvPr id="0" name=""/>
        <dsp:cNvSpPr/>
      </dsp:nvSpPr>
      <dsp:spPr>
        <a:xfrm>
          <a:off x="699782" y="2608607"/>
          <a:ext cx="1173371" cy="86144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0579" tIns="0" rIns="0" bIns="0" numCol="1" spcCol="1270" anchor="t" anchorCtr="0">
          <a:noAutofit/>
        </a:bodyPr>
        <a:lstStyle/>
        <a:p>
          <a:pPr lvl="0" algn="just"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Национально-международная мониторинговая платформа</a:t>
          </a:r>
          <a:endParaRPr lang="uk-UA" sz="1200" i="1" kern="1200">
            <a:latin typeface="Times New Roman" panose="02020603050405020304" pitchFamily="18" charset="0"/>
            <a:cs typeface="Times New Roman" panose="02020603050405020304" pitchFamily="18" charset="0"/>
          </a:endParaRPr>
        </a:p>
        <a:p>
          <a:pPr marL="114300" lvl="1" indent="-114300" algn="just"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Мониторинг показателей с интеграцией национальных данных и международных стандартов для обоснованных решений</a:t>
          </a:r>
        </a:p>
      </dsp:txBody>
      <dsp:txXfrm>
        <a:off x="699782" y="2608607"/>
        <a:ext cx="1173371" cy="861441"/>
      </dsp:txXfrm>
    </dsp:sp>
    <dsp:sp modelId="{C1C22099-7C9C-42A3-84A5-E43F63AAD716}">
      <dsp:nvSpPr>
        <dsp:cNvPr id="0" name=""/>
        <dsp:cNvSpPr/>
      </dsp:nvSpPr>
      <dsp:spPr>
        <a:xfrm>
          <a:off x="1568653" y="1849564"/>
          <a:ext cx="231648" cy="231648"/>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EF7688D1-7CCF-4600-934C-C1FAB7B50E5E}">
      <dsp:nvSpPr>
        <dsp:cNvPr id="0" name=""/>
        <dsp:cNvSpPr/>
      </dsp:nvSpPr>
      <dsp:spPr>
        <a:xfrm>
          <a:off x="1830378" y="1913085"/>
          <a:ext cx="1268081" cy="16541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2745" tIns="0" rIns="0" bIns="0" numCol="1" spcCol="1270" anchor="t" anchorCtr="0">
          <a:noAutofit/>
        </a:bodyPr>
        <a:lstStyle/>
        <a:p>
          <a:pPr lvl="0" algn="l"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Формирование системы индикаторов</a:t>
          </a:r>
          <a:endParaRPr lang="uk-UA" sz="1200" i="1" kern="1200">
            <a:latin typeface="Times New Roman" panose="02020603050405020304" pitchFamily="18" charset="0"/>
            <a:cs typeface="Times New Roman" panose="02020603050405020304" pitchFamily="18" charset="0"/>
          </a:endParaRPr>
        </a:p>
        <a:p>
          <a:pPr marL="114300" lvl="1" indent="-114300" algn="just"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Отбор ключевых показателей для мониторинга и оценки с целью объективного анализа данных для управленческих решений.</a:t>
          </a:r>
        </a:p>
      </dsp:txBody>
      <dsp:txXfrm>
        <a:off x="1830378" y="1913085"/>
        <a:ext cx="1268081" cy="1654111"/>
      </dsp:txXfrm>
    </dsp:sp>
    <dsp:sp modelId="{6DD784FB-9F15-4649-B808-64D908A945FD}">
      <dsp:nvSpPr>
        <dsp:cNvPr id="0" name=""/>
        <dsp:cNvSpPr/>
      </dsp:nvSpPr>
      <dsp:spPr>
        <a:xfrm>
          <a:off x="2770327" y="1229182"/>
          <a:ext cx="306933" cy="306933"/>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9C55BB85-0855-4DF2-936E-7593DEF34936}">
      <dsp:nvSpPr>
        <dsp:cNvPr id="0" name=""/>
        <dsp:cNvSpPr/>
      </dsp:nvSpPr>
      <dsp:spPr>
        <a:xfrm>
          <a:off x="2971430" y="1382648"/>
          <a:ext cx="1359998" cy="22368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2638" tIns="0" rIns="0" bIns="0" numCol="1" spcCol="1270" anchor="t" anchorCtr="0">
          <a:noAutofit/>
        </a:bodyPr>
        <a:lstStyle/>
        <a:p>
          <a:pPr lvl="0" algn="l"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Публикация результатов и обсуждение с заинтересованными сторонами</a:t>
          </a:r>
          <a:endParaRPr lang="uk-UA" sz="1200" i="1" kern="1200">
            <a:latin typeface="Times New Roman" panose="02020603050405020304" pitchFamily="18" charset="0"/>
            <a:cs typeface="Times New Roman" panose="02020603050405020304" pitchFamily="18" charset="0"/>
          </a:endParaRPr>
        </a:p>
        <a:p>
          <a:pPr marL="114300" lvl="1" indent="-114300" algn="just"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Представление данных, аналитических выводов и рекомендаций широкой аудитории, включая государственные органы, международные организации, экспертов и гражданское общество.</a:t>
          </a:r>
          <a:endParaRPr lang="uk-UA" sz="1200" kern="1200">
            <a:latin typeface="Times New Roman" panose="02020603050405020304" pitchFamily="18" charset="0"/>
            <a:cs typeface="Times New Roman" panose="02020603050405020304" pitchFamily="18" charset="0"/>
          </a:endParaRPr>
        </a:p>
      </dsp:txBody>
      <dsp:txXfrm>
        <a:off x="2971430" y="1382648"/>
        <a:ext cx="1359998" cy="2236851"/>
      </dsp:txXfrm>
    </dsp:sp>
    <dsp:sp modelId="{8449C0A8-4BEA-4A92-80B9-9F001C99F719}">
      <dsp:nvSpPr>
        <dsp:cNvPr id="0" name=""/>
        <dsp:cNvSpPr/>
      </dsp:nvSpPr>
      <dsp:spPr>
        <a:xfrm>
          <a:off x="4079138" y="818730"/>
          <a:ext cx="411175" cy="411175"/>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F1CB945C-12F0-4B9D-A19A-F66D3249B778}">
      <dsp:nvSpPr>
        <dsp:cNvPr id="0" name=""/>
        <dsp:cNvSpPr/>
      </dsp:nvSpPr>
      <dsp:spPr>
        <a:xfrm>
          <a:off x="4101646" y="1024318"/>
          <a:ext cx="1582311" cy="25951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7873" tIns="0" rIns="0" bIns="0" numCol="1" spcCol="1270" anchor="t" anchorCtr="0">
          <a:noAutofit/>
        </a:bodyPr>
        <a:lstStyle/>
        <a:p>
          <a:pPr lvl="0" algn="l"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Формирование предложений и обратная связь с государственными структурами</a:t>
          </a:r>
          <a:endParaRPr lang="uk-UA" sz="1200" i="1" kern="1200">
            <a:latin typeface="Times New Roman" panose="02020603050405020304" pitchFamily="18" charset="0"/>
            <a:cs typeface="Times New Roman" panose="02020603050405020304" pitchFamily="18" charset="0"/>
          </a:endParaRPr>
        </a:p>
        <a:p>
          <a:pPr marL="114300" lvl="1" indent="-114300" algn="just"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Аналитико-консультационный этап формирования рекомендаций с учетом обратной связи для улучшения решений.</a:t>
          </a:r>
        </a:p>
      </dsp:txBody>
      <dsp:txXfrm>
        <a:off x="4101646" y="1024318"/>
        <a:ext cx="1582311" cy="2595181"/>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14FBB3-7487-4FB3-9A15-8ED5E6867E68}">
      <dsp:nvSpPr>
        <dsp:cNvPr id="0" name=""/>
        <dsp:cNvSpPr/>
      </dsp:nvSpPr>
      <dsp:spPr>
        <a:xfrm>
          <a:off x="4781726" y="746378"/>
          <a:ext cx="91440" cy="1510427"/>
        </a:xfrm>
        <a:custGeom>
          <a:avLst/>
          <a:gdLst/>
          <a:ahLst/>
          <a:cxnLst/>
          <a:rect l="0" t="0" r="0" b="0"/>
          <a:pathLst>
            <a:path>
              <a:moveTo>
                <a:pt x="45720" y="0"/>
              </a:moveTo>
              <a:lnTo>
                <a:pt x="71081" y="151042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72B4CF-F3C4-44D6-A35F-09173D59F06B}">
      <dsp:nvSpPr>
        <dsp:cNvPr id="0" name=""/>
        <dsp:cNvSpPr/>
      </dsp:nvSpPr>
      <dsp:spPr>
        <a:xfrm>
          <a:off x="2941356" y="405630"/>
          <a:ext cx="1886090" cy="91440"/>
        </a:xfrm>
        <a:custGeom>
          <a:avLst/>
          <a:gdLst/>
          <a:ahLst/>
          <a:cxnLst/>
          <a:rect l="0" t="0" r="0" b="0"/>
          <a:pathLst>
            <a:path>
              <a:moveTo>
                <a:pt x="0" y="133833"/>
              </a:moveTo>
              <a:lnTo>
                <a:pt x="1886090"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B4E35B-5D3C-41A1-8BBF-F728BA74CC8E}">
      <dsp:nvSpPr>
        <dsp:cNvPr id="0" name=""/>
        <dsp:cNvSpPr/>
      </dsp:nvSpPr>
      <dsp:spPr>
        <a:xfrm>
          <a:off x="2869246" y="850291"/>
          <a:ext cx="91440" cy="1690250"/>
        </a:xfrm>
        <a:custGeom>
          <a:avLst/>
          <a:gdLst/>
          <a:ahLst/>
          <a:cxnLst/>
          <a:rect l="0" t="0" r="0" b="0"/>
          <a:pathLst>
            <a:path>
              <a:moveTo>
                <a:pt x="80061" y="0"/>
              </a:moveTo>
              <a:lnTo>
                <a:pt x="80061" y="1690250"/>
              </a:lnTo>
              <a:lnTo>
                <a:pt x="45720" y="169025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43853A-9594-4674-AC64-0D3476C2B720}">
      <dsp:nvSpPr>
        <dsp:cNvPr id="0" name=""/>
        <dsp:cNvSpPr/>
      </dsp:nvSpPr>
      <dsp:spPr>
        <a:xfrm>
          <a:off x="2895636" y="477904"/>
          <a:ext cx="91440" cy="91440"/>
        </a:xfrm>
        <a:custGeom>
          <a:avLst/>
          <a:gdLst/>
          <a:ahLst/>
          <a:cxnLst/>
          <a:rect l="0" t="0" r="0" b="0"/>
          <a:pathLst>
            <a:path>
              <a:moveTo>
                <a:pt x="45720" y="61560"/>
              </a:moveTo>
              <a:lnTo>
                <a:pt x="53671"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CC8A0F-7210-435B-BC19-2AE7D4CDD5A2}">
      <dsp:nvSpPr>
        <dsp:cNvPr id="0" name=""/>
        <dsp:cNvSpPr/>
      </dsp:nvSpPr>
      <dsp:spPr>
        <a:xfrm>
          <a:off x="1074207" y="766745"/>
          <a:ext cx="91440" cy="1722389"/>
        </a:xfrm>
        <a:custGeom>
          <a:avLst/>
          <a:gdLst/>
          <a:ahLst/>
          <a:cxnLst/>
          <a:rect l="0" t="0" r="0" b="0"/>
          <a:pathLst>
            <a:path>
              <a:moveTo>
                <a:pt x="45720" y="0"/>
              </a:moveTo>
              <a:lnTo>
                <a:pt x="82536" y="172238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88E215-6DD2-41C0-81CC-D1B123C1D367}">
      <dsp:nvSpPr>
        <dsp:cNvPr id="0" name=""/>
        <dsp:cNvSpPr/>
      </dsp:nvSpPr>
      <dsp:spPr>
        <a:xfrm>
          <a:off x="1119927" y="419140"/>
          <a:ext cx="1821428" cy="120323"/>
        </a:xfrm>
        <a:custGeom>
          <a:avLst/>
          <a:gdLst/>
          <a:ahLst/>
          <a:cxnLst/>
          <a:rect l="0" t="0" r="0" b="0"/>
          <a:pathLst>
            <a:path>
              <a:moveTo>
                <a:pt x="1821428" y="120323"/>
              </a:moveTo>
              <a:lnTo>
                <a:pt x="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456BCE-93B5-456A-922D-A9CD632F797B}">
      <dsp:nvSpPr>
        <dsp:cNvPr id="0" name=""/>
        <dsp:cNvSpPr/>
      </dsp:nvSpPr>
      <dsp:spPr>
        <a:xfrm>
          <a:off x="2420391" y="0"/>
          <a:ext cx="1041929" cy="53946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124"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Уровень реализации</a:t>
          </a:r>
        </a:p>
      </dsp:txBody>
      <dsp:txXfrm>
        <a:off x="2420391" y="0"/>
        <a:ext cx="1041929" cy="539464"/>
      </dsp:txXfrm>
    </dsp:sp>
    <dsp:sp modelId="{39567F6F-90B8-40B1-802E-1BFB5CAB2AAA}">
      <dsp:nvSpPr>
        <dsp:cNvPr id="0" name=""/>
        <dsp:cNvSpPr/>
      </dsp:nvSpPr>
      <dsp:spPr>
        <a:xfrm>
          <a:off x="2412487" y="462896"/>
          <a:ext cx="937736" cy="3944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2412487" y="462896"/>
        <a:ext cx="937736" cy="39440"/>
      </dsp:txXfrm>
    </dsp:sp>
    <dsp:sp modelId="{9DCFAB8C-4B3E-4B65-85F3-9D02B1F370EA}">
      <dsp:nvSpPr>
        <dsp:cNvPr id="0" name=""/>
        <dsp:cNvSpPr/>
      </dsp:nvSpPr>
      <dsp:spPr>
        <a:xfrm>
          <a:off x="598963" y="419140"/>
          <a:ext cx="1041929" cy="3476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12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Глобальный</a:t>
          </a:r>
        </a:p>
      </dsp:txBody>
      <dsp:txXfrm>
        <a:off x="598963" y="419140"/>
        <a:ext cx="1041929" cy="347604"/>
      </dsp:txXfrm>
    </dsp:sp>
    <dsp:sp modelId="{7951E30D-1979-4B9D-98FC-FB564A23BC30}">
      <dsp:nvSpPr>
        <dsp:cNvPr id="0" name=""/>
        <dsp:cNvSpPr/>
      </dsp:nvSpPr>
      <dsp:spPr>
        <a:xfrm>
          <a:off x="540675" y="746346"/>
          <a:ext cx="1661753" cy="806972"/>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l"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Европейская служба внешних связей (EEAS), Специальный представитель ЕС по правам человека</a:t>
          </a:r>
        </a:p>
      </dsp:txBody>
      <dsp:txXfrm>
        <a:off x="540675" y="746346"/>
        <a:ext cx="1661753" cy="806972"/>
      </dsp:txXfrm>
    </dsp:sp>
    <dsp:sp modelId="{69A6110C-5264-4816-932E-20EF9E1396D9}">
      <dsp:nvSpPr>
        <dsp:cNvPr id="0" name=""/>
        <dsp:cNvSpPr/>
      </dsp:nvSpPr>
      <dsp:spPr>
        <a:xfrm>
          <a:off x="22344" y="1762480"/>
          <a:ext cx="1134400" cy="14533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12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Тематические резолюции, участие в форумах ООН, международная адвокация, механизм санкционного давления</a:t>
          </a:r>
        </a:p>
      </dsp:txBody>
      <dsp:txXfrm>
        <a:off x="22344" y="1762480"/>
        <a:ext cx="1134400" cy="1453307"/>
      </dsp:txXfrm>
    </dsp:sp>
    <dsp:sp modelId="{EA742858-EA5F-407A-9172-FF6C2402898E}">
      <dsp:nvSpPr>
        <dsp:cNvPr id="0" name=""/>
        <dsp:cNvSpPr/>
      </dsp:nvSpPr>
      <dsp:spPr>
        <a:xfrm flipV="1">
          <a:off x="115657" y="3177014"/>
          <a:ext cx="937736" cy="3944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115657" y="3177014"/>
        <a:ext cx="937736" cy="39440"/>
      </dsp:txXfrm>
    </dsp:sp>
    <dsp:sp modelId="{9918FF45-1A9B-455B-8A6B-6932E3FDD4F2}">
      <dsp:nvSpPr>
        <dsp:cNvPr id="0" name=""/>
        <dsp:cNvSpPr/>
      </dsp:nvSpPr>
      <dsp:spPr>
        <a:xfrm>
          <a:off x="2428343" y="523624"/>
          <a:ext cx="1041929" cy="3266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12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Национальный</a:t>
          </a:r>
        </a:p>
      </dsp:txBody>
      <dsp:txXfrm>
        <a:off x="2428343" y="523624"/>
        <a:ext cx="1041929" cy="326667"/>
      </dsp:txXfrm>
    </dsp:sp>
    <dsp:sp modelId="{EEF168BE-E320-4583-BD8E-61FA6EA5FBCF}">
      <dsp:nvSpPr>
        <dsp:cNvPr id="0" name=""/>
        <dsp:cNvSpPr/>
      </dsp:nvSpPr>
      <dsp:spPr>
        <a:xfrm>
          <a:off x="2460629" y="924018"/>
          <a:ext cx="1362952" cy="782567"/>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l"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Посольства государств-членов ЕС, миссии в рамках ОПБО (CSDP)</a:t>
          </a:r>
        </a:p>
      </dsp:txBody>
      <dsp:txXfrm>
        <a:off x="2460629" y="924018"/>
        <a:ext cx="1362952" cy="782567"/>
      </dsp:txXfrm>
    </dsp:sp>
    <dsp:sp modelId="{06D1F989-B9B2-49BE-9764-18B7E2D76D5D}">
      <dsp:nvSpPr>
        <dsp:cNvPr id="0" name=""/>
        <dsp:cNvSpPr/>
      </dsp:nvSpPr>
      <dsp:spPr>
        <a:xfrm>
          <a:off x="1493430" y="1854305"/>
          <a:ext cx="1421535" cy="137247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12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Избирательные наблюдательные миссии, мониторинг судебных процессов, поддержка правозащитников, публичная дипломатия</a:t>
          </a:r>
        </a:p>
      </dsp:txBody>
      <dsp:txXfrm>
        <a:off x="1493430" y="1854305"/>
        <a:ext cx="1421535" cy="1372473"/>
      </dsp:txXfrm>
    </dsp:sp>
    <dsp:sp modelId="{2F7A7DA2-9EA5-4F00-9A12-528130516C9B}">
      <dsp:nvSpPr>
        <dsp:cNvPr id="0" name=""/>
        <dsp:cNvSpPr/>
      </dsp:nvSpPr>
      <dsp:spPr>
        <a:xfrm>
          <a:off x="1726136" y="3189493"/>
          <a:ext cx="937736" cy="3944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1726136" y="3189493"/>
        <a:ext cx="937736" cy="39440"/>
      </dsp:txXfrm>
    </dsp:sp>
    <dsp:sp modelId="{F2116CA4-C8F0-4BE0-AEF1-5049201FC5C9}">
      <dsp:nvSpPr>
        <dsp:cNvPr id="0" name=""/>
        <dsp:cNvSpPr/>
      </dsp:nvSpPr>
      <dsp:spPr>
        <a:xfrm>
          <a:off x="4306481" y="451350"/>
          <a:ext cx="1041929" cy="29502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12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Региональный</a:t>
          </a:r>
        </a:p>
      </dsp:txBody>
      <dsp:txXfrm>
        <a:off x="4306481" y="451350"/>
        <a:ext cx="1041929" cy="295027"/>
      </dsp:txXfrm>
    </dsp:sp>
    <dsp:sp modelId="{DAAE2D5C-8E6E-44E5-802E-D75CF6C31798}">
      <dsp:nvSpPr>
        <dsp:cNvPr id="0" name=""/>
        <dsp:cNvSpPr/>
      </dsp:nvSpPr>
      <dsp:spPr>
        <a:xfrm>
          <a:off x="4287861" y="718400"/>
          <a:ext cx="1141956" cy="838961"/>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l"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Делегации ЕС, региональные структуры Соседства</a:t>
          </a:r>
        </a:p>
      </dsp:txBody>
      <dsp:txXfrm>
        <a:off x="4287861" y="718400"/>
        <a:ext cx="1141956" cy="838961"/>
      </dsp:txXfrm>
    </dsp:sp>
    <dsp:sp modelId="{285F0B51-F48C-4ADE-BDF9-3E16107F8433}">
      <dsp:nvSpPr>
        <dsp:cNvPr id="0" name=""/>
        <dsp:cNvSpPr/>
      </dsp:nvSpPr>
      <dsp:spPr>
        <a:xfrm>
          <a:off x="3437774" y="1678089"/>
          <a:ext cx="1415033" cy="11574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12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Программы </a:t>
          </a:r>
          <a:r>
            <a:rPr lang="en-US" sz="1200" kern="1200">
              <a:latin typeface="Times New Roman" panose="02020603050405020304" pitchFamily="18" charset="0"/>
              <a:cs typeface="Times New Roman" panose="02020603050405020304" pitchFamily="18" charset="0"/>
            </a:rPr>
            <a:t>NDICI – Global Europe, </a:t>
          </a:r>
          <a:r>
            <a:rPr lang="ru-RU" sz="1200" kern="1200">
              <a:latin typeface="Times New Roman" panose="02020603050405020304" pitchFamily="18" charset="0"/>
              <a:cs typeface="Times New Roman" panose="02020603050405020304" pitchFamily="18" charset="0"/>
            </a:rPr>
            <a:t>структурированный диалог с региональными организациями</a:t>
          </a:r>
        </a:p>
      </dsp:txBody>
      <dsp:txXfrm>
        <a:off x="3437774" y="1678089"/>
        <a:ext cx="1415033" cy="1157432"/>
      </dsp:txXfrm>
    </dsp:sp>
    <dsp:sp modelId="{308BC837-A227-40FA-B708-5B6F216B4838}">
      <dsp:nvSpPr>
        <dsp:cNvPr id="0" name=""/>
        <dsp:cNvSpPr/>
      </dsp:nvSpPr>
      <dsp:spPr>
        <a:xfrm>
          <a:off x="3690882" y="2794060"/>
          <a:ext cx="937736" cy="3944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a:off x="3690882" y="2794060"/>
        <a:ext cx="937736" cy="39440"/>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D246BA-7617-4252-AF64-3A2C4AE05693}">
      <dsp:nvSpPr>
        <dsp:cNvPr id="0" name=""/>
        <dsp:cNvSpPr/>
      </dsp:nvSpPr>
      <dsp:spPr>
        <a:xfrm>
          <a:off x="2194559" y="1174"/>
          <a:ext cx="3291840" cy="635798"/>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Межинституциональные группы, годовые отчёты по правам человека, совместные стратегии</a:t>
          </a:r>
          <a:endParaRPr lang="ru-RU" sz="1200" kern="1200">
            <a:latin typeface="Times New Roman" panose="02020603050405020304" pitchFamily="18" charset="0"/>
            <a:cs typeface="Times New Roman" panose="02020603050405020304" pitchFamily="18" charset="0"/>
          </a:endParaRPr>
        </a:p>
      </dsp:txBody>
      <dsp:txXfrm>
        <a:off x="2194559" y="80649"/>
        <a:ext cx="3053416" cy="476848"/>
      </dsp:txXfrm>
    </dsp:sp>
    <dsp:sp modelId="{BB42FFEA-5CAB-4615-9E28-0A69A96F31CC}">
      <dsp:nvSpPr>
        <dsp:cNvPr id="0" name=""/>
        <dsp:cNvSpPr/>
      </dsp:nvSpPr>
      <dsp:spPr>
        <a:xfrm>
          <a:off x="0" y="1174"/>
          <a:ext cx="2194560" cy="63579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uk-UA" sz="1200" i="1" kern="1200">
              <a:latin typeface="Times New Roman" panose="02020603050405020304" pitchFamily="18" charset="0"/>
              <a:cs typeface="Times New Roman" panose="02020603050405020304" pitchFamily="18" charset="0"/>
            </a:rPr>
            <a:t>Внутренняя координация институтов ЕС</a:t>
          </a:r>
          <a:endParaRPr lang="ru-RU" sz="1200" i="1" kern="1200">
            <a:latin typeface="Times New Roman" panose="02020603050405020304" pitchFamily="18" charset="0"/>
            <a:cs typeface="Times New Roman" panose="02020603050405020304" pitchFamily="18" charset="0"/>
          </a:endParaRPr>
        </a:p>
      </dsp:txBody>
      <dsp:txXfrm>
        <a:off x="31037" y="32211"/>
        <a:ext cx="2132486" cy="573724"/>
      </dsp:txXfrm>
    </dsp:sp>
    <dsp:sp modelId="{F1242295-8F3B-468D-8988-80B3E07CDBC9}">
      <dsp:nvSpPr>
        <dsp:cNvPr id="0" name=""/>
        <dsp:cNvSpPr/>
      </dsp:nvSpPr>
      <dsp:spPr>
        <a:xfrm>
          <a:off x="2194559" y="700552"/>
          <a:ext cx="3291840" cy="635798"/>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Регулярные консультации, общие дипломатические инициативы</a:t>
          </a:r>
        </a:p>
      </dsp:txBody>
      <dsp:txXfrm>
        <a:off x="2194559" y="780027"/>
        <a:ext cx="3053416" cy="476848"/>
      </dsp:txXfrm>
    </dsp:sp>
    <dsp:sp modelId="{589F411E-3227-442E-8FC9-5718632E69B0}">
      <dsp:nvSpPr>
        <dsp:cNvPr id="0" name=""/>
        <dsp:cNvSpPr/>
      </dsp:nvSpPr>
      <dsp:spPr>
        <a:xfrm>
          <a:off x="0" y="700552"/>
          <a:ext cx="2194560" cy="63579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Сотрудничество с государствами-членами</a:t>
          </a:r>
        </a:p>
      </dsp:txBody>
      <dsp:txXfrm>
        <a:off x="31037" y="731589"/>
        <a:ext cx="2132486" cy="573724"/>
      </dsp:txXfrm>
    </dsp:sp>
    <dsp:sp modelId="{44D087D9-8F7B-4568-A9DD-FB94C3B77F0C}">
      <dsp:nvSpPr>
        <dsp:cNvPr id="0" name=""/>
        <dsp:cNvSpPr/>
      </dsp:nvSpPr>
      <dsp:spPr>
        <a:xfrm>
          <a:off x="2194559" y="1399929"/>
          <a:ext cx="3291840" cy="635798"/>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Совместные резолюции ООН, программы Совета Европы, участие в миссиях ОБСЕ</a:t>
          </a:r>
        </a:p>
      </dsp:txBody>
      <dsp:txXfrm>
        <a:off x="2194559" y="1479404"/>
        <a:ext cx="3053416" cy="476848"/>
      </dsp:txXfrm>
    </dsp:sp>
    <dsp:sp modelId="{FC3D2DD4-B605-4596-BE86-C28DA0618FA0}">
      <dsp:nvSpPr>
        <dsp:cNvPr id="0" name=""/>
        <dsp:cNvSpPr/>
      </dsp:nvSpPr>
      <dsp:spPr>
        <a:xfrm>
          <a:off x="0" y="1399929"/>
          <a:ext cx="2194560" cy="63579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Международные партнёрства</a:t>
          </a:r>
        </a:p>
      </dsp:txBody>
      <dsp:txXfrm>
        <a:off x="31037" y="1430966"/>
        <a:ext cx="2132486" cy="573724"/>
      </dsp:txXfrm>
    </dsp:sp>
    <dsp:sp modelId="{E128DCDA-B4CE-4A62-9013-CD914EECA34F}">
      <dsp:nvSpPr>
        <dsp:cNvPr id="0" name=""/>
        <dsp:cNvSpPr/>
      </dsp:nvSpPr>
      <dsp:spPr>
        <a:xfrm>
          <a:off x="2194559" y="2099307"/>
          <a:ext cx="3291840" cy="635798"/>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Дорожные карты, региональные стратегии, меморандумы о взаимопонимании</a:t>
          </a:r>
        </a:p>
      </dsp:txBody>
      <dsp:txXfrm>
        <a:off x="2194559" y="2178782"/>
        <a:ext cx="3053416" cy="476848"/>
      </dsp:txXfrm>
    </dsp:sp>
    <dsp:sp modelId="{4692F2EF-F817-4DDA-8B8C-C91EF708276C}">
      <dsp:nvSpPr>
        <dsp:cNvPr id="0" name=""/>
        <dsp:cNvSpPr/>
      </dsp:nvSpPr>
      <dsp:spPr>
        <a:xfrm>
          <a:off x="0" y="2099307"/>
          <a:ext cx="2194560" cy="63579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Региональная и национальная адаптация</a:t>
          </a:r>
        </a:p>
      </dsp:txBody>
      <dsp:txXfrm>
        <a:off x="31037" y="2130344"/>
        <a:ext cx="2132486" cy="573724"/>
      </dsp:txXfrm>
    </dsp:sp>
    <dsp:sp modelId="{64442D72-0003-4860-8F97-A65FF56DF7AA}">
      <dsp:nvSpPr>
        <dsp:cNvPr id="0" name=""/>
        <dsp:cNvSpPr/>
      </dsp:nvSpPr>
      <dsp:spPr>
        <a:xfrm>
          <a:off x="2194559" y="2798685"/>
          <a:ext cx="3291840" cy="635798"/>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Грантовые программы, платформы для НПО, инициативы по ответственным цепочкам поставок</a:t>
          </a:r>
        </a:p>
      </dsp:txBody>
      <dsp:txXfrm>
        <a:off x="2194559" y="2878160"/>
        <a:ext cx="3053416" cy="476848"/>
      </dsp:txXfrm>
    </dsp:sp>
    <dsp:sp modelId="{B61CF557-B531-4E83-AE00-AF16741494A0}">
      <dsp:nvSpPr>
        <dsp:cNvPr id="0" name=""/>
        <dsp:cNvSpPr/>
      </dsp:nvSpPr>
      <dsp:spPr>
        <a:xfrm>
          <a:off x="0" y="2798685"/>
          <a:ext cx="2194560" cy="63579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Роль гражданского общества и частного сектора</a:t>
          </a:r>
        </a:p>
      </dsp:txBody>
      <dsp:txXfrm>
        <a:off x="31037" y="2829722"/>
        <a:ext cx="2132486" cy="573724"/>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22CC9F-EB58-4C0B-82C6-3F4C67A8671D}">
      <dsp:nvSpPr>
        <dsp:cNvPr id="0" name=""/>
        <dsp:cNvSpPr/>
      </dsp:nvSpPr>
      <dsp:spPr>
        <a:xfrm>
          <a:off x="1977953" y="3923110"/>
          <a:ext cx="618182" cy="419524"/>
        </a:xfrm>
        <a:custGeom>
          <a:avLst/>
          <a:gdLst/>
          <a:ahLst/>
          <a:cxnLst/>
          <a:rect l="0" t="0" r="0" b="0"/>
          <a:pathLst>
            <a:path>
              <a:moveTo>
                <a:pt x="0" y="0"/>
              </a:moveTo>
              <a:lnTo>
                <a:pt x="517909" y="0"/>
              </a:lnTo>
              <a:lnTo>
                <a:pt x="517909" y="419524"/>
              </a:lnTo>
              <a:lnTo>
                <a:pt x="618182" y="41952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1CD8D8-56CA-4D74-A21D-FEFF3ACE76CF}">
      <dsp:nvSpPr>
        <dsp:cNvPr id="0" name=""/>
        <dsp:cNvSpPr/>
      </dsp:nvSpPr>
      <dsp:spPr>
        <a:xfrm>
          <a:off x="1977953" y="3848158"/>
          <a:ext cx="625522" cy="91440"/>
        </a:xfrm>
        <a:custGeom>
          <a:avLst/>
          <a:gdLst/>
          <a:ahLst/>
          <a:cxnLst/>
          <a:rect l="0" t="0" r="0" b="0"/>
          <a:pathLst>
            <a:path>
              <a:moveTo>
                <a:pt x="0" y="74951"/>
              </a:moveTo>
              <a:lnTo>
                <a:pt x="525249" y="74951"/>
              </a:lnTo>
              <a:lnTo>
                <a:pt x="525249" y="45720"/>
              </a:lnTo>
              <a:lnTo>
                <a:pt x="625522"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30BE2C-A983-4213-B0FB-663502723BE8}">
      <dsp:nvSpPr>
        <dsp:cNvPr id="0" name=""/>
        <dsp:cNvSpPr/>
      </dsp:nvSpPr>
      <dsp:spPr>
        <a:xfrm>
          <a:off x="1977953" y="3470711"/>
          <a:ext cx="610742" cy="452398"/>
        </a:xfrm>
        <a:custGeom>
          <a:avLst/>
          <a:gdLst/>
          <a:ahLst/>
          <a:cxnLst/>
          <a:rect l="0" t="0" r="0" b="0"/>
          <a:pathLst>
            <a:path>
              <a:moveTo>
                <a:pt x="0" y="452398"/>
              </a:moveTo>
              <a:lnTo>
                <a:pt x="510469" y="452398"/>
              </a:lnTo>
              <a:lnTo>
                <a:pt x="510469" y="0"/>
              </a:lnTo>
              <a:lnTo>
                <a:pt x="610742"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0CABE5-9B38-471C-8992-3A891103FC44}">
      <dsp:nvSpPr>
        <dsp:cNvPr id="0" name=""/>
        <dsp:cNvSpPr/>
      </dsp:nvSpPr>
      <dsp:spPr>
        <a:xfrm>
          <a:off x="633619" y="2283808"/>
          <a:ext cx="91440" cy="1639302"/>
        </a:xfrm>
        <a:custGeom>
          <a:avLst/>
          <a:gdLst/>
          <a:ahLst/>
          <a:cxnLst/>
          <a:rect l="0" t="0" r="0" b="0"/>
          <a:pathLst>
            <a:path>
              <a:moveTo>
                <a:pt x="45720" y="0"/>
              </a:moveTo>
              <a:lnTo>
                <a:pt x="45720" y="1639302"/>
              </a:lnTo>
              <a:lnTo>
                <a:pt x="135192" y="16393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41847D-5A07-452F-9E11-1ACF4DE13530}">
      <dsp:nvSpPr>
        <dsp:cNvPr id="0" name=""/>
        <dsp:cNvSpPr/>
      </dsp:nvSpPr>
      <dsp:spPr>
        <a:xfrm>
          <a:off x="2226489" y="2281417"/>
          <a:ext cx="290901" cy="676861"/>
        </a:xfrm>
        <a:custGeom>
          <a:avLst/>
          <a:gdLst/>
          <a:ahLst/>
          <a:cxnLst/>
          <a:rect l="0" t="0" r="0" b="0"/>
          <a:pathLst>
            <a:path>
              <a:moveTo>
                <a:pt x="0" y="0"/>
              </a:moveTo>
              <a:lnTo>
                <a:pt x="190628" y="0"/>
              </a:lnTo>
              <a:lnTo>
                <a:pt x="190628" y="676861"/>
              </a:lnTo>
              <a:lnTo>
                <a:pt x="290901" y="67686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D1784E-4DB9-48A5-B647-1191A015B1CD}">
      <dsp:nvSpPr>
        <dsp:cNvPr id="0" name=""/>
        <dsp:cNvSpPr/>
      </dsp:nvSpPr>
      <dsp:spPr>
        <a:xfrm>
          <a:off x="2226489" y="2234475"/>
          <a:ext cx="323931" cy="91440"/>
        </a:xfrm>
        <a:custGeom>
          <a:avLst/>
          <a:gdLst/>
          <a:ahLst/>
          <a:cxnLst/>
          <a:rect l="0" t="0" r="0" b="0"/>
          <a:pathLst>
            <a:path>
              <a:moveTo>
                <a:pt x="0" y="46941"/>
              </a:moveTo>
              <a:lnTo>
                <a:pt x="223658" y="46941"/>
              </a:lnTo>
              <a:lnTo>
                <a:pt x="223658" y="45720"/>
              </a:lnTo>
              <a:lnTo>
                <a:pt x="323931"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6D8809-17C3-4AA0-AEA4-E5BDAC9FC01F}">
      <dsp:nvSpPr>
        <dsp:cNvPr id="0" name=""/>
        <dsp:cNvSpPr/>
      </dsp:nvSpPr>
      <dsp:spPr>
        <a:xfrm>
          <a:off x="2226489" y="1685701"/>
          <a:ext cx="295303" cy="595716"/>
        </a:xfrm>
        <a:custGeom>
          <a:avLst/>
          <a:gdLst/>
          <a:ahLst/>
          <a:cxnLst/>
          <a:rect l="0" t="0" r="0" b="0"/>
          <a:pathLst>
            <a:path>
              <a:moveTo>
                <a:pt x="0" y="595716"/>
              </a:moveTo>
              <a:lnTo>
                <a:pt x="195030" y="595716"/>
              </a:lnTo>
              <a:lnTo>
                <a:pt x="195030" y="0"/>
              </a:lnTo>
              <a:lnTo>
                <a:pt x="295303"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418D3A-2DF4-410D-ACC6-9AAD8CE32B3B}">
      <dsp:nvSpPr>
        <dsp:cNvPr id="0" name=""/>
        <dsp:cNvSpPr/>
      </dsp:nvSpPr>
      <dsp:spPr>
        <a:xfrm>
          <a:off x="679339" y="2235697"/>
          <a:ext cx="219978" cy="91440"/>
        </a:xfrm>
        <a:custGeom>
          <a:avLst/>
          <a:gdLst/>
          <a:ahLst/>
          <a:cxnLst/>
          <a:rect l="0" t="0" r="0" b="0"/>
          <a:pathLst>
            <a:path>
              <a:moveTo>
                <a:pt x="0" y="48110"/>
              </a:moveTo>
              <a:lnTo>
                <a:pt x="119705" y="48110"/>
              </a:lnTo>
              <a:lnTo>
                <a:pt x="119705" y="45720"/>
              </a:lnTo>
              <a:lnTo>
                <a:pt x="219978"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E0CBCD-3A79-4D87-9D91-69A15CE7AD65}">
      <dsp:nvSpPr>
        <dsp:cNvPr id="0" name=""/>
        <dsp:cNvSpPr/>
      </dsp:nvSpPr>
      <dsp:spPr>
        <a:xfrm>
          <a:off x="1856382" y="404747"/>
          <a:ext cx="618443" cy="742748"/>
        </a:xfrm>
        <a:custGeom>
          <a:avLst/>
          <a:gdLst/>
          <a:ahLst/>
          <a:cxnLst/>
          <a:rect l="0" t="0" r="0" b="0"/>
          <a:pathLst>
            <a:path>
              <a:moveTo>
                <a:pt x="0" y="0"/>
              </a:moveTo>
              <a:lnTo>
                <a:pt x="518170" y="0"/>
              </a:lnTo>
              <a:lnTo>
                <a:pt x="518170" y="742748"/>
              </a:lnTo>
              <a:lnTo>
                <a:pt x="618443" y="7427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AA4A49-5A86-4D22-9869-6D0A02AC0DC6}">
      <dsp:nvSpPr>
        <dsp:cNvPr id="0" name=""/>
        <dsp:cNvSpPr/>
      </dsp:nvSpPr>
      <dsp:spPr>
        <a:xfrm>
          <a:off x="1856382" y="404747"/>
          <a:ext cx="618443" cy="225864"/>
        </a:xfrm>
        <a:custGeom>
          <a:avLst/>
          <a:gdLst/>
          <a:ahLst/>
          <a:cxnLst/>
          <a:rect l="0" t="0" r="0" b="0"/>
          <a:pathLst>
            <a:path>
              <a:moveTo>
                <a:pt x="0" y="0"/>
              </a:moveTo>
              <a:lnTo>
                <a:pt x="518170" y="0"/>
              </a:lnTo>
              <a:lnTo>
                <a:pt x="518170" y="225864"/>
              </a:lnTo>
              <a:lnTo>
                <a:pt x="618443" y="2258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BBA437-B1EA-432F-8DEE-334255B8A763}">
      <dsp:nvSpPr>
        <dsp:cNvPr id="0" name=""/>
        <dsp:cNvSpPr/>
      </dsp:nvSpPr>
      <dsp:spPr>
        <a:xfrm>
          <a:off x="1856382" y="155243"/>
          <a:ext cx="618443" cy="249503"/>
        </a:xfrm>
        <a:custGeom>
          <a:avLst/>
          <a:gdLst/>
          <a:ahLst/>
          <a:cxnLst/>
          <a:rect l="0" t="0" r="0" b="0"/>
          <a:pathLst>
            <a:path>
              <a:moveTo>
                <a:pt x="0" y="249503"/>
              </a:moveTo>
              <a:lnTo>
                <a:pt x="518170" y="249503"/>
              </a:lnTo>
              <a:lnTo>
                <a:pt x="518170" y="0"/>
              </a:lnTo>
              <a:lnTo>
                <a:pt x="618443"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FD138D2-71CC-43B5-8AC1-00DBD5CC4087}">
      <dsp:nvSpPr>
        <dsp:cNvPr id="0" name=""/>
        <dsp:cNvSpPr/>
      </dsp:nvSpPr>
      <dsp:spPr>
        <a:xfrm>
          <a:off x="633619" y="404747"/>
          <a:ext cx="91440" cy="1879061"/>
        </a:xfrm>
        <a:custGeom>
          <a:avLst/>
          <a:gdLst/>
          <a:ahLst/>
          <a:cxnLst/>
          <a:rect l="0" t="0" r="0" b="0"/>
          <a:pathLst>
            <a:path>
              <a:moveTo>
                <a:pt x="45720" y="1879061"/>
              </a:moveTo>
              <a:lnTo>
                <a:pt x="45720" y="0"/>
              </a:lnTo>
              <a:lnTo>
                <a:pt x="7344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BF83DF7-DDA3-4CCD-B135-DC967D89EBAA}">
      <dsp:nvSpPr>
        <dsp:cNvPr id="0" name=""/>
        <dsp:cNvSpPr/>
      </dsp:nvSpPr>
      <dsp:spPr>
        <a:xfrm>
          <a:off x="0" y="2130891"/>
          <a:ext cx="679339" cy="3058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1" kern="1200">
              <a:latin typeface="Times New Roman" panose="02020603050405020304" pitchFamily="18" charset="0"/>
              <a:cs typeface="Times New Roman" panose="02020603050405020304" pitchFamily="18" charset="0"/>
            </a:rPr>
            <a:t>ОСИ ОЦЕНКИ</a:t>
          </a:r>
        </a:p>
      </dsp:txBody>
      <dsp:txXfrm>
        <a:off x="0" y="2130891"/>
        <a:ext cx="679339" cy="305832"/>
      </dsp:txXfrm>
    </dsp:sp>
    <dsp:sp modelId="{81086E3E-9B69-4A79-A62D-6FE3D299F81B}">
      <dsp:nvSpPr>
        <dsp:cNvPr id="0" name=""/>
        <dsp:cNvSpPr/>
      </dsp:nvSpPr>
      <dsp:spPr>
        <a:xfrm>
          <a:off x="707063" y="97368"/>
          <a:ext cx="1149318" cy="61475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Уровень вовлечённости гражданского общества</a:t>
          </a:r>
        </a:p>
      </dsp:txBody>
      <dsp:txXfrm>
        <a:off x="707063" y="97368"/>
        <a:ext cx="1149318" cy="614756"/>
      </dsp:txXfrm>
    </dsp:sp>
    <dsp:sp modelId="{8EC55A1D-D1E7-490F-BB78-36C69800C150}">
      <dsp:nvSpPr>
        <dsp:cNvPr id="0" name=""/>
        <dsp:cNvSpPr/>
      </dsp:nvSpPr>
      <dsp:spPr>
        <a:xfrm>
          <a:off x="2474825" y="2327"/>
          <a:ext cx="2704170" cy="3058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число привлечённых неправительственных организаций</a:t>
          </a:r>
        </a:p>
      </dsp:txBody>
      <dsp:txXfrm>
        <a:off x="2474825" y="2327"/>
        <a:ext cx="2704170" cy="305832"/>
      </dsp:txXfrm>
    </dsp:sp>
    <dsp:sp modelId="{1063F7C5-7107-4733-97E3-CFFBB9B8FDA0}">
      <dsp:nvSpPr>
        <dsp:cNvPr id="0" name=""/>
        <dsp:cNvSpPr/>
      </dsp:nvSpPr>
      <dsp:spPr>
        <a:xfrm>
          <a:off x="2474825" y="433501"/>
          <a:ext cx="2783196" cy="39422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наличие формализованных механизмов взаимодействия (дорожные карты, платформы)</a:t>
          </a:r>
        </a:p>
      </dsp:txBody>
      <dsp:txXfrm>
        <a:off x="2474825" y="433501"/>
        <a:ext cx="2783196" cy="394221"/>
      </dsp:txXfrm>
    </dsp:sp>
    <dsp:sp modelId="{387AD806-A3D7-4EFA-A2BC-3983400269D5}">
      <dsp:nvSpPr>
        <dsp:cNvPr id="0" name=""/>
        <dsp:cNvSpPr/>
      </dsp:nvSpPr>
      <dsp:spPr>
        <a:xfrm>
          <a:off x="2474825" y="953063"/>
          <a:ext cx="2730863" cy="3888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степень влияния гражданского сектора на содержание реформ</a:t>
          </a:r>
        </a:p>
      </dsp:txBody>
      <dsp:txXfrm>
        <a:off x="2474825" y="953063"/>
        <a:ext cx="2730863" cy="388862"/>
      </dsp:txXfrm>
    </dsp:sp>
    <dsp:sp modelId="{418CA644-EA3E-4A06-82F1-D923F347946A}">
      <dsp:nvSpPr>
        <dsp:cNvPr id="0" name=""/>
        <dsp:cNvSpPr/>
      </dsp:nvSpPr>
      <dsp:spPr>
        <a:xfrm>
          <a:off x="899317" y="2041063"/>
          <a:ext cx="1327172" cy="4807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Реакция государственных институтов</a:t>
          </a:r>
        </a:p>
      </dsp:txBody>
      <dsp:txXfrm>
        <a:off x="899317" y="2041063"/>
        <a:ext cx="1327172" cy="480707"/>
      </dsp:txXfrm>
    </dsp:sp>
    <dsp:sp modelId="{934FA03B-0276-43FF-9954-F1269CB640BC}">
      <dsp:nvSpPr>
        <dsp:cNvPr id="0" name=""/>
        <dsp:cNvSpPr/>
      </dsp:nvSpPr>
      <dsp:spPr>
        <a:xfrm>
          <a:off x="2521793" y="1470427"/>
          <a:ext cx="2868357" cy="4305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фактическое исполнение обязательств по Соглашению о расширенном партнёрстве и сотрудничестве</a:t>
          </a:r>
        </a:p>
      </dsp:txBody>
      <dsp:txXfrm>
        <a:off x="2521793" y="1470427"/>
        <a:ext cx="2868357" cy="430547"/>
      </dsp:txXfrm>
    </dsp:sp>
    <dsp:sp modelId="{07D02B6D-4C86-4786-BB73-4B6D35F97D4F}">
      <dsp:nvSpPr>
        <dsp:cNvPr id="0" name=""/>
        <dsp:cNvSpPr/>
      </dsp:nvSpPr>
      <dsp:spPr>
        <a:xfrm>
          <a:off x="2550421" y="1979514"/>
          <a:ext cx="2926325" cy="60136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уровень имплементации рекомендаций международных механизмов (</a:t>
          </a:r>
          <a:r>
            <a:rPr lang="en-US" sz="1100" kern="1200">
              <a:latin typeface="Times New Roman" panose="02020603050405020304" pitchFamily="18" charset="0"/>
              <a:cs typeface="Times New Roman" panose="02020603050405020304" pitchFamily="18" charset="0"/>
            </a:rPr>
            <a:t>UPR – </a:t>
          </a:r>
          <a:r>
            <a:rPr lang="ru-RU" sz="1100" kern="1200">
              <a:latin typeface="Times New Roman" panose="02020603050405020304" pitchFamily="18" charset="0"/>
              <a:cs typeface="Times New Roman" panose="02020603050405020304" pitchFamily="18" charset="0"/>
            </a:rPr>
            <a:t>Универсальный периодический обзор, ООН; ЕСПЧ – Европейский суд по правам человека)</a:t>
          </a:r>
        </a:p>
      </dsp:txBody>
      <dsp:txXfrm>
        <a:off x="2550421" y="1979514"/>
        <a:ext cx="2926325" cy="601361"/>
      </dsp:txXfrm>
    </dsp:sp>
    <dsp:sp modelId="{2585843E-0C8D-4099-9D4F-D994BC6E5787}">
      <dsp:nvSpPr>
        <dsp:cNvPr id="0" name=""/>
        <dsp:cNvSpPr/>
      </dsp:nvSpPr>
      <dsp:spPr>
        <a:xfrm>
          <a:off x="2517391" y="2721802"/>
          <a:ext cx="2969643" cy="4729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прозрачность отчётности и готовность к институциональному взаимодействию с внешними структурами</a:t>
          </a:r>
        </a:p>
      </dsp:txBody>
      <dsp:txXfrm>
        <a:off x="2517391" y="2721802"/>
        <a:ext cx="2969643" cy="472951"/>
      </dsp:txXfrm>
    </dsp:sp>
    <dsp:sp modelId="{E3B68AB0-BB78-4DBF-89B3-BB6229F6D27E}">
      <dsp:nvSpPr>
        <dsp:cNvPr id="0" name=""/>
        <dsp:cNvSpPr/>
      </dsp:nvSpPr>
      <dsp:spPr>
        <a:xfrm>
          <a:off x="768812" y="3628000"/>
          <a:ext cx="1209141" cy="59022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Эффективность программной и финансовой поддержки</a:t>
          </a:r>
        </a:p>
      </dsp:txBody>
      <dsp:txXfrm>
        <a:off x="768812" y="3628000"/>
        <a:ext cx="1209141" cy="590220"/>
      </dsp:txXfrm>
    </dsp:sp>
    <dsp:sp modelId="{A1D9E9B8-717F-4BF2-9823-4EB1CDD10B8D}">
      <dsp:nvSpPr>
        <dsp:cNvPr id="0" name=""/>
        <dsp:cNvSpPr/>
      </dsp:nvSpPr>
      <dsp:spPr>
        <a:xfrm>
          <a:off x="2588695" y="3317795"/>
          <a:ext cx="2892904" cy="3058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широта географического и социального охвата</a:t>
          </a:r>
        </a:p>
      </dsp:txBody>
      <dsp:txXfrm>
        <a:off x="2588695" y="3317795"/>
        <a:ext cx="2892904" cy="305832"/>
      </dsp:txXfrm>
    </dsp:sp>
    <dsp:sp modelId="{BF935140-3510-47CF-9B05-C1CC1813F2F8}">
      <dsp:nvSpPr>
        <dsp:cNvPr id="0" name=""/>
        <dsp:cNvSpPr/>
      </dsp:nvSpPr>
      <dsp:spPr>
        <a:xfrm>
          <a:off x="2603476" y="3740962"/>
          <a:ext cx="2856184" cy="3058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соответствие профинансированных инициатив стратегическим целям Плана действий</a:t>
          </a:r>
        </a:p>
      </dsp:txBody>
      <dsp:txXfrm>
        <a:off x="2603476" y="3740962"/>
        <a:ext cx="2856184" cy="305832"/>
      </dsp:txXfrm>
    </dsp:sp>
    <dsp:sp modelId="{40B9ACF7-2C10-4D89-BBC7-3283DE0BC1B9}">
      <dsp:nvSpPr>
        <dsp:cNvPr id="0" name=""/>
        <dsp:cNvSpPr/>
      </dsp:nvSpPr>
      <dsp:spPr>
        <a:xfrm>
          <a:off x="2596136" y="4189718"/>
          <a:ext cx="2773970" cy="30583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устойчивость результатов после завершения внешнего финансирования</a:t>
          </a:r>
        </a:p>
      </dsp:txBody>
      <dsp:txXfrm>
        <a:off x="2596136" y="4189718"/>
        <a:ext cx="2773970" cy="305832"/>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2B8E00-E747-4841-AF5C-BADB2A6BDCB4}">
      <dsp:nvSpPr>
        <dsp:cNvPr id="0" name=""/>
        <dsp:cNvSpPr/>
      </dsp:nvSpPr>
      <dsp:spPr>
        <a:xfrm>
          <a:off x="2864607" y="758741"/>
          <a:ext cx="2115906" cy="473998"/>
        </a:xfrm>
        <a:custGeom>
          <a:avLst/>
          <a:gdLst/>
          <a:ahLst/>
          <a:cxnLst/>
          <a:rect l="0" t="0" r="0" b="0"/>
          <a:pathLst>
            <a:path>
              <a:moveTo>
                <a:pt x="0" y="0"/>
              </a:moveTo>
              <a:lnTo>
                <a:pt x="0" y="410610"/>
              </a:lnTo>
              <a:lnTo>
                <a:pt x="2115906" y="410610"/>
              </a:lnTo>
              <a:lnTo>
                <a:pt x="2115906" y="473998"/>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9F6B65-6627-44ED-9C28-A6D3C0F287BE}">
      <dsp:nvSpPr>
        <dsp:cNvPr id="0" name=""/>
        <dsp:cNvSpPr/>
      </dsp:nvSpPr>
      <dsp:spPr>
        <a:xfrm>
          <a:off x="2741795" y="2037188"/>
          <a:ext cx="1789602" cy="401203"/>
        </a:xfrm>
        <a:custGeom>
          <a:avLst/>
          <a:gdLst/>
          <a:ahLst/>
          <a:cxnLst/>
          <a:rect l="0" t="0" r="0" b="0"/>
          <a:pathLst>
            <a:path>
              <a:moveTo>
                <a:pt x="0" y="0"/>
              </a:moveTo>
              <a:lnTo>
                <a:pt x="0" y="337815"/>
              </a:lnTo>
              <a:lnTo>
                <a:pt x="1789602" y="337815"/>
              </a:lnTo>
              <a:lnTo>
                <a:pt x="1789602" y="401203"/>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5802D8-BF2B-4920-B1BF-55A0E017221B}">
      <dsp:nvSpPr>
        <dsp:cNvPr id="0" name=""/>
        <dsp:cNvSpPr/>
      </dsp:nvSpPr>
      <dsp:spPr>
        <a:xfrm>
          <a:off x="1601967" y="2037188"/>
          <a:ext cx="1139828" cy="392808"/>
        </a:xfrm>
        <a:custGeom>
          <a:avLst/>
          <a:gdLst/>
          <a:ahLst/>
          <a:cxnLst/>
          <a:rect l="0" t="0" r="0" b="0"/>
          <a:pathLst>
            <a:path>
              <a:moveTo>
                <a:pt x="1139828" y="0"/>
              </a:moveTo>
              <a:lnTo>
                <a:pt x="1139828" y="329420"/>
              </a:lnTo>
              <a:lnTo>
                <a:pt x="0" y="329420"/>
              </a:lnTo>
              <a:lnTo>
                <a:pt x="0" y="392808"/>
              </a:lnTo>
            </a:path>
          </a:pathLst>
        </a:custGeom>
        <a:no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9C4917-1928-41EA-AC01-A36C65585A44}">
      <dsp:nvSpPr>
        <dsp:cNvPr id="0" name=""/>
        <dsp:cNvSpPr/>
      </dsp:nvSpPr>
      <dsp:spPr>
        <a:xfrm>
          <a:off x="2741795" y="758741"/>
          <a:ext cx="122811" cy="527911"/>
        </a:xfrm>
        <a:custGeom>
          <a:avLst/>
          <a:gdLst/>
          <a:ahLst/>
          <a:cxnLst/>
          <a:rect l="0" t="0" r="0" b="0"/>
          <a:pathLst>
            <a:path>
              <a:moveTo>
                <a:pt x="122811" y="0"/>
              </a:moveTo>
              <a:lnTo>
                <a:pt x="122811" y="464523"/>
              </a:lnTo>
              <a:lnTo>
                <a:pt x="0" y="464523"/>
              </a:lnTo>
              <a:lnTo>
                <a:pt x="0" y="527911"/>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261AAC-F851-4A33-9BA9-C7C9C646CE26}">
      <dsp:nvSpPr>
        <dsp:cNvPr id="0" name=""/>
        <dsp:cNvSpPr/>
      </dsp:nvSpPr>
      <dsp:spPr>
        <a:xfrm>
          <a:off x="677598" y="758741"/>
          <a:ext cx="2187009" cy="469775"/>
        </a:xfrm>
        <a:custGeom>
          <a:avLst/>
          <a:gdLst/>
          <a:ahLst/>
          <a:cxnLst/>
          <a:rect l="0" t="0" r="0" b="0"/>
          <a:pathLst>
            <a:path>
              <a:moveTo>
                <a:pt x="2187009" y="0"/>
              </a:moveTo>
              <a:lnTo>
                <a:pt x="2187009" y="406387"/>
              </a:lnTo>
              <a:lnTo>
                <a:pt x="0" y="406387"/>
              </a:lnTo>
              <a:lnTo>
                <a:pt x="0" y="469775"/>
              </a:lnTo>
            </a:path>
          </a:pathLst>
        </a:custGeom>
        <a:no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8288A7-666E-4F55-A27A-D536929B545E}">
      <dsp:nvSpPr>
        <dsp:cNvPr id="0" name=""/>
        <dsp:cNvSpPr/>
      </dsp:nvSpPr>
      <dsp:spPr>
        <a:xfrm>
          <a:off x="1920625" y="46571"/>
          <a:ext cx="1887965" cy="712169"/>
        </a:xfrm>
        <a:prstGeom prst="roundRect">
          <a:avLst>
            <a:gd name="adj" fmla="val 10000"/>
          </a:avLst>
        </a:prstGeom>
        <a:solidFill>
          <a:schemeClr val="accent3">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77B4411-CAD7-4BFD-A92D-B404521974AD}">
      <dsp:nvSpPr>
        <dsp:cNvPr id="0" name=""/>
        <dsp:cNvSpPr/>
      </dsp:nvSpPr>
      <dsp:spPr>
        <a:xfrm>
          <a:off x="1996652" y="118797"/>
          <a:ext cx="1887965" cy="712169"/>
        </a:xfrm>
        <a:prstGeom prst="roundRect">
          <a:avLst>
            <a:gd name="adj" fmla="val 10000"/>
          </a:avLst>
        </a:prstGeom>
        <a:solidFill>
          <a:schemeClr val="lt1">
            <a:alpha val="90000"/>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0" i="1" kern="1200">
              <a:latin typeface="Times New Roman" panose="02020603050405020304" pitchFamily="18" charset="0"/>
              <a:cs typeface="Times New Roman" panose="02020603050405020304" pitchFamily="18" charset="0"/>
            </a:rPr>
            <a:t>NDICI – Глобальная Европа</a:t>
          </a:r>
          <a:endParaRPr lang="ru-RU" sz="1100" b="0" i="1" kern="1200">
            <a:latin typeface="Times New Roman" panose="02020603050405020304" pitchFamily="18" charset="0"/>
            <a:cs typeface="Times New Roman" panose="02020603050405020304" pitchFamily="18" charset="0"/>
          </a:endParaRPr>
        </a:p>
      </dsp:txBody>
      <dsp:txXfrm>
        <a:off x="2017511" y="139656"/>
        <a:ext cx="1846247" cy="670451"/>
      </dsp:txXfrm>
    </dsp:sp>
    <dsp:sp modelId="{1279335D-6809-4544-84EC-BDEC91CF4BB8}">
      <dsp:nvSpPr>
        <dsp:cNvPr id="0" name=""/>
        <dsp:cNvSpPr/>
      </dsp:nvSpPr>
      <dsp:spPr>
        <a:xfrm>
          <a:off x="-76027" y="1228516"/>
          <a:ext cx="1507250" cy="876066"/>
        </a:xfrm>
        <a:prstGeom prst="roundRect">
          <a:avLst>
            <a:gd name="adj" fmla="val 10000"/>
          </a:avLst>
        </a:prstGeom>
        <a:solidFill>
          <a:schemeClr val="accent3">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BBFD8C-A390-4655-8E73-91846D4F35FC}">
      <dsp:nvSpPr>
        <dsp:cNvPr id="0" name=""/>
        <dsp:cNvSpPr/>
      </dsp:nvSpPr>
      <dsp:spPr>
        <a:xfrm>
          <a:off x="0" y="1300742"/>
          <a:ext cx="1507250" cy="876066"/>
        </a:xfrm>
        <a:prstGeom prst="roundRect">
          <a:avLst>
            <a:gd name="adj" fmla="val 10000"/>
          </a:avLst>
        </a:prstGeom>
        <a:solidFill>
          <a:schemeClr val="lt1">
            <a:alpha val="90000"/>
            <a:hueOff val="0"/>
            <a:satOff val="0"/>
            <a:lumOff val="0"/>
            <a:alphaOff val="0"/>
          </a:schemeClr>
        </a:solid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Развитие человеческого капитала ≈ 20%</a:t>
          </a:r>
        </a:p>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Образование, здравоохранение, социальная защита</a:t>
          </a:r>
        </a:p>
      </dsp:txBody>
      <dsp:txXfrm>
        <a:off x="25659" y="1326401"/>
        <a:ext cx="1455932" cy="824748"/>
      </dsp:txXfrm>
    </dsp:sp>
    <dsp:sp modelId="{1B875523-5D77-45AE-8BE3-4202549CEAFE}">
      <dsp:nvSpPr>
        <dsp:cNvPr id="0" name=""/>
        <dsp:cNvSpPr/>
      </dsp:nvSpPr>
      <dsp:spPr>
        <a:xfrm>
          <a:off x="1646468" y="1286652"/>
          <a:ext cx="2190655" cy="750535"/>
        </a:xfrm>
        <a:prstGeom prst="roundRect">
          <a:avLst>
            <a:gd name="adj" fmla="val 10000"/>
          </a:avLst>
        </a:prstGeom>
        <a:solidFill>
          <a:schemeClr val="accent3">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ECE9A5-993F-4A08-BEDA-EB4F8489BD9C}">
      <dsp:nvSpPr>
        <dsp:cNvPr id="0" name=""/>
        <dsp:cNvSpPr/>
      </dsp:nvSpPr>
      <dsp:spPr>
        <a:xfrm>
          <a:off x="1722495" y="1358878"/>
          <a:ext cx="2190655" cy="750535"/>
        </a:xfrm>
        <a:prstGeom prst="roundRect">
          <a:avLst>
            <a:gd name="adj" fmla="val 10000"/>
          </a:avLst>
        </a:prstGeom>
        <a:solidFill>
          <a:schemeClr val="lt1">
            <a:alpha val="90000"/>
            <a:hueOff val="0"/>
            <a:satOff val="0"/>
            <a:lumOff val="0"/>
            <a:alphaOff val="0"/>
          </a:schemeClr>
        </a:solid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Климатическая устойчивость более 30%	              </a:t>
          </a:r>
        </a:p>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Поддержка «зелёного курса», инвестиции в климатические проекты</a:t>
          </a:r>
        </a:p>
      </dsp:txBody>
      <dsp:txXfrm>
        <a:off x="1744477" y="1380860"/>
        <a:ext cx="2146691" cy="706571"/>
      </dsp:txXfrm>
    </dsp:sp>
    <dsp:sp modelId="{3BBA5FB1-312A-45BD-A3FD-AB19A1318A46}">
      <dsp:nvSpPr>
        <dsp:cNvPr id="0" name=""/>
        <dsp:cNvSpPr/>
      </dsp:nvSpPr>
      <dsp:spPr>
        <a:xfrm>
          <a:off x="397437" y="2429997"/>
          <a:ext cx="2409059" cy="1058667"/>
        </a:xfrm>
        <a:prstGeom prst="roundRect">
          <a:avLst>
            <a:gd name="adj" fmla="val 10000"/>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95A034A-03D3-4A0F-BD8E-94EEA3169C39}">
      <dsp:nvSpPr>
        <dsp:cNvPr id="0" name=""/>
        <dsp:cNvSpPr/>
      </dsp:nvSpPr>
      <dsp:spPr>
        <a:xfrm>
          <a:off x="473464" y="2502223"/>
          <a:ext cx="2409059" cy="1058667"/>
        </a:xfrm>
        <a:prstGeom prst="roundRect">
          <a:avLst>
            <a:gd name="adj" fmla="val 10000"/>
          </a:avLst>
        </a:prstGeom>
        <a:solidFill>
          <a:schemeClr val="lt1">
            <a:alpha val="90000"/>
            <a:hueOff val="0"/>
            <a:satOff val="0"/>
            <a:lumOff val="0"/>
            <a:alphaOff val="0"/>
          </a:schemeClr>
        </a:solid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Гендерная сбалансированность	</a:t>
          </a:r>
        </a:p>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 85% всех проектов</a:t>
          </a:r>
        </a:p>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Интеграция принципов гендерного равенства в разработку и реализацию программ</a:t>
          </a:r>
        </a:p>
      </dsp:txBody>
      <dsp:txXfrm>
        <a:off x="504471" y="2533230"/>
        <a:ext cx="2347045" cy="996653"/>
      </dsp:txXfrm>
    </dsp:sp>
    <dsp:sp modelId="{92D8463C-E66B-4BA3-B573-95D298BF241B}">
      <dsp:nvSpPr>
        <dsp:cNvPr id="0" name=""/>
        <dsp:cNvSpPr/>
      </dsp:nvSpPr>
      <dsp:spPr>
        <a:xfrm>
          <a:off x="3370659" y="2438391"/>
          <a:ext cx="2321476" cy="991459"/>
        </a:xfrm>
        <a:prstGeom prst="roundRect">
          <a:avLst>
            <a:gd name="adj" fmla="val 10000"/>
          </a:avLst>
        </a:prstGeom>
        <a:solidFill>
          <a:schemeClr val="accent3">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8F252AC-30C5-4E0C-9E89-FB626AF7847E}">
      <dsp:nvSpPr>
        <dsp:cNvPr id="0" name=""/>
        <dsp:cNvSpPr/>
      </dsp:nvSpPr>
      <dsp:spPr>
        <a:xfrm>
          <a:off x="3446687" y="2510617"/>
          <a:ext cx="2321476" cy="991459"/>
        </a:xfrm>
        <a:prstGeom prst="roundRect">
          <a:avLst>
            <a:gd name="adj" fmla="val 10000"/>
          </a:avLst>
        </a:prstGeom>
        <a:solidFill>
          <a:schemeClr val="lt1">
            <a:alpha val="90000"/>
            <a:hueOff val="0"/>
            <a:satOff val="0"/>
            <a:lumOff val="0"/>
            <a:alphaOff val="0"/>
          </a:schemeClr>
        </a:solidFill>
        <a:ln w="12700" cap="flat" cmpd="sng" algn="ctr">
          <a:solidFill>
            <a:schemeClr val="accent3">
              <a:tint val="7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Официальная помощь развитию до 93% общего бюджета	</a:t>
          </a:r>
        </a:p>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Соответствие критериям ОЭСР: транспарентность, подотчётность, устойчивые партнёрства</a:t>
          </a:r>
        </a:p>
      </dsp:txBody>
      <dsp:txXfrm>
        <a:off x="3475726" y="2539656"/>
        <a:ext cx="2263398" cy="933381"/>
      </dsp:txXfrm>
    </dsp:sp>
    <dsp:sp modelId="{5C840EFD-82C6-460C-A31C-CA5870C0FB82}">
      <dsp:nvSpPr>
        <dsp:cNvPr id="0" name=""/>
        <dsp:cNvSpPr/>
      </dsp:nvSpPr>
      <dsp:spPr>
        <a:xfrm>
          <a:off x="4005360" y="1232740"/>
          <a:ext cx="1950307" cy="835267"/>
        </a:xfrm>
        <a:prstGeom prst="roundRect">
          <a:avLst>
            <a:gd name="adj" fmla="val 10000"/>
          </a:avLst>
        </a:prstGeom>
        <a:solidFill>
          <a:schemeClr val="accent3">
            <a:alpha val="7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A20B197-9DA8-4759-9F68-29F8B9F17C78}">
      <dsp:nvSpPr>
        <dsp:cNvPr id="0" name=""/>
        <dsp:cNvSpPr/>
      </dsp:nvSpPr>
      <dsp:spPr>
        <a:xfrm>
          <a:off x="4081387" y="1304966"/>
          <a:ext cx="1950307" cy="835267"/>
        </a:xfrm>
        <a:prstGeom prst="roundRect">
          <a:avLst>
            <a:gd name="adj" fmla="val 10000"/>
          </a:avLst>
        </a:prstGeom>
        <a:solidFill>
          <a:schemeClr val="lt1">
            <a:alpha val="90000"/>
            <a:hueOff val="0"/>
            <a:satOff val="0"/>
            <a:lumOff val="0"/>
            <a:alphaOff val="0"/>
          </a:schemeClr>
        </a:solidFill>
        <a:ln w="12700" cap="flat" cmpd="sng" algn="ctr">
          <a:solidFill>
            <a:schemeClr val="accent3">
              <a:tint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Миграционная политика	не менее 10%	</a:t>
          </a:r>
        </a:p>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Управление мобильностью, миграционным реформам</a:t>
          </a:r>
        </a:p>
      </dsp:txBody>
      <dsp:txXfrm>
        <a:off x="4105851" y="1329430"/>
        <a:ext cx="1901379" cy="7863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47B19B-3B96-4444-BFCB-93E8518D3432}">
      <dsp:nvSpPr>
        <dsp:cNvPr id="0" name=""/>
        <dsp:cNvSpPr/>
      </dsp:nvSpPr>
      <dsp:spPr>
        <a:xfrm>
          <a:off x="3916699" y="776873"/>
          <a:ext cx="407103" cy="2010365"/>
        </a:xfrm>
        <a:custGeom>
          <a:avLst/>
          <a:gdLst/>
          <a:ahLst/>
          <a:cxnLst/>
          <a:rect l="0" t="0" r="0" b="0"/>
          <a:pathLst>
            <a:path>
              <a:moveTo>
                <a:pt x="0" y="0"/>
              </a:moveTo>
              <a:lnTo>
                <a:pt x="0" y="2010365"/>
              </a:lnTo>
              <a:lnTo>
                <a:pt x="407103" y="2010365"/>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318BEC-6D0D-4AE1-A0F6-A43C71F8512B}">
      <dsp:nvSpPr>
        <dsp:cNvPr id="0" name=""/>
        <dsp:cNvSpPr/>
      </dsp:nvSpPr>
      <dsp:spPr>
        <a:xfrm>
          <a:off x="3392268" y="776873"/>
          <a:ext cx="524430" cy="1893243"/>
        </a:xfrm>
        <a:custGeom>
          <a:avLst/>
          <a:gdLst/>
          <a:ahLst/>
          <a:cxnLst/>
          <a:rect l="0" t="0" r="0" b="0"/>
          <a:pathLst>
            <a:path>
              <a:moveTo>
                <a:pt x="524430" y="0"/>
              </a:moveTo>
              <a:lnTo>
                <a:pt x="524430" y="1893243"/>
              </a:lnTo>
              <a:lnTo>
                <a:pt x="0" y="1893243"/>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9F1E0A-BA48-4435-904C-37AC4475B44C}">
      <dsp:nvSpPr>
        <dsp:cNvPr id="0" name=""/>
        <dsp:cNvSpPr/>
      </dsp:nvSpPr>
      <dsp:spPr>
        <a:xfrm>
          <a:off x="2051491" y="472493"/>
          <a:ext cx="1203295" cy="101840"/>
        </a:xfrm>
        <a:custGeom>
          <a:avLst/>
          <a:gdLst/>
          <a:ahLst/>
          <a:cxnLst/>
          <a:rect l="0" t="0" r="0" b="0"/>
          <a:pathLst>
            <a:path>
              <a:moveTo>
                <a:pt x="0" y="0"/>
              </a:moveTo>
              <a:lnTo>
                <a:pt x="0" y="101840"/>
              </a:lnTo>
              <a:lnTo>
                <a:pt x="1203295" y="10184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7FD27A-63D3-43DF-97D1-A6E9894A20A0}">
      <dsp:nvSpPr>
        <dsp:cNvPr id="0" name=""/>
        <dsp:cNvSpPr/>
      </dsp:nvSpPr>
      <dsp:spPr>
        <a:xfrm>
          <a:off x="1572788" y="472493"/>
          <a:ext cx="478703" cy="802972"/>
        </a:xfrm>
        <a:custGeom>
          <a:avLst/>
          <a:gdLst/>
          <a:ahLst/>
          <a:cxnLst/>
          <a:rect l="0" t="0" r="0" b="0"/>
          <a:pathLst>
            <a:path>
              <a:moveTo>
                <a:pt x="478703" y="0"/>
              </a:moveTo>
              <a:lnTo>
                <a:pt x="478703" y="802972"/>
              </a:lnTo>
              <a:lnTo>
                <a:pt x="0" y="802972"/>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90F129-55E1-496E-B938-652D35BA05D6}">
      <dsp:nvSpPr>
        <dsp:cNvPr id="0" name=""/>
        <dsp:cNvSpPr/>
      </dsp:nvSpPr>
      <dsp:spPr>
        <a:xfrm>
          <a:off x="1261093" y="0"/>
          <a:ext cx="1580795" cy="47249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7621"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Проблемно-целевая модель </a:t>
          </a:r>
        </a:p>
      </dsp:txBody>
      <dsp:txXfrm>
        <a:off x="1261093" y="0"/>
        <a:ext cx="1580795" cy="472493"/>
      </dsp:txXfrm>
    </dsp:sp>
    <dsp:sp modelId="{5F2CE551-7EC6-4DCA-AA22-26577047C110}">
      <dsp:nvSpPr>
        <dsp:cNvPr id="0" name=""/>
        <dsp:cNvSpPr/>
      </dsp:nvSpPr>
      <dsp:spPr>
        <a:xfrm>
          <a:off x="1365692" y="431697"/>
          <a:ext cx="1376271" cy="39334"/>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l"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dsp:txBody>
      <dsp:txXfrm>
        <a:off x="1365692" y="431697"/>
        <a:ext cx="1376271" cy="39334"/>
      </dsp:txXfrm>
    </dsp:sp>
    <dsp:sp modelId="{854DF6AE-DB9E-4947-AD2E-0390F833BDE9}">
      <dsp:nvSpPr>
        <dsp:cNvPr id="0" name=""/>
        <dsp:cNvSpPr/>
      </dsp:nvSpPr>
      <dsp:spPr>
        <a:xfrm>
          <a:off x="216462" y="1028980"/>
          <a:ext cx="1356326" cy="49297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7621"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Системная проблема</a:t>
          </a:r>
        </a:p>
      </dsp:txBody>
      <dsp:txXfrm>
        <a:off x="216462" y="1028980"/>
        <a:ext cx="1356326" cy="492972"/>
      </dsp:txXfrm>
    </dsp:sp>
    <dsp:sp modelId="{6DCB2129-3ED9-4A5B-86C3-BBA6A66FFA8C}">
      <dsp:nvSpPr>
        <dsp:cNvPr id="0" name=""/>
        <dsp:cNvSpPr/>
      </dsp:nvSpPr>
      <dsp:spPr>
        <a:xfrm>
          <a:off x="0" y="1463037"/>
          <a:ext cx="1861569" cy="2057504"/>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юридическая неопре делённость критериев;</a:t>
          </a:r>
        </a:p>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политическая фрагмен тация, медленные процедуры;</a:t>
          </a:r>
        </a:p>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перекрёстие географи ческих и тематических санкций;</a:t>
          </a:r>
        </a:p>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разрозненность между народных санкционных подходов</a:t>
          </a:r>
        </a:p>
      </dsp:txBody>
      <dsp:txXfrm>
        <a:off x="0" y="1463037"/>
        <a:ext cx="1861569" cy="2057504"/>
      </dsp:txXfrm>
    </dsp:sp>
    <dsp:sp modelId="{B132C433-8375-401E-B767-549A5F0CDE20}">
      <dsp:nvSpPr>
        <dsp:cNvPr id="0" name=""/>
        <dsp:cNvSpPr/>
      </dsp:nvSpPr>
      <dsp:spPr>
        <a:xfrm>
          <a:off x="3254786" y="371794"/>
          <a:ext cx="1323825" cy="405078"/>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7621"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Стратегическая цель</a:t>
          </a:r>
        </a:p>
      </dsp:txBody>
      <dsp:txXfrm>
        <a:off x="3254786" y="371794"/>
        <a:ext cx="1323825" cy="405078"/>
      </dsp:txXfrm>
    </dsp:sp>
    <dsp:sp modelId="{B6DF8802-2E08-46AA-84D4-A90FE828A2ED}">
      <dsp:nvSpPr>
        <dsp:cNvPr id="0" name=""/>
        <dsp:cNvSpPr/>
      </dsp:nvSpPr>
      <dsp:spPr>
        <a:xfrm>
          <a:off x="3187294" y="736557"/>
          <a:ext cx="1484465" cy="1677261"/>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a:p>
          <a:pPr lvl="0"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прозрачность и правовая предсказуемость;</a:t>
          </a:r>
        </a:p>
        <a:p>
          <a:pPr lvl="0"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оперативность и адаптивность;</a:t>
          </a:r>
        </a:p>
        <a:p>
          <a:pPr lvl="0"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системная координация;</a:t>
          </a:r>
        </a:p>
        <a:p>
          <a:pPr lvl="0"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международная консолидация</a:t>
          </a:r>
        </a:p>
        <a:p>
          <a:pPr lvl="0" algn="l" defTabSz="533400">
            <a:lnSpc>
              <a:spcPct val="90000"/>
            </a:lnSpc>
            <a:spcBef>
              <a:spcPct val="0"/>
            </a:spcBef>
            <a:spcAft>
              <a:spcPct val="35000"/>
            </a:spcAft>
          </a:pPr>
          <a:endParaRPr lang="ru-RU" sz="1200" b="0" kern="1200">
            <a:latin typeface="Times New Roman" panose="02020603050405020304" pitchFamily="18" charset="0"/>
            <a:cs typeface="Times New Roman" panose="02020603050405020304" pitchFamily="18" charset="0"/>
          </a:endParaRPr>
        </a:p>
      </dsp:txBody>
      <dsp:txXfrm>
        <a:off x="3187294" y="736557"/>
        <a:ext cx="1484465" cy="1677261"/>
      </dsp:txXfrm>
    </dsp:sp>
    <dsp:sp modelId="{F6E6E210-0CB9-4C7C-AC1C-5BF33AFFD1D6}">
      <dsp:nvSpPr>
        <dsp:cNvPr id="0" name=""/>
        <dsp:cNvSpPr/>
      </dsp:nvSpPr>
      <dsp:spPr>
        <a:xfrm>
          <a:off x="2096662" y="2452504"/>
          <a:ext cx="1295606" cy="435225"/>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7621"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Вектор трансформации</a:t>
          </a:r>
        </a:p>
      </dsp:txBody>
      <dsp:txXfrm>
        <a:off x="2096662" y="2452504"/>
        <a:ext cx="1295606" cy="435225"/>
      </dsp:txXfrm>
    </dsp:sp>
    <dsp:sp modelId="{15F3A0E7-3651-4841-A347-0B7E2553D9CA}">
      <dsp:nvSpPr>
        <dsp:cNvPr id="0" name=""/>
        <dsp:cNvSpPr/>
      </dsp:nvSpPr>
      <dsp:spPr>
        <a:xfrm>
          <a:off x="1975976" y="2865692"/>
          <a:ext cx="1543149" cy="1402737"/>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нормативная определённость;</a:t>
          </a:r>
        </a:p>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функциональная эффективность;</a:t>
          </a:r>
        </a:p>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институциональная согласованность;</a:t>
          </a:r>
        </a:p>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глобальная синергия</a:t>
          </a:r>
        </a:p>
      </dsp:txBody>
      <dsp:txXfrm>
        <a:off x="1975976" y="2865692"/>
        <a:ext cx="1543149" cy="1402737"/>
      </dsp:txXfrm>
    </dsp:sp>
    <dsp:sp modelId="{A4865979-8E17-42B3-B13A-C99FB20D54B2}">
      <dsp:nvSpPr>
        <dsp:cNvPr id="0" name=""/>
        <dsp:cNvSpPr/>
      </dsp:nvSpPr>
      <dsp:spPr>
        <a:xfrm>
          <a:off x="4323803" y="2573212"/>
          <a:ext cx="1489062" cy="428053"/>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87621"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Предлагаемый инструмент</a:t>
          </a:r>
        </a:p>
      </dsp:txBody>
      <dsp:txXfrm>
        <a:off x="4323803" y="2573212"/>
        <a:ext cx="1489062" cy="428053"/>
      </dsp:txXfrm>
    </dsp:sp>
    <dsp:sp modelId="{32A41CFC-837C-42D5-B7A7-0BCC13A1C9FB}">
      <dsp:nvSpPr>
        <dsp:cNvPr id="0" name=""/>
        <dsp:cNvSpPr/>
      </dsp:nvSpPr>
      <dsp:spPr>
        <a:xfrm>
          <a:off x="4178548" y="2939877"/>
          <a:ext cx="1663875" cy="2296649"/>
        </a:xfrm>
        <a:prstGeom prst="rect">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типология нарушений, процедура апелляции, прецедентная практика;</a:t>
          </a:r>
        </a:p>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частичный отказ от единогласия, техниче ская делегация;</a:t>
          </a:r>
        </a:p>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разделение компетен ций, создание коорди национного механизма;</a:t>
          </a:r>
        </a:p>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альянс санкционной политики, гармонизация списков и критериев</a:t>
          </a:r>
        </a:p>
      </dsp:txBody>
      <dsp:txXfrm>
        <a:off x="4178548" y="2939877"/>
        <a:ext cx="1663875" cy="2296649"/>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DA9CDF-FBA6-4AC5-A735-CC2FD5708124}">
      <dsp:nvSpPr>
        <dsp:cNvPr id="0" name=""/>
        <dsp:cNvSpPr/>
      </dsp:nvSpPr>
      <dsp:spPr>
        <a:xfrm>
          <a:off x="0" y="4878410"/>
          <a:ext cx="5836919" cy="302580"/>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Консолидированная, измеримая и инклюзивная правозащитная политика ЕС в регионе</a:t>
          </a:r>
        </a:p>
      </dsp:txBody>
      <dsp:txXfrm>
        <a:off x="0" y="4878410"/>
        <a:ext cx="5836919" cy="302580"/>
      </dsp:txXfrm>
    </dsp:sp>
    <dsp:sp modelId="{252A6332-C19F-4024-9252-E7E492707B92}">
      <dsp:nvSpPr>
        <dsp:cNvPr id="0" name=""/>
        <dsp:cNvSpPr/>
      </dsp:nvSpPr>
      <dsp:spPr>
        <a:xfrm rot="10800000">
          <a:off x="0" y="3091159"/>
          <a:ext cx="5836919" cy="1780787"/>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Предлагаемые механизмы адаптации</a:t>
          </a:r>
        </a:p>
      </dsp:txBody>
      <dsp:txXfrm rot="-10800000">
        <a:off x="0" y="3091159"/>
        <a:ext cx="5836919" cy="625056"/>
      </dsp:txXfrm>
    </dsp:sp>
    <dsp:sp modelId="{62D33090-757D-4AF0-8205-10F5C09C3CD1}">
      <dsp:nvSpPr>
        <dsp:cNvPr id="0" name=""/>
        <dsp:cNvSpPr/>
      </dsp:nvSpPr>
      <dsp:spPr>
        <a:xfrm>
          <a:off x="1" y="3682981"/>
          <a:ext cx="1476377" cy="654516"/>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Привязка  к</a:t>
          </a:r>
          <a:r>
            <a:rPr lang="en-US" sz="1200" kern="1200">
              <a:latin typeface="Times New Roman" panose="02020603050405020304" pitchFamily="18" charset="0"/>
              <a:cs typeface="Times New Roman" panose="02020603050405020304" pitchFamily="18" charset="0"/>
            </a:rPr>
            <a:t> </a:t>
          </a:r>
          <a:r>
            <a:rPr lang="ru-RU" sz="1200" kern="1200">
              <a:latin typeface="Times New Roman" panose="02020603050405020304" pitchFamily="18" charset="0"/>
              <a:cs typeface="Times New Roman" panose="02020603050405020304" pitchFamily="18" charset="0"/>
            </a:rPr>
            <a:t>конкретным правозащитным реформам</a:t>
          </a:r>
        </a:p>
      </dsp:txBody>
      <dsp:txXfrm>
        <a:off x="1" y="3682981"/>
        <a:ext cx="1476377" cy="654516"/>
      </dsp:txXfrm>
    </dsp:sp>
    <dsp:sp modelId="{49E6B1F7-25DC-424B-90B6-A7FB6F8B7F43}">
      <dsp:nvSpPr>
        <dsp:cNvPr id="0" name=""/>
        <dsp:cNvSpPr/>
      </dsp:nvSpPr>
      <dsp:spPr>
        <a:xfrm>
          <a:off x="1485783" y="3681896"/>
          <a:ext cx="1413446" cy="646203"/>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Передача стандартов через экспертное сопровождение</a:t>
          </a:r>
        </a:p>
      </dsp:txBody>
      <dsp:txXfrm>
        <a:off x="1485783" y="3681896"/>
        <a:ext cx="1413446" cy="646203"/>
      </dsp:txXfrm>
    </dsp:sp>
    <dsp:sp modelId="{47328BE2-D63D-4529-9294-6CB17A27A8C4}">
      <dsp:nvSpPr>
        <dsp:cNvPr id="0" name=""/>
        <dsp:cNvSpPr/>
      </dsp:nvSpPr>
      <dsp:spPr>
        <a:xfrm>
          <a:off x="2884839" y="3681896"/>
          <a:ext cx="1741460" cy="645028"/>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Внедрение правозащитных критериев в экономические проекты</a:t>
          </a:r>
        </a:p>
      </dsp:txBody>
      <dsp:txXfrm>
        <a:off x="2884839" y="3681896"/>
        <a:ext cx="1741460" cy="645028"/>
      </dsp:txXfrm>
    </dsp:sp>
    <dsp:sp modelId="{D5D61038-711B-4319-A6A7-A6801862FCE1}">
      <dsp:nvSpPr>
        <dsp:cNvPr id="0" name=""/>
        <dsp:cNvSpPr/>
      </dsp:nvSpPr>
      <dsp:spPr>
        <a:xfrm>
          <a:off x="4636550" y="3679819"/>
          <a:ext cx="1200367" cy="650471"/>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Создание</a:t>
          </a:r>
          <a:r>
            <a:rPr lang="en-US" sz="1200" kern="1200">
              <a:latin typeface="Times New Roman" panose="02020603050405020304" pitchFamily="18" charset="0"/>
              <a:cs typeface="Times New Roman" panose="02020603050405020304" pitchFamily="18" charset="0"/>
            </a:rPr>
            <a:t> </a:t>
          </a:r>
          <a:r>
            <a:rPr lang="ru-RU" sz="1200" kern="1200">
              <a:latin typeface="Times New Roman" panose="02020603050405020304" pitchFamily="18" charset="0"/>
              <a:cs typeface="Times New Roman" panose="02020603050405020304" pitchFamily="18" charset="0"/>
            </a:rPr>
            <a:t>платформ с участием НПО</a:t>
          </a:r>
        </a:p>
      </dsp:txBody>
      <dsp:txXfrm>
        <a:off x="4636550" y="3679819"/>
        <a:ext cx="1200367" cy="650471"/>
      </dsp:txXfrm>
    </dsp:sp>
    <dsp:sp modelId="{161D504F-9B16-4C6E-A00B-633D6CEA1A85}">
      <dsp:nvSpPr>
        <dsp:cNvPr id="0" name=""/>
        <dsp:cNvSpPr/>
      </dsp:nvSpPr>
      <dsp:spPr>
        <a:xfrm rot="10800000">
          <a:off x="0" y="2254794"/>
          <a:ext cx="5836919" cy="857628"/>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Расхождения между моделью ЕС и практикой в Казахстане</a:t>
          </a:r>
        </a:p>
      </dsp:txBody>
      <dsp:txXfrm rot="-10800000">
        <a:off x="0" y="2254794"/>
        <a:ext cx="5836919" cy="301027"/>
      </dsp:txXfrm>
    </dsp:sp>
    <dsp:sp modelId="{009A7E13-E540-4F22-8D2B-7D09705873BA}">
      <dsp:nvSpPr>
        <dsp:cNvPr id="0" name=""/>
        <dsp:cNvSpPr/>
      </dsp:nvSpPr>
      <dsp:spPr>
        <a:xfrm>
          <a:off x="0" y="2570548"/>
          <a:ext cx="5836919" cy="226879"/>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Противоречия между заявленными стандартами и реальной ситуацией.</a:t>
          </a:r>
        </a:p>
      </dsp:txBody>
      <dsp:txXfrm>
        <a:off x="0" y="2570548"/>
        <a:ext cx="5836919" cy="226879"/>
      </dsp:txXfrm>
    </dsp:sp>
    <dsp:sp modelId="{8BACB35D-8BB1-4D47-B975-4809EE36221B}">
      <dsp:nvSpPr>
        <dsp:cNvPr id="0" name=""/>
        <dsp:cNvSpPr/>
      </dsp:nvSpPr>
      <dsp:spPr>
        <a:xfrm rot="10800000">
          <a:off x="0" y="1503399"/>
          <a:ext cx="5836919" cy="758795"/>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i="1" kern="1200">
              <a:latin typeface="Times New Roman" panose="02020603050405020304" pitchFamily="18" charset="0"/>
              <a:cs typeface="Times New Roman" panose="02020603050405020304" pitchFamily="18" charset="0"/>
            </a:rPr>
            <a:t>3. Республика Казахстан: правозащитные реалии</a:t>
          </a:r>
          <a:endParaRPr lang="ru-RU" sz="1200" b="0" i="1" kern="1200">
            <a:latin typeface="Times New Roman" panose="02020603050405020304" pitchFamily="18" charset="0"/>
            <a:cs typeface="Times New Roman" panose="02020603050405020304" pitchFamily="18" charset="0"/>
          </a:endParaRPr>
        </a:p>
      </dsp:txBody>
      <dsp:txXfrm rot="-10800000">
        <a:off x="0" y="1503399"/>
        <a:ext cx="5836919" cy="266337"/>
      </dsp:txXfrm>
    </dsp:sp>
    <dsp:sp modelId="{A019726E-1093-4809-96B2-A35EDA422D69}">
      <dsp:nvSpPr>
        <dsp:cNvPr id="0" name=""/>
        <dsp:cNvSpPr/>
      </dsp:nvSpPr>
      <dsp:spPr>
        <a:xfrm>
          <a:off x="0" y="1769736"/>
          <a:ext cx="5836919" cy="226879"/>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 Формальное наличие институтов, но ограниченная независимость и подотчётность.</a:t>
          </a:r>
        </a:p>
      </dsp:txBody>
      <dsp:txXfrm>
        <a:off x="0" y="1769736"/>
        <a:ext cx="5836919" cy="226879"/>
      </dsp:txXfrm>
    </dsp:sp>
    <dsp:sp modelId="{7CD32549-DA9B-4F40-9C93-817731DA2DB7}">
      <dsp:nvSpPr>
        <dsp:cNvPr id="0" name=""/>
        <dsp:cNvSpPr/>
      </dsp:nvSpPr>
      <dsp:spPr>
        <a:xfrm rot="10800000">
          <a:off x="0" y="752004"/>
          <a:ext cx="5836919" cy="758795"/>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i="1" kern="1200">
              <a:latin typeface="Times New Roman" panose="02020603050405020304" pitchFamily="18" charset="0"/>
              <a:cs typeface="Times New Roman" panose="02020603050405020304" pitchFamily="18" charset="0"/>
            </a:rPr>
            <a:t>2. Соглашение о расширенном партнёрстве и сотрудничестве и План действий</a:t>
          </a:r>
          <a:endParaRPr lang="ru-RU" sz="1200" b="0" i="1" kern="1200">
            <a:latin typeface="Times New Roman" panose="02020603050405020304" pitchFamily="18" charset="0"/>
            <a:cs typeface="Times New Roman" panose="02020603050405020304" pitchFamily="18" charset="0"/>
          </a:endParaRPr>
        </a:p>
      </dsp:txBody>
      <dsp:txXfrm rot="-10800000">
        <a:off x="0" y="752004"/>
        <a:ext cx="5836919" cy="266337"/>
      </dsp:txXfrm>
    </dsp:sp>
    <dsp:sp modelId="{8D10EC4A-230E-4EA1-87AD-45866CAA9228}">
      <dsp:nvSpPr>
        <dsp:cNvPr id="0" name=""/>
        <dsp:cNvSpPr/>
      </dsp:nvSpPr>
      <dsp:spPr>
        <a:xfrm>
          <a:off x="0" y="1018341"/>
          <a:ext cx="5836919" cy="226879"/>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EPCA включает вопросы прав человека, устойчивого развития, верховенства права.</a:t>
          </a:r>
          <a:endParaRPr lang="ru-RU" sz="1200" kern="1200">
            <a:latin typeface="Times New Roman" panose="02020603050405020304" pitchFamily="18" charset="0"/>
            <a:cs typeface="Times New Roman" panose="02020603050405020304" pitchFamily="18" charset="0"/>
          </a:endParaRPr>
        </a:p>
      </dsp:txBody>
      <dsp:txXfrm>
        <a:off x="0" y="1018341"/>
        <a:ext cx="5836919" cy="226879"/>
      </dsp:txXfrm>
    </dsp:sp>
    <dsp:sp modelId="{C6F931F5-4ED8-4144-8995-DEE3CCEB11A3}">
      <dsp:nvSpPr>
        <dsp:cNvPr id="0" name=""/>
        <dsp:cNvSpPr/>
      </dsp:nvSpPr>
      <dsp:spPr>
        <a:xfrm rot="10800000">
          <a:off x="0" y="609"/>
          <a:ext cx="5836919" cy="758795"/>
        </a:xfrm>
        <a:prstGeom prst="upArrowCallou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0" i="1" kern="1200">
              <a:latin typeface="Times New Roman" panose="02020603050405020304" pitchFamily="18" charset="0"/>
              <a:cs typeface="Times New Roman" panose="02020603050405020304" pitchFamily="18" charset="0"/>
            </a:rPr>
            <a:t>1. Европейский Союз: Институциональная модель</a:t>
          </a:r>
          <a:endParaRPr lang="ru-RU" sz="1200" b="0" i="1" kern="1200">
            <a:latin typeface="Times New Roman" panose="02020603050405020304" pitchFamily="18" charset="0"/>
            <a:cs typeface="Times New Roman" panose="02020603050405020304" pitchFamily="18" charset="0"/>
          </a:endParaRPr>
        </a:p>
      </dsp:txBody>
      <dsp:txXfrm rot="-10800000">
        <a:off x="0" y="609"/>
        <a:ext cx="5836919" cy="266337"/>
      </dsp:txXfrm>
    </dsp:sp>
    <dsp:sp modelId="{0A152D12-FF36-4F09-83CC-66DE5F6EFBCD}">
      <dsp:nvSpPr>
        <dsp:cNvPr id="0" name=""/>
        <dsp:cNvSpPr/>
      </dsp:nvSpPr>
      <dsp:spPr>
        <a:xfrm>
          <a:off x="0" y="241459"/>
          <a:ext cx="5836919" cy="277853"/>
        </a:xfrm>
        <a:prstGeom prst="rect">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Многоуровневая система: ЕСПЧ, национальные суды, омбудсмены, НПО, Универсальный периодический обзор, тематические диалоги.</a:t>
          </a:r>
          <a:endParaRPr lang="ru-RU" sz="1200" b="1" kern="1200">
            <a:latin typeface="Times New Roman" panose="02020603050405020304" pitchFamily="18" charset="0"/>
            <a:cs typeface="Times New Roman" panose="02020603050405020304" pitchFamily="18" charset="0"/>
          </a:endParaRPr>
        </a:p>
      </dsp:txBody>
      <dsp:txXfrm>
        <a:off x="0" y="241459"/>
        <a:ext cx="5836919" cy="277853"/>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ADBEBA-D41D-40A5-AF5A-AF9485642F91}">
      <dsp:nvSpPr>
        <dsp:cNvPr id="0" name=""/>
        <dsp:cNvSpPr/>
      </dsp:nvSpPr>
      <dsp:spPr>
        <a:xfrm>
          <a:off x="1118671" y="0"/>
          <a:ext cx="3317875" cy="3317875"/>
        </a:xfrm>
        <a:prstGeom prst="triangle">
          <a:avLst/>
        </a:prstGeom>
        <a:solidFill>
          <a:schemeClr val="accent3">
            <a:shade val="5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91AFC6C3-20BF-4873-93DA-9E4BA8DF9D3F}">
      <dsp:nvSpPr>
        <dsp:cNvPr id="0" name=""/>
        <dsp:cNvSpPr/>
      </dsp:nvSpPr>
      <dsp:spPr>
        <a:xfrm>
          <a:off x="1284651" y="369826"/>
          <a:ext cx="3200788" cy="589700"/>
        </a:xfrm>
        <a:prstGeom prst="round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Конституционный Суд и Уполномоченный по правам человека </a:t>
          </a:r>
          <a:r>
            <a:rPr lang="ru-RU" sz="1200" kern="1200">
              <a:latin typeface="Times New Roman" panose="02020603050405020304" pitchFamily="18" charset="0"/>
              <a:cs typeface="Times New Roman" panose="02020603050405020304" pitchFamily="18" charset="0"/>
            </a:rPr>
            <a:t>- гаранты верховенства Конституции и индивидуальной защиты прав.</a:t>
          </a:r>
        </a:p>
      </dsp:txBody>
      <dsp:txXfrm>
        <a:off x="1313438" y="398613"/>
        <a:ext cx="3143214" cy="532126"/>
      </dsp:txXfrm>
    </dsp:sp>
    <dsp:sp modelId="{E5046398-06F1-4EC0-85A6-9BBA458C255C}">
      <dsp:nvSpPr>
        <dsp:cNvPr id="0" name=""/>
        <dsp:cNvSpPr/>
      </dsp:nvSpPr>
      <dsp:spPr>
        <a:xfrm>
          <a:off x="816039" y="1070953"/>
          <a:ext cx="4269997" cy="589700"/>
        </a:xfrm>
        <a:prstGeom prst="round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Парламент, Омбудсмены по направлениям, Национальный центр по правам человека </a:t>
          </a:r>
          <a:r>
            <a:rPr lang="ru-RU" sz="1200" kern="1200">
              <a:latin typeface="Times New Roman" panose="02020603050405020304" pitchFamily="18" charset="0"/>
              <a:cs typeface="Times New Roman" panose="02020603050405020304" pitchFamily="18" charset="0"/>
            </a:rPr>
            <a:t>-  реализация Планов действий и контроль соблюдения прав</a:t>
          </a:r>
        </a:p>
      </dsp:txBody>
      <dsp:txXfrm>
        <a:off x="844826" y="1099740"/>
        <a:ext cx="4212423" cy="532126"/>
      </dsp:txXfrm>
    </dsp:sp>
    <dsp:sp modelId="{2761AF36-EB84-413B-86DB-D2086B55E3BE}">
      <dsp:nvSpPr>
        <dsp:cNvPr id="0" name=""/>
        <dsp:cNvSpPr/>
      </dsp:nvSpPr>
      <dsp:spPr>
        <a:xfrm>
          <a:off x="589098" y="1819200"/>
          <a:ext cx="4746739" cy="589700"/>
        </a:xfrm>
        <a:prstGeom prst="round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Общественные советы, СМИ, НПО, цифровые платформы и образовательные программы  участие граждан - </a:t>
          </a:r>
          <a:r>
            <a:rPr lang="ru-RU" sz="1200" kern="1200">
              <a:latin typeface="Times New Roman" panose="02020603050405020304" pitchFamily="18" charset="0"/>
              <a:cs typeface="Times New Roman" panose="02020603050405020304" pitchFamily="18" charset="0"/>
            </a:rPr>
            <a:t>общественный контроль, медийная свобода</a:t>
          </a:r>
        </a:p>
      </dsp:txBody>
      <dsp:txXfrm>
        <a:off x="617885" y="1847987"/>
        <a:ext cx="4689165" cy="532126"/>
      </dsp:txXfrm>
    </dsp:sp>
    <dsp:sp modelId="{92234224-FDDF-4617-826F-D1D85AC51CD8}">
      <dsp:nvSpPr>
        <dsp:cNvPr id="0" name=""/>
        <dsp:cNvSpPr/>
      </dsp:nvSpPr>
      <dsp:spPr>
        <a:xfrm>
          <a:off x="506650" y="2558000"/>
          <a:ext cx="4945234" cy="589700"/>
        </a:xfrm>
        <a:prstGeom prst="round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Международные стандарты и рекомендации ООН, ОБСЕ, </a:t>
          </a:r>
        </a:p>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Совета Европы </a:t>
          </a:r>
          <a:r>
            <a:rPr lang="ru-RU" sz="1200" b="0" kern="1200">
              <a:latin typeface="Times New Roman" panose="02020603050405020304" pitchFamily="18" charset="0"/>
              <a:cs typeface="Times New Roman" panose="02020603050405020304" pitchFamily="18" charset="0"/>
            </a:rPr>
            <a:t>- 294 позиции УПО-2025</a:t>
          </a:r>
        </a:p>
      </dsp:txBody>
      <dsp:txXfrm>
        <a:off x="535437" y="2586787"/>
        <a:ext cx="4887660" cy="532126"/>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50A4BC-4DAD-4F08-BB8C-2E667C91DEDC}">
      <dsp:nvSpPr>
        <dsp:cNvPr id="0" name=""/>
        <dsp:cNvSpPr/>
      </dsp:nvSpPr>
      <dsp:spPr>
        <a:xfrm>
          <a:off x="60778" y="5048"/>
          <a:ext cx="2895006" cy="2121477"/>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uk-UA" sz="1200" b="0" i="1" kern="1200">
              <a:latin typeface="Times New Roman" panose="02020603050405020304" pitchFamily="18" charset="0"/>
              <a:cs typeface="Times New Roman" panose="02020603050405020304" pitchFamily="18" charset="0"/>
            </a:rPr>
            <a:t>Антикоррупционные институты</a:t>
          </a:r>
        </a:p>
        <a:p>
          <a:pPr marL="114300" lvl="1" indent="-114300" algn="just"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Создание независимого антикоррупционного бюро с прозрачным отбором кадров и публичной отчётностью.
Введение механизмов общественного контроля над расследованиями - наблюдательные советы, онлайн-отчётность, гражданский аудит.
Интеграция с международными стандартами антикоррупционной политики.</a:t>
          </a:r>
          <a:endParaRPr lang="uk-UA" sz="1200" kern="1200">
            <a:latin typeface="Times New Roman" panose="02020603050405020304" pitchFamily="18" charset="0"/>
            <a:cs typeface="Times New Roman" panose="02020603050405020304" pitchFamily="18" charset="0"/>
          </a:endParaRPr>
        </a:p>
      </dsp:txBody>
      <dsp:txXfrm>
        <a:off x="60778" y="5048"/>
        <a:ext cx="2895006" cy="2121477"/>
      </dsp:txXfrm>
    </dsp:sp>
    <dsp:sp modelId="{B0CCC603-E974-49A1-B065-57092E237945}">
      <dsp:nvSpPr>
        <dsp:cNvPr id="0" name=""/>
        <dsp:cNvSpPr/>
      </dsp:nvSpPr>
      <dsp:spPr>
        <a:xfrm>
          <a:off x="3055669" y="76930"/>
          <a:ext cx="2650191" cy="1760933"/>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uk-UA" sz="1200" b="0" i="1" kern="1200">
              <a:latin typeface="Times New Roman" panose="02020603050405020304" pitchFamily="18" charset="0"/>
              <a:cs typeface="Times New Roman" panose="02020603050405020304" pitchFamily="18" charset="0"/>
            </a:rPr>
            <a:t>Судебная реформа</a:t>
          </a:r>
        </a:p>
        <a:p>
          <a:pPr marL="114300" lvl="1" indent="-114300" algn="just"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Гарантии реальной независимости судей и прокуроров.
Публичный доступ к судебным решениям в цифровом формате (портал </a:t>
          </a:r>
          <a:r>
            <a:rPr lang="en-US" sz="1200" kern="1200">
              <a:latin typeface="Times New Roman" panose="02020603050405020304" pitchFamily="18" charset="0"/>
              <a:cs typeface="Times New Roman" panose="02020603050405020304" pitchFamily="18" charset="0"/>
            </a:rPr>
            <a:t>E-Justice).
</a:t>
          </a:r>
          <a:r>
            <a:rPr lang="ru-RU" sz="1200" kern="1200">
              <a:latin typeface="Times New Roman" panose="02020603050405020304" pitchFamily="18" charset="0"/>
              <a:cs typeface="Times New Roman" panose="02020603050405020304" pitchFamily="18" charset="0"/>
            </a:rPr>
            <a:t>Защита деятельности адвокатов и правозащитников, укрепление роли Омбудсмена по правам человека</a:t>
          </a:r>
          <a:endParaRPr lang="uk-UA" sz="1200" kern="1200">
            <a:latin typeface="Times New Roman" panose="02020603050405020304" pitchFamily="18" charset="0"/>
            <a:cs typeface="Times New Roman" panose="02020603050405020304" pitchFamily="18" charset="0"/>
          </a:endParaRPr>
        </a:p>
      </dsp:txBody>
      <dsp:txXfrm>
        <a:off x="3055669" y="76930"/>
        <a:ext cx="2650191" cy="1760933"/>
      </dsp:txXfrm>
    </dsp:sp>
    <dsp:sp modelId="{24F58CB9-82E0-4A10-8B5E-738F30DFE6C6}">
      <dsp:nvSpPr>
        <dsp:cNvPr id="0" name=""/>
        <dsp:cNvSpPr/>
      </dsp:nvSpPr>
      <dsp:spPr>
        <a:xfrm>
          <a:off x="65995" y="2305731"/>
          <a:ext cx="2956215" cy="162392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uk-UA" sz="1200" b="0" i="1" kern="1200">
              <a:latin typeface="Times New Roman" panose="02020603050405020304" pitchFamily="18" charset="0"/>
              <a:cs typeface="Times New Roman" panose="02020603050405020304" pitchFamily="18" charset="0"/>
            </a:rPr>
            <a:t>Экономическая прозрачность</a:t>
          </a:r>
        </a:p>
        <a:p>
          <a:pPr marL="114300" lvl="1" indent="-114300" algn="just"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Сокращение доли госпредприятий и повышение прозрачности госзакупок</a:t>
          </a:r>
          <a:r>
            <a:rPr lang="en-US" sz="1200" kern="1200">
              <a:latin typeface="Times New Roman" panose="02020603050405020304" pitchFamily="18" charset="0"/>
              <a:cs typeface="Times New Roman" panose="02020603050405020304" pitchFamily="18" charset="0"/>
            </a:rPr>
            <a:t>.
</a:t>
          </a:r>
          <a:r>
            <a:rPr lang="ru-RU" sz="1200" kern="1200">
              <a:latin typeface="Times New Roman" panose="02020603050405020304" pitchFamily="18" charset="0"/>
              <a:cs typeface="Times New Roman" panose="02020603050405020304" pitchFamily="18" charset="0"/>
            </a:rPr>
            <a:t>Ограничение влияния олигополий, внедрение норм конкурентного законодательства
Расширение доступа малого и среднего бизнеса к рынкам ЕС через программы технической помощи.</a:t>
          </a:r>
          <a:endParaRPr lang="uk-UA" sz="1200" kern="1200">
            <a:latin typeface="Times New Roman" panose="02020603050405020304" pitchFamily="18" charset="0"/>
            <a:cs typeface="Times New Roman" panose="02020603050405020304" pitchFamily="18" charset="0"/>
          </a:endParaRPr>
        </a:p>
      </dsp:txBody>
      <dsp:txXfrm>
        <a:off x="65995" y="2305731"/>
        <a:ext cx="2956215" cy="1623928"/>
      </dsp:txXfrm>
    </dsp:sp>
    <dsp:sp modelId="{9DD65312-F509-46D0-8264-5AB048AA3A97}">
      <dsp:nvSpPr>
        <dsp:cNvPr id="0" name=""/>
        <dsp:cNvSpPr/>
      </dsp:nvSpPr>
      <dsp:spPr>
        <a:xfrm>
          <a:off x="3049285" y="1989204"/>
          <a:ext cx="2669143" cy="1952658"/>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uk-UA" sz="1200" b="0" i="1" kern="1200">
              <a:latin typeface="Times New Roman" panose="02020603050405020304" pitchFamily="18" charset="0"/>
              <a:cs typeface="Times New Roman" panose="02020603050405020304" pitchFamily="18" charset="0"/>
            </a:rPr>
            <a:t>Политические и гражданские свободы</a:t>
          </a:r>
        </a:p>
        <a:p>
          <a:pPr marL="114300" lvl="1" indent="-114300" algn="just"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Пересмотр норм об «экстремизме» и «дискредитации власти» в соответствии с международными стандартами свободы выражения.
Гарантии свободы СМИ и развитие независимых редакций </a:t>
          </a:r>
          <a:r>
            <a:rPr lang="en-US" sz="1200" kern="1200">
              <a:latin typeface="Times New Roman" panose="02020603050405020304" pitchFamily="18" charset="0"/>
              <a:cs typeface="Times New Roman" panose="02020603050405020304" pitchFamily="18" charset="0"/>
            </a:rPr>
            <a:t>
</a:t>
          </a:r>
          <a:r>
            <a:rPr lang="ru-RU" sz="1200" kern="1200">
              <a:latin typeface="Times New Roman" panose="02020603050405020304" pitchFamily="18" charset="0"/>
              <a:cs typeface="Times New Roman" panose="02020603050405020304" pitchFamily="18" charset="0"/>
            </a:rPr>
            <a:t>Расширение возможностей для деятельности гражданских объединений и НПО </a:t>
          </a:r>
          <a:endParaRPr lang="uk-UA" sz="1200" kern="1200">
            <a:latin typeface="Times New Roman" panose="02020603050405020304" pitchFamily="18" charset="0"/>
            <a:cs typeface="Times New Roman" panose="02020603050405020304" pitchFamily="18" charset="0"/>
          </a:endParaRPr>
        </a:p>
      </dsp:txBody>
      <dsp:txXfrm>
        <a:off x="3049285" y="1989204"/>
        <a:ext cx="2669143" cy="1952658"/>
      </dsp:txXfrm>
    </dsp:sp>
    <dsp:sp modelId="{79234E56-AAD7-4EDF-AA00-ACB820901D82}">
      <dsp:nvSpPr>
        <dsp:cNvPr id="0" name=""/>
        <dsp:cNvSpPr/>
      </dsp:nvSpPr>
      <dsp:spPr>
        <a:xfrm>
          <a:off x="180864" y="4128071"/>
          <a:ext cx="5305943" cy="1249589"/>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buFont typeface="+mj-lt"/>
            <a:buNone/>
          </a:pPr>
          <a:r>
            <a:rPr lang="uk-UA" sz="1200" b="0" i="1" kern="1200">
              <a:latin typeface="Times New Roman" panose="02020603050405020304" pitchFamily="18" charset="0"/>
              <a:cs typeface="Times New Roman" panose="02020603050405020304" pitchFamily="18" charset="0"/>
            </a:rPr>
            <a:t>Международная интеграция</a:t>
          </a:r>
        </a:p>
        <a:p>
          <a:pPr marL="114300" lvl="1" indent="-114300" algn="just"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Использование программ технической помощи ЕС (аналогичных </a:t>
          </a:r>
          <a:r>
            <a:rPr lang="en-US" sz="1200" kern="1200">
              <a:latin typeface="Times New Roman" panose="02020603050405020304" pitchFamily="18" charset="0"/>
              <a:cs typeface="Times New Roman" panose="02020603050405020304" pitchFamily="18" charset="0"/>
            </a:rPr>
            <a:t>CVM </a:t>
          </a:r>
          <a:r>
            <a:rPr lang="ru-RU" sz="1200" kern="1200">
              <a:latin typeface="Times New Roman" panose="02020603050405020304" pitchFamily="18" charset="0"/>
              <a:cs typeface="Times New Roman" panose="02020603050405020304" pitchFamily="18" charset="0"/>
            </a:rPr>
            <a:t>для Болгарии и Румынии) для мониторинга реформ.
Внедрение лучших практик электронного управления (</a:t>
          </a:r>
          <a:r>
            <a:rPr lang="en-US" sz="1200" kern="1200">
              <a:latin typeface="Times New Roman" panose="02020603050405020304" pitchFamily="18" charset="0"/>
              <a:cs typeface="Times New Roman" panose="02020603050405020304" pitchFamily="18" charset="0"/>
            </a:rPr>
            <a:t>E-Gov, Digital Kazakhstan) </a:t>
          </a:r>
          <a:r>
            <a:rPr lang="ru-RU" sz="1200" kern="1200">
              <a:latin typeface="Times New Roman" panose="02020603050405020304" pitchFamily="18" charset="0"/>
              <a:cs typeface="Times New Roman" panose="02020603050405020304" pitchFamily="18" charset="0"/>
            </a:rPr>
            <a:t>для повышения открытости и снижения коррупционных рисков.
Согласование национальных программ по правам человека с рамками Плана действий ЕС по правам человека и демократии (2020–2027).</a:t>
          </a:r>
          <a:endParaRPr lang="uk-UA" sz="1200" kern="1200">
            <a:latin typeface="Times New Roman" panose="02020603050405020304" pitchFamily="18" charset="0"/>
            <a:cs typeface="Times New Roman" panose="02020603050405020304" pitchFamily="18" charset="0"/>
          </a:endParaRPr>
        </a:p>
      </dsp:txBody>
      <dsp:txXfrm>
        <a:off x="180864" y="4128071"/>
        <a:ext cx="5305943" cy="1249589"/>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9D9063-E9C4-4069-91C1-C6717436B4E1}">
      <dsp:nvSpPr>
        <dsp:cNvPr id="0" name=""/>
        <dsp:cNvSpPr/>
      </dsp:nvSpPr>
      <dsp:spPr>
        <a:xfrm>
          <a:off x="0" y="5101964"/>
          <a:ext cx="6172199" cy="1398709"/>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i="1" kern="1200">
              <a:solidFill>
                <a:sysClr val="windowText" lastClr="000000"/>
              </a:solidFill>
              <a:latin typeface="Times New Roman" panose="02020603050405020304" pitchFamily="18" charset="0"/>
              <a:cs typeface="Times New Roman" panose="02020603050405020304" pitchFamily="18" charset="0"/>
            </a:rPr>
            <a:t>ОЦЕНКА ИМПЛЕМЕНТА-ЦИОННОГО ПОТЕНЦИАЛА </a:t>
          </a:r>
        </a:p>
      </dsp:txBody>
      <dsp:txXfrm>
        <a:off x="0" y="5101964"/>
        <a:ext cx="1851660" cy="1398709"/>
      </dsp:txXfrm>
    </dsp:sp>
    <dsp:sp modelId="{8581A380-C98F-4D75-A20C-96E9F31CE3C3}">
      <dsp:nvSpPr>
        <dsp:cNvPr id="0" name=""/>
        <dsp:cNvSpPr/>
      </dsp:nvSpPr>
      <dsp:spPr>
        <a:xfrm>
          <a:off x="0" y="3974447"/>
          <a:ext cx="6172199" cy="1002145"/>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i="1" kern="1200">
              <a:solidFill>
                <a:sysClr val="windowText" lastClr="000000"/>
              </a:solidFill>
              <a:latin typeface="Times New Roman" panose="02020603050405020304" pitchFamily="18" charset="0"/>
              <a:cs typeface="Times New Roman" panose="02020603050405020304" pitchFamily="18" charset="0"/>
            </a:rPr>
            <a:t>ОЖИДАЕМЫЕ РЕЗУЛЬТАТЫ </a:t>
          </a:r>
        </a:p>
      </dsp:txBody>
      <dsp:txXfrm>
        <a:off x="0" y="3974447"/>
        <a:ext cx="1851660" cy="1002145"/>
      </dsp:txXfrm>
    </dsp:sp>
    <dsp:sp modelId="{365CBF24-1DC7-4F8E-B5D4-441E06AA6007}">
      <dsp:nvSpPr>
        <dsp:cNvPr id="0" name=""/>
        <dsp:cNvSpPr/>
      </dsp:nvSpPr>
      <dsp:spPr>
        <a:xfrm>
          <a:off x="0" y="2599435"/>
          <a:ext cx="6172199" cy="1249638"/>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i="1" kern="1200">
              <a:solidFill>
                <a:sysClr val="windowText" lastClr="000000"/>
              </a:solidFill>
              <a:latin typeface="Times New Roman" panose="02020603050405020304" pitchFamily="18" charset="0"/>
              <a:cs typeface="Times New Roman" panose="02020603050405020304" pitchFamily="18" charset="0"/>
            </a:rPr>
            <a:t>МЕХАНИЗМЫ ИМПЛЕМЕНТАЦИИ </a:t>
          </a:r>
        </a:p>
      </dsp:txBody>
      <dsp:txXfrm>
        <a:off x="0" y="2599435"/>
        <a:ext cx="1851660" cy="1249638"/>
      </dsp:txXfrm>
    </dsp:sp>
    <dsp:sp modelId="{7B0A7003-212A-42B3-889A-AAE312FB384D}">
      <dsp:nvSpPr>
        <dsp:cNvPr id="0" name=""/>
        <dsp:cNvSpPr/>
      </dsp:nvSpPr>
      <dsp:spPr>
        <a:xfrm>
          <a:off x="0" y="1329692"/>
          <a:ext cx="6172199" cy="1144370"/>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i="1" kern="1200">
              <a:solidFill>
                <a:sysClr val="windowText" lastClr="000000"/>
              </a:solidFill>
              <a:latin typeface="Times New Roman" panose="02020603050405020304" pitchFamily="18" charset="0"/>
              <a:cs typeface="Times New Roman" panose="02020603050405020304" pitchFamily="18" charset="0"/>
            </a:rPr>
            <a:t>ИНСТРУМЕНТЫ ЕВРОПЕЙСКОГО СОЮЗА</a:t>
          </a:r>
        </a:p>
      </dsp:txBody>
      <dsp:txXfrm>
        <a:off x="0" y="1329692"/>
        <a:ext cx="1851660" cy="1144370"/>
      </dsp:txXfrm>
    </dsp:sp>
    <dsp:sp modelId="{03E32A5A-A8A9-4028-987B-4F05138B3721}">
      <dsp:nvSpPr>
        <dsp:cNvPr id="0" name=""/>
        <dsp:cNvSpPr/>
      </dsp:nvSpPr>
      <dsp:spPr>
        <a:xfrm>
          <a:off x="0" y="67832"/>
          <a:ext cx="6172199" cy="1136486"/>
        </a:xfrm>
        <a:prstGeom prst="roundRect">
          <a:avLst>
            <a:gd name="adj" fmla="val 10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i="1" kern="1200">
              <a:solidFill>
                <a:sysClr val="windowText" lastClr="000000"/>
              </a:solidFill>
              <a:latin typeface="Times New Roman" panose="02020603050405020304" pitchFamily="18" charset="0"/>
              <a:cs typeface="Times New Roman" panose="02020603050405020304" pitchFamily="18" charset="0"/>
            </a:rPr>
            <a:t>СИСТЕМНЫЕ БАРЬЕРЫ </a:t>
          </a:r>
        </a:p>
      </dsp:txBody>
      <dsp:txXfrm>
        <a:off x="0" y="67832"/>
        <a:ext cx="1851660" cy="1136486"/>
      </dsp:txXfrm>
    </dsp:sp>
    <dsp:sp modelId="{641293B9-2F99-49F0-9286-2ECAC4AB76E1}">
      <dsp:nvSpPr>
        <dsp:cNvPr id="0" name=""/>
        <dsp:cNvSpPr/>
      </dsp:nvSpPr>
      <dsp:spPr>
        <a:xfrm>
          <a:off x="1513811" y="5689543"/>
          <a:ext cx="3863140" cy="107546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i="0" kern="1200">
              <a:solidFill>
                <a:sysClr val="windowText" lastClr="000000"/>
              </a:solidFill>
              <a:latin typeface="Times New Roman" panose="02020603050405020304" pitchFamily="18" charset="0"/>
              <a:cs typeface="Times New Roman" panose="02020603050405020304" pitchFamily="18" charset="0"/>
            </a:rPr>
            <a:t>Слабая независимость судебной системы                     </a:t>
          </a:r>
          <a:r>
            <a:rPr lang="uk-UA" sz="1200" i="0" kern="1200">
              <a:solidFill>
                <a:sysClr val="windowText" lastClr="000000"/>
              </a:solidFill>
              <a:latin typeface="Times New Roman" panose="02020603050405020304" pitchFamily="18" charset="0"/>
              <a:cs typeface="Times New Roman" panose="02020603050405020304" pitchFamily="18" charset="0"/>
            </a:rPr>
            <a:t>Избирательное применение международных стандартов </a:t>
          </a:r>
          <a:r>
            <a:rPr lang="ru-RU" sz="1200" i="0" kern="1200">
              <a:solidFill>
                <a:sysClr val="windowText" lastClr="000000"/>
              </a:solidFill>
              <a:latin typeface="Times New Roman" panose="02020603050405020304" pitchFamily="18" charset="0"/>
              <a:cs typeface="Times New Roman" panose="02020603050405020304" pitchFamily="18" charset="0"/>
            </a:rPr>
            <a:t>Ограниченная политическая конкуренция</a:t>
          </a:r>
          <a:r>
            <a:rPr lang="uk-UA" sz="1200" i="0" kern="1200">
              <a:solidFill>
                <a:sysClr val="windowText" lastClr="000000"/>
              </a:solidFill>
              <a:latin typeface="Times New Roman" panose="02020603050405020304" pitchFamily="18" charset="0"/>
              <a:cs typeface="Times New Roman" panose="02020603050405020304" pitchFamily="18" charset="0"/>
            </a:rPr>
            <a:t>                     </a:t>
          </a:r>
          <a:r>
            <a:rPr lang="ru-RU" sz="1200" i="0" kern="1200">
              <a:solidFill>
                <a:sysClr val="windowText" lastClr="000000"/>
              </a:solidFill>
              <a:latin typeface="Times New Roman" panose="02020603050405020304" pitchFamily="18" charset="0"/>
              <a:cs typeface="Times New Roman" panose="02020603050405020304" pitchFamily="18" charset="0"/>
            </a:rPr>
            <a:t>Давление на НПО и независимые СМИ</a:t>
          </a:r>
          <a:r>
            <a:rPr lang="uk-UA" sz="1200" i="0" kern="1200">
              <a:solidFill>
                <a:sysClr val="windowText" lastClr="000000"/>
              </a:solidFill>
              <a:latin typeface="Times New Roman" panose="02020603050405020304" pitchFamily="18" charset="0"/>
              <a:cs typeface="Times New Roman" panose="02020603050405020304" pitchFamily="18" charset="0"/>
            </a:rPr>
            <a:t>                           </a:t>
          </a:r>
          <a:r>
            <a:rPr lang="ru-RU" sz="1200" i="0" kern="1200">
              <a:solidFill>
                <a:sysClr val="windowText" lastClr="000000"/>
              </a:solidFill>
              <a:latin typeface="Times New Roman" panose="02020603050405020304" pitchFamily="18" charset="0"/>
              <a:cs typeface="Times New Roman" panose="02020603050405020304" pitchFamily="18" charset="0"/>
            </a:rPr>
            <a:t>Недостаточная автономия института Омбудсмена</a:t>
          </a:r>
          <a:r>
            <a:rPr lang="uk-UA" sz="1200" i="0" kern="1200">
              <a:solidFill>
                <a:sysClr val="windowText" lastClr="000000"/>
              </a:solidFill>
              <a:latin typeface="Times New Roman" panose="02020603050405020304" pitchFamily="18" charset="0"/>
              <a:cs typeface="Times New Roman" panose="02020603050405020304" pitchFamily="18" charset="0"/>
            </a:rPr>
            <a:t> </a:t>
          </a:r>
          <a:r>
            <a:rPr lang="ru-RU" sz="1200" i="0" kern="1200">
              <a:solidFill>
                <a:sysClr val="windowText" lastClr="000000"/>
              </a:solidFill>
              <a:latin typeface="Times New Roman" panose="02020603050405020304" pitchFamily="18" charset="0"/>
              <a:cs typeface="Times New Roman" panose="02020603050405020304" pitchFamily="18" charset="0"/>
            </a:rPr>
            <a:t>Ограниченная институционализация общественного контроля</a:t>
          </a:r>
          <a:r>
            <a:rPr lang="uk-UA" sz="1200" i="0" kern="1200">
              <a:solidFill>
                <a:sysClr val="windowText" lastClr="000000"/>
              </a:solidFill>
              <a:latin typeface="Times New Roman" panose="02020603050405020304" pitchFamily="18" charset="0"/>
              <a:cs typeface="Times New Roman" panose="02020603050405020304" pitchFamily="18" charset="0"/>
            </a:rPr>
            <a:t> </a:t>
          </a:r>
          <a:endParaRPr lang="ru-RU" sz="1200" i="0" kern="1200">
            <a:solidFill>
              <a:sysClr val="windowText" lastClr="000000"/>
            </a:solidFill>
            <a:latin typeface="Times New Roman" panose="02020603050405020304" pitchFamily="18" charset="0"/>
            <a:cs typeface="Times New Roman" panose="02020603050405020304" pitchFamily="18" charset="0"/>
          </a:endParaRPr>
        </a:p>
      </dsp:txBody>
      <dsp:txXfrm>
        <a:off x="1545310" y="5721042"/>
        <a:ext cx="3800142" cy="1012468"/>
      </dsp:txXfrm>
    </dsp:sp>
    <dsp:sp modelId="{FA2CAE7D-FCD0-4C80-8559-B7FCF3BD1B75}">
      <dsp:nvSpPr>
        <dsp:cNvPr id="0" name=""/>
        <dsp:cNvSpPr/>
      </dsp:nvSpPr>
      <dsp:spPr>
        <a:xfrm>
          <a:off x="3445381" y="1349368"/>
          <a:ext cx="498808" cy="5415641"/>
        </a:xfrm>
        <a:custGeom>
          <a:avLst/>
          <a:gdLst/>
          <a:ahLst/>
          <a:cxnLst/>
          <a:rect l="0" t="0" r="0" b="0"/>
          <a:pathLst>
            <a:path>
              <a:moveTo>
                <a:pt x="0" y="5415641"/>
              </a:moveTo>
              <a:lnTo>
                <a:pt x="498808"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E5691B0-09ED-4710-8863-14E0A4B7E576}">
      <dsp:nvSpPr>
        <dsp:cNvPr id="0" name=""/>
        <dsp:cNvSpPr/>
      </dsp:nvSpPr>
      <dsp:spPr>
        <a:xfrm>
          <a:off x="2007993" y="1349368"/>
          <a:ext cx="3872393" cy="113888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ru-RU" sz="1200" i="0"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i="0" kern="1200">
              <a:solidFill>
                <a:sysClr val="windowText" lastClr="000000"/>
              </a:solidFill>
              <a:latin typeface="Times New Roman" panose="02020603050405020304" pitchFamily="18" charset="0"/>
              <a:cs typeface="Times New Roman" panose="02020603050405020304" pitchFamily="18" charset="0"/>
            </a:rPr>
            <a:t>План ЕС по правам человека и демократии (2020–2027)  Инструмент </a:t>
          </a:r>
          <a:r>
            <a:rPr lang="en-US" sz="1200" i="0" kern="1200">
              <a:solidFill>
                <a:sysClr val="windowText" lastClr="000000"/>
              </a:solidFill>
              <a:latin typeface="Times New Roman" panose="02020603050405020304" pitchFamily="18" charset="0"/>
              <a:cs typeface="Times New Roman" panose="02020603050405020304" pitchFamily="18" charset="0"/>
            </a:rPr>
            <a:t>NDICI – Global Europe</a:t>
          </a:r>
          <a:r>
            <a:rPr lang="uk-UA" sz="1200" i="0" kern="1200">
              <a:solidFill>
                <a:sysClr val="windowText" lastClr="000000"/>
              </a:solidFill>
              <a:latin typeface="Times New Roman" panose="02020603050405020304" pitchFamily="18" charset="0"/>
              <a:cs typeface="Times New Roman" panose="02020603050405020304" pitchFamily="18" charset="0"/>
            </a:rPr>
            <a:t>                                              </a:t>
          </a:r>
          <a:r>
            <a:rPr lang="ru-RU" sz="1200" i="0" kern="1200">
              <a:solidFill>
                <a:sysClr val="windowText" lastClr="000000"/>
              </a:solidFill>
              <a:latin typeface="Times New Roman" panose="02020603050405020304" pitchFamily="18" charset="0"/>
              <a:cs typeface="Times New Roman" panose="02020603050405020304" pitchFamily="18" charset="0"/>
            </a:rPr>
            <a:t>Европейский инструмент демократии и прав человека</a:t>
          </a:r>
          <a:r>
            <a:rPr lang="uk-UA" sz="1200" i="0" kern="1200">
              <a:solidFill>
                <a:sysClr val="windowText" lastClr="000000"/>
              </a:solidFill>
              <a:latin typeface="Times New Roman" panose="02020603050405020304" pitchFamily="18" charset="0"/>
              <a:cs typeface="Times New Roman" panose="02020603050405020304" pitchFamily="18" charset="0"/>
            </a:rPr>
            <a:t>                                                                        </a:t>
          </a:r>
          <a:r>
            <a:rPr lang="ru-RU" sz="1200" i="0" kern="1200">
              <a:solidFill>
                <a:sysClr val="windowText" lastClr="000000"/>
              </a:solidFill>
              <a:latin typeface="Times New Roman" panose="02020603050405020304" pitchFamily="18" charset="0"/>
              <a:cs typeface="Times New Roman" panose="02020603050405020304" pitchFamily="18" charset="0"/>
            </a:rPr>
            <a:t>Механизмы </a:t>
          </a:r>
          <a:r>
            <a:rPr lang="en-US" sz="1200" i="0" kern="1200">
              <a:solidFill>
                <a:sysClr val="windowText" lastClr="000000"/>
              </a:solidFill>
              <a:latin typeface="Times New Roman" panose="02020603050405020304" pitchFamily="18" charset="0"/>
              <a:cs typeface="Times New Roman" panose="02020603050405020304" pitchFamily="18" charset="0"/>
            </a:rPr>
            <a:t>TAIEX, Twinning, Technical Assistance</a:t>
          </a:r>
          <a:r>
            <a:rPr lang="uk-UA" sz="1200" i="0" kern="1200">
              <a:solidFill>
                <a:sysClr val="windowText" lastClr="000000"/>
              </a:solidFill>
              <a:latin typeface="Times New Roman" panose="02020603050405020304" pitchFamily="18" charset="0"/>
              <a:cs typeface="Times New Roman" panose="02020603050405020304" pitchFamily="18" charset="0"/>
            </a:rPr>
            <a:t>                      </a:t>
          </a:r>
          <a:r>
            <a:rPr lang="ru-RU" sz="1200" i="0" kern="1200">
              <a:solidFill>
                <a:sysClr val="windowText" lastClr="000000"/>
              </a:solidFill>
              <a:latin typeface="Times New Roman" panose="02020603050405020304" pitchFamily="18" charset="0"/>
              <a:cs typeface="Times New Roman" panose="02020603050405020304" pitchFamily="18" charset="0"/>
            </a:rPr>
            <a:t>Программа </a:t>
          </a:r>
          <a:r>
            <a:rPr lang="en-US" sz="1200" i="0" kern="1200">
              <a:solidFill>
                <a:sysClr val="windowText" lastClr="000000"/>
              </a:solidFill>
              <a:latin typeface="Times New Roman" panose="02020603050405020304" pitchFamily="18" charset="0"/>
              <a:cs typeface="Times New Roman" panose="02020603050405020304" pitchFamily="18" charset="0"/>
            </a:rPr>
            <a:t>HELP </a:t>
          </a:r>
          <a:r>
            <a:rPr lang="ru-RU" sz="1200" i="0" kern="1200">
              <a:solidFill>
                <a:sysClr val="windowText" lastClr="000000"/>
              </a:solidFill>
              <a:latin typeface="Times New Roman" panose="02020603050405020304" pitchFamily="18" charset="0"/>
              <a:cs typeface="Times New Roman" panose="02020603050405020304" pitchFamily="18" charset="0"/>
            </a:rPr>
            <a:t>для судей и прокуроров                      Диалоги ЕС–Казахстан по правам человека           </a:t>
          </a:r>
          <a:r>
            <a:rPr lang="en-US" sz="1200" i="0" kern="1200">
              <a:solidFill>
                <a:sysClr val="windowText" lastClr="000000"/>
              </a:solidFill>
              <a:latin typeface="Times New Roman" panose="02020603050405020304" pitchFamily="18" charset="0"/>
              <a:cs typeface="Times New Roman" panose="02020603050405020304" pitchFamily="18" charset="0"/>
            </a:rPr>
            <a:t>Neighbourhood Co-operation Priorities 2024</a:t>
          </a:r>
          <a:r>
            <a:rPr lang="uk-UA" sz="1200" i="0" kern="1200">
              <a:solidFill>
                <a:sysClr val="windowText" lastClr="000000"/>
              </a:solidFill>
              <a:latin typeface="Times New Roman" panose="02020603050405020304" pitchFamily="18" charset="0"/>
              <a:cs typeface="Times New Roman" panose="02020603050405020304" pitchFamily="18" charset="0"/>
            </a:rPr>
            <a:t>-</a:t>
          </a:r>
          <a:r>
            <a:rPr lang="en-US" sz="1200" i="0" kern="1200">
              <a:solidFill>
                <a:sysClr val="windowText" lastClr="000000"/>
              </a:solidFill>
              <a:latin typeface="Times New Roman" panose="02020603050405020304" pitchFamily="18" charset="0"/>
              <a:cs typeface="Times New Roman" panose="02020603050405020304" pitchFamily="18" charset="0"/>
            </a:rPr>
            <a:t>2027</a:t>
          </a:r>
          <a:r>
            <a:rPr lang="ru-RU" sz="1200" i="0" kern="1200">
              <a:solidFill>
                <a:sysClr val="windowText" lastClr="000000"/>
              </a:solidFill>
              <a:latin typeface="Times New Roman" panose="02020603050405020304" pitchFamily="18" charset="0"/>
              <a:cs typeface="Times New Roman" panose="02020603050405020304" pitchFamily="18" charset="0"/>
            </a:rPr>
            <a:t>                                 </a:t>
          </a:r>
        </a:p>
        <a:p>
          <a:pPr lvl="0" algn="ctr" defTabSz="533400">
            <a:lnSpc>
              <a:spcPct val="90000"/>
            </a:lnSpc>
            <a:spcBef>
              <a:spcPct val="0"/>
            </a:spcBef>
            <a:spcAft>
              <a:spcPct val="35000"/>
            </a:spcAft>
          </a:pPr>
          <a:endParaRPr lang="ru-RU" sz="1200" i="0" kern="1200">
            <a:solidFill>
              <a:sysClr val="windowText" lastClr="000000"/>
            </a:solidFill>
            <a:latin typeface="Times New Roman" panose="02020603050405020304" pitchFamily="18" charset="0"/>
            <a:cs typeface="Times New Roman" panose="02020603050405020304" pitchFamily="18" charset="0"/>
          </a:endParaRPr>
        </a:p>
      </dsp:txBody>
      <dsp:txXfrm>
        <a:off x="2041350" y="1382725"/>
        <a:ext cx="3805679" cy="1072172"/>
      </dsp:txXfrm>
    </dsp:sp>
    <dsp:sp modelId="{5AB7F6E7-0B6B-40C0-88DA-331E05420043}">
      <dsp:nvSpPr>
        <dsp:cNvPr id="0" name=""/>
        <dsp:cNvSpPr/>
      </dsp:nvSpPr>
      <dsp:spPr>
        <a:xfrm>
          <a:off x="3898470" y="2488255"/>
          <a:ext cx="91440" cy="136042"/>
        </a:xfrm>
        <a:custGeom>
          <a:avLst/>
          <a:gdLst/>
          <a:ahLst/>
          <a:cxnLst/>
          <a:rect l="0" t="0" r="0" b="0"/>
          <a:pathLst>
            <a:path>
              <a:moveTo>
                <a:pt x="45720" y="0"/>
              </a:moveTo>
              <a:lnTo>
                <a:pt x="45720" y="68021"/>
              </a:lnTo>
              <a:lnTo>
                <a:pt x="60266" y="68021"/>
              </a:lnTo>
              <a:lnTo>
                <a:pt x="60266" y="136042"/>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50487A-A106-4274-9B7B-CDF454E26C83}">
      <dsp:nvSpPr>
        <dsp:cNvPr id="0" name=""/>
        <dsp:cNvSpPr/>
      </dsp:nvSpPr>
      <dsp:spPr>
        <a:xfrm>
          <a:off x="2013945" y="2624297"/>
          <a:ext cx="3889581" cy="1217332"/>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i="0" kern="1200">
              <a:solidFill>
                <a:sysClr val="windowText" lastClr="000000"/>
              </a:solidFill>
              <a:latin typeface="Times New Roman" panose="02020603050405020304" pitchFamily="18" charset="0"/>
              <a:cs typeface="Times New Roman" panose="02020603050405020304" pitchFamily="18" charset="0"/>
            </a:rPr>
            <a:t>Мониторинг выполнения международных обязательств Совместные индикаторные панели ЕС–Казахстан              Усиление института Омбудсмена и региональных офисов Институционализация участия гражданского общества Образовательные программы по правам человека               Правозащитная экспертиза законопроектов (</a:t>
          </a:r>
          <a:r>
            <a:rPr lang="en-US" sz="1200" i="0" kern="1200">
              <a:solidFill>
                <a:sysClr val="windowText" lastClr="000000"/>
              </a:solidFill>
              <a:latin typeface="Times New Roman" panose="02020603050405020304" pitchFamily="18" charset="0"/>
              <a:cs typeface="Times New Roman" panose="02020603050405020304" pitchFamily="18" charset="0"/>
            </a:rPr>
            <a:t>ex ante Human Rights Impact Assessment)</a:t>
          </a:r>
          <a:endParaRPr lang="ru-RU" sz="1200" i="0" kern="1200">
            <a:solidFill>
              <a:sysClr val="windowText" lastClr="000000"/>
            </a:solidFill>
            <a:latin typeface="Times New Roman" panose="02020603050405020304" pitchFamily="18" charset="0"/>
            <a:cs typeface="Times New Roman" panose="02020603050405020304" pitchFamily="18" charset="0"/>
          </a:endParaRPr>
        </a:p>
      </dsp:txBody>
      <dsp:txXfrm>
        <a:off x="2049599" y="2659951"/>
        <a:ext cx="3818273" cy="1146024"/>
      </dsp:txXfrm>
    </dsp:sp>
    <dsp:sp modelId="{5C449BFD-F58F-4F73-9CC6-367FBF917753}">
      <dsp:nvSpPr>
        <dsp:cNvPr id="0" name=""/>
        <dsp:cNvSpPr/>
      </dsp:nvSpPr>
      <dsp:spPr>
        <a:xfrm>
          <a:off x="3878140" y="3841629"/>
          <a:ext cx="91440" cy="148610"/>
        </a:xfrm>
        <a:custGeom>
          <a:avLst/>
          <a:gdLst/>
          <a:ahLst/>
          <a:cxnLst/>
          <a:rect l="0" t="0" r="0" b="0"/>
          <a:pathLst>
            <a:path>
              <a:moveTo>
                <a:pt x="80595" y="0"/>
              </a:moveTo>
              <a:lnTo>
                <a:pt x="80595" y="74305"/>
              </a:lnTo>
              <a:lnTo>
                <a:pt x="45720" y="74305"/>
              </a:lnTo>
              <a:lnTo>
                <a:pt x="45720" y="148610"/>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D8ACFE-3BEA-40A9-8F97-E89CD202D8CA}">
      <dsp:nvSpPr>
        <dsp:cNvPr id="0" name=""/>
        <dsp:cNvSpPr/>
      </dsp:nvSpPr>
      <dsp:spPr>
        <a:xfrm>
          <a:off x="2025031" y="3990240"/>
          <a:ext cx="3797658" cy="1013733"/>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ru-RU" sz="1200" i="0" kern="1200">
            <a:solidFill>
              <a:sysClr val="windowText" lastClr="000000"/>
            </a:solidFill>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i="0" kern="1200">
              <a:solidFill>
                <a:sysClr val="windowText" lastClr="000000"/>
              </a:solidFill>
              <a:latin typeface="Times New Roman" panose="02020603050405020304" pitchFamily="18" charset="0"/>
              <a:cs typeface="Times New Roman" panose="02020603050405020304" pitchFamily="18" charset="0"/>
            </a:rPr>
            <a:t>Повышение независимости судов                                       Укрепление подотчётности государственных институтов  Расширение полномочий Омбудсмена                                        Рост свободы СМИ и политического плюрализма                   Институционализация диалога власть – ЕС – общество                                                                                            Принятие комплексных планов правовых реформ</a:t>
          </a:r>
        </a:p>
        <a:p>
          <a:pPr lvl="0" algn="ctr" defTabSz="533400">
            <a:lnSpc>
              <a:spcPct val="90000"/>
            </a:lnSpc>
            <a:spcBef>
              <a:spcPct val="0"/>
            </a:spcBef>
            <a:spcAft>
              <a:spcPct val="35000"/>
            </a:spcAft>
          </a:pPr>
          <a:endParaRPr lang="ru-RU" sz="1200" i="0" kern="1200">
            <a:solidFill>
              <a:sysClr val="windowText" lastClr="000000"/>
            </a:solidFill>
            <a:latin typeface="Times New Roman" panose="02020603050405020304" pitchFamily="18" charset="0"/>
            <a:cs typeface="Times New Roman" panose="02020603050405020304" pitchFamily="18" charset="0"/>
          </a:endParaRPr>
        </a:p>
      </dsp:txBody>
      <dsp:txXfrm>
        <a:off x="2054722" y="4019931"/>
        <a:ext cx="3738276" cy="954351"/>
      </dsp:txXfrm>
    </dsp:sp>
    <dsp:sp modelId="{29A8CD10-0AC1-457F-910C-3723AA64264B}">
      <dsp:nvSpPr>
        <dsp:cNvPr id="0" name=""/>
        <dsp:cNvSpPr/>
      </dsp:nvSpPr>
      <dsp:spPr>
        <a:xfrm>
          <a:off x="2308897" y="5003973"/>
          <a:ext cx="1614963" cy="429502"/>
        </a:xfrm>
        <a:custGeom>
          <a:avLst/>
          <a:gdLst/>
          <a:ahLst/>
          <a:cxnLst/>
          <a:rect l="0" t="0" r="0" b="0"/>
          <a:pathLst>
            <a:path>
              <a:moveTo>
                <a:pt x="1614963" y="0"/>
              </a:moveTo>
              <a:lnTo>
                <a:pt x="1614963" y="214751"/>
              </a:lnTo>
              <a:lnTo>
                <a:pt x="0" y="214751"/>
              </a:lnTo>
              <a:lnTo>
                <a:pt x="0" y="429502"/>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3070B9-B070-4156-97F3-CCE70DBBF1C1}">
      <dsp:nvSpPr>
        <dsp:cNvPr id="0" name=""/>
        <dsp:cNvSpPr/>
      </dsp:nvSpPr>
      <dsp:spPr>
        <a:xfrm>
          <a:off x="1762124" y="5433475"/>
          <a:ext cx="1093545" cy="71947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solidFill>
                <a:sysClr val="windowText" lastClr="000000"/>
              </a:solidFill>
              <a:latin typeface="Times New Roman" panose="02020603050405020304" pitchFamily="18" charset="0"/>
              <a:cs typeface="Times New Roman" panose="02020603050405020304" pitchFamily="18" charset="0"/>
            </a:rPr>
            <a:t>НИЗКИЙ (наличие структурных барьеров)</a:t>
          </a:r>
        </a:p>
      </dsp:txBody>
      <dsp:txXfrm>
        <a:off x="1783197" y="5454548"/>
        <a:ext cx="1051399" cy="677330"/>
      </dsp:txXfrm>
    </dsp:sp>
    <dsp:sp modelId="{6A313E7D-4749-4C1A-B69D-10070506493F}">
      <dsp:nvSpPr>
        <dsp:cNvPr id="0" name=""/>
        <dsp:cNvSpPr/>
      </dsp:nvSpPr>
      <dsp:spPr>
        <a:xfrm>
          <a:off x="3877651" y="5003973"/>
          <a:ext cx="91440" cy="371291"/>
        </a:xfrm>
        <a:custGeom>
          <a:avLst/>
          <a:gdLst/>
          <a:ahLst/>
          <a:cxnLst/>
          <a:rect l="0" t="0" r="0" b="0"/>
          <a:pathLst>
            <a:path>
              <a:moveTo>
                <a:pt x="46208" y="0"/>
              </a:moveTo>
              <a:lnTo>
                <a:pt x="46208" y="185645"/>
              </a:lnTo>
              <a:lnTo>
                <a:pt x="45720" y="185645"/>
              </a:lnTo>
              <a:lnTo>
                <a:pt x="45720" y="371291"/>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C192E1-E930-404F-A711-D067FD5302CA}">
      <dsp:nvSpPr>
        <dsp:cNvPr id="0" name=""/>
        <dsp:cNvSpPr/>
      </dsp:nvSpPr>
      <dsp:spPr>
        <a:xfrm>
          <a:off x="3291168" y="5375265"/>
          <a:ext cx="1264406" cy="960794"/>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solidFill>
                <a:sysClr val="windowText" lastClr="000000"/>
              </a:solidFill>
              <a:latin typeface="Times New Roman" panose="02020603050405020304" pitchFamily="18" charset="0"/>
              <a:cs typeface="Times New Roman" panose="02020603050405020304" pitchFamily="18" charset="0"/>
            </a:rPr>
            <a:t>СРЕДНИЙ (частичное внедрение рекомендаций ЕС и Совета Европы)</a:t>
          </a:r>
        </a:p>
      </dsp:txBody>
      <dsp:txXfrm>
        <a:off x="3319309" y="5403406"/>
        <a:ext cx="1208124" cy="904512"/>
      </dsp:txXfrm>
    </dsp:sp>
    <dsp:sp modelId="{6F2900D0-D227-4032-B5C1-BB5A1C14440D}">
      <dsp:nvSpPr>
        <dsp:cNvPr id="0" name=""/>
        <dsp:cNvSpPr/>
      </dsp:nvSpPr>
      <dsp:spPr>
        <a:xfrm>
          <a:off x="3923860" y="5003973"/>
          <a:ext cx="1519683" cy="341828"/>
        </a:xfrm>
        <a:custGeom>
          <a:avLst/>
          <a:gdLst/>
          <a:ahLst/>
          <a:cxnLst/>
          <a:rect l="0" t="0" r="0" b="0"/>
          <a:pathLst>
            <a:path>
              <a:moveTo>
                <a:pt x="0" y="0"/>
              </a:moveTo>
              <a:lnTo>
                <a:pt x="0" y="170914"/>
              </a:lnTo>
              <a:lnTo>
                <a:pt x="1519683" y="170914"/>
              </a:lnTo>
              <a:lnTo>
                <a:pt x="1519683" y="341828"/>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B0E053B-D97C-4198-A24D-597EBB0A619C}">
      <dsp:nvSpPr>
        <dsp:cNvPr id="0" name=""/>
        <dsp:cNvSpPr/>
      </dsp:nvSpPr>
      <dsp:spPr>
        <a:xfrm>
          <a:off x="4835981" y="5345802"/>
          <a:ext cx="1215125" cy="1118256"/>
        </a:xfrm>
        <a:prstGeom prst="roundRect">
          <a:avLst>
            <a:gd name="adj" fmla="val 10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solidFill>
                <a:sysClr val="windowText" lastClr="000000"/>
              </a:solidFill>
              <a:latin typeface="Times New Roman" panose="02020603050405020304" pitchFamily="18" charset="0"/>
              <a:cs typeface="Times New Roman" panose="02020603050405020304" pitchFamily="18" charset="0"/>
            </a:rPr>
            <a:t>ВЫСОКИЙ устойчивая адаптация европейских стандартов в национальной системе</a:t>
          </a:r>
        </a:p>
      </dsp:txBody>
      <dsp:txXfrm>
        <a:off x="4868734" y="5378555"/>
        <a:ext cx="1149619" cy="1052750"/>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ABA42A-BF45-4FF1-B7AD-68FE65BAE9A1}">
      <dsp:nvSpPr>
        <dsp:cNvPr id="0" name=""/>
        <dsp:cNvSpPr/>
      </dsp:nvSpPr>
      <dsp:spPr>
        <a:xfrm>
          <a:off x="1155304" y="583"/>
          <a:ext cx="4813593" cy="897478"/>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just" defTabSz="444500">
            <a:lnSpc>
              <a:spcPct val="90000"/>
            </a:lnSpc>
            <a:spcBef>
              <a:spcPct val="0"/>
            </a:spcBef>
            <a:spcAft>
              <a:spcPct val="15000"/>
            </a:spcAft>
            <a:buChar char="••"/>
          </a:pPr>
          <a:r>
            <a:rPr lang="ru-RU" sz="1000" kern="1200">
              <a:solidFill>
                <a:sysClr val="windowText" lastClr="000000"/>
              </a:solidFill>
              <a:latin typeface="Times New Roman" panose="02020603050405020304" pitchFamily="18" charset="0"/>
              <a:cs typeface="Times New Roman" panose="02020603050405020304" pitchFamily="18" charset="0"/>
            </a:rPr>
            <a:t>Старт действия </a:t>
          </a:r>
          <a:r>
            <a:rPr lang="en-US" sz="1000" kern="1200">
              <a:solidFill>
                <a:sysClr val="windowText" lastClr="000000"/>
              </a:solidFill>
              <a:latin typeface="Times New Roman" panose="02020603050405020304" pitchFamily="18" charset="0"/>
              <a:cs typeface="Times New Roman" panose="02020603050405020304" pitchFamily="18" charset="0"/>
            </a:rPr>
            <a:t>EU Action Plan on Human Rights and Democracy 2020–2027. </a:t>
          </a:r>
          <a:r>
            <a:rPr lang="ru-RU" sz="1000" kern="1200">
              <a:solidFill>
                <a:sysClr val="windowText" lastClr="000000"/>
              </a:solidFill>
              <a:latin typeface="Times New Roman" panose="02020603050405020304" pitchFamily="18" charset="0"/>
              <a:cs typeface="Times New Roman" panose="02020603050405020304" pitchFamily="18" charset="0"/>
            </a:rPr>
            <a:t>Для Казахстана этот этап характеризуется декларативным участием: формальные обязательства выполняются при сохранении элементов авторитарной стабильности и минимального уровня институционального диалога с Европейским союзом.</a:t>
          </a:r>
        </a:p>
      </dsp:txBody>
      <dsp:txXfrm>
        <a:off x="1155304" y="112768"/>
        <a:ext cx="4477039" cy="673108"/>
      </dsp:txXfrm>
    </dsp:sp>
    <dsp:sp modelId="{5C29AF24-2EAA-4F97-B748-5A1FAA1542F2}">
      <dsp:nvSpPr>
        <dsp:cNvPr id="0" name=""/>
        <dsp:cNvSpPr/>
      </dsp:nvSpPr>
      <dsp:spPr>
        <a:xfrm>
          <a:off x="0" y="207397"/>
          <a:ext cx="1114714" cy="48490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ru-RU" sz="1000" b="0" i="1" kern="1200">
              <a:solidFill>
                <a:sysClr val="windowText" lastClr="000000"/>
              </a:solidFill>
              <a:latin typeface="Times New Roman" panose="02020603050405020304" pitchFamily="18" charset="0"/>
              <a:cs typeface="Times New Roman" panose="02020603050405020304" pitchFamily="18" charset="0"/>
            </a:rPr>
            <a:t>2020</a:t>
          </a:r>
        </a:p>
      </dsp:txBody>
      <dsp:txXfrm>
        <a:off x="23671" y="231068"/>
        <a:ext cx="1067372" cy="437566"/>
      </dsp:txXfrm>
    </dsp:sp>
    <dsp:sp modelId="{28DAF939-A7A1-4386-805B-0B2380EEDD8A}">
      <dsp:nvSpPr>
        <dsp:cNvPr id="0" name=""/>
        <dsp:cNvSpPr/>
      </dsp:nvSpPr>
      <dsp:spPr>
        <a:xfrm>
          <a:off x="1136247" y="917221"/>
          <a:ext cx="4949999" cy="937973"/>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just" defTabSz="444500">
            <a:lnSpc>
              <a:spcPct val="90000"/>
            </a:lnSpc>
            <a:spcBef>
              <a:spcPct val="0"/>
            </a:spcBef>
            <a:spcAft>
              <a:spcPct val="15000"/>
            </a:spcAft>
            <a:buChar char="••"/>
          </a:pPr>
          <a:r>
            <a:rPr lang="ru-RU" sz="1000" kern="1200">
              <a:solidFill>
                <a:sysClr val="windowText" lastClr="000000"/>
              </a:solidFill>
              <a:latin typeface="Times New Roman" panose="02020603050405020304" pitchFamily="18" charset="0"/>
              <a:cs typeface="Times New Roman" panose="02020603050405020304" pitchFamily="18" charset="0"/>
            </a:rPr>
            <a:t>Поворотный момент внутренних реформ: принятие новой Конституции, учреждение Конституционного суда, принятие закона «Об Уполномоченном по правам человека», утверждение Национального плана действий в области прав человека. Начинается переход от декларативного к нормативному уровню адаптации (подъём с уровня 2 к уровню 3).</a:t>
          </a:r>
        </a:p>
        <a:p>
          <a:pPr marL="57150" lvl="1" indent="-57150" algn="just" defTabSz="444500">
            <a:lnSpc>
              <a:spcPct val="90000"/>
            </a:lnSpc>
            <a:spcBef>
              <a:spcPct val="0"/>
            </a:spcBef>
            <a:spcAft>
              <a:spcPct val="15000"/>
            </a:spcAft>
            <a:buChar char="••"/>
          </a:pPr>
          <a:endParaRPr lang="ru-RU" sz="1000" kern="1200">
            <a:solidFill>
              <a:sysClr val="windowText" lastClr="000000"/>
            </a:solidFill>
            <a:latin typeface="Times New Roman" panose="02020603050405020304" pitchFamily="18" charset="0"/>
            <a:cs typeface="Times New Roman" panose="02020603050405020304" pitchFamily="18" charset="0"/>
          </a:endParaRPr>
        </a:p>
      </dsp:txBody>
      <dsp:txXfrm>
        <a:off x="1136247" y="1034468"/>
        <a:ext cx="4598259" cy="703479"/>
      </dsp:txXfrm>
    </dsp:sp>
    <dsp:sp modelId="{D633746F-9B4C-4C40-983F-B498CF51F4A3}">
      <dsp:nvSpPr>
        <dsp:cNvPr id="0" name=""/>
        <dsp:cNvSpPr/>
      </dsp:nvSpPr>
      <dsp:spPr>
        <a:xfrm>
          <a:off x="0" y="1158403"/>
          <a:ext cx="1064053" cy="48490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ru-RU" sz="1000" b="0" i="1" kern="1200">
              <a:solidFill>
                <a:sysClr val="windowText" lastClr="000000"/>
              </a:solidFill>
              <a:latin typeface="Times New Roman" panose="02020603050405020304" pitchFamily="18" charset="0"/>
              <a:cs typeface="Times New Roman" panose="02020603050405020304" pitchFamily="18" charset="0"/>
            </a:rPr>
            <a:t>2022</a:t>
          </a:r>
        </a:p>
      </dsp:txBody>
      <dsp:txXfrm>
        <a:off x="23671" y="1182074"/>
        <a:ext cx="1016711" cy="437566"/>
      </dsp:txXfrm>
    </dsp:sp>
    <dsp:sp modelId="{9B78B207-2B4D-415E-A180-E684F23A04C8}">
      <dsp:nvSpPr>
        <dsp:cNvPr id="0" name=""/>
        <dsp:cNvSpPr/>
      </dsp:nvSpPr>
      <dsp:spPr>
        <a:xfrm>
          <a:off x="1130114" y="1855869"/>
          <a:ext cx="4913517" cy="963576"/>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just" defTabSz="444500">
            <a:lnSpc>
              <a:spcPct val="90000"/>
            </a:lnSpc>
            <a:spcBef>
              <a:spcPct val="0"/>
            </a:spcBef>
            <a:spcAft>
              <a:spcPct val="15000"/>
            </a:spcAft>
            <a:buChar char="••"/>
          </a:pPr>
          <a:r>
            <a:rPr lang="ru-RU" sz="1000" kern="1200">
              <a:solidFill>
                <a:sysClr val="windowText" lastClr="000000"/>
              </a:solidFill>
              <a:latin typeface="Times New Roman" panose="02020603050405020304" pitchFamily="18" charset="0"/>
              <a:cs typeface="Times New Roman" panose="02020603050405020304" pitchFamily="18" charset="0"/>
            </a:rPr>
            <a:t>Начало реализации </a:t>
          </a:r>
          <a:r>
            <a:rPr lang="en-US" sz="1000" kern="1200">
              <a:solidFill>
                <a:sysClr val="windowText" lastClr="000000"/>
              </a:solidFill>
              <a:latin typeface="Times New Roman" panose="02020603050405020304" pitchFamily="18" charset="0"/>
              <a:cs typeface="Times New Roman" panose="02020603050405020304" pitchFamily="18" charset="0"/>
            </a:rPr>
            <a:t>Neighbourhood Co-operation Priorities 2024–2027, </a:t>
          </a:r>
          <a:r>
            <a:rPr lang="ru-RU" sz="1000" kern="1200">
              <a:solidFill>
                <a:sysClr val="windowText" lastClr="000000"/>
              </a:solidFill>
              <a:latin typeface="Times New Roman" panose="02020603050405020304" pitchFamily="18" charset="0"/>
              <a:cs typeface="Times New Roman" panose="02020603050405020304" pitchFamily="18" charset="0"/>
            </a:rPr>
            <a:t>активизация программ </a:t>
          </a:r>
          <a:r>
            <a:rPr lang="en-US" sz="1000" kern="1200">
              <a:solidFill>
                <a:sysClr val="windowText" lastClr="000000"/>
              </a:solidFill>
              <a:latin typeface="Times New Roman" panose="02020603050405020304" pitchFamily="18" charset="0"/>
              <a:cs typeface="Times New Roman" panose="02020603050405020304" pitchFamily="18" charset="0"/>
            </a:rPr>
            <a:t>NDICI – Global Europe </a:t>
          </a:r>
          <a:r>
            <a:rPr lang="ru-RU" sz="1000" kern="1200">
              <a:solidFill>
                <a:sysClr val="windowText" lastClr="000000"/>
              </a:solidFill>
              <a:latin typeface="Times New Roman" panose="02020603050405020304" pitchFamily="18" charset="0"/>
              <a:cs typeface="Times New Roman" panose="02020603050405020304" pitchFamily="18" charset="0"/>
            </a:rPr>
            <a:t>и </a:t>
          </a:r>
          <a:r>
            <a:rPr lang="en-US" sz="1000" kern="1200">
              <a:solidFill>
                <a:sysClr val="windowText" lastClr="000000"/>
              </a:solidFill>
              <a:latin typeface="Times New Roman" panose="02020603050405020304" pitchFamily="18" charset="0"/>
              <a:cs typeface="Times New Roman" panose="02020603050405020304" pitchFamily="18" charset="0"/>
            </a:rPr>
            <a:t>Rule of Law Programme for Central Asia. </a:t>
          </a:r>
          <a:r>
            <a:rPr lang="ru-RU" sz="1000" kern="1200">
              <a:solidFill>
                <a:sysClr val="windowText" lastClr="000000"/>
              </a:solidFill>
              <a:latin typeface="Times New Roman" panose="02020603050405020304" pitchFamily="18" charset="0"/>
              <a:cs typeface="Times New Roman" panose="02020603050405020304" pitchFamily="18" charset="0"/>
            </a:rPr>
            <a:t>Сформирован средний уровень имплементационного потенциала: нормативная база закреплена, но практические механизмы реализации остаются фрагментарными и требуют институционального укрепления.</a:t>
          </a:r>
        </a:p>
      </dsp:txBody>
      <dsp:txXfrm>
        <a:off x="1130114" y="1976316"/>
        <a:ext cx="4552176" cy="722682"/>
      </dsp:txXfrm>
    </dsp:sp>
    <dsp:sp modelId="{BB34DC7A-4234-42E9-A794-A858BAA6C76E}">
      <dsp:nvSpPr>
        <dsp:cNvPr id="0" name=""/>
        <dsp:cNvSpPr/>
      </dsp:nvSpPr>
      <dsp:spPr>
        <a:xfrm>
          <a:off x="0" y="2043594"/>
          <a:ext cx="1064053" cy="48490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ru-RU" sz="1000" b="0" i="1" kern="1200">
              <a:solidFill>
                <a:sysClr val="windowText" lastClr="000000"/>
              </a:solidFill>
              <a:latin typeface="Times New Roman" panose="02020603050405020304" pitchFamily="18" charset="0"/>
              <a:cs typeface="Times New Roman" panose="02020603050405020304" pitchFamily="18" charset="0"/>
            </a:rPr>
            <a:t>2024</a:t>
          </a:r>
        </a:p>
      </dsp:txBody>
      <dsp:txXfrm>
        <a:off x="23671" y="2067265"/>
        <a:ext cx="1016711" cy="437566"/>
      </dsp:txXfrm>
    </dsp:sp>
    <dsp:sp modelId="{EF0DD81E-92D5-4CD9-8658-7A4133A47A6D}">
      <dsp:nvSpPr>
        <dsp:cNvPr id="0" name=""/>
        <dsp:cNvSpPr/>
      </dsp:nvSpPr>
      <dsp:spPr>
        <a:xfrm>
          <a:off x="1061532" y="2836505"/>
          <a:ext cx="5024714" cy="1003751"/>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just" defTabSz="444500">
            <a:lnSpc>
              <a:spcPct val="90000"/>
            </a:lnSpc>
            <a:spcBef>
              <a:spcPct val="0"/>
            </a:spcBef>
            <a:spcAft>
              <a:spcPct val="15000"/>
            </a:spcAft>
            <a:buChar char="••"/>
          </a:pPr>
          <a:r>
            <a:rPr lang="ru-RU" sz="1000" kern="1200">
              <a:solidFill>
                <a:sysClr val="windowText" lastClr="000000"/>
              </a:solidFill>
              <a:latin typeface="Times New Roman" panose="02020603050405020304" pitchFamily="18" charset="0"/>
              <a:cs typeface="Times New Roman" panose="02020603050405020304" pitchFamily="18" charset="0"/>
            </a:rPr>
            <a:t>Текущий этап служит аналитическим срезом, когда Казахстан приблизился к системному внедрению европейских стандартов, но ещё не достиг уровня устойчивой правовой интеграции (переход с уровня 3 к уровню 4). Акцент смещается на практическую реализацию стратегических документов и развитие механизмов правового мониторинга.</a:t>
          </a:r>
        </a:p>
      </dsp:txBody>
      <dsp:txXfrm>
        <a:off x="1061532" y="2961974"/>
        <a:ext cx="4648307" cy="752813"/>
      </dsp:txXfrm>
    </dsp:sp>
    <dsp:sp modelId="{06FA45F8-A773-4793-AC7E-E7A256D4ED98}">
      <dsp:nvSpPr>
        <dsp:cNvPr id="0" name=""/>
        <dsp:cNvSpPr/>
      </dsp:nvSpPr>
      <dsp:spPr>
        <a:xfrm>
          <a:off x="16" y="3067283"/>
          <a:ext cx="1030270" cy="48490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ru-RU" sz="1000" b="0" i="1" kern="1200">
              <a:solidFill>
                <a:sysClr val="windowText" lastClr="000000"/>
              </a:solidFill>
              <a:latin typeface="Times New Roman" panose="02020603050405020304" pitchFamily="18" charset="0"/>
              <a:cs typeface="Times New Roman" panose="02020603050405020304" pitchFamily="18" charset="0"/>
            </a:rPr>
            <a:t>2025</a:t>
          </a:r>
        </a:p>
      </dsp:txBody>
      <dsp:txXfrm>
        <a:off x="23687" y="3090954"/>
        <a:ext cx="982928" cy="437566"/>
      </dsp:txXfrm>
    </dsp:sp>
    <dsp:sp modelId="{6E9C4F95-6A82-4FFF-A44E-F03C3D5ED8AD}">
      <dsp:nvSpPr>
        <dsp:cNvPr id="0" name=""/>
        <dsp:cNvSpPr/>
      </dsp:nvSpPr>
      <dsp:spPr>
        <a:xfrm>
          <a:off x="999644" y="3836469"/>
          <a:ext cx="5086602" cy="1046724"/>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2">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350" tIns="6350" rIns="6350" bIns="6350" numCol="1" spcCol="1270" anchor="t" anchorCtr="0">
          <a:noAutofit/>
        </a:bodyPr>
        <a:lstStyle/>
        <a:p>
          <a:pPr marL="57150" lvl="1" indent="-57150" algn="just" defTabSz="444500">
            <a:lnSpc>
              <a:spcPct val="90000"/>
            </a:lnSpc>
            <a:spcBef>
              <a:spcPct val="0"/>
            </a:spcBef>
            <a:spcAft>
              <a:spcPct val="15000"/>
            </a:spcAft>
            <a:buChar char="••"/>
          </a:pPr>
          <a:r>
            <a:rPr lang="ru-RU" sz="1000" kern="1200">
              <a:solidFill>
                <a:sysClr val="windowText" lastClr="000000"/>
              </a:solidFill>
              <a:latin typeface="Times New Roman" panose="02020603050405020304" pitchFamily="18" charset="0"/>
              <a:cs typeface="Times New Roman" panose="02020603050405020304" pitchFamily="18" charset="0"/>
            </a:rPr>
            <a:t>Завершение действия </a:t>
          </a:r>
          <a:r>
            <a:rPr lang="en-US" sz="1000" kern="1200">
              <a:solidFill>
                <a:sysClr val="windowText" lastClr="000000"/>
              </a:solidFill>
              <a:latin typeface="Times New Roman" panose="02020603050405020304" pitchFamily="18" charset="0"/>
              <a:cs typeface="Times New Roman" panose="02020603050405020304" pitchFamily="18" charset="0"/>
            </a:rPr>
            <a:t>EU Action Plan on Human Rights and Democracy (2020–2027) </a:t>
          </a:r>
          <a:r>
            <a:rPr lang="ru-RU" sz="1000" kern="1200">
              <a:solidFill>
                <a:sysClr val="windowText" lastClr="000000"/>
              </a:solidFill>
              <a:latin typeface="Times New Roman" panose="02020603050405020304" pitchFamily="18" charset="0"/>
              <a:cs typeface="Times New Roman" panose="02020603050405020304" pitchFamily="18" charset="0"/>
            </a:rPr>
            <a:t>прогнозируется как фаза перехода к повышенному или высокому уровню имплементационного потенциала (уровни 4–5), что предполагает институциональное закрепление европейских стандартов в национальной правовой практике при сохранении политической воли и экспертной поддержки со стороны Европейского союза.</a:t>
          </a:r>
        </a:p>
      </dsp:txBody>
      <dsp:txXfrm>
        <a:off x="999644" y="3967310"/>
        <a:ext cx="4694081" cy="785043"/>
      </dsp:txXfrm>
    </dsp:sp>
    <dsp:sp modelId="{162ED88B-1AF7-4EC5-99D7-570E12D1109D}">
      <dsp:nvSpPr>
        <dsp:cNvPr id="0" name=""/>
        <dsp:cNvSpPr/>
      </dsp:nvSpPr>
      <dsp:spPr>
        <a:xfrm>
          <a:off x="0" y="4107126"/>
          <a:ext cx="994570" cy="484908"/>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8100" tIns="19050" rIns="38100" bIns="19050" numCol="1" spcCol="1270" anchor="ctr" anchorCtr="0">
          <a:noAutofit/>
        </a:bodyPr>
        <a:lstStyle/>
        <a:p>
          <a:pPr lvl="0" algn="ctr" defTabSz="444500">
            <a:lnSpc>
              <a:spcPct val="90000"/>
            </a:lnSpc>
            <a:spcBef>
              <a:spcPct val="0"/>
            </a:spcBef>
            <a:spcAft>
              <a:spcPct val="35000"/>
            </a:spcAft>
          </a:pPr>
          <a:r>
            <a:rPr lang="ru-RU" sz="1000" b="0" i="1" kern="1200">
              <a:solidFill>
                <a:sysClr val="windowText" lastClr="000000"/>
              </a:solidFill>
              <a:latin typeface="Times New Roman" panose="02020603050405020304" pitchFamily="18" charset="0"/>
              <a:cs typeface="Times New Roman" panose="02020603050405020304" pitchFamily="18" charset="0"/>
            </a:rPr>
            <a:t>2027</a:t>
          </a:r>
        </a:p>
      </dsp:txBody>
      <dsp:txXfrm>
        <a:off x="23671" y="4130797"/>
        <a:ext cx="947228" cy="437566"/>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8535F3-50DB-42B9-BEAC-A2E2FE87774D}">
      <dsp:nvSpPr>
        <dsp:cNvPr id="0" name=""/>
        <dsp:cNvSpPr/>
      </dsp:nvSpPr>
      <dsp:spPr>
        <a:xfrm>
          <a:off x="3311518" y="643423"/>
          <a:ext cx="1255219" cy="109119"/>
        </a:xfrm>
        <a:custGeom>
          <a:avLst/>
          <a:gdLst/>
          <a:ahLst/>
          <a:cxnLst/>
          <a:rect l="0" t="0" r="0" b="0"/>
          <a:pathLst>
            <a:path>
              <a:moveTo>
                <a:pt x="0" y="0"/>
              </a:moveTo>
              <a:lnTo>
                <a:pt x="0" y="59511"/>
              </a:lnTo>
              <a:lnTo>
                <a:pt x="1255219" y="59511"/>
              </a:lnTo>
              <a:lnTo>
                <a:pt x="1255219" y="109119"/>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04230E-C353-4351-8250-8EC82AC5DB4E}">
      <dsp:nvSpPr>
        <dsp:cNvPr id="0" name=""/>
        <dsp:cNvSpPr/>
      </dsp:nvSpPr>
      <dsp:spPr>
        <a:xfrm>
          <a:off x="4733799" y="2028666"/>
          <a:ext cx="272552" cy="141040"/>
        </a:xfrm>
        <a:custGeom>
          <a:avLst/>
          <a:gdLst/>
          <a:ahLst/>
          <a:cxnLst/>
          <a:rect l="0" t="0" r="0" b="0"/>
          <a:pathLst>
            <a:path>
              <a:moveTo>
                <a:pt x="0" y="0"/>
              </a:moveTo>
              <a:lnTo>
                <a:pt x="0" y="91432"/>
              </a:lnTo>
              <a:lnTo>
                <a:pt x="272552" y="91432"/>
              </a:lnTo>
              <a:lnTo>
                <a:pt x="272552" y="14104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ABCCAD-3C4C-43CA-9EBB-7EF6E6E764EC}">
      <dsp:nvSpPr>
        <dsp:cNvPr id="0" name=""/>
        <dsp:cNvSpPr/>
      </dsp:nvSpPr>
      <dsp:spPr>
        <a:xfrm>
          <a:off x="1961371" y="1228560"/>
          <a:ext cx="2772428" cy="223436"/>
        </a:xfrm>
        <a:custGeom>
          <a:avLst/>
          <a:gdLst/>
          <a:ahLst/>
          <a:cxnLst/>
          <a:rect l="0" t="0" r="0" b="0"/>
          <a:pathLst>
            <a:path>
              <a:moveTo>
                <a:pt x="0" y="0"/>
              </a:moveTo>
              <a:lnTo>
                <a:pt x="0" y="173828"/>
              </a:lnTo>
              <a:lnTo>
                <a:pt x="2772428" y="173828"/>
              </a:lnTo>
              <a:lnTo>
                <a:pt x="2772428" y="223436"/>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6E8833-5BA1-4626-A5C4-9EDADA953CDD}">
      <dsp:nvSpPr>
        <dsp:cNvPr id="0" name=""/>
        <dsp:cNvSpPr/>
      </dsp:nvSpPr>
      <dsp:spPr>
        <a:xfrm>
          <a:off x="2837681" y="2819733"/>
          <a:ext cx="783718" cy="232491"/>
        </a:xfrm>
        <a:custGeom>
          <a:avLst/>
          <a:gdLst/>
          <a:ahLst/>
          <a:cxnLst/>
          <a:rect l="0" t="0" r="0" b="0"/>
          <a:pathLst>
            <a:path>
              <a:moveTo>
                <a:pt x="0" y="0"/>
              </a:moveTo>
              <a:lnTo>
                <a:pt x="0" y="182883"/>
              </a:lnTo>
              <a:lnTo>
                <a:pt x="783718" y="182883"/>
              </a:lnTo>
              <a:lnTo>
                <a:pt x="783718" y="232491"/>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E7EFEA-5F2A-4261-826B-4C04F78A1B56}">
      <dsp:nvSpPr>
        <dsp:cNvPr id="0" name=""/>
        <dsp:cNvSpPr/>
      </dsp:nvSpPr>
      <dsp:spPr>
        <a:xfrm>
          <a:off x="1267644" y="3792427"/>
          <a:ext cx="995679" cy="419393"/>
        </a:xfrm>
        <a:custGeom>
          <a:avLst/>
          <a:gdLst/>
          <a:ahLst/>
          <a:cxnLst/>
          <a:rect l="0" t="0" r="0" b="0"/>
          <a:pathLst>
            <a:path>
              <a:moveTo>
                <a:pt x="0" y="0"/>
              </a:moveTo>
              <a:lnTo>
                <a:pt x="0" y="369785"/>
              </a:lnTo>
              <a:lnTo>
                <a:pt x="995679" y="369785"/>
              </a:lnTo>
              <a:lnTo>
                <a:pt x="995679" y="419393"/>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1F2D38-54A0-43AF-8F13-B1156F91A729}">
      <dsp:nvSpPr>
        <dsp:cNvPr id="0" name=""/>
        <dsp:cNvSpPr/>
      </dsp:nvSpPr>
      <dsp:spPr>
        <a:xfrm>
          <a:off x="1267644" y="2819733"/>
          <a:ext cx="1570036" cy="300520"/>
        </a:xfrm>
        <a:custGeom>
          <a:avLst/>
          <a:gdLst/>
          <a:ahLst/>
          <a:cxnLst/>
          <a:rect l="0" t="0" r="0" b="0"/>
          <a:pathLst>
            <a:path>
              <a:moveTo>
                <a:pt x="1570036" y="0"/>
              </a:moveTo>
              <a:lnTo>
                <a:pt x="1570036" y="250912"/>
              </a:lnTo>
              <a:lnTo>
                <a:pt x="0" y="250912"/>
              </a:lnTo>
              <a:lnTo>
                <a:pt x="0" y="30052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E82698-0468-4E1B-9DC9-F9296330DBC0}">
      <dsp:nvSpPr>
        <dsp:cNvPr id="0" name=""/>
        <dsp:cNvSpPr/>
      </dsp:nvSpPr>
      <dsp:spPr>
        <a:xfrm>
          <a:off x="2754610" y="1993971"/>
          <a:ext cx="91440" cy="293386"/>
        </a:xfrm>
        <a:custGeom>
          <a:avLst/>
          <a:gdLst/>
          <a:ahLst/>
          <a:cxnLst/>
          <a:rect l="0" t="0" r="0" b="0"/>
          <a:pathLst>
            <a:path>
              <a:moveTo>
                <a:pt x="45720" y="0"/>
              </a:moveTo>
              <a:lnTo>
                <a:pt x="45720" y="243778"/>
              </a:lnTo>
              <a:lnTo>
                <a:pt x="83071" y="243778"/>
              </a:lnTo>
              <a:lnTo>
                <a:pt x="83071" y="293386"/>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8CE3FA-1613-4C76-B7D7-17B7601D6BBA}">
      <dsp:nvSpPr>
        <dsp:cNvPr id="0" name=""/>
        <dsp:cNvSpPr/>
      </dsp:nvSpPr>
      <dsp:spPr>
        <a:xfrm>
          <a:off x="1961371" y="1228560"/>
          <a:ext cx="838958" cy="235490"/>
        </a:xfrm>
        <a:custGeom>
          <a:avLst/>
          <a:gdLst/>
          <a:ahLst/>
          <a:cxnLst/>
          <a:rect l="0" t="0" r="0" b="0"/>
          <a:pathLst>
            <a:path>
              <a:moveTo>
                <a:pt x="0" y="0"/>
              </a:moveTo>
              <a:lnTo>
                <a:pt x="0" y="185882"/>
              </a:lnTo>
              <a:lnTo>
                <a:pt x="838958" y="185882"/>
              </a:lnTo>
              <a:lnTo>
                <a:pt x="838958" y="23549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7F3951-9A4D-4551-B510-669878696A24}">
      <dsp:nvSpPr>
        <dsp:cNvPr id="0" name=""/>
        <dsp:cNvSpPr/>
      </dsp:nvSpPr>
      <dsp:spPr>
        <a:xfrm>
          <a:off x="584129" y="1228560"/>
          <a:ext cx="1377242" cy="220770"/>
        </a:xfrm>
        <a:custGeom>
          <a:avLst/>
          <a:gdLst/>
          <a:ahLst/>
          <a:cxnLst/>
          <a:rect l="0" t="0" r="0" b="0"/>
          <a:pathLst>
            <a:path>
              <a:moveTo>
                <a:pt x="1377242" y="0"/>
              </a:moveTo>
              <a:lnTo>
                <a:pt x="1377242" y="171162"/>
              </a:lnTo>
              <a:lnTo>
                <a:pt x="0" y="171162"/>
              </a:lnTo>
              <a:lnTo>
                <a:pt x="0" y="22077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379A122-CBE0-43BB-9AD8-DE8447016F7B}">
      <dsp:nvSpPr>
        <dsp:cNvPr id="0" name=""/>
        <dsp:cNvSpPr/>
      </dsp:nvSpPr>
      <dsp:spPr>
        <a:xfrm>
          <a:off x="1961371" y="643423"/>
          <a:ext cx="1350147" cy="91688"/>
        </a:xfrm>
        <a:custGeom>
          <a:avLst/>
          <a:gdLst/>
          <a:ahLst/>
          <a:cxnLst/>
          <a:rect l="0" t="0" r="0" b="0"/>
          <a:pathLst>
            <a:path>
              <a:moveTo>
                <a:pt x="1350147" y="0"/>
              </a:moveTo>
              <a:lnTo>
                <a:pt x="1350147" y="42080"/>
              </a:lnTo>
              <a:lnTo>
                <a:pt x="0" y="42080"/>
              </a:lnTo>
              <a:lnTo>
                <a:pt x="0" y="91688"/>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322100-D63D-472C-ACF7-6029AD65C593}">
      <dsp:nvSpPr>
        <dsp:cNvPr id="0" name=""/>
        <dsp:cNvSpPr/>
      </dsp:nvSpPr>
      <dsp:spPr>
        <a:xfrm>
          <a:off x="1983945" y="-56524"/>
          <a:ext cx="2655146" cy="69994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CB595D8-7205-4C65-BDA7-ED9A560EDC2D}">
      <dsp:nvSpPr>
        <dsp:cNvPr id="0" name=""/>
        <dsp:cNvSpPr/>
      </dsp:nvSpPr>
      <dsp:spPr>
        <a:xfrm>
          <a:off x="2043445" y="0"/>
          <a:ext cx="2655146" cy="699948"/>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КОМИТЕТ МИНИСТРОВ СОВЕТА ЕВРОПЫ</a:t>
          </a:r>
        </a:p>
      </dsp:txBody>
      <dsp:txXfrm>
        <a:off x="2063946" y="20501"/>
        <a:ext cx="2614144" cy="658946"/>
      </dsp:txXfrm>
    </dsp:sp>
    <dsp:sp modelId="{9822A087-794F-4D47-932A-0EDB883364F9}">
      <dsp:nvSpPr>
        <dsp:cNvPr id="0" name=""/>
        <dsp:cNvSpPr/>
      </dsp:nvSpPr>
      <dsp:spPr>
        <a:xfrm>
          <a:off x="872167" y="735112"/>
          <a:ext cx="2178407" cy="49344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46F71E-E51C-45AA-B6E4-A63558BAF88E}">
      <dsp:nvSpPr>
        <dsp:cNvPr id="0" name=""/>
        <dsp:cNvSpPr/>
      </dsp:nvSpPr>
      <dsp:spPr>
        <a:xfrm>
          <a:off x="931667" y="791637"/>
          <a:ext cx="2178407" cy="493447"/>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Директорат программного координирования Совета Европы</a:t>
          </a:r>
        </a:p>
      </dsp:txBody>
      <dsp:txXfrm>
        <a:off x="946120" y="806090"/>
        <a:ext cx="2149501" cy="464541"/>
      </dsp:txXfrm>
    </dsp:sp>
    <dsp:sp modelId="{BEFC7B0C-8AEA-4895-82D9-F35525B83B50}">
      <dsp:nvSpPr>
        <dsp:cNvPr id="0" name=""/>
        <dsp:cNvSpPr/>
      </dsp:nvSpPr>
      <dsp:spPr>
        <a:xfrm>
          <a:off x="-59499" y="1449330"/>
          <a:ext cx="1287258" cy="685516"/>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D0C4E1-7C28-42E9-9302-D6B966CF2AF7}">
      <dsp:nvSpPr>
        <dsp:cNvPr id="0" name=""/>
        <dsp:cNvSpPr/>
      </dsp:nvSpPr>
      <dsp:spPr>
        <a:xfrm>
          <a:off x="0" y="1505855"/>
          <a:ext cx="1287258" cy="685516"/>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Совместная платформа индикаторов ЕС – Казахстан</a:t>
          </a:r>
        </a:p>
      </dsp:txBody>
      <dsp:txXfrm>
        <a:off x="20078" y="1525933"/>
        <a:ext cx="1247102" cy="645360"/>
      </dsp:txXfrm>
    </dsp:sp>
    <dsp:sp modelId="{9919D990-2F8B-4A55-9E40-6BC9F96B93E5}">
      <dsp:nvSpPr>
        <dsp:cNvPr id="0" name=""/>
        <dsp:cNvSpPr/>
      </dsp:nvSpPr>
      <dsp:spPr>
        <a:xfrm>
          <a:off x="2001690" y="1464050"/>
          <a:ext cx="1597279" cy="52992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7466DB-6EEA-4B6A-93BE-F5C7B27952AA}">
      <dsp:nvSpPr>
        <dsp:cNvPr id="0" name=""/>
        <dsp:cNvSpPr/>
      </dsp:nvSpPr>
      <dsp:spPr>
        <a:xfrm>
          <a:off x="2061190" y="1520575"/>
          <a:ext cx="1597279" cy="529920"/>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Министерство юстиции Республики Казахстан</a:t>
          </a:r>
        </a:p>
      </dsp:txBody>
      <dsp:txXfrm>
        <a:off x="2076711" y="1536096"/>
        <a:ext cx="1566237" cy="498878"/>
      </dsp:txXfrm>
    </dsp:sp>
    <dsp:sp modelId="{7C536D54-9B5C-4866-9DBA-C4411433ECE8}">
      <dsp:nvSpPr>
        <dsp:cNvPr id="0" name=""/>
        <dsp:cNvSpPr/>
      </dsp:nvSpPr>
      <dsp:spPr>
        <a:xfrm>
          <a:off x="1573179" y="2287357"/>
          <a:ext cx="2529004" cy="53237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39E55F-DC04-48FA-8690-2DAFD325D2A1}">
      <dsp:nvSpPr>
        <dsp:cNvPr id="0" name=""/>
        <dsp:cNvSpPr/>
      </dsp:nvSpPr>
      <dsp:spPr>
        <a:xfrm>
          <a:off x="1632678" y="2343882"/>
          <a:ext cx="2529004" cy="532375"/>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НАЦИОНАЛЬНЫЙ ЦЕНТР ПО ПРАВАМ ЧЕЛОВЕКА</a:t>
          </a:r>
        </a:p>
      </dsp:txBody>
      <dsp:txXfrm>
        <a:off x="1648271" y="2359475"/>
        <a:ext cx="2497818" cy="501189"/>
      </dsp:txXfrm>
    </dsp:sp>
    <dsp:sp modelId="{65A87AEB-8151-485C-9900-FB799FFC89DE}">
      <dsp:nvSpPr>
        <dsp:cNvPr id="0" name=""/>
        <dsp:cNvSpPr/>
      </dsp:nvSpPr>
      <dsp:spPr>
        <a:xfrm>
          <a:off x="240794" y="3120253"/>
          <a:ext cx="2053701" cy="67217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E98D1DA-6A8C-46A1-B70A-7F6A82C8C011}">
      <dsp:nvSpPr>
        <dsp:cNvPr id="0" name=""/>
        <dsp:cNvSpPr/>
      </dsp:nvSpPr>
      <dsp:spPr>
        <a:xfrm>
          <a:off x="300293" y="3176778"/>
          <a:ext cx="2053701" cy="672173"/>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Единая цифровая платформа мониторинга и отчётности</a:t>
          </a:r>
        </a:p>
      </dsp:txBody>
      <dsp:txXfrm>
        <a:off x="319980" y="3196465"/>
        <a:ext cx="2014327" cy="632799"/>
      </dsp:txXfrm>
    </dsp:sp>
    <dsp:sp modelId="{D8DDEC19-5EDD-44B1-8F51-F794C658F93C}">
      <dsp:nvSpPr>
        <dsp:cNvPr id="0" name=""/>
        <dsp:cNvSpPr/>
      </dsp:nvSpPr>
      <dsp:spPr>
        <a:xfrm>
          <a:off x="341007" y="4211821"/>
          <a:ext cx="3844632" cy="56712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2699D55-3D7A-4244-AAC8-29FA1D7CE248}">
      <dsp:nvSpPr>
        <dsp:cNvPr id="0" name=""/>
        <dsp:cNvSpPr/>
      </dsp:nvSpPr>
      <dsp:spPr>
        <a:xfrm>
          <a:off x="400507" y="4268346"/>
          <a:ext cx="3844632" cy="567124"/>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ЕЖЕГОДНЫЙ ЦИКЛ ОБРАТНОЙ СВЯЗИ (</a:t>
          </a:r>
          <a:r>
            <a:rPr lang="en-US" sz="1200" b="0" i="1" kern="1200">
              <a:latin typeface="Times New Roman" panose="02020603050405020304" pitchFamily="18" charset="0"/>
              <a:cs typeface="Times New Roman" panose="02020603050405020304" pitchFamily="18" charset="0"/>
            </a:rPr>
            <a:t>FEEDBACK LOOP) </a:t>
          </a:r>
          <a:r>
            <a:rPr lang="ru-RU" sz="1200" b="0" i="1" kern="1200">
              <a:latin typeface="Times New Roman" panose="02020603050405020304" pitchFamily="18" charset="0"/>
              <a:cs typeface="Times New Roman" panose="02020603050405020304" pitchFamily="18" charset="0"/>
            </a:rPr>
            <a:t>И КОРРЕКТИРОВКИ ПОКАЗАТЕЛЕЙ</a:t>
          </a:r>
        </a:p>
      </dsp:txBody>
      <dsp:txXfrm>
        <a:off x="417117" y="4284956"/>
        <a:ext cx="3811412" cy="533904"/>
      </dsp:txXfrm>
    </dsp:sp>
    <dsp:sp modelId="{2CF28DE3-AAF7-4D54-9AB8-E30EBFA965A5}">
      <dsp:nvSpPr>
        <dsp:cNvPr id="0" name=""/>
        <dsp:cNvSpPr/>
      </dsp:nvSpPr>
      <dsp:spPr>
        <a:xfrm>
          <a:off x="2738906" y="3052225"/>
          <a:ext cx="1764986" cy="750495"/>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048E6A1-70B8-4213-987E-BDBEB4F8CABA}">
      <dsp:nvSpPr>
        <dsp:cNvPr id="0" name=""/>
        <dsp:cNvSpPr/>
      </dsp:nvSpPr>
      <dsp:spPr>
        <a:xfrm>
          <a:off x="2798406" y="3108750"/>
          <a:ext cx="1764986" cy="750495"/>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Аналитический отчёт и оценка имплементации (</a:t>
          </a:r>
          <a:r>
            <a:rPr lang="en-US" sz="1200" b="0" i="1" kern="1200">
              <a:latin typeface="Times New Roman" panose="02020603050405020304" pitchFamily="18" charset="0"/>
              <a:cs typeface="Times New Roman" panose="02020603050405020304" pitchFamily="18" charset="0"/>
            </a:rPr>
            <a:t>EU–KZ Review Report)</a:t>
          </a:r>
          <a:endParaRPr lang="ru-RU" sz="1200" b="0" i="1" kern="1200">
            <a:latin typeface="Times New Roman" panose="02020603050405020304" pitchFamily="18" charset="0"/>
            <a:cs typeface="Times New Roman" panose="02020603050405020304" pitchFamily="18" charset="0"/>
          </a:endParaRPr>
        </a:p>
      </dsp:txBody>
      <dsp:txXfrm>
        <a:off x="2820387" y="3130731"/>
        <a:ext cx="1721024" cy="706533"/>
      </dsp:txXfrm>
    </dsp:sp>
    <dsp:sp modelId="{1F831616-8727-4548-8F46-C1185F18E432}">
      <dsp:nvSpPr>
        <dsp:cNvPr id="0" name=""/>
        <dsp:cNvSpPr/>
      </dsp:nvSpPr>
      <dsp:spPr>
        <a:xfrm>
          <a:off x="3818233" y="1451996"/>
          <a:ext cx="1831131" cy="57666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715386-2FF9-4CEF-959D-607B82665149}">
      <dsp:nvSpPr>
        <dsp:cNvPr id="0" name=""/>
        <dsp:cNvSpPr/>
      </dsp:nvSpPr>
      <dsp:spPr>
        <a:xfrm>
          <a:off x="3877733" y="1508521"/>
          <a:ext cx="1831131" cy="576669"/>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Институт Уполномоченного по правам человека (Офис Омбудсмена)</a:t>
          </a:r>
        </a:p>
      </dsp:txBody>
      <dsp:txXfrm>
        <a:off x="3894623" y="1525411"/>
        <a:ext cx="1797351" cy="542889"/>
      </dsp:txXfrm>
    </dsp:sp>
    <dsp:sp modelId="{1BBC64FB-0734-4512-8AAB-4EC2C5DE92D9}">
      <dsp:nvSpPr>
        <dsp:cNvPr id="0" name=""/>
        <dsp:cNvSpPr/>
      </dsp:nvSpPr>
      <dsp:spPr>
        <a:xfrm>
          <a:off x="4366415" y="2169706"/>
          <a:ext cx="1279873" cy="579427"/>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3A72885-64BB-423C-AD34-AC434D34882D}">
      <dsp:nvSpPr>
        <dsp:cNvPr id="0" name=""/>
        <dsp:cNvSpPr/>
      </dsp:nvSpPr>
      <dsp:spPr>
        <a:xfrm>
          <a:off x="4425915" y="2226231"/>
          <a:ext cx="1279873" cy="579427"/>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НПО, академические и медиа-партнёры</a:t>
          </a:r>
        </a:p>
      </dsp:txBody>
      <dsp:txXfrm>
        <a:off x="4442886" y="2243202"/>
        <a:ext cx="1245931" cy="545485"/>
      </dsp:txXfrm>
    </dsp:sp>
    <dsp:sp modelId="{47B91AA1-237E-4F88-8C17-8A62AE7477C0}">
      <dsp:nvSpPr>
        <dsp:cNvPr id="0" name=""/>
        <dsp:cNvSpPr/>
      </dsp:nvSpPr>
      <dsp:spPr>
        <a:xfrm>
          <a:off x="3971703" y="752542"/>
          <a:ext cx="1190070" cy="534354"/>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1599BD7-E2EA-472B-BC46-C4A96873FC13}">
      <dsp:nvSpPr>
        <dsp:cNvPr id="0" name=""/>
        <dsp:cNvSpPr/>
      </dsp:nvSpPr>
      <dsp:spPr>
        <a:xfrm>
          <a:off x="4031203" y="809067"/>
          <a:ext cx="1190070" cy="534354"/>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0" i="1" kern="1200">
              <a:latin typeface="Times New Roman" panose="02020603050405020304" pitchFamily="18" charset="0"/>
              <a:cs typeface="Times New Roman" panose="02020603050405020304" pitchFamily="18" charset="0"/>
            </a:rPr>
            <a:t>Делегация ЕС в Республике Казахстане</a:t>
          </a:r>
        </a:p>
      </dsp:txBody>
      <dsp:txXfrm>
        <a:off x="4046854" y="824718"/>
        <a:ext cx="1158768" cy="50305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1AFD44-4396-4357-9489-72F9DD3EE9F3}">
      <dsp:nvSpPr>
        <dsp:cNvPr id="0" name=""/>
        <dsp:cNvSpPr/>
      </dsp:nvSpPr>
      <dsp:spPr>
        <a:xfrm>
          <a:off x="2194559" y="2840"/>
          <a:ext cx="3291840" cy="1183855"/>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i="1" kern="1200">
              <a:latin typeface="Times New Roman" panose="02020603050405020304" pitchFamily="18" charset="0"/>
              <a:cs typeface="Times New Roman" panose="02020603050405020304" pitchFamily="18" charset="0"/>
            </a:rPr>
            <a:t>усиление роли национальных демократических институтов, преодоление фрагментации политического пространства, укрепление верховенства права и правового реагирования на радикализм.</a:t>
          </a:r>
        </a:p>
      </dsp:txBody>
      <dsp:txXfrm>
        <a:off x="2194559" y="150822"/>
        <a:ext cx="2847894" cy="887891"/>
      </dsp:txXfrm>
    </dsp:sp>
    <dsp:sp modelId="{BE74BECE-AC3B-41FE-BCB9-D81D881237C0}">
      <dsp:nvSpPr>
        <dsp:cNvPr id="0" name=""/>
        <dsp:cNvSpPr/>
      </dsp:nvSpPr>
      <dsp:spPr>
        <a:xfrm>
          <a:off x="0" y="2840"/>
          <a:ext cx="2194560" cy="1183855"/>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Внутренняя институциональная консолидация </a:t>
          </a:r>
        </a:p>
      </dsp:txBody>
      <dsp:txXfrm>
        <a:off x="57791" y="60631"/>
        <a:ext cx="2078978" cy="1068273"/>
      </dsp:txXfrm>
    </dsp:sp>
    <dsp:sp modelId="{7ABA6506-A0FF-4D76-96D9-3C1CA4CFD361}">
      <dsp:nvSpPr>
        <dsp:cNvPr id="0" name=""/>
        <dsp:cNvSpPr/>
      </dsp:nvSpPr>
      <dsp:spPr>
        <a:xfrm>
          <a:off x="2194559" y="1305081"/>
          <a:ext cx="3291840" cy="1183855"/>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i="1" kern="1200">
              <a:latin typeface="Times New Roman" panose="02020603050405020304" pitchFamily="18" charset="0"/>
              <a:cs typeface="Times New Roman" panose="02020603050405020304" pitchFamily="18" charset="0"/>
            </a:rPr>
            <a:t>развитие Европейского демократического щита как инструмента защиты избирательных систем и цифрового пространства от внешних вмешательств, формирование единых стандартов цифровой этики и информационной ответственности</a:t>
          </a:r>
        </a:p>
      </dsp:txBody>
      <dsp:txXfrm>
        <a:off x="2194559" y="1453063"/>
        <a:ext cx="2847894" cy="887891"/>
      </dsp:txXfrm>
    </dsp:sp>
    <dsp:sp modelId="{12336146-89D9-4356-9DCC-8110281839C4}">
      <dsp:nvSpPr>
        <dsp:cNvPr id="0" name=""/>
        <dsp:cNvSpPr/>
      </dsp:nvSpPr>
      <dsp:spPr>
        <a:xfrm>
          <a:off x="0" y="1305081"/>
          <a:ext cx="2194560" cy="1183855"/>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Цифровая безопасность демократии </a:t>
          </a:r>
        </a:p>
      </dsp:txBody>
      <dsp:txXfrm>
        <a:off x="57791" y="1362872"/>
        <a:ext cx="2078978" cy="1068273"/>
      </dsp:txXfrm>
    </dsp:sp>
    <dsp:sp modelId="{07890390-E5B0-4843-8E1A-81EAAF455495}">
      <dsp:nvSpPr>
        <dsp:cNvPr id="0" name=""/>
        <dsp:cNvSpPr/>
      </dsp:nvSpPr>
      <dsp:spPr>
        <a:xfrm>
          <a:off x="2195095" y="2607321"/>
          <a:ext cx="3288625" cy="1398736"/>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i="1" kern="1200">
              <a:latin typeface="Times New Roman" panose="02020603050405020304" pitchFamily="18" charset="0"/>
              <a:cs typeface="Times New Roman" panose="02020603050405020304" pitchFamily="18" charset="0"/>
            </a:rPr>
            <a:t>отказ от универсалистского подхода к поддержке демократии в пользу контекстуализированных партнёрств с государствами Глобального Юга, учитывающих политико-культурные особенности и избегающих неоколониального дискурса.</a:t>
          </a:r>
        </a:p>
      </dsp:txBody>
      <dsp:txXfrm>
        <a:off x="2195095" y="2782163"/>
        <a:ext cx="2764099" cy="1049052"/>
      </dsp:txXfrm>
    </dsp:sp>
    <dsp:sp modelId="{0FCE5244-7190-4ED4-AEA9-CCF7E21B4FE7}">
      <dsp:nvSpPr>
        <dsp:cNvPr id="0" name=""/>
        <dsp:cNvSpPr/>
      </dsp:nvSpPr>
      <dsp:spPr>
        <a:xfrm>
          <a:off x="2678" y="2714762"/>
          <a:ext cx="2192416" cy="1183855"/>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Внешнеполитическая переориентация </a:t>
          </a:r>
        </a:p>
      </dsp:txBody>
      <dsp:txXfrm>
        <a:off x="60469" y="2772553"/>
        <a:ext cx="2076834" cy="1068273"/>
      </dsp:txXfrm>
    </dsp:sp>
    <dsp:sp modelId="{4201FDBA-9A82-45CB-B3D0-F81EC9F7EA31}">
      <dsp:nvSpPr>
        <dsp:cNvPr id="0" name=""/>
        <dsp:cNvSpPr/>
      </dsp:nvSpPr>
      <dsp:spPr>
        <a:xfrm>
          <a:off x="2194559" y="4124444"/>
          <a:ext cx="3291840" cy="1183855"/>
        </a:xfrm>
        <a:prstGeom prst="rightArrow">
          <a:avLst>
            <a:gd name="adj1" fmla="val 75000"/>
            <a:gd name="adj2" fmla="val 50000"/>
          </a:avLst>
        </a:prstGeom>
        <a:solidFill>
          <a:schemeClr val="lt1">
            <a:alpha val="90000"/>
            <a:tint val="40000"/>
            <a:hueOff val="0"/>
            <a:satOff val="0"/>
            <a:lumOff val="0"/>
            <a:alphaOff val="0"/>
          </a:schemeClr>
        </a:solidFill>
        <a:ln w="6350" cap="flat" cmpd="sng" algn="ctr">
          <a:solidFill>
            <a:schemeClr val="dk1">
              <a:alpha val="9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i="1" kern="1200">
              <a:latin typeface="Times New Roman" panose="02020603050405020304" pitchFamily="18" charset="0"/>
              <a:cs typeface="Times New Roman" panose="02020603050405020304" pitchFamily="18" charset="0"/>
            </a:rPr>
            <a:t>переосмысление механизма </a:t>
          </a:r>
          <a:r>
            <a:rPr lang="en-US" sz="1100" i="1" kern="1200">
              <a:latin typeface="Times New Roman" panose="02020603050405020304" pitchFamily="18" charset="0"/>
              <a:cs typeface="Times New Roman" panose="02020603050405020304" pitchFamily="18" charset="0"/>
            </a:rPr>
            <a:t>conditionality </a:t>
          </a:r>
          <a:r>
            <a:rPr lang="ru-RU" sz="1100" i="1" kern="1200">
              <a:latin typeface="Times New Roman" panose="02020603050405020304" pitchFamily="18" charset="0"/>
              <a:cs typeface="Times New Roman" panose="02020603050405020304" pitchFamily="18" charset="0"/>
            </a:rPr>
            <a:t>в рамках </a:t>
          </a:r>
          <a:r>
            <a:rPr lang="en-US" sz="1100" i="1" kern="1200">
              <a:latin typeface="Times New Roman" panose="02020603050405020304" pitchFamily="18" charset="0"/>
              <a:cs typeface="Times New Roman" panose="02020603050405020304" pitchFamily="18" charset="0"/>
            </a:rPr>
            <a:t>NDICI – Global Europe </a:t>
          </a:r>
          <a:r>
            <a:rPr lang="ru-RU" sz="1100" i="1" kern="1200">
              <a:latin typeface="Times New Roman" panose="02020603050405020304" pitchFamily="18" charset="0"/>
              <a:cs typeface="Times New Roman" panose="02020603050405020304" pitchFamily="18" charset="0"/>
            </a:rPr>
            <a:t>как не санкционного, а институционального ресурса для долгосрочной демократической координации и синергии.</a:t>
          </a:r>
        </a:p>
      </dsp:txBody>
      <dsp:txXfrm>
        <a:off x="2194559" y="4272426"/>
        <a:ext cx="2847894" cy="887891"/>
      </dsp:txXfrm>
    </dsp:sp>
    <dsp:sp modelId="{FF0E9D0F-97C5-41FA-A485-3C5F96A84C35}">
      <dsp:nvSpPr>
        <dsp:cNvPr id="0" name=""/>
        <dsp:cNvSpPr/>
      </dsp:nvSpPr>
      <dsp:spPr>
        <a:xfrm>
          <a:off x="0" y="4124444"/>
          <a:ext cx="2194560" cy="1183855"/>
        </a:xfrm>
        <a:prstGeom prst="round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Политическая условность как инструмент стратегического согласования </a:t>
          </a:r>
        </a:p>
      </dsp:txBody>
      <dsp:txXfrm>
        <a:off x="57791" y="4182235"/>
        <a:ext cx="2078978" cy="106827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A5B7B4-19F8-44C9-9A00-4DD8ADD17EBA}">
      <dsp:nvSpPr>
        <dsp:cNvPr id="0" name=""/>
        <dsp:cNvSpPr/>
      </dsp:nvSpPr>
      <dsp:spPr>
        <a:xfrm>
          <a:off x="2542384" y="474342"/>
          <a:ext cx="367431" cy="91440"/>
        </a:xfrm>
        <a:custGeom>
          <a:avLst/>
          <a:gdLst/>
          <a:ahLst/>
          <a:cxnLst/>
          <a:rect l="0" t="0" r="0" b="0"/>
          <a:pathLst>
            <a:path>
              <a:moveTo>
                <a:pt x="0" y="45720"/>
              </a:moveTo>
              <a:lnTo>
                <a:pt x="367431"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b="1" i="1" kern="1200">
            <a:latin typeface="Times New Roman" panose="02020603050405020304" pitchFamily="18" charset="0"/>
            <a:cs typeface="Times New Roman" panose="02020603050405020304" pitchFamily="18" charset="0"/>
          </a:endParaRPr>
        </a:p>
      </dsp:txBody>
      <dsp:txXfrm>
        <a:off x="2716149" y="518071"/>
        <a:ext cx="19901" cy="3980"/>
      </dsp:txXfrm>
    </dsp:sp>
    <dsp:sp modelId="{1AB66E7D-55C5-42C0-90B5-010672F16E47}">
      <dsp:nvSpPr>
        <dsp:cNvPr id="0" name=""/>
        <dsp:cNvSpPr/>
      </dsp:nvSpPr>
      <dsp:spPr>
        <a:xfrm>
          <a:off x="813610" y="889"/>
          <a:ext cx="1730573" cy="10383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EU TAXONOMY      (экологическая   классификация)</a:t>
          </a:r>
        </a:p>
      </dsp:txBody>
      <dsp:txXfrm>
        <a:off x="813610" y="889"/>
        <a:ext cx="1730573" cy="1038344"/>
      </dsp:txXfrm>
    </dsp:sp>
    <dsp:sp modelId="{EECAAEF7-6E59-436D-935D-03821960593C}">
      <dsp:nvSpPr>
        <dsp:cNvPr id="0" name=""/>
        <dsp:cNvSpPr/>
      </dsp:nvSpPr>
      <dsp:spPr>
        <a:xfrm>
          <a:off x="1678897" y="1037434"/>
          <a:ext cx="2128605" cy="367431"/>
        </a:xfrm>
        <a:custGeom>
          <a:avLst/>
          <a:gdLst/>
          <a:ahLst/>
          <a:cxnLst/>
          <a:rect l="0" t="0" r="0" b="0"/>
          <a:pathLst>
            <a:path>
              <a:moveTo>
                <a:pt x="2128605" y="0"/>
              </a:moveTo>
              <a:lnTo>
                <a:pt x="2128605" y="200815"/>
              </a:lnTo>
              <a:lnTo>
                <a:pt x="0" y="200815"/>
              </a:lnTo>
              <a:lnTo>
                <a:pt x="0" y="367431"/>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b="1" i="1" kern="1200">
            <a:latin typeface="Times New Roman" panose="02020603050405020304" pitchFamily="18" charset="0"/>
            <a:cs typeface="Times New Roman" panose="02020603050405020304" pitchFamily="18" charset="0"/>
          </a:endParaRPr>
        </a:p>
      </dsp:txBody>
      <dsp:txXfrm>
        <a:off x="2689062" y="1219159"/>
        <a:ext cx="108274" cy="3980"/>
      </dsp:txXfrm>
    </dsp:sp>
    <dsp:sp modelId="{5BDC69B8-2B10-4307-AA74-071D1FBF4A17}">
      <dsp:nvSpPr>
        <dsp:cNvPr id="0" name=""/>
        <dsp:cNvSpPr/>
      </dsp:nvSpPr>
      <dsp:spPr>
        <a:xfrm>
          <a:off x="2942215" y="889"/>
          <a:ext cx="1730573" cy="10383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CSRD                    (корпоративная отчётность и  социальная двойная материальность)</a:t>
          </a:r>
        </a:p>
      </dsp:txBody>
      <dsp:txXfrm>
        <a:off x="2942215" y="889"/>
        <a:ext cx="1730573" cy="1038344"/>
      </dsp:txXfrm>
    </dsp:sp>
    <dsp:sp modelId="{1BB072E1-4C9B-4A20-8FB7-138F52C19B0F}">
      <dsp:nvSpPr>
        <dsp:cNvPr id="0" name=""/>
        <dsp:cNvSpPr/>
      </dsp:nvSpPr>
      <dsp:spPr>
        <a:xfrm>
          <a:off x="2542384" y="1910717"/>
          <a:ext cx="367431" cy="91440"/>
        </a:xfrm>
        <a:custGeom>
          <a:avLst/>
          <a:gdLst/>
          <a:ahLst/>
          <a:cxnLst/>
          <a:rect l="0" t="0" r="0" b="0"/>
          <a:pathLst>
            <a:path>
              <a:moveTo>
                <a:pt x="0" y="45720"/>
              </a:moveTo>
              <a:lnTo>
                <a:pt x="367431"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b="1" i="1" kern="1200">
            <a:latin typeface="Times New Roman" panose="02020603050405020304" pitchFamily="18" charset="0"/>
            <a:cs typeface="Times New Roman" panose="02020603050405020304" pitchFamily="18" charset="0"/>
          </a:endParaRPr>
        </a:p>
      </dsp:txBody>
      <dsp:txXfrm>
        <a:off x="2716149" y="1954447"/>
        <a:ext cx="19901" cy="3980"/>
      </dsp:txXfrm>
    </dsp:sp>
    <dsp:sp modelId="{50E127EC-A89B-4866-B3D9-E25AE64D0ADE}">
      <dsp:nvSpPr>
        <dsp:cNvPr id="0" name=""/>
        <dsp:cNvSpPr/>
      </dsp:nvSpPr>
      <dsp:spPr>
        <a:xfrm>
          <a:off x="813610" y="1437265"/>
          <a:ext cx="1730573" cy="10383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SFDR  (прозрачность ESG-   рисков и инвестиций)</a:t>
          </a:r>
        </a:p>
      </dsp:txBody>
      <dsp:txXfrm>
        <a:off x="813610" y="1437265"/>
        <a:ext cx="1730573" cy="1038344"/>
      </dsp:txXfrm>
    </dsp:sp>
    <dsp:sp modelId="{1A09A761-5706-4CE3-B85A-7CF0FDAB9BD9}">
      <dsp:nvSpPr>
        <dsp:cNvPr id="0" name=""/>
        <dsp:cNvSpPr/>
      </dsp:nvSpPr>
      <dsp:spPr>
        <a:xfrm>
          <a:off x="2942215" y="1437265"/>
          <a:ext cx="1730573" cy="10383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Права человека в ЕС и в мире   </a:t>
          </a:r>
        </a:p>
      </dsp:txBody>
      <dsp:txXfrm>
        <a:off x="2942215" y="1437265"/>
        <a:ext cx="1730573" cy="103834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F26864-70C3-4429-89BD-F85BBAF05F1A}">
      <dsp:nvSpPr>
        <dsp:cNvPr id="0" name=""/>
        <dsp:cNvSpPr/>
      </dsp:nvSpPr>
      <dsp:spPr>
        <a:xfrm>
          <a:off x="0" y="1525598"/>
          <a:ext cx="1117261" cy="55863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ВЕКТОР</a:t>
          </a:r>
        </a:p>
      </dsp:txBody>
      <dsp:txXfrm>
        <a:off x="16362" y="1541960"/>
        <a:ext cx="1084537" cy="525906"/>
      </dsp:txXfrm>
    </dsp:sp>
    <dsp:sp modelId="{42E65DC5-297E-4689-A94A-F01B6FBE4991}">
      <dsp:nvSpPr>
        <dsp:cNvPr id="0" name=""/>
        <dsp:cNvSpPr/>
      </dsp:nvSpPr>
      <dsp:spPr>
        <a:xfrm rot="16500730">
          <a:off x="458100" y="1072109"/>
          <a:ext cx="1444527" cy="26604"/>
        </a:xfrm>
        <a:custGeom>
          <a:avLst/>
          <a:gdLst/>
          <a:ahLst/>
          <a:cxnLst/>
          <a:rect l="0" t="0" r="0" b="0"/>
          <a:pathLst>
            <a:path>
              <a:moveTo>
                <a:pt x="0" y="13302"/>
              </a:moveTo>
              <a:lnTo>
                <a:pt x="1444527" y="133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144250" y="1049298"/>
        <a:ext cx="72226" cy="72226"/>
      </dsp:txXfrm>
    </dsp:sp>
    <dsp:sp modelId="{00FB3BB6-01BC-4595-A71C-3F86F4176742}">
      <dsp:nvSpPr>
        <dsp:cNvPr id="0" name=""/>
        <dsp:cNvSpPr/>
      </dsp:nvSpPr>
      <dsp:spPr>
        <a:xfrm>
          <a:off x="1243466" y="85071"/>
          <a:ext cx="1117261" cy="561675"/>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Реактивный</a:t>
          </a:r>
        </a:p>
      </dsp:txBody>
      <dsp:txXfrm>
        <a:off x="1259917" y="101522"/>
        <a:ext cx="1084359" cy="528773"/>
      </dsp:txXfrm>
    </dsp:sp>
    <dsp:sp modelId="{786B9F1E-ECDA-4FE0-8A6D-F8D6DBDA1F70}">
      <dsp:nvSpPr>
        <dsp:cNvPr id="0" name=""/>
        <dsp:cNvSpPr/>
      </dsp:nvSpPr>
      <dsp:spPr>
        <a:xfrm rot="21310190">
          <a:off x="2358902" y="309310"/>
          <a:ext cx="1028404" cy="26604"/>
        </a:xfrm>
        <a:custGeom>
          <a:avLst/>
          <a:gdLst/>
          <a:ahLst/>
          <a:cxnLst/>
          <a:rect l="0" t="0" r="0" b="0"/>
          <a:pathLst>
            <a:path>
              <a:moveTo>
                <a:pt x="0" y="13302"/>
              </a:moveTo>
              <a:lnTo>
                <a:pt x="1028404" y="1330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2847394" y="296902"/>
        <a:ext cx="51420" cy="51420"/>
      </dsp:txXfrm>
    </dsp:sp>
    <dsp:sp modelId="{DE4C12C4-4ED5-4C66-9333-F09174993ADE}">
      <dsp:nvSpPr>
        <dsp:cNvPr id="0" name=""/>
        <dsp:cNvSpPr/>
      </dsp:nvSpPr>
      <dsp:spPr>
        <a:xfrm>
          <a:off x="3385480" y="0"/>
          <a:ext cx="2080419" cy="55863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Механизм ЕС</a:t>
          </a:r>
        </a:p>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Санкции EUGHRSR</a:t>
          </a:r>
        </a:p>
      </dsp:txBody>
      <dsp:txXfrm>
        <a:off x="3401842" y="16362"/>
        <a:ext cx="2047695" cy="525906"/>
      </dsp:txXfrm>
    </dsp:sp>
    <dsp:sp modelId="{1AB3C2A9-74F9-454E-875B-6CE22294077B}">
      <dsp:nvSpPr>
        <dsp:cNvPr id="0" name=""/>
        <dsp:cNvSpPr/>
      </dsp:nvSpPr>
      <dsp:spPr>
        <a:xfrm rot="1586284">
          <a:off x="2298125" y="619118"/>
          <a:ext cx="1197185" cy="26604"/>
        </a:xfrm>
        <a:custGeom>
          <a:avLst/>
          <a:gdLst/>
          <a:ahLst/>
          <a:cxnLst/>
          <a:rect l="0" t="0" r="0" b="0"/>
          <a:pathLst>
            <a:path>
              <a:moveTo>
                <a:pt x="0" y="13302"/>
              </a:moveTo>
              <a:lnTo>
                <a:pt x="1197185" y="1330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2866788" y="602491"/>
        <a:ext cx="59859" cy="59859"/>
      </dsp:txXfrm>
    </dsp:sp>
    <dsp:sp modelId="{B05433AA-3088-4DE7-A906-F38CA2AA8EF2}">
      <dsp:nvSpPr>
        <dsp:cNvPr id="0" name=""/>
        <dsp:cNvSpPr/>
      </dsp:nvSpPr>
      <dsp:spPr>
        <a:xfrm>
          <a:off x="3432707" y="619617"/>
          <a:ext cx="2017596" cy="55863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Цель и эффект</a:t>
          </a:r>
        </a:p>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Наказание и сдерживание нарушителей</a:t>
          </a:r>
        </a:p>
      </dsp:txBody>
      <dsp:txXfrm>
        <a:off x="3449069" y="635979"/>
        <a:ext cx="1984872" cy="525906"/>
      </dsp:txXfrm>
    </dsp:sp>
    <dsp:sp modelId="{1B821494-A6AD-4F93-BE82-68BA1284744A}">
      <dsp:nvSpPr>
        <dsp:cNvPr id="0" name=""/>
        <dsp:cNvSpPr/>
      </dsp:nvSpPr>
      <dsp:spPr>
        <a:xfrm rot="112152">
          <a:off x="1117185" y="1796304"/>
          <a:ext cx="287768" cy="26604"/>
        </a:xfrm>
        <a:custGeom>
          <a:avLst/>
          <a:gdLst/>
          <a:ahLst/>
          <a:cxnLst/>
          <a:rect l="0" t="0" r="0" b="0"/>
          <a:pathLst>
            <a:path>
              <a:moveTo>
                <a:pt x="0" y="13302"/>
              </a:moveTo>
              <a:lnTo>
                <a:pt x="287768" y="133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253875" y="1802412"/>
        <a:ext cx="14388" cy="14388"/>
      </dsp:txXfrm>
    </dsp:sp>
    <dsp:sp modelId="{8F211D25-5BA7-40B5-B7F7-B6C4B7CB5A94}">
      <dsp:nvSpPr>
        <dsp:cNvPr id="0" name=""/>
        <dsp:cNvSpPr/>
      </dsp:nvSpPr>
      <dsp:spPr>
        <a:xfrm>
          <a:off x="1404877" y="1534984"/>
          <a:ext cx="1117261" cy="55863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Проактивный</a:t>
          </a:r>
        </a:p>
      </dsp:txBody>
      <dsp:txXfrm>
        <a:off x="1421239" y="1551346"/>
        <a:ext cx="1084537" cy="525906"/>
      </dsp:txXfrm>
    </dsp:sp>
    <dsp:sp modelId="{AED9C183-B987-4895-AF20-F697829B1A9D}">
      <dsp:nvSpPr>
        <dsp:cNvPr id="0" name=""/>
        <dsp:cNvSpPr/>
      </dsp:nvSpPr>
      <dsp:spPr>
        <a:xfrm rot="20699348">
          <a:off x="2505950" y="1678121"/>
          <a:ext cx="948845" cy="26604"/>
        </a:xfrm>
        <a:custGeom>
          <a:avLst/>
          <a:gdLst/>
          <a:ahLst/>
          <a:cxnLst/>
          <a:rect l="0" t="0" r="0" b="0"/>
          <a:pathLst>
            <a:path>
              <a:moveTo>
                <a:pt x="0" y="13302"/>
              </a:moveTo>
              <a:lnTo>
                <a:pt x="948845" y="1330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2956651" y="1667702"/>
        <a:ext cx="47442" cy="47442"/>
      </dsp:txXfrm>
    </dsp:sp>
    <dsp:sp modelId="{51767E6C-1925-432A-9D38-0BBA32A46B9A}">
      <dsp:nvSpPr>
        <dsp:cNvPr id="0" name=""/>
        <dsp:cNvSpPr/>
      </dsp:nvSpPr>
      <dsp:spPr>
        <a:xfrm>
          <a:off x="3438606" y="1289231"/>
          <a:ext cx="1967922" cy="55863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Механизм ЕС                     </a:t>
          </a:r>
          <a:r>
            <a:rPr lang="ru-RU" sz="1100" kern="1200">
              <a:latin typeface="Times New Roman" panose="02020603050405020304" pitchFamily="18" charset="0"/>
              <a:cs typeface="Times New Roman" panose="02020603050405020304" pitchFamily="18" charset="0"/>
            </a:rPr>
            <a:t>EEAS, NDICI, тематические диалоги</a:t>
          </a:r>
        </a:p>
      </dsp:txBody>
      <dsp:txXfrm>
        <a:off x="3454968" y="1305593"/>
        <a:ext cx="1935198" cy="525906"/>
      </dsp:txXfrm>
    </dsp:sp>
    <dsp:sp modelId="{674240FF-872C-4F98-A324-661D7B706A0E}">
      <dsp:nvSpPr>
        <dsp:cNvPr id="0" name=""/>
        <dsp:cNvSpPr/>
      </dsp:nvSpPr>
      <dsp:spPr>
        <a:xfrm rot="1404258">
          <a:off x="2481057" y="1999334"/>
          <a:ext cx="998630" cy="26604"/>
        </a:xfrm>
        <a:custGeom>
          <a:avLst/>
          <a:gdLst/>
          <a:ahLst/>
          <a:cxnLst/>
          <a:rect l="0" t="0" r="0" b="0"/>
          <a:pathLst>
            <a:path>
              <a:moveTo>
                <a:pt x="0" y="13302"/>
              </a:moveTo>
              <a:lnTo>
                <a:pt x="998630" y="1330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2955407" y="1987670"/>
        <a:ext cx="49931" cy="49931"/>
      </dsp:txXfrm>
    </dsp:sp>
    <dsp:sp modelId="{F0910D67-4615-4467-8194-D91389BA719A}">
      <dsp:nvSpPr>
        <dsp:cNvPr id="0" name=""/>
        <dsp:cNvSpPr/>
      </dsp:nvSpPr>
      <dsp:spPr>
        <a:xfrm>
          <a:off x="3438606" y="1931657"/>
          <a:ext cx="1984178" cy="55863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Цель и эффект</a:t>
          </a:r>
        </a:p>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Поддержка и вовлечение партнеров</a:t>
          </a:r>
        </a:p>
      </dsp:txBody>
      <dsp:txXfrm>
        <a:off x="3454968" y="1948019"/>
        <a:ext cx="1951454" cy="525906"/>
      </dsp:txXfrm>
    </dsp:sp>
    <dsp:sp modelId="{653F28A3-9196-46ED-AB3F-18C8FE32D007}">
      <dsp:nvSpPr>
        <dsp:cNvPr id="0" name=""/>
        <dsp:cNvSpPr/>
      </dsp:nvSpPr>
      <dsp:spPr>
        <a:xfrm rot="4634502">
          <a:off x="570146" y="2476460"/>
          <a:ext cx="1404370" cy="26604"/>
        </a:xfrm>
        <a:custGeom>
          <a:avLst/>
          <a:gdLst/>
          <a:ahLst/>
          <a:cxnLst/>
          <a:rect l="0" t="0" r="0" b="0"/>
          <a:pathLst>
            <a:path>
              <a:moveTo>
                <a:pt x="0" y="13302"/>
              </a:moveTo>
              <a:lnTo>
                <a:pt x="1404370" y="1330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237222" y="2454653"/>
        <a:ext cx="70218" cy="70218"/>
      </dsp:txXfrm>
    </dsp:sp>
    <dsp:sp modelId="{F89D24CC-E4D6-4906-8441-CB54414F8D21}">
      <dsp:nvSpPr>
        <dsp:cNvPr id="0" name=""/>
        <dsp:cNvSpPr/>
      </dsp:nvSpPr>
      <dsp:spPr>
        <a:xfrm>
          <a:off x="1427401" y="2895295"/>
          <a:ext cx="1117261" cy="55863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i="1" kern="1200">
              <a:latin typeface="Times New Roman" panose="02020603050405020304" pitchFamily="18" charset="0"/>
              <a:cs typeface="Times New Roman" panose="02020603050405020304" pitchFamily="18" charset="0"/>
            </a:rPr>
            <a:t>Структурный</a:t>
          </a:r>
        </a:p>
      </dsp:txBody>
      <dsp:txXfrm>
        <a:off x="1443763" y="2911657"/>
        <a:ext cx="1084537" cy="525906"/>
      </dsp:txXfrm>
    </dsp:sp>
    <dsp:sp modelId="{0C5A4F73-50CC-4075-A3C3-02D0B1860281}">
      <dsp:nvSpPr>
        <dsp:cNvPr id="0" name=""/>
        <dsp:cNvSpPr/>
      </dsp:nvSpPr>
      <dsp:spPr>
        <a:xfrm rot="20414134">
          <a:off x="2516684" y="3000702"/>
          <a:ext cx="949901" cy="26604"/>
        </a:xfrm>
        <a:custGeom>
          <a:avLst/>
          <a:gdLst/>
          <a:ahLst/>
          <a:cxnLst/>
          <a:rect l="0" t="0" r="0" b="0"/>
          <a:pathLst>
            <a:path>
              <a:moveTo>
                <a:pt x="0" y="13302"/>
              </a:moveTo>
              <a:lnTo>
                <a:pt x="949901" y="1330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2967887" y="2990257"/>
        <a:ext cx="47495" cy="47495"/>
      </dsp:txXfrm>
    </dsp:sp>
    <dsp:sp modelId="{27622DD9-CF5C-4C83-8B5D-9E6A4C88D2CF}">
      <dsp:nvSpPr>
        <dsp:cNvPr id="0" name=""/>
        <dsp:cNvSpPr/>
      </dsp:nvSpPr>
      <dsp:spPr>
        <a:xfrm>
          <a:off x="3438606" y="2574082"/>
          <a:ext cx="1978838" cy="55863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Механизм ЕС </a:t>
          </a:r>
        </a:p>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ESG-регулирование (CSRD, SFDR, CSDDD)</a:t>
          </a:r>
        </a:p>
      </dsp:txBody>
      <dsp:txXfrm>
        <a:off x="3454968" y="2590444"/>
        <a:ext cx="1946114" cy="525906"/>
      </dsp:txXfrm>
    </dsp:sp>
    <dsp:sp modelId="{432A1B56-A549-4230-8505-6203706B99FB}">
      <dsp:nvSpPr>
        <dsp:cNvPr id="0" name=""/>
        <dsp:cNvSpPr/>
      </dsp:nvSpPr>
      <dsp:spPr>
        <a:xfrm rot="1185866">
          <a:off x="2516684" y="3321915"/>
          <a:ext cx="949901" cy="26604"/>
        </a:xfrm>
        <a:custGeom>
          <a:avLst/>
          <a:gdLst/>
          <a:ahLst/>
          <a:cxnLst/>
          <a:rect l="0" t="0" r="0" b="0"/>
          <a:pathLst>
            <a:path>
              <a:moveTo>
                <a:pt x="0" y="13302"/>
              </a:moveTo>
              <a:lnTo>
                <a:pt x="949901" y="1330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2967887" y="3311470"/>
        <a:ext cx="47495" cy="47495"/>
      </dsp:txXfrm>
    </dsp:sp>
    <dsp:sp modelId="{0F4B507B-CF15-4892-B1B6-720F06EFB8A9}">
      <dsp:nvSpPr>
        <dsp:cNvPr id="0" name=""/>
        <dsp:cNvSpPr/>
      </dsp:nvSpPr>
      <dsp:spPr>
        <a:xfrm>
          <a:off x="3438606" y="3216508"/>
          <a:ext cx="2069515" cy="558630"/>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b="0" i="1" kern="1200">
              <a:latin typeface="Times New Roman" panose="02020603050405020304" pitchFamily="18" charset="0"/>
              <a:cs typeface="Times New Roman" panose="02020603050405020304" pitchFamily="18" charset="0"/>
            </a:rPr>
            <a:t>Цель и эффект</a:t>
          </a:r>
        </a:p>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Институционализация стандартов прав человека и устойчивости</a:t>
          </a:r>
        </a:p>
      </dsp:txBody>
      <dsp:txXfrm>
        <a:off x="3454968" y="3232870"/>
        <a:ext cx="2036791" cy="52590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0C3E9A-5F06-4D5A-916F-530FA52482B5}">
      <dsp:nvSpPr>
        <dsp:cNvPr id="0" name=""/>
        <dsp:cNvSpPr/>
      </dsp:nvSpPr>
      <dsp:spPr>
        <a:xfrm>
          <a:off x="499680" y="249000"/>
          <a:ext cx="4487038" cy="3588076"/>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Актуализция экономико-регуляторного сближения</a:t>
          </a:r>
        </a:p>
      </dsp:txBody>
      <dsp:txXfrm>
        <a:off x="1959089" y="428404"/>
        <a:ext cx="1568220" cy="538211"/>
      </dsp:txXfrm>
    </dsp:sp>
    <dsp:sp modelId="{AF29371C-F8D3-4837-88B7-51CCDD392131}">
      <dsp:nvSpPr>
        <dsp:cNvPr id="0" name=""/>
        <dsp:cNvSpPr/>
      </dsp:nvSpPr>
      <dsp:spPr>
        <a:xfrm>
          <a:off x="764988" y="1171603"/>
          <a:ext cx="3956423" cy="2810420"/>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Предоставление финансово-технической поддержки ЕС через механизм </a:t>
          </a:r>
          <a:r>
            <a:rPr lang="en-US" sz="1200" i="1" kern="1200">
              <a:latin typeface="Times New Roman" panose="02020603050405020304" pitchFamily="18" charset="0"/>
              <a:cs typeface="Times New Roman" panose="02020603050405020304" pitchFamily="18" charset="0"/>
            </a:rPr>
            <a:t>NDICI – Global Europe (2021–2027)</a:t>
          </a:r>
          <a:endParaRPr lang="ru-RU" sz="1200" i="1" kern="1200">
            <a:latin typeface="Times New Roman" panose="02020603050405020304" pitchFamily="18" charset="0"/>
            <a:cs typeface="Times New Roman" panose="02020603050405020304" pitchFamily="18" charset="0"/>
          </a:endParaRPr>
        </a:p>
      </dsp:txBody>
      <dsp:txXfrm>
        <a:off x="1821353" y="1347254"/>
        <a:ext cx="1843693" cy="526953"/>
      </dsp:txXfrm>
    </dsp:sp>
    <dsp:sp modelId="{A31B6DBD-9D29-41FD-9599-7BB3B64418AA}">
      <dsp:nvSpPr>
        <dsp:cNvPr id="0" name=""/>
        <dsp:cNvSpPr/>
      </dsp:nvSpPr>
      <dsp:spPr>
        <a:xfrm>
          <a:off x="1564422" y="2199979"/>
          <a:ext cx="2357554" cy="1821218"/>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i="1" kern="1200">
              <a:latin typeface="Times New Roman" panose="02020603050405020304" pitchFamily="18" charset="0"/>
              <a:cs typeface="Times New Roman" panose="02020603050405020304" pitchFamily="18" charset="0"/>
            </a:rPr>
            <a:t>Институционализация политико-правового диалога</a:t>
          </a:r>
        </a:p>
      </dsp:txBody>
      <dsp:txXfrm>
        <a:off x="1909678" y="2655283"/>
        <a:ext cx="1667043" cy="91060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4A3445-7E87-4732-B415-F5A2EC6F53B7}">
      <dsp:nvSpPr>
        <dsp:cNvPr id="0" name=""/>
        <dsp:cNvSpPr/>
      </dsp:nvSpPr>
      <dsp:spPr>
        <a:xfrm>
          <a:off x="0" y="2261555"/>
          <a:ext cx="6071616" cy="763587"/>
        </a:xfrm>
        <a:prstGeom prst="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ru-RU" sz="1050" b="0" i="1" kern="1200">
              <a:latin typeface="Times New Roman" panose="02020603050405020304" pitchFamily="18" charset="0"/>
              <a:cs typeface="Times New Roman" panose="02020603050405020304" pitchFamily="18" charset="0"/>
            </a:rPr>
            <a:t>Институциональная имплементация</a:t>
          </a:r>
          <a:r>
            <a:rPr lang="ru-RU" sz="900" b="0" i="1" kern="1200">
              <a:latin typeface="Times New Roman" panose="02020603050405020304" pitchFamily="18" charset="0"/>
              <a:cs typeface="Times New Roman" panose="02020603050405020304" pitchFamily="18" charset="0"/>
            </a:rPr>
            <a:t/>
          </a:r>
          <a:br>
            <a:rPr lang="ru-RU" sz="900" b="0" i="1" kern="1200">
              <a:latin typeface="Times New Roman" panose="02020603050405020304" pitchFamily="18" charset="0"/>
              <a:cs typeface="Times New Roman" panose="02020603050405020304" pitchFamily="18" charset="0"/>
            </a:rPr>
          </a:br>
          <a:endParaRPr lang="ru-RU" sz="900" b="0" i="1" kern="1200">
            <a:latin typeface="Times New Roman" panose="02020603050405020304" pitchFamily="18" charset="0"/>
            <a:cs typeface="Times New Roman" panose="02020603050405020304" pitchFamily="18" charset="0"/>
          </a:endParaRPr>
        </a:p>
      </dsp:txBody>
      <dsp:txXfrm>
        <a:off x="0" y="2261555"/>
        <a:ext cx="6071616" cy="412337"/>
      </dsp:txXfrm>
    </dsp:sp>
    <dsp:sp modelId="{E7603D9D-8984-43DD-8388-89425DD3C480}">
      <dsp:nvSpPr>
        <dsp:cNvPr id="0" name=""/>
        <dsp:cNvSpPr/>
      </dsp:nvSpPr>
      <dsp:spPr>
        <a:xfrm>
          <a:off x="2964" y="2575714"/>
          <a:ext cx="2021895" cy="655474"/>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Формирование совместных механизмов оценки эффективности правозащитной политики</a:t>
          </a:r>
        </a:p>
      </dsp:txBody>
      <dsp:txXfrm>
        <a:off x="2964" y="2575714"/>
        <a:ext cx="2021895" cy="655474"/>
      </dsp:txXfrm>
    </dsp:sp>
    <dsp:sp modelId="{DDFE34A7-EBA3-465C-A5A1-D79B36C2A013}">
      <dsp:nvSpPr>
        <dsp:cNvPr id="0" name=""/>
        <dsp:cNvSpPr/>
      </dsp:nvSpPr>
      <dsp:spPr>
        <a:xfrm>
          <a:off x="2024860" y="2574409"/>
          <a:ext cx="2021895" cy="658082"/>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Повышение роли институтов гражданского общества в процессе мониторинга и консультирования</a:t>
          </a:r>
          <a:br>
            <a:rPr lang="ru-RU" sz="900" kern="1200">
              <a:latin typeface="Times New Roman" panose="02020603050405020304" pitchFamily="18" charset="0"/>
              <a:cs typeface="Times New Roman" panose="02020603050405020304" pitchFamily="18" charset="0"/>
            </a:rPr>
          </a:br>
          <a:endParaRPr lang="ru-RU" sz="900" kern="1200">
            <a:latin typeface="Times New Roman" panose="02020603050405020304" pitchFamily="18" charset="0"/>
            <a:cs typeface="Times New Roman" panose="02020603050405020304" pitchFamily="18" charset="0"/>
          </a:endParaRPr>
        </a:p>
      </dsp:txBody>
      <dsp:txXfrm>
        <a:off x="2024860" y="2574409"/>
        <a:ext cx="2021895" cy="658082"/>
      </dsp:txXfrm>
    </dsp:sp>
    <dsp:sp modelId="{2FE4BB81-92C5-480F-BCE8-9607F7930108}">
      <dsp:nvSpPr>
        <dsp:cNvPr id="0" name=""/>
        <dsp:cNvSpPr/>
      </dsp:nvSpPr>
      <dsp:spPr>
        <a:xfrm>
          <a:off x="4046755" y="2575063"/>
          <a:ext cx="2021895" cy="656775"/>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Техническая и экспертная поддержка со стороны Европейского союза, в том числе в рамках программы </a:t>
          </a:r>
          <a:r>
            <a:rPr lang="en-US" sz="900" kern="1200">
              <a:latin typeface="Times New Roman" panose="02020603050405020304" pitchFamily="18" charset="0"/>
              <a:cs typeface="Times New Roman" panose="02020603050405020304" pitchFamily="18" charset="0"/>
            </a:rPr>
            <a:t>NDICI – Global Europe</a:t>
          </a:r>
          <a:endParaRPr lang="ru-RU" sz="900" kern="1200">
            <a:latin typeface="Times New Roman" panose="02020603050405020304" pitchFamily="18" charset="0"/>
            <a:cs typeface="Times New Roman" panose="02020603050405020304" pitchFamily="18" charset="0"/>
          </a:endParaRPr>
        </a:p>
      </dsp:txBody>
      <dsp:txXfrm>
        <a:off x="4046755" y="2575063"/>
        <a:ext cx="2021895" cy="656775"/>
      </dsp:txXfrm>
    </dsp:sp>
    <dsp:sp modelId="{EB7D1DD6-F980-4A40-B254-A8DF8A0765AE}">
      <dsp:nvSpPr>
        <dsp:cNvPr id="0" name=""/>
        <dsp:cNvSpPr/>
      </dsp:nvSpPr>
      <dsp:spPr>
        <a:xfrm rot="10800000">
          <a:off x="0" y="1055047"/>
          <a:ext cx="6071616" cy="1222113"/>
        </a:xfrm>
        <a:prstGeom prst="upArrowCallou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ru-RU" sz="1050" b="0" i="1" kern="1200">
              <a:latin typeface="Times New Roman" panose="02020603050405020304" pitchFamily="18" charset="0"/>
              <a:cs typeface="Times New Roman" panose="02020603050405020304" pitchFamily="18" charset="0"/>
            </a:rPr>
            <a:t>Трансфер инструментов</a:t>
          </a:r>
        </a:p>
        <a:p>
          <a:pPr lvl="0" algn="ctr" defTabSz="466725">
            <a:lnSpc>
              <a:spcPct val="90000"/>
            </a:lnSpc>
            <a:spcBef>
              <a:spcPct val="0"/>
            </a:spcBef>
            <a:spcAft>
              <a:spcPct val="35000"/>
            </a:spcAft>
          </a:pPr>
          <a:endParaRPr lang="ru-RU" sz="1050" b="0" i="1" kern="1200">
            <a:latin typeface="Times New Roman" panose="02020603050405020304" pitchFamily="18" charset="0"/>
            <a:cs typeface="Times New Roman" panose="02020603050405020304" pitchFamily="18" charset="0"/>
          </a:endParaRPr>
        </a:p>
      </dsp:txBody>
      <dsp:txXfrm rot="-10800000">
        <a:off x="0" y="1055047"/>
        <a:ext cx="6071616" cy="428961"/>
      </dsp:txXfrm>
    </dsp:sp>
    <dsp:sp modelId="{E6C8DDF7-0BF8-47B8-BA72-142EE71EE091}">
      <dsp:nvSpPr>
        <dsp:cNvPr id="0" name=""/>
        <dsp:cNvSpPr/>
      </dsp:nvSpPr>
      <dsp:spPr>
        <a:xfrm>
          <a:off x="343" y="1317606"/>
          <a:ext cx="2508099" cy="698595"/>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 Интеграция подхода, основанного на правах человека (</a:t>
          </a:r>
          <a:r>
            <a:rPr lang="en-US" sz="900" kern="1200">
              <a:latin typeface="Times New Roman" panose="02020603050405020304" pitchFamily="18" charset="0"/>
              <a:cs typeface="Times New Roman" panose="02020603050405020304" pitchFamily="18" charset="0"/>
            </a:rPr>
            <a:t>HRBA), </a:t>
          </a:r>
          <a:r>
            <a:rPr lang="ru-RU" sz="900" kern="1200">
              <a:latin typeface="Times New Roman" panose="02020603050405020304" pitchFamily="18" charset="0"/>
              <a:cs typeface="Times New Roman" panose="02020603050405020304" pitchFamily="18" charset="0"/>
            </a:rPr>
            <a:t>системы ключевых показателей эффективности (</a:t>
          </a:r>
          <a:r>
            <a:rPr lang="en-US" sz="900" kern="1200">
              <a:latin typeface="Times New Roman" panose="02020603050405020304" pitchFamily="18" charset="0"/>
              <a:cs typeface="Times New Roman" panose="02020603050405020304" pitchFamily="18" charset="0"/>
            </a:rPr>
            <a:t>KPI) </a:t>
          </a:r>
          <a:r>
            <a:rPr lang="ru-RU" sz="900" kern="1200">
              <a:latin typeface="Times New Roman" panose="02020603050405020304" pitchFamily="18" charset="0"/>
              <a:cs typeface="Times New Roman" panose="02020603050405020304" pitchFamily="18" charset="0"/>
            </a:rPr>
            <a:t>и тематических индикаторов</a:t>
          </a:r>
        </a:p>
      </dsp:txBody>
      <dsp:txXfrm>
        <a:off x="343" y="1317606"/>
        <a:ext cx="2508099" cy="698595"/>
      </dsp:txXfrm>
    </dsp:sp>
    <dsp:sp modelId="{21163C2E-8CD6-4A5B-B39F-BCAD95A61AEF}">
      <dsp:nvSpPr>
        <dsp:cNvPr id="0" name=""/>
        <dsp:cNvSpPr/>
      </dsp:nvSpPr>
      <dsp:spPr>
        <a:xfrm>
          <a:off x="2508442" y="1317606"/>
          <a:ext cx="3562830" cy="698595"/>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just" defTabSz="400050">
            <a:lnSpc>
              <a:spcPct val="100000"/>
            </a:lnSpc>
            <a:spcBef>
              <a:spcPct val="0"/>
            </a:spcBef>
            <a:spcAft>
              <a:spcPts val="0"/>
            </a:spcAft>
          </a:pPr>
          <a:r>
            <a:rPr lang="ru-RU" sz="900" kern="1200">
              <a:latin typeface="Times New Roman" panose="02020603050405020304" pitchFamily="18" charset="0"/>
              <a:cs typeface="Times New Roman" panose="02020603050405020304" pitchFamily="18" charset="0"/>
            </a:rPr>
            <a:t>▪ Адаптация европейских инструментов в </a:t>
          </a:r>
        </a:p>
        <a:p>
          <a:pPr lvl="0" algn="l" defTabSz="400050">
            <a:lnSpc>
              <a:spcPct val="100000"/>
            </a:lnSpc>
            <a:spcBef>
              <a:spcPct val="0"/>
            </a:spcBef>
            <a:spcAft>
              <a:spcPts val="0"/>
            </a:spcAft>
          </a:pPr>
          <a:r>
            <a:rPr lang="ru-RU" sz="900" kern="1200">
              <a:latin typeface="Times New Roman" panose="02020603050405020304" pitchFamily="18" charset="0"/>
              <a:cs typeface="Times New Roman" panose="02020603050405020304" pitchFamily="18" charset="0"/>
            </a:rPr>
            <a:t>соответст вии с:</a:t>
          </a:r>
          <a:br>
            <a:rPr lang="ru-RU" sz="900" kern="1200">
              <a:latin typeface="Times New Roman" panose="02020603050405020304" pitchFamily="18" charset="0"/>
              <a:cs typeface="Times New Roman" panose="02020603050405020304" pitchFamily="18" charset="0"/>
            </a:rPr>
          </a:br>
          <a:r>
            <a:rPr lang="ru-RU" sz="900" kern="1200">
              <a:latin typeface="Times New Roman" panose="02020603050405020304" pitchFamily="18" charset="0"/>
              <a:cs typeface="Times New Roman" panose="02020603050405020304" pitchFamily="18" charset="0"/>
            </a:rPr>
            <a:t>→ Национальным планом действий в области прав человека № 258 (2022)</a:t>
          </a:r>
          <a:br>
            <a:rPr lang="ru-RU" sz="900" kern="1200">
              <a:latin typeface="Times New Roman" panose="02020603050405020304" pitchFamily="18" charset="0"/>
              <a:cs typeface="Times New Roman" panose="02020603050405020304" pitchFamily="18" charset="0"/>
            </a:rPr>
          </a:br>
          <a:r>
            <a:rPr lang="ru-RU" sz="900" kern="1200">
              <a:latin typeface="Times New Roman" panose="02020603050405020304" pitchFamily="18" charset="0"/>
              <a:cs typeface="Times New Roman" panose="02020603050405020304" pitchFamily="18" charset="0"/>
            </a:rPr>
            <a:t>→ Целевыми показателями и индикаторными оценками на 2025 год</a:t>
          </a:r>
        </a:p>
      </dsp:txBody>
      <dsp:txXfrm>
        <a:off x="2508442" y="1317606"/>
        <a:ext cx="3562830" cy="698595"/>
      </dsp:txXfrm>
    </dsp:sp>
    <dsp:sp modelId="{966D8FAB-287E-467A-9BCB-D96932CA3CEB}">
      <dsp:nvSpPr>
        <dsp:cNvPr id="0" name=""/>
        <dsp:cNvSpPr/>
      </dsp:nvSpPr>
      <dsp:spPr>
        <a:xfrm rot="10800000">
          <a:off x="0" y="826"/>
          <a:ext cx="6071616" cy="1069827"/>
        </a:xfrm>
        <a:prstGeom prst="upArrowCallou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66725">
            <a:lnSpc>
              <a:spcPct val="90000"/>
            </a:lnSpc>
            <a:spcBef>
              <a:spcPct val="0"/>
            </a:spcBef>
            <a:spcAft>
              <a:spcPct val="35000"/>
            </a:spcAft>
          </a:pPr>
          <a:r>
            <a:rPr lang="ru-RU" sz="1050" b="0" i="1" kern="1200">
              <a:latin typeface="Times New Roman" panose="02020603050405020304" pitchFamily="18" charset="0"/>
              <a:cs typeface="Times New Roman" panose="02020603050405020304" pitchFamily="18" charset="0"/>
            </a:rPr>
            <a:t>Нормативная конвергенция</a:t>
          </a:r>
        </a:p>
        <a:p>
          <a:pPr lvl="0" algn="ctr" defTabSz="466725">
            <a:lnSpc>
              <a:spcPct val="90000"/>
            </a:lnSpc>
            <a:spcBef>
              <a:spcPct val="0"/>
            </a:spcBef>
            <a:spcAft>
              <a:spcPct val="35000"/>
            </a:spcAft>
          </a:pPr>
          <a:endParaRPr lang="ru-RU" sz="1050" b="0" i="1" kern="1200">
            <a:latin typeface="Times New Roman" panose="02020603050405020304" pitchFamily="18" charset="0"/>
            <a:cs typeface="Times New Roman" panose="02020603050405020304" pitchFamily="18" charset="0"/>
          </a:endParaRPr>
        </a:p>
      </dsp:txBody>
      <dsp:txXfrm rot="-10800000">
        <a:off x="0" y="826"/>
        <a:ext cx="6071616" cy="375509"/>
      </dsp:txXfrm>
    </dsp:sp>
    <dsp:sp modelId="{C92F6890-A319-419E-A12F-4BD794FDB954}">
      <dsp:nvSpPr>
        <dsp:cNvPr id="0" name=""/>
        <dsp:cNvSpPr/>
      </dsp:nvSpPr>
      <dsp:spPr>
        <a:xfrm>
          <a:off x="2964" y="286251"/>
          <a:ext cx="2021895" cy="500577"/>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Совместный мониторинг на основе Соглашения о расширенном партнёрстве и сотрудничестве</a:t>
          </a:r>
        </a:p>
      </dsp:txBody>
      <dsp:txXfrm>
        <a:off x="2964" y="286251"/>
        <a:ext cx="2021895" cy="500577"/>
      </dsp:txXfrm>
    </dsp:sp>
    <dsp:sp modelId="{A866DA78-FB6F-4FBF-B946-6CB42C8E3FD0}">
      <dsp:nvSpPr>
        <dsp:cNvPr id="0" name=""/>
        <dsp:cNvSpPr/>
      </dsp:nvSpPr>
      <dsp:spPr>
        <a:xfrm>
          <a:off x="2024860" y="286569"/>
          <a:ext cx="2021895" cy="49994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Фиксация направлений сближения национального законодательства с правовыми стандартами ЕС</a:t>
          </a:r>
        </a:p>
      </dsp:txBody>
      <dsp:txXfrm>
        <a:off x="2024860" y="286569"/>
        <a:ext cx="2021895" cy="499940"/>
      </dsp:txXfrm>
    </dsp:sp>
    <dsp:sp modelId="{1991CD4D-152C-49DA-A6B5-0CB0FDE11E5D}">
      <dsp:nvSpPr>
        <dsp:cNvPr id="0" name=""/>
        <dsp:cNvSpPr/>
      </dsp:nvSpPr>
      <dsp:spPr>
        <a:xfrm>
          <a:off x="4046755" y="286569"/>
          <a:ext cx="2021895" cy="499940"/>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12700" rIns="7112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Переход к обобщённым оценкам прогресса реформ и выполнения обязательств в области прав человека</a:t>
          </a:r>
        </a:p>
      </dsp:txBody>
      <dsp:txXfrm>
        <a:off x="4046755" y="286569"/>
        <a:ext cx="2021895" cy="49994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0E8506-C18B-46E6-A069-FDE71A8DA014}">
      <dsp:nvSpPr>
        <dsp:cNvPr id="0" name=""/>
        <dsp:cNvSpPr/>
      </dsp:nvSpPr>
      <dsp:spPr>
        <a:xfrm>
          <a:off x="2001816" y="2351559"/>
          <a:ext cx="1469755" cy="1469755"/>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b="0" i="1" kern="1200">
              <a:latin typeface="Times New Roman" panose="02020603050405020304" pitchFamily="18" charset="0"/>
              <a:cs typeface="Times New Roman" panose="02020603050405020304" pitchFamily="18" charset="0"/>
            </a:rPr>
            <a:t>RIGHTS</a:t>
          </a:r>
        </a:p>
      </dsp:txBody>
      <dsp:txXfrm>
        <a:off x="2217057" y="2566800"/>
        <a:ext cx="1039273" cy="1039273"/>
      </dsp:txXfrm>
    </dsp:sp>
    <dsp:sp modelId="{0A9077F8-BCA6-4D7B-8036-07A042903D86}">
      <dsp:nvSpPr>
        <dsp:cNvPr id="0" name=""/>
        <dsp:cNvSpPr/>
      </dsp:nvSpPr>
      <dsp:spPr>
        <a:xfrm rot="10830133">
          <a:off x="514941" y="2863680"/>
          <a:ext cx="1405151" cy="41888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0B006CD-299A-4C89-9D83-90814E2D8672}">
      <dsp:nvSpPr>
        <dsp:cNvPr id="0" name=""/>
        <dsp:cNvSpPr/>
      </dsp:nvSpPr>
      <dsp:spPr>
        <a:xfrm>
          <a:off x="554" y="2655430"/>
          <a:ext cx="1028828" cy="82306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R </a:t>
          </a:r>
          <a:endParaRPr lang="uk-UA" sz="1100"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Relevant – </a:t>
          </a:r>
          <a:r>
            <a:rPr lang="uk-UA" sz="1100" kern="1200">
              <a:latin typeface="Times New Roman" panose="02020603050405020304" pitchFamily="18" charset="0"/>
              <a:cs typeface="Times New Roman" panose="02020603050405020304" pitchFamily="18" charset="0"/>
            </a:rPr>
            <a:t>релевантность и надежность</a:t>
          </a:r>
        </a:p>
      </dsp:txBody>
      <dsp:txXfrm>
        <a:off x="24661" y="2679537"/>
        <a:ext cx="980614" cy="774848"/>
      </dsp:txXfrm>
    </dsp:sp>
    <dsp:sp modelId="{1F427D25-47AB-4856-8CA1-49A664C946FA}">
      <dsp:nvSpPr>
        <dsp:cNvPr id="0" name=""/>
        <dsp:cNvSpPr/>
      </dsp:nvSpPr>
      <dsp:spPr>
        <a:xfrm rot="12553803">
          <a:off x="652728" y="2119773"/>
          <a:ext cx="1461481" cy="41888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96B1121-6F24-446F-9DD2-9A7920CE5022}">
      <dsp:nvSpPr>
        <dsp:cNvPr id="0" name=""/>
        <dsp:cNvSpPr/>
      </dsp:nvSpPr>
      <dsp:spPr>
        <a:xfrm>
          <a:off x="115254" y="1388915"/>
          <a:ext cx="1261045" cy="116693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I</a:t>
          </a:r>
          <a:endParaRPr lang="uk-UA" sz="1100"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 Independent – </a:t>
          </a:r>
          <a:r>
            <a:rPr lang="uk-UA" sz="1100" kern="1200">
              <a:latin typeface="Times New Roman" panose="02020603050405020304" pitchFamily="18" charset="0"/>
              <a:cs typeface="Times New Roman" panose="02020603050405020304" pitchFamily="18" charset="0"/>
            </a:rPr>
            <a:t>независимость от рассматриваемых субъектов в методах сбора данных</a:t>
          </a:r>
        </a:p>
      </dsp:txBody>
      <dsp:txXfrm>
        <a:off x="149432" y="1423093"/>
        <a:ext cx="1192689" cy="1098574"/>
      </dsp:txXfrm>
    </dsp:sp>
    <dsp:sp modelId="{6F8D1918-D13C-48E1-9025-3C6F5616B51C}">
      <dsp:nvSpPr>
        <dsp:cNvPr id="0" name=""/>
        <dsp:cNvSpPr/>
      </dsp:nvSpPr>
      <dsp:spPr>
        <a:xfrm rot="15168285">
          <a:off x="1655420" y="1482144"/>
          <a:ext cx="1299241" cy="41888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677C8E9-0596-43C5-ACC7-8609BC407531}">
      <dsp:nvSpPr>
        <dsp:cNvPr id="0" name=""/>
        <dsp:cNvSpPr/>
      </dsp:nvSpPr>
      <dsp:spPr>
        <a:xfrm>
          <a:off x="1405865" y="186302"/>
          <a:ext cx="1414258" cy="1769395"/>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G</a:t>
          </a:r>
          <a:endParaRPr lang="uk-UA" sz="1100"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Global – </a:t>
          </a:r>
          <a:r>
            <a:rPr lang="uk-UA" sz="1100" kern="1200">
              <a:latin typeface="Times New Roman" panose="02020603050405020304" pitchFamily="18" charset="0"/>
              <a:cs typeface="Times New Roman" panose="02020603050405020304" pitchFamily="18" charset="0"/>
            </a:rPr>
            <a:t>глобальный и универсально значимый, при этом поддающийся контекстуализации и дезагрегированию по запрещенным основаниям дискриминации</a:t>
          </a:r>
        </a:p>
      </dsp:txBody>
      <dsp:txXfrm>
        <a:off x="1447287" y="227724"/>
        <a:ext cx="1331414" cy="1686551"/>
      </dsp:txXfrm>
    </dsp:sp>
    <dsp:sp modelId="{7FB3DCDF-4480-4002-8A60-2A7AC19E1BB4}">
      <dsp:nvSpPr>
        <dsp:cNvPr id="0" name=""/>
        <dsp:cNvSpPr/>
      </dsp:nvSpPr>
      <dsp:spPr>
        <a:xfrm rot="17447072">
          <a:off x="2567961" y="1447533"/>
          <a:ext cx="1422584" cy="41888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57F0070-6CF5-4B1A-95D8-92D7283C6E6F}">
      <dsp:nvSpPr>
        <dsp:cNvPr id="0" name=""/>
        <dsp:cNvSpPr/>
      </dsp:nvSpPr>
      <dsp:spPr>
        <a:xfrm>
          <a:off x="2890766" y="448441"/>
          <a:ext cx="1281786" cy="108706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H</a:t>
          </a:r>
        </a:p>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Human rights – </a:t>
          </a:r>
          <a:r>
            <a:rPr lang="uk-UA" sz="1100" kern="1200">
              <a:latin typeface="Times New Roman" panose="02020603050405020304" pitchFamily="18" charset="0"/>
              <a:cs typeface="Times New Roman" panose="02020603050405020304" pitchFamily="18" charset="0"/>
            </a:rPr>
            <a:t>ориентированость  на стандарты в области прав человека;</a:t>
          </a:r>
          <a:endParaRPr lang="en-US" sz="1100" kern="1200">
            <a:latin typeface="Times New Roman" panose="02020603050405020304" pitchFamily="18" charset="0"/>
            <a:cs typeface="Times New Roman" panose="02020603050405020304" pitchFamily="18" charset="0"/>
          </a:endParaRPr>
        </a:p>
      </dsp:txBody>
      <dsp:txXfrm>
        <a:off x="2922605" y="480280"/>
        <a:ext cx="1218108" cy="1023382"/>
      </dsp:txXfrm>
    </dsp:sp>
    <dsp:sp modelId="{DB34E414-A25C-4249-9152-1EF7C7C1E6CF}">
      <dsp:nvSpPr>
        <dsp:cNvPr id="0" name=""/>
        <dsp:cNvSpPr/>
      </dsp:nvSpPr>
      <dsp:spPr>
        <a:xfrm rot="19958760">
          <a:off x="3382870" y="2141953"/>
          <a:ext cx="1549309" cy="41888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11A9018-EF09-44EB-A5B8-91BA38E33BAE}">
      <dsp:nvSpPr>
        <dsp:cNvPr id="0" name=""/>
        <dsp:cNvSpPr/>
      </dsp:nvSpPr>
      <dsp:spPr>
        <a:xfrm>
          <a:off x="4258348" y="1436899"/>
          <a:ext cx="1174428" cy="111710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T </a:t>
          </a:r>
        </a:p>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Transparent – </a:t>
          </a:r>
          <a:r>
            <a:rPr lang="uk-UA" sz="1100" kern="1200">
              <a:latin typeface="Times New Roman" panose="02020603050405020304" pitchFamily="18" charset="0"/>
              <a:cs typeface="Times New Roman" panose="02020603050405020304" pitchFamily="18" charset="0"/>
            </a:rPr>
            <a:t>прозрачность в своих методах, своевременность, ограниченость по времени</a:t>
          </a:r>
        </a:p>
      </dsp:txBody>
      <dsp:txXfrm>
        <a:off x="4291067" y="1469618"/>
        <a:ext cx="1108990" cy="1051664"/>
      </dsp:txXfrm>
    </dsp:sp>
    <dsp:sp modelId="{E9EE9943-EC91-44FB-BD74-ED9CF459BC54}">
      <dsp:nvSpPr>
        <dsp:cNvPr id="0" name=""/>
        <dsp:cNvSpPr/>
      </dsp:nvSpPr>
      <dsp:spPr>
        <a:xfrm rot="65944">
          <a:off x="3551273" y="2905806"/>
          <a:ext cx="1374185" cy="418880"/>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9782B0-64D3-4A68-B940-8A76E4A39E06}">
      <dsp:nvSpPr>
        <dsp:cNvPr id="0" name=""/>
        <dsp:cNvSpPr/>
      </dsp:nvSpPr>
      <dsp:spPr>
        <a:xfrm>
          <a:off x="4410918" y="2716894"/>
          <a:ext cx="1028828" cy="823062"/>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S </a:t>
          </a:r>
        </a:p>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Simple – </a:t>
          </a:r>
          <a:r>
            <a:rPr lang="uk-UA" sz="1100" kern="1200">
              <a:latin typeface="Times New Roman" panose="02020603050405020304" pitchFamily="18" charset="0"/>
              <a:cs typeface="Times New Roman" panose="02020603050405020304" pitchFamily="18" charset="0"/>
            </a:rPr>
            <a:t>простота и конкретика</a:t>
          </a:r>
        </a:p>
      </dsp:txBody>
      <dsp:txXfrm>
        <a:off x="4435025" y="2741001"/>
        <a:ext cx="980614" cy="77484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EA7C18-945B-4CAD-BFA9-12CAD951FF63}">
      <dsp:nvSpPr>
        <dsp:cNvPr id="0" name=""/>
        <dsp:cNvSpPr/>
      </dsp:nvSpPr>
      <dsp:spPr>
        <a:xfrm>
          <a:off x="2095786" y="909"/>
          <a:ext cx="3736489" cy="739893"/>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Карта соответствий: Стандарт ЕС → статьи Конституции РК
Выход: Реестр «нормативных пробелов» (</a:t>
          </a:r>
          <a:r>
            <a:rPr lang="en-US" sz="1100" kern="1200">
              <a:latin typeface="Times New Roman" panose="02020603050405020304" pitchFamily="18" charset="0"/>
              <a:cs typeface="Times New Roman" panose="02020603050405020304" pitchFamily="18" charset="0"/>
            </a:rPr>
            <a:t>Gap Matrix)</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ru-RU" sz="1100" kern="1200">
            <a:latin typeface="Times New Roman" panose="02020603050405020304" pitchFamily="18" charset="0"/>
            <a:cs typeface="Times New Roman" panose="02020603050405020304" pitchFamily="18" charset="0"/>
          </a:endParaRPr>
        </a:p>
      </dsp:txBody>
      <dsp:txXfrm>
        <a:off x="2095786" y="93396"/>
        <a:ext cx="3459029" cy="554919"/>
      </dsp:txXfrm>
    </dsp:sp>
    <dsp:sp modelId="{A63A35CC-BFEA-4E6E-9DAD-BD4B0E9E2BAA}">
      <dsp:nvSpPr>
        <dsp:cNvPr id="0" name=""/>
        <dsp:cNvSpPr/>
      </dsp:nvSpPr>
      <dsp:spPr>
        <a:xfrm>
          <a:off x="2738" y="909"/>
          <a:ext cx="2093048" cy="739893"/>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ФАЗА 0 – Нормативно-ценностное картирование
</a:t>
          </a:r>
          <a:r>
            <a:rPr lang="en-US" sz="1100" kern="1200">
              <a:latin typeface="Times New Roman" panose="02020603050405020304" pitchFamily="18" charset="0"/>
              <a:cs typeface="Times New Roman" panose="02020603050405020304" pitchFamily="18" charset="0"/>
            </a:rPr>
            <a:t>
</a:t>
          </a:r>
          <a:endParaRPr lang="ru-RU" sz="1100" kern="1200">
            <a:latin typeface="Times New Roman" panose="02020603050405020304" pitchFamily="18" charset="0"/>
            <a:cs typeface="Times New Roman" panose="02020603050405020304" pitchFamily="18" charset="0"/>
          </a:endParaRPr>
        </a:p>
      </dsp:txBody>
      <dsp:txXfrm>
        <a:off x="38857" y="37028"/>
        <a:ext cx="2020810" cy="667655"/>
      </dsp:txXfrm>
    </dsp:sp>
    <dsp:sp modelId="{E7461D90-2B2A-4093-AB33-A71F1EA06848}">
      <dsp:nvSpPr>
        <dsp:cNvPr id="0" name=""/>
        <dsp:cNvSpPr/>
      </dsp:nvSpPr>
      <dsp:spPr>
        <a:xfrm>
          <a:off x="2114448" y="814792"/>
          <a:ext cx="3717821" cy="804249"/>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Выбор ядра </a:t>
          </a:r>
          <a:r>
            <a:rPr lang="en-US" sz="1100" kern="1200">
              <a:latin typeface="Times New Roman" panose="02020603050405020304" pitchFamily="18" charset="0"/>
              <a:cs typeface="Times New Roman" panose="02020603050405020304" pitchFamily="18" charset="0"/>
            </a:rPr>
            <a:t>KPI </a:t>
          </a:r>
          <a:r>
            <a:rPr lang="ru-RU" sz="1100" kern="1200">
              <a:latin typeface="Times New Roman" panose="02020603050405020304" pitchFamily="18" charset="0"/>
              <a:cs typeface="Times New Roman" panose="02020603050405020304" pitchFamily="18" charset="0"/>
            </a:rPr>
            <a:t>по критериям </a:t>
          </a:r>
          <a:r>
            <a:rPr lang="en-US" sz="1100" kern="1200">
              <a:latin typeface="Times New Roman" panose="02020603050405020304" pitchFamily="18" charset="0"/>
              <a:cs typeface="Times New Roman" panose="02020603050405020304" pitchFamily="18" charset="0"/>
            </a:rPr>
            <a:t>RIGHTS (R-I-G-H-T-S)
</a:t>
          </a:r>
          <a:r>
            <a:rPr lang="ru-RU" sz="1100" kern="1200">
              <a:latin typeface="Times New Roman" panose="02020603050405020304" pitchFamily="18" charset="0"/>
              <a:cs typeface="Times New Roman" panose="02020603050405020304" pitchFamily="18" charset="0"/>
            </a:rPr>
            <a:t>Описание метаданных (источник, частота, ответственный орган)
Инструмент: «Паспорт индикатора» (</a:t>
          </a:r>
          <a:r>
            <a:rPr lang="en-US" sz="1100" kern="1200">
              <a:latin typeface="Times New Roman" panose="02020603050405020304" pitchFamily="18" charset="0"/>
              <a:cs typeface="Times New Roman" panose="02020603050405020304" pitchFamily="18" charset="0"/>
            </a:rPr>
            <a:t>Indicator Passport</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ru-RU" sz="1100" kern="1200">
            <a:latin typeface="Times New Roman" panose="02020603050405020304" pitchFamily="18" charset="0"/>
            <a:cs typeface="Times New Roman" panose="02020603050405020304" pitchFamily="18" charset="0"/>
          </a:endParaRPr>
        </a:p>
      </dsp:txBody>
      <dsp:txXfrm>
        <a:off x="2114448" y="915323"/>
        <a:ext cx="3416228" cy="603187"/>
      </dsp:txXfrm>
    </dsp:sp>
    <dsp:sp modelId="{3703DB18-467A-48C2-8D8C-5DBF2509C074}">
      <dsp:nvSpPr>
        <dsp:cNvPr id="0" name=""/>
        <dsp:cNvSpPr/>
      </dsp:nvSpPr>
      <dsp:spPr>
        <a:xfrm>
          <a:off x="2744" y="846970"/>
          <a:ext cx="2111704" cy="739893"/>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ФАЗА 1 – Индикаторная операционализация
</a:t>
          </a:r>
        </a:p>
      </dsp:txBody>
      <dsp:txXfrm>
        <a:off x="38863" y="883089"/>
        <a:ext cx="2039466" cy="667655"/>
      </dsp:txXfrm>
    </dsp:sp>
    <dsp:sp modelId="{BB2CFE3A-AC0B-43B2-8A1A-7EBD6A23F254}">
      <dsp:nvSpPr>
        <dsp:cNvPr id="0" name=""/>
        <dsp:cNvSpPr/>
      </dsp:nvSpPr>
      <dsp:spPr>
        <a:xfrm>
          <a:off x="2126127" y="1693031"/>
          <a:ext cx="3706811" cy="981409"/>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Трёхсторонняя система данных: (а) события/жалобы, (б) административная статистика, (в) социально-экономические панели
Алгоритм проверки достоверности (</a:t>
          </a:r>
          <a:r>
            <a:rPr lang="en-US" sz="1100" kern="1200">
              <a:latin typeface="Times New Roman" panose="02020603050405020304" pitchFamily="18" charset="0"/>
              <a:cs typeface="Times New Roman" panose="02020603050405020304" pitchFamily="18" charset="0"/>
            </a:rPr>
            <a:t>Data Validation Loop)</a:t>
          </a:r>
          <a:endParaRPr lang="ru-RU" sz="1100" kern="1200">
            <a:latin typeface="Times New Roman" panose="02020603050405020304" pitchFamily="18" charset="0"/>
            <a:cs typeface="Times New Roman" panose="02020603050405020304" pitchFamily="18" charset="0"/>
          </a:endParaRPr>
        </a:p>
      </dsp:txBody>
      <dsp:txXfrm>
        <a:off x="2126127" y="1815707"/>
        <a:ext cx="3338783" cy="736057"/>
      </dsp:txXfrm>
    </dsp:sp>
    <dsp:sp modelId="{7DF88011-3E7E-4B89-A720-6B6658E5BB03}">
      <dsp:nvSpPr>
        <dsp:cNvPr id="0" name=""/>
        <dsp:cNvSpPr/>
      </dsp:nvSpPr>
      <dsp:spPr>
        <a:xfrm>
          <a:off x="2075" y="1813789"/>
          <a:ext cx="2124051" cy="739893"/>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          ФАЗА 2 – Сбор и верификация данных       </a:t>
          </a:r>
        </a:p>
      </dsp:txBody>
      <dsp:txXfrm>
        <a:off x="38194" y="1849908"/>
        <a:ext cx="2051813" cy="667655"/>
      </dsp:txXfrm>
    </dsp:sp>
    <dsp:sp modelId="{57D98AD6-8BFD-4339-847E-A32CC21E6C1E}">
      <dsp:nvSpPr>
        <dsp:cNvPr id="0" name=""/>
        <dsp:cNvSpPr/>
      </dsp:nvSpPr>
      <dsp:spPr>
        <a:xfrm>
          <a:off x="2057990" y="2748430"/>
          <a:ext cx="3776822" cy="739893"/>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Методы: сравнительная динамика, кросс-секторальный анализ
Выход: «Профиль соответствия» (</a:t>
          </a:r>
          <a:r>
            <a:rPr lang="en-US" sz="1100" kern="1200">
              <a:latin typeface="Times New Roman" panose="02020603050405020304" pitchFamily="18" charset="0"/>
              <a:cs typeface="Times New Roman" panose="02020603050405020304" pitchFamily="18" charset="0"/>
            </a:rPr>
            <a:t>Compliance Dashboard)</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ru-RU" sz="1100" kern="1200">
            <a:latin typeface="Times New Roman" panose="02020603050405020304" pitchFamily="18" charset="0"/>
            <a:cs typeface="Times New Roman" panose="02020603050405020304" pitchFamily="18" charset="0"/>
          </a:endParaRPr>
        </a:p>
      </dsp:txBody>
      <dsp:txXfrm>
        <a:off x="2057990" y="2840917"/>
        <a:ext cx="3499362" cy="554919"/>
      </dsp:txXfrm>
    </dsp:sp>
    <dsp:sp modelId="{C7A83C95-166B-4924-B3F2-1FCFCAC5C026}">
      <dsp:nvSpPr>
        <dsp:cNvPr id="0" name=""/>
        <dsp:cNvSpPr/>
      </dsp:nvSpPr>
      <dsp:spPr>
        <a:xfrm>
          <a:off x="202" y="2748430"/>
          <a:ext cx="2057788" cy="739893"/>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  ФАЗА 3 – Аналитическая интерпретация
</a:t>
          </a:r>
        </a:p>
      </dsp:txBody>
      <dsp:txXfrm>
        <a:off x="36321" y="2784549"/>
        <a:ext cx="1985550" cy="667655"/>
      </dsp:txXfrm>
    </dsp:sp>
    <dsp:sp modelId="{AAF307A3-1EE3-49DE-BB73-30B91F055179}">
      <dsp:nvSpPr>
        <dsp:cNvPr id="0" name=""/>
        <dsp:cNvSpPr/>
      </dsp:nvSpPr>
      <dsp:spPr>
        <a:xfrm>
          <a:off x="2040918" y="3562314"/>
          <a:ext cx="3772710" cy="901863"/>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 Приоритизация реформ (</a:t>
          </a:r>
          <a:r>
            <a:rPr lang="en-US" sz="1100" kern="1200">
              <a:latin typeface="Times New Roman" panose="02020603050405020304" pitchFamily="18" charset="0"/>
              <a:cs typeface="Times New Roman" panose="02020603050405020304" pitchFamily="18" charset="0"/>
            </a:rPr>
            <a:t>Policy Prioritisation Grid)
</a:t>
          </a:r>
          <a:r>
            <a:rPr lang="ru-RU" sz="1100" kern="1200">
              <a:latin typeface="Times New Roman" panose="02020603050405020304" pitchFamily="18" charset="0"/>
              <a:cs typeface="Times New Roman" panose="02020603050405020304" pitchFamily="18" charset="0"/>
            </a:rPr>
            <a:t>Распределение ответственности: правительство – парламент – НПО
Встроенный цикл обратной связи (</a:t>
          </a:r>
          <a:r>
            <a:rPr lang="en-US" sz="1100" kern="1200">
              <a:latin typeface="Times New Roman" panose="02020603050405020304" pitchFamily="18" charset="0"/>
              <a:cs typeface="Times New Roman" panose="02020603050405020304" pitchFamily="18" charset="0"/>
            </a:rPr>
            <a:t>Feed-back Loop)
</a:t>
          </a:r>
          <a:endParaRPr lang="ru-RU" sz="1100" kern="1200">
            <a:latin typeface="Times New Roman" panose="02020603050405020304" pitchFamily="18" charset="0"/>
            <a:cs typeface="Times New Roman" panose="02020603050405020304" pitchFamily="18" charset="0"/>
          </a:endParaRPr>
        </a:p>
      </dsp:txBody>
      <dsp:txXfrm>
        <a:off x="2040918" y="3675047"/>
        <a:ext cx="3434511" cy="676397"/>
      </dsp:txXfrm>
    </dsp:sp>
    <dsp:sp modelId="{8C9A36BD-38C7-45C3-890B-0711F6E98A29}">
      <dsp:nvSpPr>
        <dsp:cNvPr id="0" name=""/>
        <dsp:cNvSpPr/>
      </dsp:nvSpPr>
      <dsp:spPr>
        <a:xfrm>
          <a:off x="21386" y="3643299"/>
          <a:ext cx="2019531" cy="739893"/>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 ФАЗА 4 – Институциональная адаптация</a:t>
          </a:r>
        </a:p>
      </dsp:txBody>
      <dsp:txXfrm>
        <a:off x="57505" y="3679418"/>
        <a:ext cx="1947293" cy="667655"/>
      </dsp:txXfrm>
    </dsp:sp>
    <dsp:sp modelId="{8C5AACFF-A754-4B63-B348-8B55F11BDEF7}">
      <dsp:nvSpPr>
        <dsp:cNvPr id="0" name=""/>
        <dsp:cNvSpPr/>
      </dsp:nvSpPr>
      <dsp:spPr>
        <a:xfrm>
          <a:off x="2125682" y="4538167"/>
          <a:ext cx="3678520" cy="815348"/>
        </a:xfrm>
        <a:prstGeom prst="rightArrow">
          <a:avLst>
            <a:gd name="adj1" fmla="val 75000"/>
            <a:gd name="adj2" fmla="val 50000"/>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ru-RU" sz="1100" kern="1200">
              <a:latin typeface="Times New Roman" panose="02020603050405020304" pitchFamily="18" charset="0"/>
              <a:cs typeface="Times New Roman" panose="02020603050405020304" pitchFamily="18" charset="0"/>
            </a:rPr>
            <a:t>Форматы: </a:t>
          </a:r>
          <a:r>
            <a:rPr lang="en-US" sz="1100" kern="1200">
              <a:latin typeface="Times New Roman" panose="02020603050405020304" pitchFamily="18" charset="0"/>
              <a:cs typeface="Times New Roman" panose="02020603050405020304" pitchFamily="18" charset="0"/>
            </a:rPr>
            <a:t>UPR-</a:t>
          </a:r>
          <a:r>
            <a:rPr lang="ru-RU" sz="1100" kern="1200">
              <a:latin typeface="Times New Roman" panose="02020603050405020304" pitchFamily="18" charset="0"/>
              <a:cs typeface="Times New Roman" panose="02020603050405020304" pitchFamily="18" charset="0"/>
            </a:rPr>
            <a:t>отчёт, </a:t>
          </a:r>
          <a:r>
            <a:rPr lang="en-US" sz="1100" kern="1200">
              <a:latin typeface="Times New Roman" panose="02020603050405020304" pitchFamily="18" charset="0"/>
              <a:cs typeface="Times New Roman" panose="02020603050405020304" pitchFamily="18" charset="0"/>
            </a:rPr>
            <a:t>EU Dialogue Brief, </a:t>
          </a:r>
          <a:r>
            <a:rPr lang="ru-RU" sz="1100" kern="1200">
              <a:latin typeface="Times New Roman" panose="02020603050405020304" pitchFamily="18" charset="0"/>
              <a:cs typeface="Times New Roman" panose="02020603050405020304" pitchFamily="18" charset="0"/>
            </a:rPr>
            <a:t>нац. отчётность
Механизм общественной валидации (</a:t>
          </a:r>
          <a:r>
            <a:rPr lang="en-US" sz="1100" kern="1200">
              <a:latin typeface="Times New Roman" panose="02020603050405020304" pitchFamily="18" charset="0"/>
              <a:cs typeface="Times New Roman" panose="02020603050405020304" pitchFamily="18" charset="0"/>
            </a:rPr>
            <a:t>Civil Society Hearing)</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ru-RU" sz="1100" kern="1200">
            <a:latin typeface="Times New Roman" panose="02020603050405020304" pitchFamily="18" charset="0"/>
            <a:cs typeface="Times New Roman" panose="02020603050405020304" pitchFamily="18" charset="0"/>
          </a:endParaRPr>
        </a:p>
      </dsp:txBody>
      <dsp:txXfrm>
        <a:off x="2125682" y="4640086"/>
        <a:ext cx="3372765" cy="611511"/>
      </dsp:txXfrm>
    </dsp:sp>
    <dsp:sp modelId="{6C3D6C76-5FD4-48D0-80B2-A4B7CE5A9D87}">
      <dsp:nvSpPr>
        <dsp:cNvPr id="0" name=""/>
        <dsp:cNvSpPr/>
      </dsp:nvSpPr>
      <dsp:spPr>
        <a:xfrm>
          <a:off x="30812" y="4575894"/>
          <a:ext cx="2094869" cy="739893"/>
        </a:xfrm>
        <a:prstGeom prst="roundRect">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 ФАЗА 5 – Публичная отчётность и внешняя верификация</a:t>
          </a:r>
        </a:p>
      </dsp:txBody>
      <dsp:txXfrm>
        <a:off x="66931" y="4612013"/>
        <a:ext cx="2022631" cy="66765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16.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DA43C-2E4D-4E79-BA63-C2C4D5F0D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181</Pages>
  <Words>69027</Words>
  <Characters>393459</Characters>
  <Application>Microsoft Office Word</Application>
  <DocSecurity>0</DocSecurity>
  <Lines>3278</Lines>
  <Paragraphs>923</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LinksUpToDate>false</LinksUpToDate>
  <CharactersWithSpaces>461563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2026-02-13T21:09:00Z</dcterms:created>
  <dcterms:modified xsi:type="dcterms:W3CDTF">2026-02-20T10:23:00Z</dcterms:modified>
</cp:coreProperties>
</file>